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572E65">
      <w:pPr>
        <w:widowControl/>
        <w:adjustRightInd w:val="0"/>
        <w:spacing w:line="240" w:lineRule="atLeast"/>
        <w:jc w:val="center"/>
        <w:rPr>
          <w:rFonts w:eastAsia="方正小标宋简体" w:cs="宋体"/>
          <w:color w:val="000000"/>
          <w:sz w:val="36"/>
          <w:szCs w:val="36"/>
        </w:rPr>
      </w:pPr>
    </w:p>
    <w:p w14:paraId="149BE3FC">
      <w:pPr>
        <w:spacing w:line="360" w:lineRule="exact"/>
        <w:rPr>
          <w:rFonts w:ascii="宋体" w:hAnsi="宋体"/>
          <w:color w:val="000000"/>
          <w:szCs w:val="21"/>
          <w:highlight w:val="white"/>
        </w:rPr>
      </w:pPr>
    </w:p>
    <w:p w14:paraId="3B8607CC">
      <w:pPr>
        <w:spacing w:line="360" w:lineRule="exact"/>
        <w:rPr>
          <w:rFonts w:ascii="宋体" w:hAnsi="宋体"/>
          <w:color w:val="000000"/>
          <w:szCs w:val="21"/>
          <w:highlight w:val="white"/>
        </w:rPr>
      </w:pPr>
    </w:p>
    <w:p w14:paraId="1FE6015E">
      <w:pPr>
        <w:spacing w:line="360" w:lineRule="auto"/>
        <w:ind w:firstLine="565" w:firstLineChars="201"/>
        <w:jc w:val="center"/>
        <w:rPr>
          <w:rFonts w:ascii="宋体" w:hAnsi="宋体"/>
          <w:b/>
          <w:bCs/>
          <w:kern w:val="0"/>
          <w:sz w:val="28"/>
          <w:szCs w:val="28"/>
        </w:rPr>
      </w:pPr>
    </w:p>
    <w:p w14:paraId="55CF27F9">
      <w:pPr>
        <w:snapToGrid w:val="0"/>
        <w:jc w:val="center"/>
        <w:rPr>
          <w:rFonts w:hint="eastAsia" w:ascii="方正小标宋简体" w:hAnsi="黑体" w:eastAsia="方正小标宋简体" w:cs="方正小标宋简体"/>
          <w:kern w:val="0"/>
          <w:sz w:val="56"/>
          <w:szCs w:val="52"/>
          <w:lang w:eastAsia="zh-CN"/>
        </w:rPr>
      </w:pPr>
      <w:r>
        <w:rPr>
          <w:rFonts w:hint="eastAsia" w:ascii="方正小标宋简体" w:hAnsi="黑体" w:eastAsia="方正小标宋简体" w:cs="方正小标宋简体"/>
          <w:kern w:val="0"/>
          <w:sz w:val="56"/>
          <w:szCs w:val="52"/>
          <w:lang w:eastAsia="zh-CN"/>
        </w:rPr>
        <w:t>山东泛海光能科技有限公司</w:t>
      </w:r>
    </w:p>
    <w:p w14:paraId="459EC875">
      <w:pPr>
        <w:spacing w:before="624" w:beforeLines="200" w:line="360" w:lineRule="auto"/>
        <w:jc w:val="center"/>
        <w:rPr>
          <w:rFonts w:ascii="方正小标宋简体" w:hAnsi="黑体" w:eastAsia="方正小标宋简体" w:cs="方正小标宋简体"/>
          <w:kern w:val="0"/>
          <w:sz w:val="72"/>
          <w:szCs w:val="52"/>
        </w:rPr>
      </w:pPr>
      <w:r>
        <w:rPr>
          <w:rFonts w:hint="eastAsia" w:ascii="方正小标宋简体" w:hAnsi="黑体" w:eastAsia="方正小标宋简体" w:cs="方正小标宋简体"/>
          <w:kern w:val="0"/>
          <w:sz w:val="72"/>
          <w:szCs w:val="52"/>
        </w:rPr>
        <w:t>自愿公开招标文件</w:t>
      </w:r>
    </w:p>
    <w:p w14:paraId="57517288">
      <w:pPr>
        <w:spacing w:line="360" w:lineRule="auto"/>
        <w:ind w:firstLine="723" w:firstLineChars="201"/>
        <w:jc w:val="left"/>
        <w:rPr>
          <w:rFonts w:ascii="宋体" w:hAnsi="宋体"/>
          <w:sz w:val="36"/>
          <w:szCs w:val="36"/>
        </w:rPr>
      </w:pPr>
    </w:p>
    <w:p w14:paraId="6AA3A05F">
      <w:pPr>
        <w:spacing w:line="360" w:lineRule="auto"/>
        <w:jc w:val="left"/>
        <w:rPr>
          <w:rFonts w:ascii="宋体" w:hAnsi="宋体"/>
          <w:sz w:val="36"/>
          <w:szCs w:val="36"/>
        </w:rPr>
      </w:pPr>
      <w:r>
        <w:rPr>
          <w:rFonts w:hint="eastAsia" w:ascii="宋体" w:hAnsi="宋体"/>
          <w:sz w:val="36"/>
          <w:szCs w:val="36"/>
        </w:rPr>
        <w:t xml:space="preserve">    </w:t>
      </w:r>
    </w:p>
    <w:p w14:paraId="224C5BF8">
      <w:pPr>
        <w:spacing w:after="156" w:afterLines="50" w:line="360" w:lineRule="auto"/>
        <w:ind w:firstLine="726" w:firstLineChars="201"/>
        <w:jc w:val="left"/>
        <w:rPr>
          <w:rFonts w:hint="eastAsia" w:ascii="仿宋_GB2312" w:hAnsi="仿宋" w:eastAsia="仿宋_GB2312" w:cs="方正楷体简体"/>
          <w:b/>
          <w:color w:val="FF0000"/>
          <w:sz w:val="36"/>
          <w:szCs w:val="36"/>
          <w:lang w:eastAsia="zh-CN"/>
        </w:rPr>
      </w:pPr>
      <w:r>
        <w:rPr>
          <w:rFonts w:hint="eastAsia" w:ascii="仿宋_GB2312" w:hAnsi="仿宋" w:eastAsia="仿宋_GB2312" w:cs="方正楷体简体"/>
          <w:b/>
          <w:sz w:val="36"/>
          <w:szCs w:val="36"/>
        </w:rPr>
        <w:t>项目名称：</w:t>
      </w:r>
      <w:r>
        <w:rPr>
          <w:rFonts w:hint="eastAsia" w:ascii="仿宋_GB2312" w:hAnsi="仿宋" w:eastAsia="仿宋_GB2312" w:cs="方正楷体简体"/>
          <w:sz w:val="36"/>
          <w:szCs w:val="36"/>
          <w:lang w:eastAsia="zh-CN"/>
        </w:rPr>
        <w:t>400KW充电桩采购项目</w:t>
      </w:r>
    </w:p>
    <w:p w14:paraId="6670EB72">
      <w:pPr>
        <w:spacing w:after="156" w:afterLines="50" w:line="360" w:lineRule="auto"/>
        <w:ind w:firstLine="726" w:firstLineChars="201"/>
        <w:jc w:val="left"/>
        <w:rPr>
          <w:rFonts w:hint="eastAsia" w:ascii="仿宋_GB2312" w:hAnsi="仿宋" w:eastAsia="仿宋_GB2312" w:cs="方正楷体简体"/>
          <w:b/>
          <w:sz w:val="36"/>
          <w:szCs w:val="36"/>
          <w:lang w:eastAsia="zh-CN"/>
        </w:rPr>
      </w:pPr>
      <w:r>
        <w:rPr>
          <w:rFonts w:hint="eastAsia" w:ascii="仿宋_GB2312" w:hAnsi="仿宋" w:eastAsia="仿宋_GB2312" w:cs="方正楷体简体"/>
          <w:b/>
          <w:sz w:val="36"/>
          <w:szCs w:val="36"/>
        </w:rPr>
        <w:t>项目编号：</w:t>
      </w:r>
      <w:r>
        <w:rPr>
          <w:rFonts w:hint="eastAsia" w:ascii="仿宋_GB2312" w:hAnsi="仿宋" w:eastAsia="仿宋_GB2312" w:cs="方正楷体简体"/>
          <w:sz w:val="36"/>
          <w:szCs w:val="36"/>
          <w:lang w:eastAsia="zh-CN"/>
        </w:rPr>
        <w:t>WHJX-ZB-2026-025</w:t>
      </w:r>
    </w:p>
    <w:p w14:paraId="150550A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包段名称：</w:t>
      </w:r>
      <w:r>
        <w:rPr>
          <w:rFonts w:hint="eastAsia" w:ascii="仿宋_GB2312" w:hAnsi="仿宋" w:eastAsia="仿宋_GB2312" w:cs="方正楷体简体"/>
          <w:sz w:val="36"/>
          <w:szCs w:val="36"/>
          <w:lang w:eastAsia="zh-CN"/>
        </w:rPr>
        <w:t>400KW充电桩采购项目</w:t>
      </w:r>
      <w:r>
        <w:rPr>
          <w:rFonts w:hint="eastAsia" w:ascii="仿宋_GB2312" w:hAnsi="仿宋" w:eastAsia="仿宋_GB2312" w:cs="方正楷体简体"/>
          <w:sz w:val="36"/>
          <w:szCs w:val="36"/>
        </w:rPr>
        <w:t xml:space="preserve">(第A包，共1包) </w:t>
      </w:r>
    </w:p>
    <w:p w14:paraId="07F3E12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采购方式：</w:t>
      </w:r>
      <w:r>
        <w:rPr>
          <w:rFonts w:hint="eastAsia" w:ascii="仿宋_GB2312" w:hAnsi="仿宋" w:eastAsia="仿宋_GB2312" w:cs="方正楷体简体"/>
          <w:sz w:val="36"/>
          <w:szCs w:val="36"/>
        </w:rPr>
        <w:t>自愿公开招标</w:t>
      </w:r>
    </w:p>
    <w:p w14:paraId="32113769">
      <w:pPr>
        <w:spacing w:line="360" w:lineRule="auto"/>
        <w:rPr>
          <w:rFonts w:ascii="仿宋_GB2312" w:hAnsi="仿宋" w:eastAsia="仿宋_GB2312" w:cs="方正楷体简体"/>
          <w:b/>
          <w:sz w:val="16"/>
          <w:szCs w:val="36"/>
        </w:rPr>
      </w:pPr>
    </w:p>
    <w:p w14:paraId="5987915B">
      <w:pPr>
        <w:spacing w:line="360" w:lineRule="auto"/>
        <w:ind w:firstLine="363" w:firstLineChars="201"/>
        <w:jc w:val="center"/>
        <w:rPr>
          <w:rFonts w:ascii="仿宋_GB2312" w:hAnsi="仿宋" w:eastAsia="仿宋_GB2312" w:cs="方正楷体简体"/>
          <w:b/>
          <w:sz w:val="18"/>
          <w:szCs w:val="36"/>
        </w:rPr>
      </w:pPr>
    </w:p>
    <w:p w14:paraId="40E04493">
      <w:pPr>
        <w:spacing w:before="156" w:beforeLines="50" w:line="360" w:lineRule="auto"/>
        <w:jc w:val="center"/>
        <w:rPr>
          <w:rFonts w:ascii="仿宋_GB2312" w:hAnsi="仿宋" w:eastAsia="仿宋_GB2312"/>
          <w:b/>
          <w:bCs/>
          <w:color w:val="FF0000"/>
          <w:kern w:val="0"/>
          <w:sz w:val="36"/>
          <w:szCs w:val="36"/>
        </w:rPr>
      </w:pPr>
      <w:r>
        <w:rPr>
          <w:rFonts w:hint="eastAsia" w:ascii="仿宋_GB2312" w:hAnsi="仿宋" w:eastAsia="仿宋_GB2312" w:cs="方正楷体简体"/>
          <w:b/>
          <w:sz w:val="36"/>
          <w:szCs w:val="36"/>
        </w:rPr>
        <w:t>代理机构：</w:t>
      </w:r>
      <w:r>
        <w:rPr>
          <w:rFonts w:hint="eastAsia" w:ascii="仿宋_GB2312" w:hAnsi="仿宋" w:eastAsia="仿宋_GB2312" w:cs="方正楷体简体"/>
          <w:sz w:val="36"/>
          <w:szCs w:val="36"/>
        </w:rPr>
        <w:t>威海市嘉鑫工程检测鉴定有限公司</w:t>
      </w:r>
    </w:p>
    <w:p w14:paraId="76B3802F">
      <w:pPr>
        <w:spacing w:before="156" w:beforeLines="50" w:line="360" w:lineRule="auto"/>
        <w:ind w:firstLine="726" w:firstLineChars="201"/>
        <w:jc w:val="center"/>
        <w:rPr>
          <w:rFonts w:hint="eastAsia" w:ascii="仿宋_GB2312" w:hAnsi="仿宋" w:eastAsia="仿宋_GB2312" w:cs="方正楷体简体"/>
          <w:sz w:val="36"/>
          <w:szCs w:val="36"/>
          <w:lang w:eastAsia="zh-CN"/>
        </w:rPr>
      </w:pPr>
      <w:r>
        <w:rPr>
          <w:rFonts w:hint="eastAsia" w:ascii="仿宋_GB2312" w:hAnsi="仿宋" w:eastAsia="仿宋_GB2312" w:cs="方正楷体简体"/>
          <w:b/>
          <w:sz w:val="36"/>
          <w:szCs w:val="36"/>
        </w:rPr>
        <w:t>编制时间：</w:t>
      </w:r>
      <w:r>
        <w:rPr>
          <w:rFonts w:hint="eastAsia" w:ascii="仿宋_GB2312" w:hAnsi="仿宋" w:eastAsia="仿宋_GB2312" w:cs="方正楷体简体"/>
          <w:sz w:val="36"/>
          <w:szCs w:val="36"/>
        </w:rPr>
        <w:t xml:space="preserve"> </w:t>
      </w:r>
      <w:r>
        <w:rPr>
          <w:rFonts w:hint="eastAsia" w:ascii="仿宋_GB2312" w:hAnsi="仿宋" w:eastAsia="仿宋_GB2312" w:cs="方正楷体简体"/>
          <w:sz w:val="36"/>
          <w:szCs w:val="36"/>
          <w:lang w:eastAsia="zh-CN"/>
        </w:rPr>
        <w:t>2026年03月31日</w:t>
      </w:r>
    </w:p>
    <w:p w14:paraId="5F498189">
      <w:pPr>
        <w:spacing w:before="156" w:beforeLines="50" w:line="360" w:lineRule="auto"/>
        <w:ind w:firstLine="726" w:firstLineChars="201"/>
        <w:jc w:val="center"/>
        <w:rPr>
          <w:rFonts w:ascii="仿宋_GB2312" w:hAnsi="仿宋" w:eastAsia="仿宋_GB2312" w:cs="方正楷体简体"/>
          <w:b/>
          <w:sz w:val="36"/>
          <w:szCs w:val="36"/>
        </w:rPr>
      </w:pPr>
    </w:p>
    <w:p w14:paraId="21FB455B">
      <w:pPr>
        <w:spacing w:line="360" w:lineRule="auto"/>
        <w:ind w:firstLine="1045" w:firstLineChars="201"/>
        <w:jc w:val="center"/>
        <w:rPr>
          <w:rFonts w:ascii="黑体" w:hAnsi="黑体" w:eastAsia="黑体" w:cs="方正小标宋简体"/>
          <w:color w:val="000000"/>
          <w:kern w:val="0"/>
          <w:sz w:val="52"/>
          <w:szCs w:val="52"/>
        </w:rPr>
        <w:sectPr>
          <w:footerReference r:id="rId3" w:type="default"/>
          <w:pgSz w:w="11906" w:h="16838"/>
          <w:pgMar w:top="1440" w:right="1080" w:bottom="1440" w:left="1080" w:header="851" w:footer="992" w:gutter="0"/>
          <w:pgNumType w:start="1"/>
          <w:cols w:space="720" w:num="1"/>
          <w:docGrid w:type="lines" w:linePitch="312" w:charSpace="0"/>
        </w:sectPr>
      </w:pPr>
    </w:p>
    <w:p w14:paraId="3FA06CB4">
      <w:pPr>
        <w:spacing w:line="360" w:lineRule="auto"/>
        <w:ind w:firstLine="1045" w:firstLineChars="201"/>
        <w:jc w:val="center"/>
        <w:rPr>
          <w:rFonts w:ascii="黑体" w:hAnsi="黑体" w:eastAsia="黑体"/>
          <w:b/>
          <w:sz w:val="44"/>
          <w:szCs w:val="44"/>
        </w:rPr>
      </w:pPr>
      <w:r>
        <w:rPr>
          <w:rFonts w:hint="eastAsia" w:ascii="黑体" w:hAnsi="黑体" w:eastAsia="黑体" w:cs="方正小标宋简体"/>
          <w:color w:val="000000"/>
          <w:kern w:val="0"/>
          <w:sz w:val="52"/>
          <w:szCs w:val="52"/>
        </w:rPr>
        <w:t>目  录</w:t>
      </w:r>
    </w:p>
    <w:p w14:paraId="08771B86">
      <w:pPr>
        <w:spacing w:line="560" w:lineRule="exact"/>
        <w:ind w:firstLine="562" w:firstLineChars="201"/>
        <w:jc w:val="left"/>
        <w:rPr>
          <w:rFonts w:ascii="宋体" w:hAnsi="宋体" w:cs="方正楷体简体"/>
          <w:sz w:val="28"/>
          <w:szCs w:val="28"/>
        </w:rPr>
      </w:pPr>
    </w:p>
    <w:p w14:paraId="5C6786E5">
      <w:pPr>
        <w:spacing w:line="560" w:lineRule="exact"/>
        <w:ind w:firstLine="562" w:firstLineChars="201"/>
        <w:jc w:val="left"/>
        <w:rPr>
          <w:rFonts w:ascii="宋体" w:hAnsi="宋体" w:cs="方正楷体简体"/>
          <w:sz w:val="28"/>
          <w:szCs w:val="28"/>
        </w:rPr>
      </w:pPr>
    </w:p>
    <w:p w14:paraId="0AAEE745">
      <w:pPr>
        <w:spacing w:line="720" w:lineRule="exact"/>
        <w:ind w:firstLine="565" w:firstLineChars="201"/>
        <w:jc w:val="left"/>
        <w:rPr>
          <w:rFonts w:ascii="宋体" w:hAnsi="宋体" w:cs="宋体"/>
          <w:sz w:val="24"/>
          <w:szCs w:val="44"/>
        </w:rPr>
      </w:pPr>
      <w:r>
        <w:rPr>
          <w:rFonts w:hint="eastAsia" w:ascii="仿宋_GB2312" w:hAnsi="黑体" w:eastAsia="仿宋_GB2312" w:cs="宋体"/>
          <w:b/>
          <w:bCs/>
          <w:caps/>
          <w:sz w:val="28"/>
          <w:szCs w:val="28"/>
        </w:rPr>
        <w:t>第一章   公开招标公告</w:t>
      </w:r>
    </w:p>
    <w:p w14:paraId="72EB0101">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14:paraId="3C927362">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第三章   采购内容与要求</w:t>
      </w:r>
      <w:bookmarkStart w:id="12" w:name="_GoBack"/>
      <w:bookmarkEnd w:id="12"/>
    </w:p>
    <w:p w14:paraId="59613F5B">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14:paraId="02C86E37">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14:paraId="5E38D386">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第六章   采购合同（范本）</w:t>
      </w:r>
    </w:p>
    <w:p w14:paraId="4517A794">
      <w:pPr>
        <w:spacing w:line="560" w:lineRule="exact"/>
        <w:ind w:firstLine="565" w:firstLineChars="201"/>
        <w:jc w:val="left"/>
        <w:rPr>
          <w:rFonts w:ascii="仿宋_GB2312" w:hAnsi="宋体" w:eastAsia="仿宋_GB2312" w:cs="宋体"/>
          <w:b/>
          <w:bCs/>
          <w:caps/>
          <w:sz w:val="28"/>
          <w:szCs w:val="28"/>
        </w:rPr>
      </w:pPr>
    </w:p>
    <w:p w14:paraId="3784B8D3">
      <w:pPr>
        <w:rPr>
          <w:rFonts w:ascii="仿宋_GB2312" w:hAnsi="宋体" w:eastAsia="仿宋_GB2312"/>
          <w:b/>
        </w:rPr>
      </w:pPr>
    </w:p>
    <w:p w14:paraId="79B34B3E">
      <w:pPr>
        <w:spacing w:line="560" w:lineRule="exact"/>
        <w:ind w:firstLine="565" w:firstLineChars="201"/>
        <w:jc w:val="left"/>
        <w:rPr>
          <w:rFonts w:ascii="仿宋_GB2312" w:hAnsi="宋体" w:eastAsia="仿宋_GB2312"/>
          <w:b/>
          <w:bCs/>
          <w:caps/>
          <w:sz w:val="28"/>
          <w:szCs w:val="28"/>
        </w:rPr>
      </w:pPr>
    </w:p>
    <w:p w14:paraId="6E5A8C7F">
      <w:pPr>
        <w:spacing w:line="560" w:lineRule="exact"/>
        <w:ind w:firstLine="424" w:firstLineChars="151"/>
        <w:jc w:val="left"/>
        <w:rPr>
          <w:rFonts w:ascii="仿宋_GB2312" w:hAnsi="宋体" w:eastAsia="仿宋_GB2312" w:cs="宋体"/>
          <w:b/>
          <w:bCs/>
          <w:caps/>
          <w:sz w:val="28"/>
          <w:szCs w:val="28"/>
        </w:rPr>
      </w:pPr>
    </w:p>
    <w:p w14:paraId="22CCD176">
      <w:pPr>
        <w:spacing w:line="560" w:lineRule="exact"/>
        <w:ind w:firstLine="424" w:firstLineChars="151"/>
        <w:jc w:val="left"/>
        <w:rPr>
          <w:rFonts w:ascii="仿宋_GB2312" w:hAnsi="宋体" w:eastAsia="仿宋_GB2312"/>
          <w:b/>
          <w:bCs/>
          <w:caps/>
          <w:sz w:val="28"/>
          <w:szCs w:val="28"/>
        </w:rPr>
      </w:pPr>
    </w:p>
    <w:p w14:paraId="268C4FF2">
      <w:pPr>
        <w:rPr>
          <w:rFonts w:ascii="宋体" w:hAnsi="宋体"/>
          <w:kern w:val="0"/>
        </w:rPr>
        <w:sectPr>
          <w:headerReference r:id="rId4" w:type="default"/>
          <w:pgSz w:w="11906" w:h="16838"/>
          <w:pgMar w:top="1440" w:right="1080" w:bottom="1440" w:left="1080" w:header="851" w:footer="992" w:gutter="0"/>
          <w:pgNumType w:start="1"/>
          <w:cols w:space="720" w:num="1"/>
          <w:docGrid w:type="lines" w:linePitch="312" w:charSpace="0"/>
        </w:sectPr>
      </w:pPr>
    </w:p>
    <w:p w14:paraId="6FE3B39A">
      <w:pPr>
        <w:pStyle w:val="28"/>
        <w:spacing w:before="100" w:beforeAutospacing="1" w:after="100" w:afterAutospacing="1" w:line="415" w:lineRule="auto"/>
        <w:rPr>
          <w:rFonts w:ascii="宋体" w:hAnsi="宋体" w:cs="宋体"/>
          <w:sz w:val="24"/>
          <w:szCs w:val="44"/>
        </w:rPr>
      </w:pPr>
      <w:r>
        <w:rPr>
          <w:rFonts w:hint="eastAsia" w:ascii="楷体_GB2312" w:hAnsi="宋体" w:eastAsia="楷体_GB2312" w:cs="宋体"/>
          <w:sz w:val="44"/>
          <w:szCs w:val="44"/>
        </w:rPr>
        <w:t>第一章 采购公告</w:t>
      </w:r>
    </w:p>
    <w:p w14:paraId="0D6E2019"/>
    <w:p w14:paraId="54D20A04">
      <w:p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0ECE8A9E">
      <w:pPr>
        <w:jc w:val="center"/>
        <w:rPr>
          <w:rFonts w:ascii="方正小标宋简体" w:eastAsia="方正小标宋简体"/>
          <w:b/>
          <w:sz w:val="30"/>
          <w:szCs w:val="30"/>
        </w:rPr>
      </w:pPr>
      <w:r>
        <w:rPr>
          <w:rFonts w:hint="eastAsia" w:ascii="方正小标宋简体" w:eastAsia="方正小标宋简体"/>
          <w:b/>
          <w:sz w:val="30"/>
          <w:szCs w:val="30"/>
          <w:lang w:eastAsia="zh-CN"/>
        </w:rPr>
        <w:t>400KW充电桩采购项目</w:t>
      </w:r>
      <w:r>
        <w:rPr>
          <w:rFonts w:hint="eastAsia" w:ascii="方正小标宋简体" w:eastAsia="方正小标宋简体"/>
          <w:b/>
          <w:sz w:val="30"/>
          <w:szCs w:val="30"/>
        </w:rPr>
        <w:t>招标公告</w:t>
      </w:r>
    </w:p>
    <w:p w14:paraId="24A89948">
      <w:pPr>
        <w:jc w:val="center"/>
        <w:rPr>
          <w:rFonts w:ascii="方正小标宋简体" w:eastAsia="方正小标宋简体"/>
          <w:b/>
          <w:sz w:val="30"/>
          <w:szCs w:val="30"/>
        </w:rPr>
      </w:pPr>
    </w:p>
    <w:p w14:paraId="730D1660">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项目概况</w:t>
      </w:r>
    </w:p>
    <w:p w14:paraId="58205C0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eastAsia="zh-CN"/>
        </w:rPr>
        <w:t>400KW充电桩采购项目</w:t>
      </w:r>
      <w:r>
        <w:rPr>
          <w:rFonts w:hint="eastAsia" w:ascii="仿宋_GB2312" w:hAnsi="仿宋" w:eastAsia="仿宋_GB2312" w:cs="宋体"/>
          <w:color w:val="333333"/>
          <w:spacing w:val="8"/>
          <w:kern w:val="0"/>
          <w:sz w:val="28"/>
          <w:szCs w:val="28"/>
        </w:rPr>
        <w:t>的潜在投标人应</w:t>
      </w:r>
      <w:r>
        <w:rPr>
          <w:rFonts w:hint="eastAsia" w:ascii="仿宋_GB2312" w:hAnsi="仿宋" w:eastAsia="仿宋_GB2312" w:cs="宋体"/>
          <w:color w:val="333333"/>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333333"/>
          <w:spacing w:val="8"/>
          <w:kern w:val="0"/>
          <w:sz w:val="28"/>
          <w:szCs w:val="28"/>
        </w:rPr>
        <w:t>获取招标文件，并于</w:t>
      </w:r>
      <w:r>
        <w:rPr>
          <w:rFonts w:hint="eastAsia" w:ascii="仿宋_GB2312" w:hAnsi="宋体" w:eastAsia="仿宋_GB2312" w:cs="宋体"/>
          <w:color w:val="333333"/>
          <w:spacing w:val="8"/>
          <w:kern w:val="0"/>
          <w:sz w:val="28"/>
          <w:szCs w:val="28"/>
          <w:u w:val="single"/>
        </w:rPr>
        <w:t xml:space="preserve"> </w:t>
      </w:r>
      <w:r>
        <w:rPr>
          <w:rFonts w:hint="eastAsia" w:ascii="仿宋_GB2312" w:hAnsi="仿宋" w:eastAsia="仿宋_GB2312" w:cs="宋体"/>
          <w:color w:val="333333"/>
          <w:spacing w:val="8"/>
          <w:kern w:val="0"/>
          <w:sz w:val="28"/>
          <w:szCs w:val="28"/>
          <w:u w:val="single"/>
          <w:lang w:eastAsia="zh-CN"/>
        </w:rPr>
        <w:t>2026年04月13日14时00分</w:t>
      </w:r>
      <w:r>
        <w:rPr>
          <w:rFonts w:hint="eastAsia" w:ascii="仿宋_GB2312" w:hAnsi="仿宋" w:eastAsia="仿宋_GB2312" w:cs="宋体"/>
          <w:color w:val="333333"/>
          <w:spacing w:val="8"/>
          <w:kern w:val="0"/>
          <w:sz w:val="28"/>
          <w:szCs w:val="28"/>
          <w:u w:val="single"/>
        </w:rPr>
        <w:t>（北京时间）</w:t>
      </w:r>
      <w:r>
        <w:rPr>
          <w:rFonts w:hint="eastAsia" w:ascii="仿宋_GB2312" w:hAnsi="仿宋" w:eastAsia="仿宋_GB2312" w:cs="宋体"/>
          <w:color w:val="333333"/>
          <w:spacing w:val="8"/>
          <w:kern w:val="0"/>
          <w:sz w:val="28"/>
          <w:szCs w:val="28"/>
        </w:rPr>
        <w:t>前递交投标文件。</w:t>
      </w:r>
    </w:p>
    <w:p w14:paraId="6C78769A">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一、项目基本情况</w:t>
      </w:r>
    </w:p>
    <w:p w14:paraId="646AD2E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项目编号：</w:t>
      </w:r>
      <w:r>
        <w:rPr>
          <w:rFonts w:hint="eastAsia" w:ascii="仿宋_GB2312" w:hAnsi="仿宋" w:eastAsia="仿宋_GB2312" w:cs="宋体"/>
          <w:color w:val="333333"/>
          <w:spacing w:val="8"/>
          <w:kern w:val="0"/>
          <w:sz w:val="28"/>
          <w:szCs w:val="28"/>
          <w:lang w:eastAsia="zh-CN"/>
        </w:rPr>
        <w:t>WHJX-ZB-2026-025</w:t>
      </w:r>
    </w:p>
    <w:p w14:paraId="7129C38D">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项目名称：</w:t>
      </w:r>
      <w:r>
        <w:rPr>
          <w:rFonts w:hint="eastAsia" w:ascii="仿宋_GB2312" w:hAnsi="仿宋" w:eastAsia="仿宋_GB2312" w:cs="宋体"/>
          <w:color w:val="333333"/>
          <w:spacing w:val="8"/>
          <w:kern w:val="0"/>
          <w:sz w:val="28"/>
          <w:szCs w:val="28"/>
          <w:lang w:eastAsia="zh-CN"/>
        </w:rPr>
        <w:t>400KW充电桩采购项目</w:t>
      </w:r>
    </w:p>
    <w:p w14:paraId="6A3FFE0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5CF5E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vAlign w:val="center"/>
          </w:tcPr>
          <w:p w14:paraId="3401D5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标包</w:t>
            </w:r>
          </w:p>
        </w:tc>
        <w:tc>
          <w:tcPr>
            <w:tcW w:w="2268" w:type="dxa"/>
            <w:vAlign w:val="center"/>
          </w:tcPr>
          <w:p w14:paraId="4570D8FF">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名称</w:t>
            </w:r>
          </w:p>
        </w:tc>
        <w:tc>
          <w:tcPr>
            <w:tcW w:w="709" w:type="dxa"/>
            <w:vAlign w:val="center"/>
          </w:tcPr>
          <w:p w14:paraId="154190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数量</w:t>
            </w:r>
          </w:p>
        </w:tc>
        <w:tc>
          <w:tcPr>
            <w:tcW w:w="1818" w:type="dxa"/>
            <w:tcBorders>
              <w:right w:val="single" w:color="auto" w:sz="4" w:space="0"/>
            </w:tcBorders>
            <w:vAlign w:val="center"/>
          </w:tcPr>
          <w:p w14:paraId="7F5246A2">
            <w:pPr>
              <w:widowControl/>
              <w:adjustRightInd w:val="0"/>
              <w:snapToGrid w:val="0"/>
              <w:jc w:val="center"/>
              <w:rPr>
                <w:rFonts w:hint="eastAsia" w:ascii="仿宋_GB2312" w:hAnsi="宋体" w:eastAsia="仿宋_GB2312" w:cs="宋体"/>
                <w:b/>
                <w:color w:val="000000"/>
                <w:kern w:val="0"/>
                <w:sz w:val="24"/>
                <w:lang w:eastAsia="zh-CN"/>
              </w:rPr>
            </w:pPr>
            <w:r>
              <w:rPr>
                <w:rFonts w:hint="eastAsia" w:ascii="仿宋_GB2312" w:hAnsi="宋体" w:eastAsia="仿宋_GB2312" w:cs="宋体"/>
                <w:b/>
                <w:color w:val="000000"/>
                <w:kern w:val="0"/>
                <w:sz w:val="24"/>
              </w:rPr>
              <w:t>包预算金额</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559" w:type="dxa"/>
            <w:vAlign w:val="center"/>
          </w:tcPr>
          <w:p w14:paraId="126CAC4A">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最高限价</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417" w:type="dxa"/>
            <w:tcBorders>
              <w:right w:val="single" w:color="auto" w:sz="4" w:space="0"/>
            </w:tcBorders>
            <w:vAlign w:val="center"/>
          </w:tcPr>
          <w:p w14:paraId="6E1A5B0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采购需求</w:t>
            </w:r>
          </w:p>
        </w:tc>
        <w:tc>
          <w:tcPr>
            <w:tcW w:w="1357" w:type="dxa"/>
            <w:tcBorders>
              <w:right w:val="single" w:color="auto" w:sz="4" w:space="0"/>
            </w:tcBorders>
            <w:vAlign w:val="center"/>
          </w:tcPr>
          <w:p w14:paraId="04236567">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合同履行期限</w:t>
            </w:r>
          </w:p>
        </w:tc>
      </w:tr>
      <w:tr w14:paraId="74E93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top w:val="single" w:color="auto" w:sz="4" w:space="0"/>
              <w:bottom w:val="single" w:color="auto" w:sz="4" w:space="0"/>
            </w:tcBorders>
            <w:vAlign w:val="center"/>
          </w:tcPr>
          <w:p w14:paraId="5FC8B31A">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A</w:t>
            </w:r>
          </w:p>
        </w:tc>
        <w:tc>
          <w:tcPr>
            <w:tcW w:w="2268" w:type="dxa"/>
            <w:vAlign w:val="center"/>
          </w:tcPr>
          <w:p w14:paraId="318BC96F">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400KW充电桩采购项目</w:t>
            </w:r>
          </w:p>
        </w:tc>
        <w:tc>
          <w:tcPr>
            <w:tcW w:w="709" w:type="dxa"/>
            <w:vAlign w:val="center"/>
          </w:tcPr>
          <w:p w14:paraId="5ABB6AC2">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1宗</w:t>
            </w:r>
          </w:p>
        </w:tc>
        <w:tc>
          <w:tcPr>
            <w:tcW w:w="1818" w:type="dxa"/>
            <w:tcBorders>
              <w:right w:val="single" w:color="auto" w:sz="4" w:space="0"/>
            </w:tcBorders>
            <w:vAlign w:val="center"/>
          </w:tcPr>
          <w:p w14:paraId="62FB8099">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620000.00</w:t>
            </w:r>
          </w:p>
        </w:tc>
        <w:tc>
          <w:tcPr>
            <w:tcW w:w="1559" w:type="dxa"/>
            <w:vAlign w:val="center"/>
          </w:tcPr>
          <w:p w14:paraId="65814B8A">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620000.00</w:t>
            </w:r>
          </w:p>
        </w:tc>
        <w:tc>
          <w:tcPr>
            <w:tcW w:w="1417" w:type="dxa"/>
            <w:tcBorders>
              <w:right w:val="single" w:color="auto" w:sz="4" w:space="0"/>
            </w:tcBorders>
            <w:vAlign w:val="center"/>
          </w:tcPr>
          <w:p w14:paraId="2C3BE4CB">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c>
          <w:tcPr>
            <w:tcW w:w="1357" w:type="dxa"/>
            <w:tcBorders>
              <w:right w:val="single" w:color="auto" w:sz="4" w:space="0"/>
            </w:tcBorders>
            <w:vAlign w:val="center"/>
          </w:tcPr>
          <w:p w14:paraId="10C51CA9">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r>
    </w:tbl>
    <w:p w14:paraId="32AA572A">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本项目不接受联合体投标</w:t>
      </w:r>
    </w:p>
    <w:p w14:paraId="4BDEC3FE">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二、申请人的资格要求：</w:t>
      </w:r>
    </w:p>
    <w:p w14:paraId="3C11CA08">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1.具有独立承担民事责任的能力；</w:t>
      </w:r>
    </w:p>
    <w:p w14:paraId="118057D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2.具有良好的商业信誉和健全的财务会计制度；</w:t>
      </w:r>
    </w:p>
    <w:p w14:paraId="03B5CEA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3.具有履行合同所必须设备和专业技术能力；</w:t>
      </w:r>
    </w:p>
    <w:p w14:paraId="70C4F14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4.具有依法缴纳税收和社会保障资金的良好记录；</w:t>
      </w:r>
    </w:p>
    <w:p w14:paraId="4E69BF4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5.参加本次采购活动前三年内，在经营活动中没有重大违法记录；</w:t>
      </w:r>
    </w:p>
    <w:p w14:paraId="49DC22DE">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6.供应商、法定代表人、授权委托人未被最高法院列入失信被执行人；</w:t>
      </w:r>
    </w:p>
    <w:p w14:paraId="1D328634">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7.供应商未被工商行政管理机关在全国企业信用信息公示系统中列入严重违法失信企业名单；</w:t>
      </w:r>
    </w:p>
    <w:p w14:paraId="3002220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8.法律、行政法规及招标文件规定的其他要求；</w:t>
      </w:r>
    </w:p>
    <w:p w14:paraId="5CDF9325">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三、获取招标文件</w:t>
      </w:r>
    </w:p>
    <w:p w14:paraId="081CEC4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1.时间：</w:t>
      </w:r>
      <w:r>
        <w:rPr>
          <w:rFonts w:hint="eastAsia" w:ascii="仿宋_GB2312" w:hAnsi="仿宋" w:eastAsia="仿宋_GB2312" w:cs="宋体"/>
          <w:color w:val="333333"/>
          <w:spacing w:val="8"/>
          <w:kern w:val="0"/>
          <w:sz w:val="28"/>
          <w:szCs w:val="28"/>
          <w:lang w:eastAsia="zh-CN"/>
        </w:rPr>
        <w:t>2026年03月31日</w:t>
      </w:r>
      <w:r>
        <w:rPr>
          <w:rFonts w:hint="eastAsia" w:ascii="仿宋_GB2312" w:hAnsi="仿宋" w:eastAsia="仿宋_GB2312" w:cs="宋体"/>
          <w:color w:val="333333"/>
          <w:spacing w:val="8"/>
          <w:kern w:val="0"/>
          <w:sz w:val="28"/>
          <w:szCs w:val="28"/>
        </w:rPr>
        <w:t>17时00分至</w:t>
      </w:r>
      <w:r>
        <w:rPr>
          <w:rFonts w:hint="eastAsia" w:ascii="仿宋_GB2312" w:hAnsi="仿宋" w:eastAsia="仿宋_GB2312" w:cs="宋体"/>
          <w:color w:val="333333"/>
          <w:spacing w:val="8"/>
          <w:kern w:val="0"/>
          <w:sz w:val="28"/>
          <w:szCs w:val="28"/>
          <w:lang w:eastAsia="zh-CN"/>
        </w:rPr>
        <w:t>2026年0</w:t>
      </w:r>
      <w:r>
        <w:rPr>
          <w:rFonts w:hint="eastAsia" w:ascii="仿宋_GB2312" w:hAnsi="仿宋" w:eastAsia="仿宋_GB2312" w:cs="宋体"/>
          <w:color w:val="333333"/>
          <w:spacing w:val="8"/>
          <w:kern w:val="0"/>
          <w:sz w:val="28"/>
          <w:szCs w:val="28"/>
          <w:lang w:val="en-US" w:eastAsia="zh-CN"/>
        </w:rPr>
        <w:t>4</w:t>
      </w:r>
      <w:r>
        <w:rPr>
          <w:rFonts w:hint="eastAsia" w:ascii="仿宋_GB2312" w:hAnsi="仿宋" w:eastAsia="仿宋_GB2312" w:cs="宋体"/>
          <w:color w:val="333333"/>
          <w:spacing w:val="8"/>
          <w:kern w:val="0"/>
          <w:sz w:val="28"/>
          <w:szCs w:val="28"/>
          <w:lang w:eastAsia="zh-CN"/>
        </w:rPr>
        <w:t>月</w:t>
      </w:r>
      <w:r>
        <w:rPr>
          <w:rFonts w:hint="eastAsia" w:ascii="仿宋_GB2312" w:hAnsi="仿宋" w:eastAsia="仿宋_GB2312" w:cs="宋体"/>
          <w:color w:val="333333"/>
          <w:spacing w:val="8"/>
          <w:kern w:val="0"/>
          <w:sz w:val="28"/>
          <w:szCs w:val="28"/>
          <w:lang w:val="en-US" w:eastAsia="zh-CN"/>
        </w:rPr>
        <w:t>08</w:t>
      </w:r>
      <w:r>
        <w:rPr>
          <w:rFonts w:hint="eastAsia" w:ascii="仿宋_GB2312" w:hAnsi="仿宋" w:eastAsia="仿宋_GB2312" w:cs="宋体"/>
          <w:color w:val="333333"/>
          <w:spacing w:val="8"/>
          <w:kern w:val="0"/>
          <w:sz w:val="28"/>
          <w:szCs w:val="28"/>
          <w:lang w:eastAsia="zh-CN"/>
        </w:rPr>
        <w:t>日</w:t>
      </w:r>
      <w:r>
        <w:rPr>
          <w:rFonts w:hint="eastAsia" w:ascii="仿宋_GB2312" w:hAnsi="仿宋" w:eastAsia="仿宋_GB2312" w:cs="宋体"/>
          <w:color w:val="333333"/>
          <w:spacing w:val="8"/>
          <w:kern w:val="0"/>
          <w:sz w:val="28"/>
          <w:szCs w:val="28"/>
        </w:rPr>
        <w:t>17时00分（北京时间）</w:t>
      </w:r>
    </w:p>
    <w:p w14:paraId="292E7842">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73612188">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4.售价：免费</w:t>
      </w:r>
    </w:p>
    <w:p w14:paraId="19F33A31">
      <w:pPr>
        <w:spacing w:line="360" w:lineRule="auto"/>
        <w:ind w:firstLine="560" w:firstLineChars="200"/>
        <w:outlineLvl w:val="0"/>
        <w:rPr>
          <w:rFonts w:ascii="黑体" w:hAnsi="黑体" w:eastAsia="黑体" w:cs="宋体"/>
          <w:color w:val="000000"/>
          <w:sz w:val="28"/>
          <w:szCs w:val="28"/>
        </w:rPr>
      </w:pPr>
      <w:r>
        <w:rPr>
          <w:rFonts w:hint="eastAsia" w:ascii="黑体" w:hAnsi="黑体" w:eastAsia="黑体" w:cs="宋体"/>
          <w:color w:val="000000"/>
          <w:sz w:val="28"/>
          <w:szCs w:val="28"/>
        </w:rPr>
        <w:t>四、投标文件提交</w:t>
      </w:r>
    </w:p>
    <w:p w14:paraId="535B4B8B">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r>
        <w:rPr>
          <w:rFonts w:hint="eastAsia" w:ascii="仿宋_GB2312" w:hAnsi="仿宋" w:eastAsia="仿宋_GB2312" w:cs="宋体"/>
          <w:color w:val="333333"/>
          <w:spacing w:val="8"/>
          <w:sz w:val="28"/>
          <w:szCs w:val="28"/>
          <w:lang w:eastAsia="zh-CN"/>
        </w:rPr>
        <w:t>2026年03月31日</w:t>
      </w:r>
      <w:r>
        <w:rPr>
          <w:rFonts w:hint="eastAsia" w:ascii="仿宋_GB2312" w:hAnsi="仿宋" w:eastAsia="仿宋_GB2312" w:cs="宋体"/>
          <w:color w:val="333333"/>
          <w:spacing w:val="8"/>
          <w:sz w:val="28"/>
          <w:szCs w:val="28"/>
        </w:rPr>
        <w:t>18时00分至</w:t>
      </w:r>
      <w:r>
        <w:rPr>
          <w:rFonts w:hint="eastAsia" w:ascii="仿宋_GB2312" w:hAnsi="仿宋" w:eastAsia="仿宋_GB2312" w:cs="宋体"/>
          <w:color w:val="333333"/>
          <w:spacing w:val="8"/>
          <w:sz w:val="28"/>
          <w:szCs w:val="28"/>
          <w:lang w:eastAsia="zh-CN"/>
        </w:rPr>
        <w:t>2026年04月13日14时00分</w:t>
      </w:r>
    </w:p>
    <w:p w14:paraId="62F35E31">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333333"/>
          <w:spacing w:val="8"/>
          <w:kern w:val="0"/>
          <w:sz w:val="28"/>
          <w:szCs w:val="28"/>
        </w:rPr>
        <w:t>已在威海市国有企业阳光采购电子化服务平台获取文件的投标人在规定时间内递交电子投标（响应）文件。</w:t>
      </w:r>
    </w:p>
    <w:p w14:paraId="5934476E">
      <w:pPr>
        <w:widowControl/>
        <w:adjustRightInd w:val="0"/>
        <w:spacing w:line="360" w:lineRule="auto"/>
        <w:ind w:firstLine="560" w:firstLineChars="200"/>
        <w:jc w:val="left"/>
        <w:outlineLvl w:val="0"/>
        <w:rPr>
          <w:rFonts w:ascii="仿宋_GB2312" w:hAnsi="仿宋" w:eastAsia="仿宋_GB2312" w:cs="宋体"/>
          <w:color w:val="333333"/>
          <w:spacing w:val="8"/>
          <w:sz w:val="28"/>
          <w:szCs w:val="28"/>
        </w:rPr>
      </w:pPr>
      <w:r>
        <w:rPr>
          <w:rFonts w:hint="eastAsia" w:ascii="黑体" w:hAnsi="黑体" w:eastAsia="黑体" w:cs="宋体"/>
          <w:color w:val="000000"/>
          <w:sz w:val="28"/>
          <w:szCs w:val="28"/>
        </w:rPr>
        <w:t>五、开启</w:t>
      </w:r>
    </w:p>
    <w:p w14:paraId="7B4F5ACC">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r>
        <w:rPr>
          <w:rFonts w:hint="eastAsia" w:ascii="仿宋_GB2312" w:hAnsi="仿宋" w:eastAsia="仿宋_GB2312" w:cs="宋体"/>
          <w:color w:val="333333"/>
          <w:spacing w:val="8"/>
          <w:sz w:val="28"/>
          <w:szCs w:val="28"/>
          <w:lang w:eastAsia="zh-CN"/>
        </w:rPr>
        <w:t>2026年04月13日14时00分</w:t>
      </w:r>
      <w:r>
        <w:rPr>
          <w:rFonts w:hint="eastAsia" w:ascii="仿宋_GB2312" w:hAnsi="仿宋" w:eastAsia="仿宋_GB2312" w:cs="宋体"/>
          <w:color w:val="333333"/>
          <w:spacing w:val="8"/>
          <w:sz w:val="28"/>
          <w:szCs w:val="28"/>
        </w:rPr>
        <w:t>（北京时间）</w:t>
      </w:r>
    </w:p>
    <w:p w14:paraId="5D806897">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地点：威海市乳山市深圳路108号市民服务中心三楼</w:t>
      </w:r>
    </w:p>
    <w:p w14:paraId="280575C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六、其他补充事宜</w:t>
      </w:r>
    </w:p>
    <w:p w14:paraId="49A493BA">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1.本项目实行全流程电子化，提交投标文件截止时间前，随时关注威海市公共资源交易网（变更公告栏）内变更提醒。</w:t>
      </w:r>
    </w:p>
    <w:p w14:paraId="69D2AD2E">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2.投标人自行准备电脑，提前在个人电脑上进行测试确保音频、视频功能、CA 签章功能可正常使用，因通讯不畅造成的一切后果由供应商自行承担。</w:t>
      </w:r>
    </w:p>
    <w:p w14:paraId="2AD93412">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七、对本次招标提出询问，请按以下方式联系。</w:t>
      </w:r>
    </w:p>
    <w:p w14:paraId="69AF676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1.采购人信息</w:t>
      </w:r>
    </w:p>
    <w:p w14:paraId="091E1A6F">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名  称：</w:t>
      </w:r>
      <w:r>
        <w:rPr>
          <w:rFonts w:hint="eastAsia" w:ascii="仿宋_GB2312" w:hAnsi="仿宋" w:eastAsia="仿宋_GB2312" w:cs="宋体"/>
          <w:color w:val="333333"/>
          <w:spacing w:val="8"/>
          <w:kern w:val="0"/>
          <w:sz w:val="28"/>
          <w:szCs w:val="28"/>
          <w:lang w:eastAsia="zh-CN"/>
        </w:rPr>
        <w:t>山东泛海光能科技有限公司</w:t>
      </w:r>
    </w:p>
    <w:p w14:paraId="62E8C32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rPr>
        <w:t>地  址：</w:t>
      </w:r>
      <w:r>
        <w:rPr>
          <w:rFonts w:hint="eastAsia" w:ascii="仿宋_GB2312" w:hAnsi="仿宋" w:eastAsia="仿宋_GB2312" w:cs="宋体"/>
          <w:color w:val="333333"/>
          <w:spacing w:val="8"/>
          <w:kern w:val="0"/>
          <w:sz w:val="28"/>
          <w:szCs w:val="28"/>
          <w:lang w:eastAsia="zh-CN"/>
        </w:rPr>
        <w:t>山东省威海市乳山市胜利街兴农巷13号</w:t>
      </w:r>
    </w:p>
    <w:p w14:paraId="16939D2A">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highlight w:val="none"/>
        </w:rPr>
        <w:t>联系方式：</w:t>
      </w:r>
      <w:r>
        <w:rPr>
          <w:rFonts w:hint="eastAsia" w:ascii="仿宋_GB2312" w:hAnsi="仿宋" w:eastAsia="仿宋_GB2312" w:cs="宋体"/>
          <w:color w:val="333333"/>
          <w:spacing w:val="8"/>
          <w:kern w:val="0"/>
          <w:sz w:val="28"/>
          <w:szCs w:val="28"/>
          <w:highlight w:val="none"/>
          <w:lang w:eastAsia="zh-CN"/>
        </w:rPr>
        <w:t>18263124793</w:t>
      </w:r>
    </w:p>
    <w:p w14:paraId="3801209C">
      <w:pPr>
        <w:widowControl/>
        <w:adjustRightInd w:val="0"/>
        <w:spacing w:line="560" w:lineRule="exact"/>
        <w:ind w:firstLine="592" w:firstLineChars="200"/>
        <w:jc w:val="left"/>
        <w:rPr>
          <w:rFonts w:ascii="仿宋_GB2312" w:hAnsi="仿宋" w:eastAsia="仿宋_GB2312" w:cs="宋体"/>
          <w:color w:val="333333"/>
          <w:spacing w:val="8"/>
          <w:kern w:val="0"/>
          <w:sz w:val="28"/>
          <w:szCs w:val="28"/>
          <w:highlight w:val="none"/>
        </w:rPr>
      </w:pPr>
      <w:r>
        <w:rPr>
          <w:rFonts w:hint="eastAsia" w:ascii="仿宋_GB2312" w:hAnsi="仿宋" w:eastAsia="仿宋_GB2312" w:cs="宋体"/>
          <w:color w:val="333333"/>
          <w:spacing w:val="8"/>
          <w:kern w:val="0"/>
          <w:sz w:val="28"/>
          <w:szCs w:val="28"/>
          <w:highlight w:val="none"/>
        </w:rPr>
        <w:t>2.采购代理机构信息</w:t>
      </w:r>
    </w:p>
    <w:p w14:paraId="1E4CDE0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highlight w:val="none"/>
        </w:rPr>
        <w:t>名  称：威海市嘉鑫工程</w:t>
      </w:r>
      <w:r>
        <w:rPr>
          <w:rFonts w:hint="eastAsia" w:ascii="仿宋_GB2312" w:hAnsi="仿宋" w:eastAsia="仿宋_GB2312" w:cs="宋体"/>
          <w:color w:val="333333"/>
          <w:spacing w:val="8"/>
          <w:kern w:val="0"/>
          <w:sz w:val="28"/>
          <w:szCs w:val="28"/>
        </w:rPr>
        <w:t>检测鉴定有限公司</w:t>
      </w:r>
    </w:p>
    <w:p w14:paraId="05EEBF3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地  址：乳山市深圳路久久发7号楼</w:t>
      </w:r>
    </w:p>
    <w:p w14:paraId="3329459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项目联系人：刘宁</w:t>
      </w:r>
    </w:p>
    <w:p w14:paraId="515F91B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电  话：0631-6651889</w:t>
      </w:r>
    </w:p>
    <w:p w14:paraId="5A64F2F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八、发布公告的媒介</w:t>
      </w:r>
    </w:p>
    <w:p w14:paraId="6DCABCE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15BD164D">
      <w:pPr>
        <w:spacing w:line="560" w:lineRule="exact"/>
        <w:jc w:val="right"/>
        <w:rPr>
          <w:rFonts w:ascii="仿宋_GB2312" w:hAnsi="宋体" w:eastAsia="仿宋_GB2312"/>
          <w:sz w:val="28"/>
          <w:szCs w:val="28"/>
        </w:rPr>
      </w:pPr>
      <w:r>
        <w:rPr>
          <w:rFonts w:hint="eastAsia" w:ascii="仿宋_GB2312" w:hAnsi="宋体" w:eastAsia="仿宋_GB2312" w:cs="宋体"/>
          <w:kern w:val="0"/>
          <w:sz w:val="28"/>
          <w:szCs w:val="28"/>
        </w:rPr>
        <w:t>发布人：威海市嘉鑫工程检测鉴定有限公司</w:t>
      </w:r>
      <w:r>
        <w:rPr>
          <w:rFonts w:hint="eastAsia" w:ascii="仿宋_GB2312" w:hAnsi="宋体" w:eastAsia="仿宋_GB2312"/>
          <w:sz w:val="28"/>
          <w:szCs w:val="28"/>
        </w:rPr>
        <w:t xml:space="preserve"> </w:t>
      </w:r>
    </w:p>
    <w:p w14:paraId="120D468A">
      <w:pPr>
        <w:widowControl/>
        <w:adjustRightInd w:val="0"/>
        <w:spacing w:line="360" w:lineRule="auto"/>
        <w:ind w:left="-240"/>
        <w:jc w:val="right"/>
        <w:rPr>
          <w:rFonts w:hint="eastAsia" w:ascii="仿宋_GB2312" w:hAnsi="宋体" w:eastAsia="仿宋_GB2312" w:cs="宋体"/>
          <w:kern w:val="0"/>
          <w:sz w:val="28"/>
          <w:szCs w:val="28"/>
          <w:lang w:eastAsia="zh-CN"/>
        </w:rPr>
      </w:pPr>
      <w:r>
        <w:rPr>
          <w:rFonts w:hint="eastAsia" w:ascii="仿宋_GB2312" w:hAnsi="宋体" w:eastAsia="仿宋_GB2312" w:cs="宋体"/>
          <w:kern w:val="0"/>
          <w:sz w:val="28"/>
          <w:szCs w:val="28"/>
        </w:rPr>
        <w:t>发布时间：</w:t>
      </w:r>
      <w:r>
        <w:rPr>
          <w:rFonts w:hint="eastAsia" w:ascii="仿宋_GB2312" w:hAnsi="宋体" w:eastAsia="仿宋_GB2312" w:cs="宋体"/>
          <w:kern w:val="0"/>
          <w:sz w:val="28"/>
          <w:szCs w:val="28"/>
          <w:lang w:eastAsia="zh-CN"/>
        </w:rPr>
        <w:t>2026年03月31日</w:t>
      </w:r>
    </w:p>
    <w:p w14:paraId="2257E950">
      <w:pPr>
        <w:widowControl/>
        <w:adjustRightInd w:val="0"/>
        <w:spacing w:line="360" w:lineRule="auto"/>
        <w:ind w:left="-240"/>
        <w:jc w:val="right"/>
        <w:rPr>
          <w:rFonts w:ascii="宋体" w:hAnsi="宋体" w:cs="宋体"/>
          <w:kern w:val="0"/>
          <w:sz w:val="24"/>
        </w:rPr>
      </w:pPr>
    </w:p>
    <w:p w14:paraId="219E58FD">
      <w:pPr>
        <w:sectPr>
          <w:footerReference r:id="rId8" w:type="default"/>
          <w:pgSz w:w="11906" w:h="16838"/>
          <w:pgMar w:top="1440" w:right="1080" w:bottom="1440" w:left="1080" w:header="851" w:footer="992" w:gutter="0"/>
          <w:cols w:space="720" w:num="1"/>
          <w:docGrid w:type="lines" w:linePitch="312" w:charSpace="0"/>
        </w:sectPr>
      </w:pPr>
    </w:p>
    <w:p w14:paraId="52C89ADB">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第二章 投标（响应）须知</w:t>
      </w:r>
    </w:p>
    <w:p w14:paraId="74E99F31"/>
    <w:p w14:paraId="418D209F">
      <w:pPr>
        <w:sectPr>
          <w:pgSz w:w="11906" w:h="16838"/>
          <w:pgMar w:top="1440" w:right="1077" w:bottom="1440" w:left="1077" w:header="851" w:footer="992" w:gutter="0"/>
          <w:cols w:space="720" w:num="1"/>
          <w:docGrid w:type="lines" w:linePitch="312" w:charSpace="0"/>
        </w:sectPr>
      </w:pPr>
    </w:p>
    <w:p w14:paraId="5E295D7C">
      <w:pPr>
        <w:jc w:val="center"/>
        <w:rPr>
          <w:rFonts w:ascii="黑体" w:hAnsi="黑体" w:eastAsia="黑体"/>
          <w:sz w:val="32"/>
          <w:szCs w:val="32"/>
        </w:rPr>
      </w:pPr>
      <w:r>
        <w:rPr>
          <w:rFonts w:hint="eastAsia" w:ascii="黑体" w:hAnsi="黑体" w:eastAsia="黑体"/>
          <w:sz w:val="32"/>
          <w:szCs w:val="32"/>
        </w:rPr>
        <w:t>投标须知前附表</w:t>
      </w:r>
    </w:p>
    <w:p w14:paraId="73F44332">
      <w:pPr>
        <w:spacing w:line="560" w:lineRule="exact"/>
        <w:ind w:firstLine="560" w:firstLineChars="200"/>
        <w:jc w:val="left"/>
        <w:rPr>
          <w:rFonts w:ascii="仿宋_GB2312" w:hAnsi="宋体" w:eastAsia="仿宋_GB2312"/>
          <w:sz w:val="28"/>
          <w:szCs w:val="28"/>
        </w:rPr>
      </w:pPr>
    </w:p>
    <w:p w14:paraId="7CC2DD9B">
      <w:pPr>
        <w:spacing w:line="560" w:lineRule="exact"/>
        <w:ind w:firstLine="560" w:firstLineChars="200"/>
        <w:jc w:val="left"/>
        <w:rPr>
          <w:rFonts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1A3A96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ABC7AAB">
            <w:pPr>
              <w:spacing w:line="560" w:lineRule="exact"/>
              <w:rPr>
                <w:rFonts w:ascii="仿宋_GB2312" w:hAnsi="宋体" w:eastAsia="仿宋_GB2312"/>
                <w:sz w:val="28"/>
                <w:szCs w:val="28"/>
              </w:rPr>
            </w:pPr>
            <w:r>
              <w:rPr>
                <w:rFonts w:hint="eastAsia" w:ascii="仿宋_GB2312" w:hAnsi="宋体" w:eastAsia="仿宋_GB2312"/>
                <w:sz w:val="28"/>
                <w:szCs w:val="28"/>
              </w:rPr>
              <w:t>序号</w:t>
            </w:r>
          </w:p>
        </w:tc>
        <w:tc>
          <w:tcPr>
            <w:tcW w:w="8291" w:type="dxa"/>
            <w:tcBorders>
              <w:top w:val="single" w:color="auto" w:sz="4" w:space="0"/>
              <w:left w:val="single" w:color="auto" w:sz="4" w:space="0"/>
              <w:bottom w:val="single" w:color="auto" w:sz="4" w:space="0"/>
            </w:tcBorders>
            <w:vAlign w:val="center"/>
          </w:tcPr>
          <w:p w14:paraId="0BBAD99A">
            <w:pPr>
              <w:spacing w:line="560" w:lineRule="exact"/>
              <w:jc w:val="center"/>
              <w:rPr>
                <w:rFonts w:ascii="仿宋_GB2312" w:hAnsi="宋体" w:eastAsia="仿宋_GB2312"/>
                <w:sz w:val="28"/>
                <w:szCs w:val="28"/>
              </w:rPr>
            </w:pPr>
            <w:r>
              <w:rPr>
                <w:rFonts w:hint="eastAsia" w:ascii="仿宋_GB2312" w:hAnsi="宋体" w:eastAsia="仿宋_GB2312"/>
                <w:sz w:val="28"/>
                <w:szCs w:val="28"/>
              </w:rPr>
              <w:t>内           容</w:t>
            </w:r>
          </w:p>
        </w:tc>
      </w:tr>
      <w:tr w14:paraId="1BFDE9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4AC971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7C2E6C4E">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项目名称：</w:t>
            </w:r>
            <w:r>
              <w:rPr>
                <w:rFonts w:hint="eastAsia" w:ascii="仿宋_GB2312" w:hAnsi="宋体" w:eastAsia="仿宋_GB2312"/>
                <w:sz w:val="28"/>
                <w:szCs w:val="28"/>
                <w:lang w:eastAsia="zh-CN"/>
              </w:rPr>
              <w:t>400KW充电桩采购项目</w:t>
            </w:r>
          </w:p>
        </w:tc>
      </w:tr>
      <w:tr w14:paraId="219F2C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76FB00C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65A4F41">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项目编号：</w:t>
            </w:r>
            <w:r>
              <w:rPr>
                <w:rFonts w:hint="eastAsia" w:ascii="仿宋_GB2312" w:hAnsi="宋体" w:eastAsia="仿宋_GB2312"/>
                <w:sz w:val="28"/>
                <w:szCs w:val="28"/>
                <w:lang w:eastAsia="zh-CN"/>
              </w:rPr>
              <w:t>WHJX-ZB-2026-025</w:t>
            </w:r>
          </w:p>
        </w:tc>
      </w:tr>
      <w:tr w14:paraId="32039F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27A498A">
            <w:pPr>
              <w:spacing w:line="560" w:lineRule="exact"/>
              <w:jc w:val="center"/>
              <w:rPr>
                <w:rFonts w:ascii="仿宋_GB2312" w:hAnsi="宋体" w:eastAsia="仿宋_GB2312"/>
                <w:sz w:val="28"/>
                <w:szCs w:val="28"/>
              </w:rPr>
            </w:pPr>
            <w:r>
              <w:rPr>
                <w:rFonts w:hint="eastAsia"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86431AF">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采购人名称：</w:t>
            </w:r>
            <w:r>
              <w:rPr>
                <w:rFonts w:hint="eastAsia" w:ascii="仿宋_GB2312" w:hAnsi="宋体" w:eastAsia="仿宋_GB2312"/>
                <w:sz w:val="28"/>
                <w:szCs w:val="28"/>
                <w:highlight w:val="none"/>
                <w:lang w:eastAsia="zh-CN"/>
              </w:rPr>
              <w:t>山东泛海光能科技有限公司</w:t>
            </w:r>
          </w:p>
          <w:p w14:paraId="16D2FED6">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地址：</w:t>
            </w:r>
            <w:r>
              <w:rPr>
                <w:rFonts w:hint="eastAsia" w:ascii="仿宋_GB2312" w:hAnsi="宋体" w:eastAsia="仿宋_GB2312"/>
                <w:sz w:val="28"/>
                <w:szCs w:val="28"/>
                <w:highlight w:val="none"/>
                <w:lang w:eastAsia="zh-CN"/>
              </w:rPr>
              <w:t>山东省威海市乳山市胜利街兴农巷13号</w:t>
            </w:r>
          </w:p>
          <w:p w14:paraId="37871FAD">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联系人：</w:t>
            </w:r>
            <w:r>
              <w:rPr>
                <w:rFonts w:hint="eastAsia" w:ascii="仿宋_GB2312" w:hAnsi="宋体" w:eastAsia="仿宋_GB2312"/>
                <w:sz w:val="28"/>
                <w:szCs w:val="28"/>
                <w:highlight w:val="none"/>
                <w:lang w:eastAsia="zh-CN"/>
              </w:rPr>
              <w:t>宋燕</w:t>
            </w:r>
          </w:p>
          <w:p w14:paraId="55D6F1B5">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联系方式：</w:t>
            </w:r>
            <w:r>
              <w:rPr>
                <w:rFonts w:hint="eastAsia" w:ascii="仿宋_GB2312" w:hAnsi="宋体" w:eastAsia="仿宋_GB2312"/>
                <w:sz w:val="28"/>
                <w:szCs w:val="28"/>
                <w:highlight w:val="none"/>
                <w:lang w:eastAsia="zh-CN"/>
              </w:rPr>
              <w:t>18263124793</w:t>
            </w:r>
          </w:p>
        </w:tc>
      </w:tr>
      <w:tr w14:paraId="74FEE1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1DBB0C">
            <w:pPr>
              <w:spacing w:line="56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1F9DAB28">
            <w:pPr>
              <w:spacing w:line="560" w:lineRule="exact"/>
              <w:rPr>
                <w:rFonts w:ascii="仿宋_GB2312" w:hAnsi="宋体" w:eastAsia="仿宋_GB2312"/>
                <w:sz w:val="28"/>
                <w:szCs w:val="28"/>
              </w:rPr>
            </w:pPr>
            <w:r>
              <w:rPr>
                <w:rFonts w:hint="eastAsia" w:ascii="仿宋_GB2312" w:hAnsi="宋体" w:eastAsia="仿宋_GB2312"/>
                <w:sz w:val="28"/>
                <w:szCs w:val="28"/>
              </w:rPr>
              <w:t>采购代理机构名称：威海市嘉鑫工程检测鉴定有限公司</w:t>
            </w:r>
          </w:p>
          <w:p w14:paraId="7EBBD14E">
            <w:pPr>
              <w:spacing w:line="560" w:lineRule="exact"/>
              <w:rPr>
                <w:rFonts w:ascii="仿宋_GB2312" w:hAnsi="宋体" w:eastAsia="仿宋_GB2312"/>
                <w:sz w:val="28"/>
                <w:szCs w:val="28"/>
              </w:rPr>
            </w:pPr>
            <w:r>
              <w:rPr>
                <w:rFonts w:hint="eastAsia" w:ascii="仿宋_GB2312" w:hAnsi="宋体" w:eastAsia="仿宋_GB2312"/>
                <w:sz w:val="28"/>
                <w:szCs w:val="28"/>
              </w:rPr>
              <w:t>地址：乳山市深圳路久久发7号楼</w:t>
            </w:r>
            <w:r>
              <w:rPr>
                <w:rFonts w:ascii="仿宋_GB2312" w:hAnsi="宋体" w:eastAsia="仿宋_GB2312"/>
                <w:sz w:val="28"/>
                <w:szCs w:val="28"/>
              </w:rPr>
              <w:t xml:space="preserve"> </w:t>
            </w:r>
          </w:p>
          <w:p w14:paraId="06598AE3">
            <w:pPr>
              <w:spacing w:line="560" w:lineRule="exact"/>
              <w:rPr>
                <w:rFonts w:ascii="仿宋_GB2312" w:hAnsi="宋体" w:eastAsia="仿宋_GB2312"/>
                <w:sz w:val="28"/>
                <w:szCs w:val="28"/>
              </w:rPr>
            </w:pPr>
            <w:r>
              <w:rPr>
                <w:rFonts w:hint="eastAsia" w:ascii="仿宋_GB2312" w:hAnsi="宋体" w:eastAsia="仿宋_GB2312"/>
                <w:sz w:val="28"/>
                <w:szCs w:val="28"/>
              </w:rPr>
              <w:t>联系人：刘宁</w:t>
            </w:r>
          </w:p>
          <w:p w14:paraId="3431C928">
            <w:pPr>
              <w:spacing w:line="560" w:lineRule="exact"/>
              <w:rPr>
                <w:rFonts w:ascii="仿宋_GB2312" w:hAnsi="宋体" w:eastAsia="仿宋_GB2312"/>
                <w:sz w:val="28"/>
                <w:szCs w:val="28"/>
              </w:rPr>
            </w:pPr>
            <w:r>
              <w:rPr>
                <w:rFonts w:hint="eastAsia" w:ascii="仿宋_GB2312" w:hAnsi="宋体" w:eastAsia="仿宋_GB2312"/>
                <w:sz w:val="28"/>
                <w:szCs w:val="28"/>
              </w:rPr>
              <w:t>联系方式：0631-6651889</w:t>
            </w:r>
          </w:p>
        </w:tc>
      </w:tr>
      <w:tr w14:paraId="6A9FE4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46" w:hRule="atLeast"/>
          <w:jc w:val="center"/>
        </w:trPr>
        <w:tc>
          <w:tcPr>
            <w:tcW w:w="908" w:type="dxa"/>
            <w:tcBorders>
              <w:top w:val="single" w:color="auto" w:sz="4" w:space="0"/>
              <w:bottom w:val="single" w:color="auto" w:sz="4" w:space="0"/>
              <w:right w:val="single" w:color="auto" w:sz="4" w:space="0"/>
            </w:tcBorders>
            <w:vAlign w:val="center"/>
          </w:tcPr>
          <w:p w14:paraId="7111F096">
            <w:pPr>
              <w:spacing w:line="560" w:lineRule="exact"/>
              <w:jc w:val="center"/>
              <w:rPr>
                <w:rFonts w:ascii="仿宋_GB2312" w:hAnsi="宋体" w:eastAsia="仿宋_GB2312"/>
                <w:sz w:val="28"/>
                <w:szCs w:val="28"/>
              </w:rPr>
            </w:pP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7．投标人投标文件中的相关扫描件应保证清晰度，无法辨认的评审时受到影响的，由投标人承担相应责任。</w:t>
            </w:r>
          </w:p>
          <w:p w14:paraId="2E4C29D3">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8．投标人应充分考虑到网上递交投标文件会发生的故障和风险。对发生的任何故障和风险造成投标人报价内容不一致或利益受损或投标失败的，招标人及招标代理机构不承担任何责任。</w:t>
            </w:r>
          </w:p>
        </w:tc>
      </w:tr>
      <w:tr w14:paraId="31CE7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316FC28">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3D447AB">
            <w:pPr>
              <w:spacing w:line="560" w:lineRule="exact"/>
              <w:jc w:val="left"/>
              <w:rPr>
                <w:rFonts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14:paraId="4C20AC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583A126A">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46E14BAB">
            <w:pPr>
              <w:spacing w:line="560" w:lineRule="exact"/>
              <w:rPr>
                <w:rFonts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14:paraId="47C847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C92DBFE">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490E61BC">
            <w:pPr>
              <w:spacing w:line="560" w:lineRule="exact"/>
              <w:rPr>
                <w:rFonts w:ascii="仿宋_GB2312" w:hAnsi="宋体" w:eastAsia="仿宋_GB2312"/>
                <w:sz w:val="28"/>
                <w:szCs w:val="28"/>
              </w:rPr>
            </w:pPr>
            <w:r>
              <w:rPr>
                <w:rFonts w:hint="eastAsia" w:ascii="仿宋_GB2312" w:hAnsi="宋体" w:eastAsia="仿宋_GB2312"/>
                <w:sz w:val="28"/>
                <w:szCs w:val="28"/>
              </w:rPr>
              <w:t xml:space="preserve">实物样品：无 </w:t>
            </w:r>
          </w:p>
        </w:tc>
      </w:tr>
      <w:tr w14:paraId="6DF95F3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96DFFC1">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9</w:t>
            </w:r>
          </w:p>
        </w:tc>
        <w:tc>
          <w:tcPr>
            <w:tcW w:w="8291" w:type="dxa"/>
            <w:tcBorders>
              <w:top w:val="single" w:color="auto" w:sz="4" w:space="0"/>
              <w:left w:val="single" w:color="auto" w:sz="4" w:space="0"/>
              <w:bottom w:val="single" w:color="auto" w:sz="4" w:space="0"/>
            </w:tcBorders>
            <w:vAlign w:val="center"/>
          </w:tcPr>
          <w:p w14:paraId="3BF981E7">
            <w:pPr>
              <w:spacing w:line="560" w:lineRule="exact"/>
              <w:textAlignment w:val="top"/>
              <w:rPr>
                <w:rFonts w:ascii="仿宋_GB2312" w:hAnsi="宋体" w:eastAsia="仿宋_GB2312"/>
                <w:sz w:val="28"/>
                <w:szCs w:val="28"/>
              </w:rPr>
            </w:pPr>
            <w:r>
              <w:rPr>
                <w:rFonts w:hint="eastAsia" w:ascii="仿宋_GB2312" w:hAnsi="宋体" w:eastAsia="仿宋_GB2312"/>
                <w:sz w:val="28"/>
                <w:szCs w:val="28"/>
              </w:rPr>
              <w:t xml:space="preserve">现场踏勘：无 </w:t>
            </w:r>
          </w:p>
        </w:tc>
      </w:tr>
      <w:tr w14:paraId="07EB0F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C7D60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10</w:t>
            </w:r>
          </w:p>
        </w:tc>
        <w:tc>
          <w:tcPr>
            <w:tcW w:w="8291" w:type="dxa"/>
            <w:tcBorders>
              <w:top w:val="single" w:color="auto" w:sz="4" w:space="0"/>
              <w:left w:val="single" w:color="auto" w:sz="4" w:space="0"/>
              <w:bottom w:val="single" w:color="auto" w:sz="4" w:space="0"/>
            </w:tcBorders>
            <w:vAlign w:val="center"/>
          </w:tcPr>
          <w:p w14:paraId="176B3C0A">
            <w:pPr>
              <w:spacing w:line="560" w:lineRule="exact"/>
              <w:rPr>
                <w:rFonts w:ascii="仿宋_GB2312" w:hAnsi="宋体" w:eastAsia="仿宋_GB2312"/>
                <w:sz w:val="28"/>
                <w:szCs w:val="28"/>
              </w:rPr>
            </w:pPr>
            <w:r>
              <w:rPr>
                <w:rFonts w:hint="eastAsia" w:ascii="仿宋_GB2312" w:hAnsi="宋体" w:eastAsia="仿宋_GB2312"/>
                <w:sz w:val="28"/>
                <w:szCs w:val="28"/>
              </w:rPr>
              <w:t xml:space="preserve">现场演示：无 </w:t>
            </w:r>
          </w:p>
        </w:tc>
      </w:tr>
      <w:tr w14:paraId="7B6EB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FBF2A8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43CF1BEA">
            <w:pPr>
              <w:spacing w:line="560" w:lineRule="exact"/>
              <w:rPr>
                <w:rFonts w:ascii="仿宋_GB2312" w:hAnsi="宋体" w:eastAsia="仿宋_GB2312"/>
                <w:sz w:val="28"/>
                <w:szCs w:val="28"/>
              </w:rPr>
            </w:pPr>
            <w:r>
              <w:rPr>
                <w:rFonts w:hint="eastAsia" w:ascii="仿宋_GB2312" w:hAnsi="宋体" w:eastAsia="仿宋_GB2312"/>
                <w:sz w:val="28"/>
                <w:szCs w:val="28"/>
              </w:rPr>
              <w:t>报价有效期：开标之日起</w:t>
            </w:r>
            <w:r>
              <w:rPr>
                <w:rFonts w:ascii="仿宋_GB2312" w:hAnsi="宋体" w:eastAsia="仿宋_GB2312"/>
                <w:sz w:val="28"/>
                <w:szCs w:val="28"/>
              </w:rPr>
              <w:t>9</w:t>
            </w:r>
            <w:r>
              <w:rPr>
                <w:rFonts w:hint="eastAsia" w:ascii="仿宋_GB2312" w:hAnsi="宋体" w:eastAsia="仿宋_GB2312"/>
                <w:sz w:val="28"/>
                <w:szCs w:val="28"/>
              </w:rPr>
              <w:t>0天</w:t>
            </w:r>
          </w:p>
        </w:tc>
      </w:tr>
      <w:tr w14:paraId="055ED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0EB165E">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35C5EE96">
            <w:pPr>
              <w:spacing w:line="600" w:lineRule="exact"/>
              <w:rPr>
                <w:rFonts w:hint="default" w:ascii="仿宋_GB2312" w:hAnsi="宋体" w:eastAsia="仿宋_GB2312"/>
                <w:sz w:val="28"/>
                <w:szCs w:val="28"/>
                <w:lang w:val="en-US" w:eastAsia="zh-CN"/>
              </w:rPr>
            </w:pPr>
            <w:r>
              <w:rPr>
                <w:rFonts w:hint="eastAsia" w:ascii="仿宋_GB2312" w:hAnsi="宋体" w:eastAsia="仿宋_GB2312"/>
                <w:sz w:val="28"/>
                <w:szCs w:val="28"/>
              </w:rPr>
              <w:t>本分包最高限价：</w:t>
            </w:r>
            <w:r>
              <w:rPr>
                <w:rFonts w:hint="eastAsia" w:ascii="仿宋_GB2312" w:hAnsi="宋体" w:eastAsia="仿宋_GB2312"/>
                <w:sz w:val="28"/>
                <w:szCs w:val="28"/>
                <w:lang w:val="en-US" w:eastAsia="zh-CN"/>
              </w:rPr>
              <w:t>620000.00元</w:t>
            </w:r>
          </w:p>
        </w:tc>
      </w:tr>
      <w:tr w14:paraId="54D320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1E680A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22E20B2A">
            <w:pPr>
              <w:spacing w:line="560" w:lineRule="exact"/>
              <w:rPr>
                <w:rFonts w:ascii="仿宋_GB2312" w:hAnsi="宋体" w:eastAsia="仿宋_GB2312"/>
                <w:sz w:val="28"/>
                <w:szCs w:val="28"/>
              </w:rPr>
            </w:pPr>
            <w:r>
              <w:rPr>
                <w:rFonts w:hint="eastAsia" w:ascii="仿宋_GB2312" w:hAnsi="宋体" w:eastAsia="仿宋_GB2312"/>
                <w:sz w:val="28"/>
                <w:szCs w:val="28"/>
              </w:rPr>
              <w:t>本项目不接受联合体投标</w:t>
            </w:r>
          </w:p>
        </w:tc>
      </w:tr>
      <w:tr w14:paraId="339B2D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2872B7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569BD730">
            <w:pPr>
              <w:spacing w:line="560" w:lineRule="exact"/>
              <w:rPr>
                <w:rFonts w:ascii="仿宋_GB2312" w:hAnsi="宋体" w:eastAsia="仿宋_GB2312"/>
                <w:sz w:val="28"/>
                <w:szCs w:val="28"/>
              </w:rPr>
            </w:pPr>
            <w:r>
              <w:rPr>
                <w:rFonts w:hint="eastAsia" w:ascii="仿宋_GB2312" w:hAnsi="宋体" w:eastAsia="仿宋_GB2312"/>
                <w:sz w:val="28"/>
                <w:szCs w:val="28"/>
              </w:rPr>
              <w:t>本项目不收取投标保证金</w:t>
            </w:r>
          </w:p>
        </w:tc>
      </w:tr>
      <w:tr w14:paraId="0E1BE2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32F16E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208F2504">
            <w:pPr>
              <w:spacing w:line="560" w:lineRule="exact"/>
              <w:rPr>
                <w:rFonts w:ascii="仿宋_GB2312" w:hAnsi="宋体" w:eastAsia="仿宋_GB2312"/>
                <w:sz w:val="28"/>
                <w:szCs w:val="28"/>
              </w:rPr>
            </w:pPr>
            <w:r>
              <w:rPr>
                <w:rFonts w:hint="eastAsia" w:ascii="仿宋_GB2312" w:hAnsi="宋体" w:eastAsia="仿宋_GB2312"/>
                <w:sz w:val="28"/>
                <w:szCs w:val="28"/>
              </w:rPr>
              <w:t>投标文件递交时间：</w:t>
            </w:r>
          </w:p>
          <w:p w14:paraId="2E8BD6A8">
            <w:pPr>
              <w:spacing w:line="560" w:lineRule="exact"/>
              <w:rPr>
                <w:rFonts w:ascii="仿宋_GB2312" w:hAnsi="宋体" w:eastAsia="仿宋_GB2312"/>
                <w:sz w:val="28"/>
                <w:szCs w:val="28"/>
              </w:rPr>
            </w:pPr>
            <w:r>
              <w:rPr>
                <w:rFonts w:hint="eastAsia" w:ascii="仿宋_GB2312" w:hAnsi="宋体" w:eastAsia="仿宋_GB2312"/>
                <w:sz w:val="28"/>
                <w:szCs w:val="28"/>
                <w:lang w:eastAsia="zh-CN"/>
              </w:rPr>
              <w:t>2026年03月31日</w:t>
            </w:r>
            <w:r>
              <w:rPr>
                <w:rFonts w:hint="eastAsia" w:ascii="仿宋_GB2312" w:hAnsi="宋体" w:eastAsia="仿宋_GB2312"/>
                <w:sz w:val="28"/>
                <w:szCs w:val="28"/>
              </w:rPr>
              <w:t>18时00分至</w:t>
            </w:r>
            <w:r>
              <w:rPr>
                <w:rFonts w:hint="eastAsia" w:ascii="仿宋_GB2312" w:hAnsi="宋体" w:eastAsia="仿宋_GB2312"/>
                <w:sz w:val="28"/>
                <w:szCs w:val="28"/>
                <w:lang w:eastAsia="zh-CN"/>
              </w:rPr>
              <w:t>2026年04月13日14时00分</w:t>
            </w:r>
            <w:r>
              <w:rPr>
                <w:rFonts w:hint="eastAsia" w:ascii="仿宋_GB2312" w:hAnsi="宋体" w:eastAsia="仿宋_GB2312"/>
                <w:sz w:val="28"/>
                <w:szCs w:val="28"/>
              </w:rPr>
              <w:t>（以电子交易系统具体显示时间为准）</w:t>
            </w:r>
          </w:p>
          <w:p w14:paraId="45B6BA75">
            <w:pPr>
              <w:spacing w:line="560" w:lineRule="exact"/>
              <w:rPr>
                <w:rFonts w:ascii="仿宋_GB2312" w:hAnsi="宋体" w:eastAsia="仿宋_GB2312"/>
                <w:sz w:val="28"/>
                <w:szCs w:val="28"/>
              </w:rPr>
            </w:pPr>
            <w:r>
              <w:rPr>
                <w:rFonts w:hint="eastAsia" w:ascii="仿宋_GB2312" w:hAnsi="宋体" w:eastAsia="仿宋_GB2312"/>
                <w:sz w:val="28"/>
                <w:szCs w:val="28"/>
              </w:rPr>
              <w:t>投标文件递交网址：登录威海市公共资源交易网（乳山分中心）首页右侧“交易服务一网通办系统-（新版）一网通办系统”进行平台切换点击“国企采购”进入国有企业阳光采购电子化服务平台网上递交。</w:t>
            </w:r>
          </w:p>
        </w:tc>
      </w:tr>
      <w:tr w14:paraId="3F2FA7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5ED34429">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69EABFC5">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投标文件开启（解密）时间：</w:t>
            </w:r>
            <w:r>
              <w:rPr>
                <w:rFonts w:hint="eastAsia" w:ascii="仿宋_GB2312" w:hAnsi="宋体" w:eastAsia="仿宋_GB2312"/>
                <w:sz w:val="28"/>
                <w:szCs w:val="28"/>
                <w:lang w:eastAsia="zh-CN"/>
              </w:rPr>
              <w:t>2026年04月13日14时00分</w:t>
            </w:r>
          </w:p>
          <w:p w14:paraId="6DCBD177">
            <w:pPr>
              <w:spacing w:line="560" w:lineRule="exact"/>
              <w:rPr>
                <w:rFonts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14:paraId="227560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2381CA1">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5DAF2042">
            <w:pPr>
              <w:spacing w:line="560" w:lineRule="exact"/>
              <w:rPr>
                <w:rFonts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14:paraId="3164F5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0C0A27B0">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7CA13AD0">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投标文件开启（解密）程序：</w:t>
            </w:r>
          </w:p>
          <w:p w14:paraId="505A4063">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w:t>
            </w:r>
          </w:p>
          <w:p w14:paraId="5BF3634D">
            <w:pPr>
              <w:spacing w:line="560" w:lineRule="exact"/>
            </w:pPr>
            <w:r>
              <w:rPr>
                <w:rFonts w:hint="eastAsia" w:ascii="仿宋_GB2312" w:hAnsi="宋体" w:eastAsia="仿宋_GB2312"/>
                <w:sz w:val="28"/>
                <w:szCs w:val="28"/>
              </w:rPr>
              <w:t>启动开标后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分钟内完成解密，投标人随时关注交易系统，及时刷新页面，在规定时间内完成解密。未能按时完成解密的，将会被视为无效投标（响应）。</w:t>
            </w:r>
          </w:p>
        </w:tc>
      </w:tr>
      <w:tr w14:paraId="38B7E7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092AF9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19</w:t>
            </w:r>
          </w:p>
        </w:tc>
        <w:tc>
          <w:tcPr>
            <w:tcW w:w="8291" w:type="dxa"/>
            <w:tcBorders>
              <w:top w:val="single" w:color="auto" w:sz="4" w:space="0"/>
              <w:left w:val="single" w:color="auto" w:sz="4" w:space="0"/>
              <w:bottom w:val="single" w:color="auto" w:sz="4" w:space="0"/>
            </w:tcBorders>
            <w:vAlign w:val="center"/>
          </w:tcPr>
          <w:p w14:paraId="50B95B4E">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lang w:eastAsia="zh-CN"/>
              </w:rPr>
              <w:t>400KW充电桩采购项目</w:t>
            </w:r>
            <w:r>
              <w:rPr>
                <w:rFonts w:hint="eastAsia" w:ascii="仿宋_GB2312" w:hAnsi="宋体" w:eastAsia="仿宋_GB2312"/>
                <w:sz w:val="28"/>
                <w:szCs w:val="28"/>
                <w:highlight w:val="none"/>
              </w:rPr>
              <w:t>(A包)</w:t>
            </w:r>
          </w:p>
          <w:p w14:paraId="71F0AA08">
            <w:pPr>
              <w:spacing w:line="560" w:lineRule="exact"/>
              <w:rPr>
                <w:rFonts w:hint="default" w:ascii="仿宋_GB2312" w:hAnsi="宋体" w:eastAsia="仿宋_GB2312"/>
                <w:sz w:val="28"/>
                <w:szCs w:val="28"/>
                <w:highlight w:val="none"/>
                <w:lang w:val="en-US" w:eastAsia="zh-CN"/>
              </w:rPr>
            </w:pPr>
            <w:r>
              <w:rPr>
                <w:rFonts w:hint="eastAsia" w:ascii="仿宋_GB2312" w:hAnsi="宋体" w:eastAsia="仿宋_GB2312"/>
                <w:sz w:val="28"/>
                <w:szCs w:val="28"/>
                <w:highlight w:val="none"/>
              </w:rPr>
              <w:t>质保期：</w:t>
            </w:r>
            <w:r>
              <w:rPr>
                <w:rFonts w:hint="eastAsia" w:ascii="仿宋_GB2312" w:hAnsi="宋体" w:eastAsia="仿宋_GB2312"/>
                <w:sz w:val="28"/>
                <w:szCs w:val="28"/>
                <w:highlight w:val="none"/>
                <w:lang w:val="en-US" w:eastAsia="zh-CN"/>
              </w:rPr>
              <w:t>自验收合格之日起四年</w:t>
            </w:r>
          </w:p>
        </w:tc>
      </w:tr>
      <w:tr w14:paraId="7077C0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02491B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20</w:t>
            </w:r>
          </w:p>
        </w:tc>
        <w:tc>
          <w:tcPr>
            <w:tcW w:w="8291" w:type="dxa"/>
            <w:tcBorders>
              <w:top w:val="single" w:color="auto" w:sz="4" w:space="0"/>
              <w:left w:val="single" w:color="auto" w:sz="4" w:space="0"/>
              <w:bottom w:val="single" w:color="auto" w:sz="4" w:space="0"/>
            </w:tcBorders>
            <w:vAlign w:val="center"/>
          </w:tcPr>
          <w:p w14:paraId="49B7BEF9">
            <w:pPr>
              <w:spacing w:line="560" w:lineRule="exact"/>
              <w:rPr>
                <w:rFonts w:ascii="仿宋_GB2312" w:hAnsi="宋体" w:eastAsia="仿宋_GB2312"/>
                <w:sz w:val="28"/>
                <w:szCs w:val="28"/>
              </w:rPr>
            </w:pPr>
            <w:r>
              <w:rPr>
                <w:rFonts w:hint="eastAsia" w:ascii="仿宋_GB2312" w:hAnsi="宋体" w:eastAsia="仿宋_GB2312"/>
                <w:sz w:val="28"/>
                <w:szCs w:val="28"/>
                <w:lang w:eastAsia="zh-CN"/>
              </w:rPr>
              <w:t>400KW充电桩采购项目</w:t>
            </w:r>
            <w:r>
              <w:rPr>
                <w:rFonts w:hint="eastAsia" w:ascii="仿宋_GB2312" w:hAnsi="宋体" w:eastAsia="仿宋_GB2312"/>
                <w:sz w:val="28"/>
                <w:szCs w:val="28"/>
              </w:rPr>
              <w:t>(A包)</w:t>
            </w:r>
          </w:p>
          <w:p w14:paraId="29262B5B">
            <w:pPr>
              <w:spacing w:line="560" w:lineRule="exact"/>
              <w:rPr>
                <w:rFonts w:hint="eastAsia" w:ascii="仿宋_GB2312" w:hAnsi="宋体" w:eastAsia="仿宋_GB2312"/>
                <w:sz w:val="28"/>
                <w:szCs w:val="28"/>
                <w:lang w:val="en-US" w:eastAsia="zh-CN"/>
              </w:rPr>
            </w:pPr>
            <w:r>
              <w:rPr>
                <w:rFonts w:hint="eastAsia" w:ascii="仿宋_GB2312" w:hAnsi="宋体" w:eastAsia="仿宋_GB2312"/>
                <w:sz w:val="28"/>
                <w:szCs w:val="28"/>
              </w:rPr>
              <w:t>交付期：</w:t>
            </w:r>
            <w:r>
              <w:rPr>
                <w:rFonts w:hint="eastAsia" w:ascii="仿宋_GB2312" w:hAnsi="宋体" w:eastAsia="仿宋_GB2312"/>
                <w:sz w:val="28"/>
                <w:szCs w:val="28"/>
                <w:lang w:eastAsia="zh-CN"/>
              </w:rPr>
              <w:t>自合同签订后10天内交付</w:t>
            </w:r>
          </w:p>
          <w:p w14:paraId="385A04D2">
            <w:pPr>
              <w:spacing w:line="560" w:lineRule="exact"/>
              <w:rPr>
                <w:rFonts w:ascii="仿宋_GB2312" w:hAnsi="宋体" w:eastAsia="仿宋_GB2312"/>
                <w:sz w:val="28"/>
                <w:szCs w:val="28"/>
              </w:rPr>
            </w:pPr>
            <w:r>
              <w:rPr>
                <w:rFonts w:hint="eastAsia" w:ascii="仿宋_GB2312" w:hAnsi="宋体" w:eastAsia="仿宋_GB2312"/>
                <w:sz w:val="28"/>
                <w:szCs w:val="28"/>
              </w:rPr>
              <w:t>交付地点:采购人指定地点</w:t>
            </w:r>
          </w:p>
        </w:tc>
      </w:tr>
      <w:tr w14:paraId="695E61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3D0FDC2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247CF8B8">
            <w:pPr>
              <w:spacing w:line="560" w:lineRule="exact"/>
              <w:rPr>
                <w:rFonts w:ascii="仿宋_GB2312" w:hAnsi="宋体" w:eastAsia="仿宋_GB2312"/>
                <w:sz w:val="28"/>
                <w:szCs w:val="28"/>
              </w:rPr>
            </w:pPr>
            <w:r>
              <w:rPr>
                <w:rFonts w:hint="eastAsia" w:ascii="仿宋_GB2312" w:hAnsi="宋体" w:eastAsia="仿宋_GB2312"/>
                <w:sz w:val="28"/>
                <w:szCs w:val="28"/>
              </w:rPr>
              <w:t>评标办法：</w:t>
            </w:r>
            <w:r>
              <w:rPr>
                <w:rFonts w:hint="eastAsia" w:ascii="仿宋_GB2312" w:hAnsi="宋体" w:eastAsia="仿宋_GB2312"/>
                <w:sz w:val="28"/>
                <w:szCs w:val="28"/>
                <w:lang w:eastAsia="zh-CN"/>
              </w:rPr>
              <w:t>400KW充电桩采购项目</w:t>
            </w:r>
            <w:r>
              <w:rPr>
                <w:rFonts w:hint="eastAsia" w:ascii="仿宋_GB2312" w:hAnsi="宋体" w:eastAsia="仿宋_GB2312"/>
                <w:sz w:val="28"/>
                <w:szCs w:val="28"/>
              </w:rPr>
              <w:t>(A包),综合评分法</w:t>
            </w:r>
          </w:p>
        </w:tc>
      </w:tr>
      <w:tr w14:paraId="48B53C5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4D69BA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81DC257">
            <w:pPr>
              <w:spacing w:line="560" w:lineRule="exact"/>
              <w:rPr>
                <w:rFonts w:ascii="仿宋_GB2312" w:hAnsi="宋体" w:eastAsia="仿宋_GB2312"/>
                <w:sz w:val="28"/>
                <w:szCs w:val="28"/>
              </w:rPr>
            </w:pPr>
            <w:r>
              <w:rPr>
                <w:rFonts w:hint="eastAsia" w:ascii="仿宋_GB2312" w:hAnsi="宋体" w:eastAsia="仿宋_GB2312"/>
                <w:sz w:val="28"/>
                <w:szCs w:val="28"/>
              </w:rPr>
              <w:t>本项目不收取履约保证金。</w:t>
            </w:r>
          </w:p>
        </w:tc>
      </w:tr>
      <w:tr w14:paraId="1DECA5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BD8293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EB341B5">
            <w:pPr>
              <w:spacing w:line="600" w:lineRule="exact"/>
              <w:rPr>
                <w:rFonts w:ascii="仿宋_GB2312" w:hAnsi="宋体" w:eastAsia="仿宋_GB2312"/>
                <w:sz w:val="28"/>
                <w:szCs w:val="28"/>
              </w:rPr>
            </w:pPr>
            <w:r>
              <w:rPr>
                <w:rFonts w:ascii="仿宋_GB2312" w:hAnsi="宋体" w:eastAsia="仿宋_GB2312"/>
                <w:sz w:val="28"/>
                <w:szCs w:val="28"/>
              </w:rPr>
              <w:t>是否兼投不兼中：否</w:t>
            </w:r>
          </w:p>
        </w:tc>
      </w:tr>
      <w:tr w14:paraId="31374D1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A8D7D8C">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本项目付款方式如下：</w:t>
            </w:r>
          </w:p>
          <w:p w14:paraId="07285451">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eastAsia="zh-CN"/>
              </w:rPr>
              <w:t>甲方支付30%预付款 ，到货验收合格后支付至合同金额的60%，安装完成经甲方验收设备完备并可正常使用后支付至合同金额的97%，预留3%质保金,。货物使用一年后无质量问题一次性付清质保金（不包含利息）。</w:t>
            </w:r>
          </w:p>
        </w:tc>
      </w:tr>
      <w:tr w14:paraId="6CD1D4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196396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6B245B5C">
            <w:pPr>
              <w:spacing w:line="560" w:lineRule="exact"/>
              <w:rPr>
                <w:rFonts w:ascii="仿宋_GB2312" w:hAnsi="宋体" w:eastAsia="仿宋_GB2312"/>
                <w:sz w:val="28"/>
                <w:szCs w:val="28"/>
              </w:rPr>
            </w:pPr>
            <w:r>
              <w:rPr>
                <w:rFonts w:hint="eastAsia" w:ascii="仿宋_GB2312" w:hAnsi="宋体" w:eastAsia="仿宋_GB2312"/>
                <w:sz w:val="28"/>
                <w:szCs w:val="28"/>
              </w:rPr>
              <w:t>是否委托评审委员会确定成交供应商：是</w:t>
            </w:r>
          </w:p>
        </w:tc>
      </w:tr>
      <w:tr w14:paraId="660A0B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8DDAA6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ADEAA26">
            <w:pPr>
              <w:spacing w:line="560" w:lineRule="exact"/>
              <w:rPr>
                <w:rFonts w:ascii="仿宋_GB2312" w:hAnsi="宋体" w:eastAsia="仿宋_GB2312"/>
                <w:sz w:val="28"/>
                <w:szCs w:val="28"/>
              </w:rPr>
            </w:pPr>
            <w:r>
              <w:rPr>
                <w:rFonts w:hint="eastAsia" w:ascii="仿宋_GB2312" w:hAnsi="宋体" w:eastAsia="仿宋_GB2312"/>
                <w:sz w:val="28"/>
                <w:szCs w:val="28"/>
              </w:rPr>
              <w:t>反腐倡廉监督联系方式：</w:t>
            </w:r>
          </w:p>
          <w:p w14:paraId="4B325C41">
            <w:pPr>
              <w:spacing w:line="560" w:lineRule="exact"/>
              <w:rPr>
                <w:rFonts w:ascii="仿宋_GB2312" w:hAnsi="宋体" w:eastAsia="仿宋_GB2312"/>
                <w:sz w:val="28"/>
                <w:szCs w:val="28"/>
              </w:rPr>
            </w:pPr>
            <w:r>
              <w:rPr>
                <w:rFonts w:hint="eastAsia" w:ascii="仿宋_GB2312" w:hAnsi="宋体" w:eastAsia="仿宋_GB2312"/>
                <w:sz w:val="28"/>
                <w:szCs w:val="28"/>
              </w:rPr>
              <w:t>电话/邮箱：</w:t>
            </w:r>
            <w:r>
              <w:rPr>
                <w:rFonts w:ascii="仿宋_GB2312" w:hAnsi="宋体" w:eastAsia="仿宋_GB2312"/>
                <w:sz w:val="28"/>
                <w:szCs w:val="28"/>
              </w:rPr>
              <w:t>0631-6662267/rushanjyzx@wh.shandong.cn</w:t>
            </w:r>
          </w:p>
        </w:tc>
      </w:tr>
      <w:tr w14:paraId="487035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A69BCD9">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27</w:t>
            </w:r>
          </w:p>
        </w:tc>
        <w:tc>
          <w:tcPr>
            <w:tcW w:w="8291" w:type="dxa"/>
            <w:tcBorders>
              <w:top w:val="single" w:color="auto" w:sz="4" w:space="0"/>
              <w:left w:val="single" w:color="auto" w:sz="4" w:space="0"/>
              <w:bottom w:val="single" w:color="auto" w:sz="4" w:space="0"/>
            </w:tcBorders>
            <w:vAlign w:val="center"/>
          </w:tcPr>
          <w:p w14:paraId="357E9325">
            <w:pPr>
              <w:spacing w:line="560" w:lineRule="exact"/>
              <w:rPr>
                <w:rFonts w:ascii="仿宋_GB2312" w:hAnsi="仿宋" w:eastAsia="仿宋_GB2312" w:cs="宋体"/>
                <w:sz w:val="28"/>
                <w:szCs w:val="28"/>
              </w:rPr>
            </w:pPr>
            <w:r>
              <w:rPr>
                <w:rFonts w:hint="eastAsia" w:ascii="仿宋_GB2312" w:hAnsi="宋体" w:eastAsia="仿宋_GB2312"/>
                <w:sz w:val="28"/>
                <w:szCs w:val="28"/>
              </w:rPr>
              <w:t>质疑受理方式：</w:t>
            </w:r>
          </w:p>
          <w:p w14:paraId="53DFC2C3">
            <w:pPr>
              <w:spacing w:line="560" w:lineRule="exact"/>
              <w:rPr>
                <w:rFonts w:ascii="仿宋_GB2312" w:hAnsi="仿宋" w:eastAsia="仿宋_GB2312" w:cs="宋体"/>
                <w:sz w:val="28"/>
                <w:szCs w:val="28"/>
              </w:rPr>
            </w:pPr>
            <w:r>
              <w:rPr>
                <w:rFonts w:hint="eastAsia" w:ascii="仿宋_GB2312" w:hAnsi="仿宋" w:eastAsia="仿宋_GB2312" w:cs="宋体"/>
                <w:sz w:val="28"/>
                <w:szCs w:val="28"/>
              </w:rPr>
              <w:t>（1）当面接收：接收地址详见本表采购人及代理机构地址。</w:t>
            </w:r>
          </w:p>
          <w:p w14:paraId="4A3FA8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（2）邮件接收：whjxzbs@126.com</w:t>
            </w:r>
          </w:p>
          <w:p w14:paraId="0726914B">
            <w:pPr>
              <w:spacing w:line="560" w:lineRule="exact"/>
              <w:rPr>
                <w:rFonts w:ascii="仿宋_GB2312" w:hAnsi="仿宋" w:eastAsia="仿宋_GB2312" w:cs="宋体"/>
                <w:sz w:val="28"/>
                <w:szCs w:val="28"/>
              </w:rPr>
            </w:pPr>
            <w:r>
              <w:rPr>
                <w:rFonts w:hint="eastAsia" w:ascii="仿宋_GB2312" w:hAnsi="仿宋" w:eastAsia="仿宋_GB2312" w:cs="宋体"/>
                <w:sz w:val="28"/>
                <w:szCs w:val="28"/>
              </w:rPr>
              <w:t>（3）采购电子交易系统上传：通过威海市国有企业阳光采购电子化服务平台中“公文管理-供”功能上传。</w:t>
            </w:r>
          </w:p>
          <w:p w14:paraId="6DA0AF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以上三种方式任选其一。</w:t>
            </w:r>
          </w:p>
        </w:tc>
      </w:tr>
      <w:tr w14:paraId="029D44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3C5C28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28</w:t>
            </w:r>
          </w:p>
        </w:tc>
        <w:tc>
          <w:tcPr>
            <w:tcW w:w="8291" w:type="dxa"/>
            <w:tcBorders>
              <w:top w:val="single" w:color="auto" w:sz="4" w:space="0"/>
              <w:left w:val="single" w:color="auto" w:sz="4" w:space="0"/>
              <w:bottom w:val="single" w:color="auto" w:sz="4" w:space="0"/>
            </w:tcBorders>
            <w:vAlign w:val="center"/>
          </w:tcPr>
          <w:p w14:paraId="24C527AA">
            <w:pPr>
              <w:spacing w:line="560" w:lineRule="exact"/>
              <w:rPr>
                <w:rFonts w:ascii="仿宋_GB2312" w:hAnsi="宋体" w:eastAsia="仿宋_GB2312"/>
                <w:sz w:val="28"/>
                <w:szCs w:val="28"/>
              </w:rPr>
            </w:pPr>
            <w:r>
              <w:rPr>
                <w:rFonts w:hint="eastAsia" w:ascii="仿宋_GB2312" w:hAnsi="宋体" w:eastAsia="仿宋_GB2312"/>
                <w:sz w:val="28"/>
                <w:szCs w:val="28"/>
              </w:rPr>
              <w:t>代理服务费：参照“发改价格[2011]534号”规定的收费标准收取代理服务费。</w:t>
            </w:r>
            <w:r>
              <w:rPr>
                <w:rFonts w:hint="eastAsia" w:ascii="仿宋_GB2312" w:hAnsi="宋体" w:eastAsia="仿宋_GB2312"/>
                <w:sz w:val="28"/>
                <w:szCs w:val="28"/>
                <w:highlight w:val="none"/>
              </w:rPr>
              <w:t>人民币</w:t>
            </w:r>
            <w:r>
              <w:rPr>
                <w:rFonts w:hint="eastAsia" w:ascii="仿宋_GB2312" w:hAnsi="宋体" w:eastAsia="仿宋_GB2312"/>
                <w:sz w:val="28"/>
                <w:szCs w:val="28"/>
                <w:highlight w:val="none"/>
                <w:lang w:val="en-US" w:eastAsia="zh-CN"/>
              </w:rPr>
              <w:t>5580</w:t>
            </w:r>
            <w:r>
              <w:rPr>
                <w:rFonts w:hint="eastAsia" w:ascii="仿宋_GB2312" w:hAnsi="宋体" w:eastAsia="仿宋_GB2312"/>
                <w:sz w:val="28"/>
                <w:szCs w:val="28"/>
                <w:highlight w:val="none"/>
              </w:rPr>
              <w:t>.00元，由</w:t>
            </w:r>
            <w:r>
              <w:rPr>
                <w:rFonts w:hint="eastAsia" w:ascii="仿宋_GB2312" w:hAnsi="宋体" w:eastAsia="仿宋_GB2312"/>
                <w:sz w:val="28"/>
                <w:szCs w:val="28"/>
              </w:rPr>
              <w:t>成交单位在签订合同前向采购代理机构缴纳，包含在报价中。</w:t>
            </w:r>
          </w:p>
          <w:p w14:paraId="4AF822D6">
            <w:pPr>
              <w:spacing w:line="560" w:lineRule="exact"/>
              <w:rPr>
                <w:rFonts w:ascii="仿宋_GB2312" w:hAnsi="宋体" w:eastAsia="仿宋_GB2312"/>
                <w:sz w:val="28"/>
                <w:szCs w:val="28"/>
              </w:rPr>
            </w:pPr>
            <w:r>
              <w:rPr>
                <w:rFonts w:hint="eastAsia" w:ascii="仿宋_GB2312" w:hAnsi="宋体" w:eastAsia="仿宋_GB2312"/>
                <w:sz w:val="28"/>
                <w:szCs w:val="28"/>
              </w:rPr>
              <w:t>开户名称：威海市嘉鑫工程检测鉴定有限公司</w:t>
            </w:r>
          </w:p>
          <w:p w14:paraId="0CC065CD">
            <w:pPr>
              <w:spacing w:line="560" w:lineRule="exact"/>
              <w:rPr>
                <w:rFonts w:ascii="仿宋_GB2312" w:hAnsi="宋体" w:eastAsia="仿宋_GB2312"/>
                <w:sz w:val="28"/>
                <w:szCs w:val="28"/>
              </w:rPr>
            </w:pPr>
            <w:r>
              <w:rPr>
                <w:rFonts w:hint="eastAsia" w:ascii="仿宋_GB2312" w:hAnsi="宋体" w:eastAsia="仿宋_GB2312"/>
                <w:sz w:val="28"/>
                <w:szCs w:val="28"/>
              </w:rPr>
              <w:t>开户行：中国建设银行股份有限公司乳山支行</w:t>
            </w:r>
          </w:p>
          <w:p w14:paraId="17CBEE53">
            <w:pPr>
              <w:spacing w:line="560" w:lineRule="exact"/>
              <w:rPr>
                <w:rFonts w:ascii="仿宋_GB2312" w:hAnsi="宋体" w:eastAsia="仿宋_GB2312"/>
                <w:sz w:val="28"/>
                <w:szCs w:val="28"/>
              </w:rPr>
            </w:pPr>
            <w:r>
              <w:rPr>
                <w:rFonts w:hint="eastAsia" w:ascii="仿宋_GB2312" w:hAnsi="宋体" w:eastAsia="仿宋_GB2312"/>
                <w:sz w:val="28"/>
                <w:szCs w:val="28"/>
              </w:rPr>
              <w:t>账号：37001708108050156089</w:t>
            </w:r>
          </w:p>
        </w:tc>
      </w:tr>
      <w:tr w14:paraId="030209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65D1A7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29</w:t>
            </w:r>
          </w:p>
        </w:tc>
        <w:tc>
          <w:tcPr>
            <w:tcW w:w="8291" w:type="dxa"/>
            <w:tcBorders>
              <w:top w:val="single" w:color="auto" w:sz="4" w:space="0"/>
              <w:left w:val="single" w:color="auto" w:sz="4" w:space="0"/>
              <w:bottom w:val="single" w:color="auto" w:sz="4" w:space="0"/>
            </w:tcBorders>
            <w:vAlign w:val="center"/>
          </w:tcPr>
          <w:p w14:paraId="1CCD1742">
            <w:pPr>
              <w:spacing w:line="560" w:lineRule="exact"/>
              <w:rPr>
                <w:rFonts w:ascii="仿宋_GB2312" w:hAnsi="宋体" w:eastAsia="仿宋_GB2312"/>
                <w:sz w:val="28"/>
                <w:szCs w:val="28"/>
              </w:rPr>
            </w:pPr>
            <w:r>
              <w:rPr>
                <w:rFonts w:hint="eastAsia" w:ascii="仿宋_GB2312" w:hAnsi="宋体" w:eastAsia="仿宋_GB2312"/>
                <w:sz w:val="28"/>
                <w:szCs w:val="28"/>
              </w:rPr>
              <w:t>本项目按服务类以自愿公开招标方式实施采购</w:t>
            </w:r>
          </w:p>
        </w:tc>
      </w:tr>
      <w:tr w14:paraId="048DB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19744A14">
            <w:pPr>
              <w:spacing w:line="560" w:lineRule="exact"/>
              <w:rPr>
                <w:rFonts w:ascii="仿宋_GB2312" w:hAnsi="宋体" w:eastAsia="仿宋_GB2312"/>
                <w:sz w:val="28"/>
                <w:szCs w:val="28"/>
              </w:rPr>
            </w:pPr>
            <w:r>
              <w:rPr>
                <w:rFonts w:hint="eastAsia" w:ascii="仿宋_GB2312" w:hAnsi="宋体" w:eastAsia="仿宋_GB2312"/>
                <w:sz w:val="28"/>
                <w:szCs w:val="28"/>
              </w:rPr>
              <w:t>特别</w:t>
            </w:r>
          </w:p>
          <w:p w14:paraId="4E9BE851">
            <w:pPr>
              <w:spacing w:line="560" w:lineRule="exact"/>
              <w:rPr>
                <w:rFonts w:ascii="仿宋_GB2312" w:hAnsi="宋体" w:eastAsia="仿宋_GB2312"/>
                <w:sz w:val="28"/>
                <w:szCs w:val="28"/>
              </w:rPr>
            </w:pPr>
            <w:r>
              <w:rPr>
                <w:rFonts w:hint="eastAsia" w:ascii="仿宋_GB2312" w:hAnsi="宋体" w:eastAsia="仿宋_GB2312"/>
                <w:sz w:val="28"/>
                <w:szCs w:val="28"/>
              </w:rPr>
              <w:t>提示</w:t>
            </w:r>
          </w:p>
        </w:tc>
        <w:tc>
          <w:tcPr>
            <w:tcW w:w="8291" w:type="dxa"/>
            <w:tcBorders>
              <w:top w:val="single" w:color="auto" w:sz="4" w:space="0"/>
              <w:left w:val="single" w:color="auto" w:sz="4" w:space="0"/>
              <w:bottom w:val="single" w:color="auto" w:sz="4" w:space="0"/>
            </w:tcBorders>
            <w:shd w:val="clear" w:color="auto" w:fill="auto"/>
            <w:vAlign w:val="center"/>
          </w:tcPr>
          <w:p w14:paraId="56C49792">
            <w:pPr>
              <w:spacing w:line="560" w:lineRule="exact"/>
              <w:rPr>
                <w:rFonts w:ascii="仿宋_GB2312" w:hAnsi="宋体" w:eastAsia="仿宋_GB2312"/>
                <w:sz w:val="28"/>
                <w:szCs w:val="28"/>
              </w:rPr>
            </w:pPr>
            <w:r>
              <w:rPr>
                <w:rFonts w:hint="eastAsia" w:ascii="仿宋_GB2312" w:hAnsi="宋体" w:eastAsia="仿宋_GB2312"/>
                <w:sz w:val="28"/>
                <w:szCs w:val="28"/>
              </w:rPr>
              <w:t>1.本项目进行网上开标，不接受投标单位到现场参加开标活动;投标单位请提前熟悉交易系统(国企采购报价单位操作手册网址:</w:t>
            </w:r>
          </w:p>
          <w:p w14:paraId="001D3AE2">
            <w:pPr>
              <w:spacing w:line="560" w:lineRule="exact"/>
              <w:rPr>
                <w:rFonts w:ascii="仿宋_GB2312" w:hAnsi="宋体" w:eastAsia="仿宋_GB2312"/>
                <w:sz w:val="28"/>
                <w:szCs w:val="28"/>
              </w:rPr>
            </w:pPr>
            <w:r>
              <w:rPr>
                <w:rFonts w:hint="eastAsia" w:ascii="仿宋_GB2312" w:hAnsi="宋体" w:eastAsia="仿宋_GB2312"/>
                <w:sz w:val="28"/>
                <w:szCs w:val="28"/>
              </w:rPr>
              <w:t>http://ggzyjy.weihai.cn/bszn/005005/20200820/ee51cd3e-144e-497c-9fde- deff112be090.html;)，通过交易系统线上参加开标活动，不熟悉系统操作产生的风险由投标单位承担。</w:t>
            </w:r>
          </w:p>
          <w:p w14:paraId="0DD60AA3">
            <w:pPr>
              <w:spacing w:line="560" w:lineRule="exact"/>
              <w:rPr>
                <w:rFonts w:ascii="仿宋_GB2312" w:hAnsi="宋体" w:eastAsia="仿宋_GB2312"/>
                <w:sz w:val="28"/>
                <w:szCs w:val="28"/>
              </w:rPr>
            </w:pPr>
            <w:r>
              <w:rPr>
                <w:rFonts w:hint="eastAsia" w:ascii="仿宋_GB2312" w:hAnsi="宋体" w:eastAsia="仿宋_GB2312"/>
                <w:sz w:val="28"/>
                <w:szCs w:val="28"/>
              </w:rPr>
              <w:t>2.因首次采用新版一网通办系统，各单位在参与本项目报名及投标过程中遇到任何问题请及时联系:国企采购技术支持电话:17863029936，国企采购技术支持QQ群(报价单位):1046971257。</w:t>
            </w:r>
          </w:p>
        </w:tc>
      </w:tr>
    </w:tbl>
    <w:p w14:paraId="3EAE5FDB">
      <w:pPr>
        <w:spacing w:line="560" w:lineRule="exact"/>
        <w:ind w:firstLine="560" w:firstLineChars="200"/>
        <w:jc w:val="left"/>
        <w:rPr>
          <w:rFonts w:ascii="仿宋_GB2312" w:hAnsi="宋体" w:eastAsia="仿宋_GB2312"/>
          <w:sz w:val="28"/>
          <w:szCs w:val="28"/>
        </w:rPr>
      </w:pPr>
    </w:p>
    <w:p w14:paraId="503EE2D3">
      <w:pPr>
        <w:pStyle w:val="26"/>
        <w:spacing w:line="432" w:lineRule="auto"/>
        <w:ind w:firstLine="480" w:firstLineChars="150"/>
        <w:rPr>
          <w:rFonts w:eastAsia="黑体"/>
          <w:sz w:val="32"/>
          <w:szCs w:val="32"/>
        </w:rPr>
      </w:pPr>
    </w:p>
    <w:p w14:paraId="17909C4E">
      <w:pPr>
        <w:spacing w:line="560" w:lineRule="exact"/>
        <w:ind w:firstLine="643" w:firstLineChars="201"/>
        <w:jc w:val="center"/>
        <w:rPr>
          <w:rFonts w:eastAsia="黑体"/>
          <w:sz w:val="32"/>
          <w:szCs w:val="32"/>
        </w:rPr>
      </w:pPr>
      <w:r>
        <w:rPr>
          <w:rFonts w:eastAsia="黑体"/>
          <w:sz w:val="32"/>
          <w:szCs w:val="32"/>
        </w:rPr>
        <w:br w:type="page"/>
      </w:r>
      <w:r>
        <w:rPr>
          <w:rFonts w:hint="eastAsia" w:eastAsia="黑体"/>
          <w:sz w:val="32"/>
          <w:szCs w:val="32"/>
        </w:rPr>
        <w:t>《实质性条款一览表》</w:t>
      </w:r>
    </w:p>
    <w:p w14:paraId="21C915E2">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0DD608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vAlign w:val="center"/>
          </w:tcPr>
          <w:p w14:paraId="3A5945C2">
            <w:pPr>
              <w:spacing w:line="560" w:lineRule="exact"/>
              <w:rPr>
                <w:rFonts w:ascii="仿宋_GB2312" w:hAnsi="宋体" w:eastAsia="仿宋_GB2312"/>
                <w:b/>
                <w:sz w:val="28"/>
                <w:szCs w:val="28"/>
              </w:rPr>
            </w:pPr>
            <w:r>
              <w:rPr>
                <w:rFonts w:hint="eastAsia" w:ascii="仿宋_GB2312" w:hAnsi="宋体" w:eastAsia="仿宋_GB2312"/>
                <w:b/>
                <w:sz w:val="28"/>
                <w:szCs w:val="28"/>
              </w:rPr>
              <w:t>资格性核查</w:t>
            </w:r>
          </w:p>
        </w:tc>
      </w:tr>
      <w:tr w14:paraId="32183A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tcPr>
          <w:p w14:paraId="5DB06D50">
            <w:pPr>
              <w:numPr>
                <w:ilvl w:val="0"/>
                <w:numId w:val="2"/>
              </w:num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有效的营业执照（统一社会信用代码证书）扫描件；</w:t>
            </w:r>
          </w:p>
          <w:p w14:paraId="545E8B2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2、法定代表人授权委托书；被授权人身份证扫描件；</w:t>
            </w:r>
          </w:p>
          <w:p w14:paraId="4A0E1384">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190F8473">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3、</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0358ECEC">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4、参加本项目报价前三年内无重大违法记录声明（格式自定）；</w:t>
            </w:r>
          </w:p>
          <w:p w14:paraId="0585D59B">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5、投标人未被工商行政管理机关在全国企业信用信息公示系统中列入严重违法失信企业名单网站截图（查询网址http://www.gsxt.gov.cn/index.html）；</w:t>
            </w:r>
          </w:p>
          <w:p w14:paraId="7A6053C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w:t>
            </w:r>
            <w:r>
              <w:rPr>
                <w:rFonts w:hint="eastAsia" w:ascii="仿宋_GB2312" w:hAnsi="宋体" w:eastAsia="仿宋_GB2312"/>
                <w:sz w:val="28"/>
                <w:szCs w:val="28"/>
                <w:lang w:eastAsia="zh-CN"/>
              </w:rPr>
              <w:t>http://zxgk.court.gov.cn/shixin/</w:t>
            </w:r>
            <w:r>
              <w:rPr>
                <w:rFonts w:hint="eastAsia" w:ascii="仿宋_GB2312" w:hAnsi="宋体" w:eastAsia="仿宋_GB2312"/>
                <w:sz w:val="28"/>
                <w:szCs w:val="28"/>
              </w:rPr>
              <w:t>）”网站截图；</w:t>
            </w:r>
          </w:p>
          <w:p w14:paraId="5265502A">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6、</w:t>
            </w:r>
            <w:r>
              <w:rPr>
                <w:rFonts w:hint="eastAsia" w:ascii="仿宋_GB2312" w:hAnsi="宋体" w:eastAsia="仿宋_GB2312"/>
                <w:color w:val="auto"/>
                <w:sz w:val="28"/>
                <w:szCs w:val="28"/>
                <w:highlight w:val="none"/>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31ECB6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0ABB2F5A">
            <w:pPr>
              <w:spacing w:line="560" w:lineRule="exact"/>
              <w:ind w:firstLine="285" w:firstLineChars="102"/>
              <w:rPr>
                <w:rFonts w:ascii="仿宋_GB2312" w:hAnsi="宋体" w:eastAsia="仿宋_GB2312"/>
                <w:sz w:val="28"/>
                <w:szCs w:val="28"/>
              </w:rPr>
            </w:pPr>
            <w:r>
              <w:rPr>
                <w:rFonts w:hint="eastAsia" w:ascii="仿宋_GB2312" w:hAnsi="宋体" w:eastAsia="仿宋_GB2312"/>
                <w:color w:val="auto"/>
                <w:sz w:val="28"/>
                <w:szCs w:val="28"/>
                <w:highlight w:val="none"/>
              </w:rPr>
              <w:t>注：A、B两项提供任意一项均可。</w:t>
            </w:r>
          </w:p>
          <w:p w14:paraId="64A892E5">
            <w:pPr>
              <w:spacing w:line="560" w:lineRule="exact"/>
              <w:ind w:firstLine="285" w:firstLineChars="102"/>
              <w:rPr>
                <w:rFonts w:ascii="仿宋_GB2312" w:hAnsi="宋体" w:eastAsia="仿宋_GB2312"/>
                <w:sz w:val="28"/>
                <w:szCs w:val="28"/>
              </w:rPr>
            </w:pPr>
            <w:r>
              <w:rPr>
                <w:rFonts w:hint="eastAsia" w:ascii="仿宋_GB2312" w:hAnsi="宋体" w:eastAsia="仿宋_GB2312"/>
                <w:sz w:val="28"/>
                <w:szCs w:val="28"/>
              </w:rPr>
              <w:t>7、具有履行合同所必需的设备和专业技术能力承诺函（格式自拟）；</w:t>
            </w:r>
          </w:p>
        </w:tc>
      </w:tr>
      <w:tr w14:paraId="1F62CE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6677DCE9">
            <w:pPr>
              <w:spacing w:line="560" w:lineRule="exact"/>
              <w:rPr>
                <w:rFonts w:ascii="仿宋_GB2312" w:hAnsi="宋体" w:eastAsia="仿宋_GB2312"/>
                <w:b/>
                <w:sz w:val="28"/>
                <w:szCs w:val="28"/>
              </w:rPr>
            </w:pPr>
            <w:r>
              <w:rPr>
                <w:rFonts w:hint="eastAsia" w:ascii="仿宋_GB2312" w:hAnsi="宋体" w:eastAsia="仿宋_GB2312"/>
                <w:b/>
                <w:sz w:val="28"/>
                <w:szCs w:val="28"/>
              </w:rPr>
              <w:t>符合性检查</w:t>
            </w:r>
          </w:p>
        </w:tc>
      </w:tr>
      <w:tr w14:paraId="398EAE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5949DE34">
            <w:pPr>
              <w:spacing w:line="560" w:lineRule="exact"/>
              <w:rPr>
                <w:rFonts w:ascii="仿宋_GB2312" w:hAnsi="宋体" w:eastAsia="仿宋_GB2312"/>
                <w:sz w:val="28"/>
                <w:szCs w:val="28"/>
              </w:rPr>
            </w:pPr>
            <w:r>
              <w:rPr>
                <w:rFonts w:hint="eastAsia" w:ascii="仿宋_GB2312" w:hAnsi="宋体" w:eastAsia="仿宋_GB2312"/>
                <w:sz w:val="28"/>
                <w:szCs w:val="28"/>
              </w:rPr>
              <w:t>1、响应文件未按规定签章的，作为无效报价；</w:t>
            </w:r>
          </w:p>
          <w:p w14:paraId="01DE5320">
            <w:pPr>
              <w:spacing w:line="560" w:lineRule="exact"/>
              <w:rPr>
                <w:rFonts w:ascii="仿宋_GB2312" w:hAnsi="宋体" w:eastAsia="仿宋_GB2312"/>
                <w:sz w:val="28"/>
                <w:szCs w:val="28"/>
              </w:rPr>
            </w:pPr>
            <w:r>
              <w:rPr>
                <w:rFonts w:hint="eastAsia" w:ascii="仿宋_GB2312" w:hAnsi="宋体" w:eastAsia="仿宋_GB2312"/>
                <w:sz w:val="28"/>
                <w:szCs w:val="28"/>
              </w:rPr>
              <w:t>2、被授权人未在规定时间内答疑或澄清的，作为无效报价；</w:t>
            </w:r>
          </w:p>
          <w:p w14:paraId="4927AB1F">
            <w:pPr>
              <w:spacing w:line="560" w:lineRule="exact"/>
              <w:rPr>
                <w:rFonts w:ascii="仿宋_GB2312" w:hAnsi="宋体" w:eastAsia="仿宋_GB2312"/>
                <w:sz w:val="28"/>
                <w:szCs w:val="28"/>
              </w:rPr>
            </w:pPr>
            <w:r>
              <w:rPr>
                <w:rFonts w:hint="eastAsia" w:ascii="仿宋_GB2312" w:hAnsi="宋体" w:eastAsia="仿宋_GB2312"/>
                <w:sz w:val="28"/>
                <w:szCs w:val="28"/>
              </w:rPr>
              <w:t>3、响应文件含有采购人不能接受的附加条件的，作为无效报价；</w:t>
            </w:r>
          </w:p>
          <w:p w14:paraId="11DC9C75">
            <w:pPr>
              <w:spacing w:line="560" w:lineRule="exact"/>
              <w:rPr>
                <w:rFonts w:ascii="仿宋_GB2312" w:hAnsi="宋体" w:eastAsia="仿宋_GB2312"/>
                <w:sz w:val="28"/>
                <w:szCs w:val="28"/>
              </w:rPr>
            </w:pPr>
            <w:r>
              <w:rPr>
                <w:rFonts w:hint="eastAsia" w:ascii="仿宋_GB2312" w:hAnsi="宋体" w:eastAsia="仿宋_GB2312"/>
                <w:sz w:val="28"/>
                <w:szCs w:val="28"/>
              </w:rPr>
              <w:t>4、响应报价、交付期（工期）、服务期（质保期）、付款方式、报价有效期等内容不满足采购文件要求的作为无效报价；</w:t>
            </w:r>
          </w:p>
          <w:p w14:paraId="576AF6F7">
            <w:pPr>
              <w:spacing w:line="560" w:lineRule="exact"/>
              <w:rPr>
                <w:rFonts w:ascii="仿宋_GB2312" w:hAnsi="宋体" w:eastAsia="仿宋_GB2312"/>
                <w:sz w:val="28"/>
                <w:szCs w:val="28"/>
              </w:rPr>
            </w:pPr>
            <w:r>
              <w:rPr>
                <w:rFonts w:hint="eastAsia" w:ascii="仿宋_GB2312" w:hAnsi="宋体" w:eastAsia="仿宋_GB2312"/>
                <w:sz w:val="28"/>
                <w:szCs w:val="28"/>
              </w:rPr>
              <w:t>5、参加同一项目的不同供应商的电子投标文件文件制作机器码（MAC地址、主硬盘序列号、CPU信息、计算机名称）一致导致串标率100%，将作为无效报价；</w:t>
            </w:r>
          </w:p>
          <w:p w14:paraId="5B7F312F">
            <w:pPr>
              <w:spacing w:line="560" w:lineRule="exact"/>
              <w:rPr>
                <w:rFonts w:ascii="仿宋_GB2312" w:hAnsi="宋体" w:eastAsia="仿宋_GB2312"/>
                <w:sz w:val="28"/>
                <w:szCs w:val="28"/>
              </w:rPr>
            </w:pPr>
            <w:r>
              <w:rPr>
                <w:rFonts w:hint="eastAsia" w:ascii="仿宋_GB2312" w:hAnsi="宋体" w:eastAsia="仿宋_GB2312"/>
                <w:sz w:val="28"/>
                <w:szCs w:val="28"/>
              </w:rPr>
              <w:t>6、评审小组认为不符合采购文件其他实质性要求或法律法规规定的其他情形；作为无效报价。</w:t>
            </w:r>
          </w:p>
        </w:tc>
      </w:tr>
    </w:tbl>
    <w:p w14:paraId="31D3751D">
      <w:pPr>
        <w:rPr>
          <w:rFonts w:ascii="宋体" w:hAnsi="宋体"/>
          <w:szCs w:val="28"/>
        </w:rPr>
      </w:pPr>
    </w:p>
    <w:p w14:paraId="1840A032">
      <w:pPr>
        <w:pStyle w:val="3"/>
        <w:spacing w:before="0" w:after="0" w:line="560" w:lineRule="exact"/>
        <w:ind w:firstLine="562" w:firstLineChars="200"/>
        <w:rPr>
          <w:rFonts w:ascii="黑体" w:hAnsi="黑体" w:eastAsia="黑体"/>
          <w:b w:val="0"/>
        </w:rPr>
      </w:pPr>
      <w:r>
        <w:rPr>
          <w:rFonts w:hint="eastAsia" w:ascii="宋体" w:hAnsi="宋体"/>
        </w:rPr>
        <w:br w:type="page"/>
      </w:r>
      <w:r>
        <w:rPr>
          <w:rFonts w:hint="eastAsia" w:ascii="黑体" w:hAnsi="黑体" w:eastAsia="黑体"/>
          <w:b w:val="0"/>
        </w:rPr>
        <w:t>一、说明</w:t>
      </w:r>
    </w:p>
    <w:p w14:paraId="024E5C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3455F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1.适用范围</w:t>
      </w:r>
    </w:p>
    <w:p w14:paraId="676388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14:paraId="707B189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hint="eastAsia" w:ascii="仿宋_GB2312" w:hAnsi="宋体" w:eastAsia="仿宋_GB2312"/>
          <w:sz w:val="28"/>
          <w:szCs w:val="28"/>
        </w:rPr>
        <w:t>威海市嘉鑫工程检测鉴定有限公司</w:t>
      </w:r>
      <w:r>
        <w:rPr>
          <w:rFonts w:hint="eastAsia" w:ascii="仿宋_GB2312" w:hAnsi="仿宋" w:eastAsia="仿宋_GB2312" w:cs="宋体"/>
          <w:sz w:val="28"/>
          <w:szCs w:val="28"/>
        </w:rPr>
        <w:t>，以书面解释为准。</w:t>
      </w:r>
    </w:p>
    <w:p w14:paraId="3D6C15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14:paraId="7673619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2.采购人、采购代理机构及投标人</w:t>
      </w:r>
    </w:p>
    <w:p w14:paraId="4373A6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46B777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778FD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14:paraId="479B4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14:paraId="2A5031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14:paraId="618051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12CE3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14:paraId="0BBA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14:paraId="0A6A88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3.资金来源</w:t>
      </w:r>
    </w:p>
    <w:p w14:paraId="341202D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14:paraId="3204E46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0BB10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237594A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4.相关要求</w:t>
      </w:r>
    </w:p>
    <w:p w14:paraId="70D3EE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14:paraId="0D6926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14:paraId="1606F7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14:paraId="244003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14:paraId="46C6358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3CFF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2D4ACB20">
      <w:pPr>
        <w:snapToGrid w:val="0"/>
        <w:spacing w:line="560" w:lineRule="exact"/>
        <w:ind w:firstLine="565" w:firstLineChars="201"/>
        <w:rPr>
          <w:rFonts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295F5E3F">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5</w:t>
      </w:r>
      <w:r>
        <w:rPr>
          <w:rFonts w:hint="eastAsia" w:ascii="楷体_GB2312" w:hAnsi="仿宋" w:eastAsia="楷体_GB2312" w:cs="宋体"/>
          <w:b/>
          <w:sz w:val="28"/>
          <w:szCs w:val="28"/>
        </w:rPr>
        <w:t>.电子投标特别提示</w:t>
      </w:r>
    </w:p>
    <w:p w14:paraId="4AAF6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本项目供应商必须登录威海市公共资源交易网（乳山分中心）（http://ggzyjy.weihai.cn/rushan</w:t>
      </w:r>
      <w:r>
        <w:rPr>
          <w:rFonts w:ascii="仿宋_GB2312" w:hAnsi="仿宋" w:eastAsia="仿宋_GB2312" w:cs="宋体"/>
          <w:sz w:val="28"/>
          <w:szCs w:val="28"/>
        </w:rPr>
        <w:t>/</w:t>
      </w:r>
      <w:r>
        <w:rPr>
          <w:rFonts w:hint="eastAsia" w:ascii="仿宋_GB2312" w:hAnsi="仿宋" w:eastAsia="仿宋_GB2312" w:cs="宋体"/>
          <w:sz w:val="28"/>
          <w:szCs w:val="28"/>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45DAF46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本项目必须</w:t>
      </w:r>
      <w:r>
        <w:rPr>
          <w:rFonts w:hint="eastAsia" w:ascii="仿宋_GB2312" w:hAnsi="仿宋" w:eastAsia="仿宋_GB2312" w:cs="宋体"/>
          <w:b/>
          <w:sz w:val="28"/>
          <w:szCs w:val="28"/>
        </w:rPr>
        <w:t>网上递交投标文件</w:t>
      </w:r>
      <w:r>
        <w:rPr>
          <w:rFonts w:hint="eastAsia" w:ascii="仿宋_GB2312" w:hAnsi="仿宋" w:eastAsia="仿宋_GB2312" w:cs="宋体"/>
          <w:sz w:val="28"/>
          <w:szCs w:val="28"/>
        </w:rPr>
        <w:t>，参与本项目报价的供应商应利用办理好的CA锁登录威海市国有企业阳光采购电子化服务平台获取采购文件、文件下载和网上报价，且安全证书（CA锁）在有效期内。</w:t>
      </w:r>
    </w:p>
    <w:p w14:paraId="7BDE29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 xml:space="preserve">网上报价时，登录交易平台的电脑须满足以下环境要求：（1）操作系统：Windows 7 </w:t>
      </w:r>
      <w:r>
        <w:rPr>
          <w:rFonts w:ascii="仿宋_GB2312" w:hAnsi="仿宋" w:eastAsia="仿宋_GB2312" w:cs="宋体"/>
          <w:sz w:val="28"/>
          <w:szCs w:val="28"/>
        </w:rPr>
        <w:t>/</w:t>
      </w:r>
      <w:r>
        <w:rPr>
          <w:rFonts w:hint="eastAsia" w:ascii="仿宋_GB2312" w:hAnsi="仿宋" w:eastAsia="仿宋_GB2312" w:cs="宋体"/>
          <w:sz w:val="28"/>
          <w:szCs w:val="28"/>
        </w:rPr>
        <w:t xml:space="preserve"> Windows </w:t>
      </w:r>
      <w:r>
        <w:rPr>
          <w:rFonts w:ascii="仿宋_GB2312" w:hAnsi="仿宋" w:eastAsia="仿宋_GB2312" w:cs="宋体"/>
          <w:sz w:val="28"/>
          <w:szCs w:val="28"/>
        </w:rPr>
        <w:t>10</w:t>
      </w:r>
      <w:r>
        <w:rPr>
          <w:rFonts w:hint="eastAsia" w:ascii="仿宋_GB2312" w:hAnsi="仿宋" w:eastAsia="仿宋_GB2312" w:cs="宋体"/>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sz w:val="28"/>
          <w:szCs w:val="28"/>
        </w:rPr>
        <w:t>威海市公共资源交易网）办事指南栏目-国企采购专区-《威海国企阳光采购电子化服务平台供应商操作视频教程》，网址:</w:t>
      </w:r>
      <w:r>
        <w:rPr>
          <w:rFonts w:ascii="仿宋_GB2312" w:hAnsi="宋体" w:eastAsia="仿宋_GB2312"/>
          <w:sz w:val="28"/>
          <w:szCs w:val="28"/>
        </w:rPr>
        <w:t xml:space="preserve"> </w:t>
      </w:r>
      <w:r>
        <w:rPr>
          <w:rFonts w:hint="eastAsia" w:ascii="仿宋_GB2312" w:hAnsi="宋体" w:eastAsia="仿宋_GB2312"/>
          <w:sz w:val="28"/>
          <w:szCs w:val="28"/>
        </w:rPr>
        <w:t>http://ggzyjy.weihai.cn/bszn/005005/20200902/98115c60-a132-4b41-b609-6b7c08ad502b.html、投标文件制作及系统使用咨询电话：18769124292；0631-5307028；平台QQ服务群：1146578397。</w:t>
      </w:r>
    </w:p>
    <w:p w14:paraId="14DB613A">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F2DA9F0">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5DD3B0C">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报价文件中的相关扫描件应保证清晰度，无法辨认的评审时受到影响的，由供应商承担相应责任。</w:t>
      </w:r>
    </w:p>
    <w:p w14:paraId="232F138D">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供应商应充分考虑到网上报价会发生的故障和风险。对发生的任何故障和风险造成供应商报价内容不一致或利益受损或报价失败的，采购人及采购代理机构不承担任何责任。</w:t>
      </w:r>
    </w:p>
    <w:p w14:paraId="600DDA0B">
      <w:pPr>
        <w:pStyle w:val="3"/>
        <w:spacing w:before="0" w:after="0" w:line="560" w:lineRule="exact"/>
        <w:ind w:firstLine="560" w:firstLineChars="200"/>
        <w:rPr>
          <w:rFonts w:ascii="黑体" w:hAnsi="黑体" w:eastAsia="黑体"/>
          <w:b w:val="0"/>
        </w:rPr>
      </w:pPr>
      <w:r>
        <w:rPr>
          <w:rFonts w:hint="eastAsia" w:ascii="黑体" w:hAnsi="黑体" w:eastAsia="黑体"/>
          <w:b w:val="0"/>
        </w:rPr>
        <w:t>二、招标文件</w:t>
      </w:r>
    </w:p>
    <w:p w14:paraId="0E72BF5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7</w:t>
      </w:r>
      <w:r>
        <w:rPr>
          <w:rFonts w:hint="eastAsia" w:ascii="楷体_GB2312" w:hAnsi="仿宋" w:eastAsia="楷体_GB2312" w:cs="宋体"/>
          <w:b/>
          <w:sz w:val="28"/>
          <w:szCs w:val="28"/>
        </w:rPr>
        <w:t>.招标文件的构成</w:t>
      </w:r>
    </w:p>
    <w:p w14:paraId="632299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14:paraId="4159A03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7.1本文件（WORD格式）由下列文件组成：</w:t>
      </w:r>
    </w:p>
    <w:p w14:paraId="266449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（1）采购公告</w:t>
      </w:r>
    </w:p>
    <w:p w14:paraId="705C06D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（2）投标须知</w:t>
      </w:r>
    </w:p>
    <w:p w14:paraId="157ECB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（3）采购内容与要求</w:t>
      </w:r>
    </w:p>
    <w:p w14:paraId="3C49621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（4）评审原则和方法</w:t>
      </w:r>
    </w:p>
    <w:p w14:paraId="664523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（5）投标（响应）文件格式</w:t>
      </w:r>
    </w:p>
    <w:p w14:paraId="057D936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（6）政府采购合同（范本）</w:t>
      </w:r>
    </w:p>
    <w:p w14:paraId="3D8CA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14:paraId="56E8A17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7.2数据文件（EXCEL格式）由下列文件组成：</w:t>
      </w:r>
    </w:p>
    <w:p w14:paraId="3586BC3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0CEEE1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345E23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6B0569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（4）评审对照表</w:t>
      </w:r>
    </w:p>
    <w:p w14:paraId="49A27D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（5）评分对照表</w:t>
      </w:r>
    </w:p>
    <w:p w14:paraId="79B4C68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14:paraId="27300F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14:paraId="79C1AE9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7.5招标文件以中文编印，且以中文为准。</w:t>
      </w:r>
    </w:p>
    <w:p w14:paraId="1654DBBC">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14:paraId="507E8A5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14:paraId="218E4403">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14:paraId="69D3EC19">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8</w:t>
      </w:r>
      <w:r>
        <w:rPr>
          <w:rFonts w:hint="eastAsia" w:ascii="楷体_GB2312" w:hAnsi="仿宋" w:eastAsia="楷体_GB2312" w:cs="宋体"/>
          <w:b/>
          <w:sz w:val="28"/>
          <w:szCs w:val="28"/>
        </w:rPr>
        <w:t>.招标文件的澄清</w:t>
      </w:r>
    </w:p>
    <w:p w14:paraId="02156017">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14:paraId="091400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14:paraId="5F5617E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9.招标文件的修改</w:t>
      </w:r>
    </w:p>
    <w:p w14:paraId="04DF09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14:paraId="7B790DA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6E0CEFC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14:paraId="015826FA">
      <w:pPr>
        <w:pStyle w:val="3"/>
        <w:spacing w:before="0" w:after="0" w:line="560" w:lineRule="exact"/>
        <w:ind w:firstLine="560" w:firstLineChars="200"/>
        <w:rPr>
          <w:rFonts w:ascii="黑体" w:hAnsi="黑体" w:eastAsia="黑体"/>
          <w:b w:val="0"/>
        </w:rPr>
      </w:pPr>
      <w:r>
        <w:rPr>
          <w:rFonts w:hint="eastAsia" w:ascii="黑体" w:hAnsi="黑体" w:eastAsia="黑体"/>
          <w:b w:val="0"/>
        </w:rPr>
        <w:t>三、投标文件的编制</w:t>
      </w:r>
    </w:p>
    <w:p w14:paraId="2DDBEB6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10.投标文件编制要求</w:t>
      </w:r>
    </w:p>
    <w:p w14:paraId="68E2E3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633F82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14:paraId="168BCE6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14:paraId="0C79D3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8B0FB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78AE3857">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14:paraId="4EB45AB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80800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14:paraId="65FADF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14:paraId="64681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14:paraId="08A845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11.数据文件编制要求</w:t>
      </w:r>
    </w:p>
    <w:p w14:paraId="3A7A855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0959173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39DB97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14:paraId="384D2E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12.文件构成</w:t>
      </w:r>
    </w:p>
    <w:p w14:paraId="04029DE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37038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14:paraId="33214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14:paraId="1DE33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（2）投标文件目录</w:t>
      </w:r>
    </w:p>
    <w:p w14:paraId="316BFA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14:paraId="167101A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（4）投标人资格证明文件</w:t>
      </w:r>
    </w:p>
    <w:p w14:paraId="085A2AA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①有效的营业执照（统一社会信用代码证书）扫描件；</w:t>
      </w:r>
    </w:p>
    <w:p w14:paraId="06233C96">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②法定代表人授权委托书；被授权人身份证扫描件；</w:t>
      </w:r>
    </w:p>
    <w:p w14:paraId="10D7F9E5">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4E12B34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sz w:val="28"/>
          <w:szCs w:val="28"/>
        </w:rPr>
        <w:t>③</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6CB57EB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④参加本项目报价前三年内无重大违法记录声明（格式自定）；</w:t>
      </w:r>
    </w:p>
    <w:p w14:paraId="09CA8D3F">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⑤投标人未被工商行政管理机关在全国企业信用信息公示系统中列入严重违法失信企业名单（附截图或企业信用信息公示报告，查询网址http://www.gsxt.gov.cn/index.html）；</w:t>
      </w:r>
    </w:p>
    <w:p w14:paraId="3A9952E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w:t>
      </w:r>
      <w:r>
        <w:rPr>
          <w:rFonts w:hint="eastAsia" w:ascii="仿宋_GB2312" w:hAnsi="宋体" w:eastAsia="仿宋_GB2312"/>
          <w:sz w:val="28"/>
          <w:szCs w:val="28"/>
          <w:lang w:eastAsia="zh-CN"/>
        </w:rPr>
        <w:t>http://zxgk.court.gov.cn/shixin/</w:t>
      </w:r>
      <w:r>
        <w:rPr>
          <w:rFonts w:hint="eastAsia" w:ascii="仿宋_GB2312" w:hAnsi="宋体" w:eastAsia="仿宋_GB2312"/>
          <w:sz w:val="28"/>
          <w:szCs w:val="28"/>
        </w:rPr>
        <w:t>）”网站截图；</w:t>
      </w:r>
    </w:p>
    <w:p w14:paraId="5201AF11">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⑥</w:t>
      </w:r>
      <w:r>
        <w:rPr>
          <w:rFonts w:hint="eastAsia" w:ascii="仿宋_GB2312" w:hAnsi="宋体" w:eastAsia="仿宋_GB2312"/>
          <w:color w:val="auto"/>
          <w:sz w:val="28"/>
          <w:szCs w:val="28"/>
          <w:highlight w:val="none"/>
        </w:rPr>
        <w:t>投标人财务状况报告等相关材料</w:t>
      </w:r>
    </w:p>
    <w:p w14:paraId="32EFAB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48F2350A">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53E75606">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w:t>
      </w:r>
    </w:p>
    <w:p w14:paraId="3831193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⑦具有履行合同所必需的设备和专业技术能力承诺函（格式自拟）；</w:t>
      </w:r>
    </w:p>
    <w:p w14:paraId="4EA0A0B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⑧采购公告中要求的有关资质资格文件；</w:t>
      </w:r>
    </w:p>
    <w:p w14:paraId="0341F7C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⑨投标人认为需要提供的资质资格证明文件。</w:t>
      </w:r>
    </w:p>
    <w:p w14:paraId="14CC48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以上所有资质资格证明文件均需加盖投标人签章。</w:t>
      </w:r>
    </w:p>
    <w:p w14:paraId="7BFB5087">
      <w:pPr>
        <w:snapToGrid w:val="0"/>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（5）投标人基本情况</w:t>
      </w:r>
      <w:r>
        <w:rPr>
          <w:rFonts w:hint="eastAsia" w:ascii="仿宋_GB2312" w:hAnsi="仿宋" w:eastAsia="仿宋_GB2312" w:cs="宋体"/>
          <w:sz w:val="28"/>
          <w:szCs w:val="28"/>
        </w:rPr>
        <w:t>（格式见本文件第五章）</w:t>
      </w:r>
    </w:p>
    <w:p w14:paraId="76AE68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投标人应提交证明文件，证明标的的合格性、技术文件符合采购文件的规定、报价内容符合采购文件规定。该证明文件是投标文件的一部分，可以是文字资料、图纸和数据，不包括对采购文件相关部分的文字、图标的复制。它包括：</w:t>
      </w:r>
    </w:p>
    <w:p w14:paraId="1BF2646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①供货方案</w:t>
      </w:r>
    </w:p>
    <w:p w14:paraId="3D0390A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②质量保证措施</w:t>
      </w:r>
    </w:p>
    <w:p w14:paraId="4CD01A9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③售后服务承诺</w:t>
      </w:r>
    </w:p>
    <w:p w14:paraId="66993C91">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④评审时需要的相关证明材料</w:t>
      </w:r>
    </w:p>
    <w:p w14:paraId="1FB570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）国内同类项目业绩表</w:t>
      </w:r>
    </w:p>
    <w:p w14:paraId="0EA8BE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注：中标公告将对中标人提交的第（</w:t>
      </w:r>
      <w:r>
        <w:rPr>
          <w:rFonts w:ascii="仿宋_GB2312" w:hAnsi="仿宋" w:eastAsia="仿宋_GB2312" w:cs="宋体"/>
          <w:b/>
          <w:sz w:val="28"/>
          <w:szCs w:val="28"/>
        </w:rPr>
        <w:t>7</w:t>
      </w:r>
      <w:r>
        <w:rPr>
          <w:rFonts w:hint="eastAsia" w:ascii="仿宋_GB2312" w:hAnsi="仿宋" w:eastAsia="仿宋_GB2312" w:cs="宋体"/>
          <w:b/>
          <w:sz w:val="28"/>
          <w:szCs w:val="28"/>
        </w:rPr>
        <w:t>）项一并予以公示。</w:t>
      </w:r>
    </w:p>
    <w:p w14:paraId="7A90E3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8</w:t>
      </w:r>
      <w:r>
        <w:rPr>
          <w:rFonts w:hint="eastAsia" w:ascii="仿宋_GB2312" w:hAnsi="仿宋" w:eastAsia="仿宋_GB2312" w:cs="宋体"/>
          <w:sz w:val="28"/>
          <w:szCs w:val="28"/>
        </w:rPr>
        <w:t>）要求采购人提供的配合；</w:t>
      </w:r>
    </w:p>
    <w:p w14:paraId="2369F9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12.2数据文件（PDF格式）（第二册）</w:t>
      </w:r>
    </w:p>
    <w:p w14:paraId="3390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5F7CA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4E12FF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9F1050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3E5BE1BF">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5F0394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13.投标报价</w:t>
      </w:r>
    </w:p>
    <w:p w14:paraId="4BD2F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14:paraId="7804E7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14:paraId="6F42730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14:paraId="634468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14:paraId="526057C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14:paraId="55158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（3）投标报价包括完成该项目的一切费用总和，</w:t>
      </w:r>
      <w:r>
        <w:rPr>
          <w:rFonts w:hint="eastAsia" w:ascii="仿宋_GB2312" w:hAnsi="宋体" w:eastAsia="仿宋_GB2312"/>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sz w:val="28"/>
          <w:szCs w:val="28"/>
        </w:rPr>
        <w:t>，以人民币为结算单位。投标报价中免费提供的项目，应注明免费。所有根据合同或其它原因应由投标人支付的税款和其它应交纳的费用都要包括在投标人提交的报价中。</w:t>
      </w:r>
    </w:p>
    <w:p w14:paraId="3575F2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14:paraId="08D5C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14:paraId="0BD418C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14:paraId="62C6DAF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14:paraId="01CA0AD3">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14:paraId="3F0DE7C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14:paraId="13811D01">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14:paraId="5B426ED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14:paraId="1EA28F16">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14:paraId="5D58113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1698423F">
      <w:pPr>
        <w:spacing w:line="560" w:lineRule="exact"/>
        <w:ind w:firstLine="562" w:firstLineChars="200"/>
        <w:rPr>
          <w:rFonts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14:paraId="6A321C4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14.联合体投标</w:t>
      </w:r>
    </w:p>
    <w:p w14:paraId="1F732B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14:paraId="204877F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15.关于分包</w:t>
      </w:r>
    </w:p>
    <w:p w14:paraId="172EB5B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14:paraId="75FEF54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14:paraId="51150BB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16.现场踏勘</w:t>
      </w:r>
    </w:p>
    <w:p w14:paraId="2F6F8B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14:paraId="653A33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14:paraId="04E706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2DEBA32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43DFF88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14:paraId="024EEEBA">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17.投标的有效期</w:t>
      </w:r>
    </w:p>
    <w:p w14:paraId="2928FD3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2486B7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14:paraId="5F393F9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1</w:t>
      </w:r>
      <w:r>
        <w:rPr>
          <w:rFonts w:hint="eastAsia" w:ascii="楷体_GB2312" w:hAnsi="仿宋" w:eastAsia="楷体_GB2312" w:cs="宋体"/>
          <w:b/>
          <w:sz w:val="28"/>
          <w:szCs w:val="28"/>
        </w:rPr>
        <w:t>8.投标保证金</w:t>
      </w:r>
    </w:p>
    <w:p w14:paraId="3248C11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14:paraId="2C2495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19.投标文件的数量和签署</w:t>
      </w:r>
    </w:p>
    <w:p w14:paraId="128D08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19.1投标文件（PDF格式）（第一册）1份</w:t>
      </w:r>
    </w:p>
    <w:p w14:paraId="477E58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14:paraId="550E21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14:paraId="1A3430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14:paraId="5F2F0BD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14:paraId="2AE509B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14:paraId="2FB2CBE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9456A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19.2数据文件（PDF格式）（第二册）1份</w:t>
      </w:r>
    </w:p>
    <w:p w14:paraId="772608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090E13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14:paraId="7BFE1A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E51BB08">
      <w:pPr>
        <w:pStyle w:val="3"/>
        <w:spacing w:before="0" w:after="0" w:line="560" w:lineRule="exact"/>
        <w:ind w:firstLine="560" w:firstLineChars="200"/>
        <w:rPr>
          <w:rFonts w:ascii="黑体" w:hAnsi="黑体" w:eastAsia="黑体"/>
          <w:b w:val="0"/>
        </w:rPr>
      </w:pPr>
      <w:r>
        <w:rPr>
          <w:rFonts w:hint="eastAsia" w:ascii="黑体" w:hAnsi="黑体" w:eastAsia="黑体"/>
          <w:b w:val="0"/>
        </w:rPr>
        <w:t>四、投标文件的递交</w:t>
      </w:r>
    </w:p>
    <w:p w14:paraId="008102A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20.投标文件的密封和标记</w:t>
      </w:r>
    </w:p>
    <w:p w14:paraId="704F14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14:paraId="24C54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3F393C9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14:paraId="11D6A0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14:paraId="71D9714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20.3文件递交</w:t>
      </w:r>
    </w:p>
    <w:p w14:paraId="3DDB6B8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14:paraId="25B95032">
      <w:pPr>
        <w:spacing w:line="560" w:lineRule="exact"/>
        <w:ind w:firstLine="565" w:firstLineChars="201"/>
        <w:rPr>
          <w:rFonts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14657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14:paraId="12957C9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14:paraId="0BDA88D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21.投标截止期</w:t>
      </w:r>
    </w:p>
    <w:p w14:paraId="59BFCECF">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14:paraId="2E6DB1F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14:paraId="4151379B">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22.迟交的投标文件</w:t>
      </w:r>
    </w:p>
    <w:p w14:paraId="63CF1E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14:paraId="1BC6BC7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23.</w:t>
      </w:r>
      <w:r>
        <w:rPr>
          <w:rFonts w:hint="eastAsia" w:ascii="楷体_GB2312" w:hAnsi="宋体" w:eastAsia="楷体_GB2312"/>
          <w:b/>
          <w:sz w:val="28"/>
          <w:szCs w:val="28"/>
        </w:rPr>
        <w:t>现场演示</w:t>
      </w:r>
      <w:r>
        <w:rPr>
          <w:rFonts w:ascii="楷体_GB2312" w:hAnsi="宋体" w:eastAsia="楷体_GB2312"/>
          <w:b/>
          <w:sz w:val="28"/>
          <w:szCs w:val="28"/>
        </w:rPr>
        <w:t>/</w:t>
      </w:r>
      <w:r>
        <w:rPr>
          <w:rFonts w:hint="eastAsia" w:ascii="楷体_GB2312" w:hAnsi="宋体" w:eastAsia="楷体_GB2312"/>
          <w:b/>
          <w:sz w:val="28"/>
          <w:szCs w:val="28"/>
        </w:rPr>
        <w:t>样品递交</w:t>
      </w:r>
    </w:p>
    <w:p w14:paraId="3239A3B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14:paraId="684B301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14:paraId="27810FE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14:paraId="1D4B6B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24.投标文件的修改和撤回</w:t>
      </w:r>
    </w:p>
    <w:p w14:paraId="716342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14:paraId="07E7EB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14:paraId="6731C8C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14:paraId="7BEFB5A8">
      <w:pPr>
        <w:pStyle w:val="3"/>
        <w:spacing w:before="0" w:after="0" w:line="560" w:lineRule="exact"/>
        <w:ind w:firstLine="560" w:firstLineChars="200"/>
        <w:rPr>
          <w:rFonts w:ascii="黑体" w:hAnsi="黑体" w:eastAsia="黑体"/>
          <w:b w:val="0"/>
        </w:rPr>
      </w:pPr>
      <w:r>
        <w:rPr>
          <w:rFonts w:hint="eastAsia" w:ascii="黑体" w:hAnsi="黑体" w:eastAsia="黑体"/>
          <w:b w:val="0"/>
        </w:rPr>
        <w:t>五、开标与评审</w:t>
      </w:r>
    </w:p>
    <w:p w14:paraId="3618DF8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25.开标</w:t>
      </w:r>
    </w:p>
    <w:p w14:paraId="7344DE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14:paraId="3427B3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215C5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14:paraId="48361D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F0F0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14:paraId="5E2090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14:paraId="22631A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14:paraId="4EEC1A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14:paraId="52D1CF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14:paraId="56177C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14:paraId="5E0B58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14:paraId="74588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14:paraId="03C544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14:paraId="41D4AA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14:paraId="16A335F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25.10开标程序</w:t>
      </w:r>
    </w:p>
    <w:p w14:paraId="0E5902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14:paraId="07B9C3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14:paraId="7C8902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14:paraId="2F2B43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9BC2C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14:paraId="32F3A6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14:paraId="4855AE4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25.11应急开标程序</w:t>
      </w:r>
    </w:p>
    <w:p w14:paraId="1A0B97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14:paraId="49C1300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14:paraId="135C14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14:paraId="4E7AD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14:paraId="58CCA8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14:paraId="3E6C38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14:paraId="58AFB9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应急开标程序包括：</w:t>
      </w:r>
    </w:p>
    <w:p w14:paraId="685E9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14:paraId="1034CF2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14:paraId="54FAB47F">
      <w:pPr>
        <w:spacing w:line="560" w:lineRule="exact"/>
        <w:ind w:firstLine="562" w:firstLineChars="201"/>
        <w:rPr>
          <w:rFonts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14:paraId="30EB5C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505AD1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14:paraId="472F0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接收电子邮箱：whjxzbs@126.com</w:t>
      </w:r>
    </w:p>
    <w:p w14:paraId="730317B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14:paraId="58B24C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邮件数量：一封；</w:t>
      </w:r>
    </w:p>
    <w:p w14:paraId="4B1D91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14:paraId="48722CD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5F2E44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25.13启动电子邮件开标流程</w:t>
      </w:r>
    </w:p>
    <w:p w14:paraId="0CF6EA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14:paraId="77A1D4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14:paraId="165F8F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14:paraId="6B00A3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14:paraId="12873FD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26.评标委员会的组成和评标方法</w:t>
      </w:r>
    </w:p>
    <w:p w14:paraId="69A8B8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14:paraId="08C2A1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14:paraId="2DBCF8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26.3评标委员会成员职责：</w:t>
      </w:r>
    </w:p>
    <w:p w14:paraId="45A1314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14:paraId="53ED419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14:paraId="4FFA50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14:paraId="50E617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14:paraId="2627DD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14:paraId="62594B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14:paraId="16A570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14:paraId="63DDEF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26.4评标委员会集体职责：</w:t>
      </w:r>
    </w:p>
    <w:p w14:paraId="542CAD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0FF09F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14:paraId="632D94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14:paraId="66AFA1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14:paraId="7AD478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14:paraId="441EE8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14:paraId="70CEB87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14:paraId="45875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（2）宣布评标纪律；</w:t>
      </w:r>
    </w:p>
    <w:p w14:paraId="731A8E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14:paraId="5CCC71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14:paraId="2A3A1E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14:paraId="12A789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14:paraId="404228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14:paraId="4522CE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14:paraId="6345DE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14:paraId="0A6DC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（10）处理与评标有关的其他事项。</w:t>
      </w:r>
    </w:p>
    <w:p w14:paraId="314ECB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14:paraId="36F0E08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14:paraId="51E1F7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14:paraId="64CDAD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41744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14:paraId="2461BF5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14:paraId="54F74D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14:paraId="2E5D0F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（3）对投标文件进行比较和评价；</w:t>
      </w:r>
    </w:p>
    <w:p w14:paraId="43250ED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14:paraId="7FB6B3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14:paraId="1F02EA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14:paraId="4DDFB8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14:paraId="1AB28716">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14:paraId="4DF522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27.投标文件的初审</w:t>
      </w:r>
    </w:p>
    <w:p w14:paraId="504885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14:paraId="092735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14:paraId="403A52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14:paraId="186A64F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14:paraId="44AFF9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14:paraId="2E074052">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14:paraId="673B462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28.投标文件的澄清</w:t>
      </w:r>
    </w:p>
    <w:p w14:paraId="68003BF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C0A14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59B7D60E">
      <w:pPr>
        <w:spacing w:line="560" w:lineRule="exact"/>
        <w:ind w:firstLine="562" w:firstLineChars="201"/>
        <w:rPr>
          <w:rFonts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7C9BCC3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29.投标偏离</w:t>
      </w:r>
    </w:p>
    <w:p w14:paraId="7FF596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14:paraId="0BA3005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30.投标文件的评价</w:t>
      </w:r>
    </w:p>
    <w:p w14:paraId="074FA1D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14:paraId="150109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14:paraId="63C8F8A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14:paraId="2FF816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14:paraId="5B8611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14:paraId="414883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（2）投标产品的技术性能、功能、质量等指标的响应情况，包括其响应是否有技术佐证文件的支持；</w:t>
      </w:r>
    </w:p>
    <w:p w14:paraId="15DA47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（3）服务方案（包括服务机构和人员、服务响应时间、安装调试、培训方案等）、服务期、服务体系和业绩等；</w:t>
      </w:r>
    </w:p>
    <w:p w14:paraId="71F3D9C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14:paraId="32F74A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53FEEA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86C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DA81D01">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14:paraId="056D77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14:paraId="537DC0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14:paraId="1A5C91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14:paraId="6C39B8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14:paraId="7D69A6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14:paraId="5932EA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14:paraId="1168E8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31.废标条款</w:t>
      </w:r>
    </w:p>
    <w:p w14:paraId="00BB4D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14:paraId="2C876D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14:paraId="62730F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14:paraId="7329EF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14:paraId="2AD42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14:paraId="2782C00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32.保密要求</w:t>
      </w:r>
    </w:p>
    <w:p w14:paraId="5E0C81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14:paraId="20DBE84B">
      <w:pPr>
        <w:pStyle w:val="3"/>
        <w:spacing w:before="0" w:after="0" w:line="560" w:lineRule="exact"/>
        <w:ind w:firstLine="560" w:firstLineChars="200"/>
        <w:rPr>
          <w:rFonts w:ascii="黑体" w:hAnsi="黑体" w:eastAsia="黑体"/>
          <w:b w:val="0"/>
        </w:rPr>
      </w:pPr>
      <w:r>
        <w:rPr>
          <w:rFonts w:hint="eastAsia" w:ascii="黑体" w:hAnsi="黑体" w:eastAsia="黑体"/>
          <w:b w:val="0"/>
        </w:rPr>
        <w:t>六、定标</w:t>
      </w:r>
    </w:p>
    <w:p w14:paraId="2F6B4AC8">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33.定标</w:t>
      </w:r>
    </w:p>
    <w:p w14:paraId="4220A3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79355A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14:paraId="0EE86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14:paraId="03BACCB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14:paraId="304D30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（3）评标方法和评标标准；</w:t>
      </w:r>
    </w:p>
    <w:p w14:paraId="1C4E31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14:paraId="7ECB06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14:paraId="4DBBB5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14:paraId="352BA0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14:paraId="65BB94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14:paraId="6832155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（1）分值汇总计算错误的；</w:t>
      </w:r>
    </w:p>
    <w:p w14:paraId="646A7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14:paraId="632FDA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14:paraId="3DE93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14:paraId="36405E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14:paraId="5E77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14:paraId="25A69661">
      <w:pPr>
        <w:pStyle w:val="3"/>
        <w:spacing w:before="0" w:after="0" w:line="560" w:lineRule="exact"/>
        <w:ind w:firstLine="560" w:firstLineChars="200"/>
        <w:rPr>
          <w:rFonts w:ascii="黑体" w:hAnsi="黑体" w:eastAsia="黑体"/>
          <w:b w:val="0"/>
        </w:rPr>
      </w:pPr>
      <w:r>
        <w:rPr>
          <w:rFonts w:hint="eastAsia" w:ascii="黑体" w:hAnsi="黑体" w:eastAsia="黑体"/>
          <w:b w:val="0"/>
        </w:rPr>
        <w:t>七、公告</w:t>
      </w:r>
    </w:p>
    <w:p w14:paraId="02E3C894">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34.公告</w:t>
      </w:r>
    </w:p>
    <w:p w14:paraId="779298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w:t>
      </w:r>
      <w:r>
        <w:rPr>
          <w:rFonts w:hint="eastAsia" w:ascii="仿宋_GB2312" w:hAnsi="仿宋" w:eastAsia="仿宋_GB2312" w:cs="宋体"/>
          <w:sz w:val="28"/>
          <w:szCs w:val="28"/>
        </w:rPr>
        <w:t>自中标人确定之日起2个工作日内，在“原发布媒介”上公告中标结果。中标公告期限为1个工作日。中标公告应当包括下列内容：</w:t>
      </w:r>
    </w:p>
    <w:p w14:paraId="4DE6C75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14:paraId="2979E5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（2）项目名称和项目编号；</w:t>
      </w:r>
    </w:p>
    <w:p w14:paraId="44705A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（3）中标人名称、地址和中标金额；</w:t>
      </w:r>
    </w:p>
    <w:p w14:paraId="254DF4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14:paraId="3AA74F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（5）中标公告期限；</w:t>
      </w:r>
    </w:p>
    <w:p w14:paraId="3F940B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（6）评审专家名单；</w:t>
      </w:r>
    </w:p>
    <w:p w14:paraId="2D9729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14:paraId="1B181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14:paraId="06E5F35A">
      <w:pPr>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采购代理机构应当在中标公告公示期满</w:t>
      </w:r>
      <w:r>
        <w:rPr>
          <w:rFonts w:hint="eastAsia" w:ascii="仿宋_GB2312" w:hAnsi="仿宋" w:eastAsia="仿宋_GB2312" w:cs="宋体"/>
          <w:sz w:val="28"/>
          <w:szCs w:val="28"/>
        </w:rPr>
        <w:t>，</w:t>
      </w:r>
      <w:r>
        <w:rPr>
          <w:rFonts w:hint="eastAsia" w:ascii="仿宋_GB2312" w:hAnsi="仿宋" w:eastAsia="仿宋_GB2312"/>
          <w:sz w:val="28"/>
          <w:szCs w:val="28"/>
        </w:rPr>
        <w:t>且无尚未处理的异议后，</w:t>
      </w:r>
      <w:r>
        <w:rPr>
          <w:rFonts w:hint="eastAsia" w:ascii="仿宋_GB2312" w:hAnsi="仿宋" w:eastAsia="仿宋_GB2312" w:cs="宋体"/>
          <w:sz w:val="28"/>
          <w:szCs w:val="28"/>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14:paraId="3EB5723A">
      <w:pPr>
        <w:pStyle w:val="3"/>
        <w:spacing w:before="0" w:after="0" w:line="560" w:lineRule="exact"/>
        <w:ind w:firstLine="560" w:firstLineChars="200"/>
        <w:rPr>
          <w:rFonts w:ascii="黑体" w:hAnsi="黑体" w:eastAsia="黑体"/>
          <w:b w:val="0"/>
        </w:rPr>
      </w:pPr>
      <w:r>
        <w:rPr>
          <w:rFonts w:hint="eastAsia" w:ascii="黑体" w:hAnsi="黑体" w:eastAsia="黑体"/>
          <w:b w:val="0"/>
        </w:rPr>
        <w:t>八、质疑</w:t>
      </w:r>
    </w:p>
    <w:p w14:paraId="51EBED3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35.质疑</w:t>
      </w:r>
    </w:p>
    <w:p w14:paraId="62F74D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14:paraId="446A42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14:paraId="3B75C7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306A58E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7AE1E15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14:paraId="468EF3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14:paraId="7510989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14:paraId="18BAAD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14:paraId="4C9FD1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14:paraId="2A3179E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（2）质疑项目的名称、编号；</w:t>
      </w:r>
    </w:p>
    <w:p w14:paraId="471EFED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14:paraId="0B2463F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（4）事实依据；</w:t>
      </w:r>
    </w:p>
    <w:p w14:paraId="0E1BC1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（5）必要的法律依据；</w:t>
      </w:r>
    </w:p>
    <w:p w14:paraId="59EDD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（6）提出质疑的日期。</w:t>
      </w:r>
    </w:p>
    <w:p w14:paraId="1455A8A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14:paraId="3532C0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14:paraId="7702F4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14:paraId="476627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14:paraId="3501445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14:paraId="0CA7E63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14:paraId="2036DA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14:paraId="735C5A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14:paraId="390785E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14:paraId="70AA01A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（5）其他不符合《政府采购质疑和投诉办法》（中华人民共和国财政部令第94号）的相关规定。</w:t>
      </w:r>
    </w:p>
    <w:p w14:paraId="450E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14:paraId="55EEBEC1">
      <w:pPr>
        <w:pStyle w:val="3"/>
        <w:spacing w:before="0" w:after="0" w:line="560" w:lineRule="exact"/>
        <w:ind w:firstLine="560" w:firstLineChars="200"/>
        <w:rPr>
          <w:rFonts w:ascii="黑体" w:hAnsi="黑体" w:eastAsia="黑体"/>
          <w:b w:val="0"/>
        </w:rPr>
      </w:pPr>
      <w:r>
        <w:rPr>
          <w:rFonts w:hint="eastAsia" w:ascii="黑体" w:hAnsi="黑体" w:eastAsia="黑体"/>
          <w:b w:val="0"/>
        </w:rPr>
        <w:t>九、投诉</w:t>
      </w:r>
    </w:p>
    <w:p w14:paraId="4318C5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36.投诉</w:t>
      </w:r>
    </w:p>
    <w:p w14:paraId="286C4B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14:paraId="5DA4524F">
      <w:pPr>
        <w:pStyle w:val="3"/>
        <w:spacing w:before="0" w:after="0" w:line="560" w:lineRule="exact"/>
        <w:ind w:firstLine="560" w:firstLineChars="200"/>
        <w:rPr>
          <w:rFonts w:ascii="黑体" w:hAnsi="黑体" w:eastAsia="黑体"/>
          <w:b w:val="0"/>
        </w:rPr>
      </w:pPr>
      <w:r>
        <w:rPr>
          <w:rFonts w:hint="eastAsia" w:ascii="黑体" w:hAnsi="黑体" w:eastAsia="黑体"/>
          <w:b w:val="0"/>
        </w:rPr>
        <w:t>十、签订合同</w:t>
      </w:r>
    </w:p>
    <w:p w14:paraId="03F676F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37.合同的签订</w:t>
      </w:r>
    </w:p>
    <w:p w14:paraId="213DD8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14:paraId="5C94C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328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4FF37DA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14:paraId="4B28334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14:paraId="6043184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38.履约保证金</w:t>
      </w:r>
    </w:p>
    <w:p w14:paraId="0908646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本项目不收取履约保证金。</w:t>
      </w:r>
    </w:p>
    <w:p w14:paraId="22012EEB">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39</w:t>
      </w:r>
      <w:r>
        <w:rPr>
          <w:rFonts w:hint="eastAsia" w:ascii="楷体_GB2312" w:hAnsi="仿宋" w:eastAsia="楷体_GB2312" w:cs="宋体"/>
          <w:b/>
          <w:sz w:val="28"/>
          <w:szCs w:val="28"/>
        </w:rPr>
        <w:t>.预付款</w:t>
      </w:r>
    </w:p>
    <w:p w14:paraId="2271C3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本项目无预付款。</w:t>
      </w:r>
    </w:p>
    <w:p w14:paraId="015BDB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3BF2E81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w:t>
      </w:r>
      <w:r>
        <w:rPr>
          <w:rFonts w:ascii="楷体_GB2312" w:hAnsi="仿宋" w:eastAsia="楷体_GB2312" w:cs="宋体"/>
          <w:b/>
          <w:sz w:val="28"/>
          <w:szCs w:val="28"/>
        </w:rPr>
        <w:t>0.</w:t>
      </w:r>
      <w:r>
        <w:rPr>
          <w:rFonts w:hint="eastAsia" w:ascii="楷体_GB2312" w:hAnsi="仿宋" w:eastAsia="楷体_GB2312" w:cs="宋体"/>
          <w:b/>
          <w:sz w:val="28"/>
          <w:szCs w:val="28"/>
        </w:rPr>
        <w:t>廉洁自律</w:t>
      </w:r>
      <w:r>
        <w:rPr>
          <w:rFonts w:ascii="楷体_GB2312" w:hAnsi="仿宋" w:eastAsia="楷体_GB2312" w:cs="宋体"/>
          <w:b/>
          <w:sz w:val="28"/>
          <w:szCs w:val="28"/>
        </w:rPr>
        <w:t>规定</w:t>
      </w:r>
    </w:p>
    <w:p w14:paraId="70BDB4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14:paraId="38D220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14:paraId="703CFC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14:paraId="6EA5BD7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14:paraId="6762BAF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14:paraId="51ABD193">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14:paraId="4793DC8D">
      <w:pPr>
        <w:ind w:firstLine="425" w:firstLineChars="152"/>
        <w:rPr>
          <w:rFonts w:ascii="仿宋_GB2312" w:hAnsi="仿宋" w:eastAsia="仿宋_GB2312" w:cs="宋体"/>
          <w:sz w:val="28"/>
          <w:szCs w:val="28"/>
        </w:rPr>
      </w:pPr>
    </w:p>
    <w:p w14:paraId="0E80F97F">
      <w:pPr>
        <w:sectPr>
          <w:headerReference r:id="rId9" w:type="default"/>
          <w:footerReference r:id="rId10" w:type="default"/>
          <w:pgSz w:w="11906" w:h="16838"/>
          <w:pgMar w:top="1440" w:right="1080" w:bottom="1440" w:left="1080" w:header="851" w:footer="992" w:gutter="0"/>
          <w:cols w:space="720" w:num="1"/>
          <w:docGrid w:type="lines" w:linePitch="312" w:charSpace="0"/>
        </w:sectPr>
      </w:pPr>
    </w:p>
    <w:p w14:paraId="04F042AD">
      <w:pPr>
        <w:pStyle w:val="28"/>
        <w:spacing w:before="100" w:beforeAutospacing="1" w:after="100" w:afterAutospacing="1" w:line="415" w:lineRule="auto"/>
        <w:ind w:left="1440"/>
        <w:jc w:val="both"/>
        <w:rPr>
          <w:rFonts w:ascii="楷体_GB2312" w:hAnsi="宋体" w:eastAsia="楷体_GB2312" w:cs="宋体"/>
          <w:sz w:val="44"/>
          <w:szCs w:val="44"/>
        </w:rPr>
      </w:pPr>
      <w:r>
        <w:rPr>
          <w:rFonts w:hint="eastAsia" w:ascii="楷体_GB2312" w:hAnsi="宋体" w:eastAsia="楷体_GB2312" w:cs="宋体"/>
          <w:sz w:val="44"/>
          <w:szCs w:val="44"/>
        </w:rPr>
        <w:t>第三章  采购内容与要求</w:t>
      </w:r>
    </w:p>
    <w:p w14:paraId="103A898B"/>
    <w:p w14:paraId="30BB50CB">
      <w:pPr>
        <w:sectPr>
          <w:headerReference r:id="rId12" w:type="first"/>
          <w:footerReference r:id="rId13" w:type="default"/>
          <w:headerReference r:id="rId11" w:type="even"/>
          <w:pgSz w:w="11906" w:h="16838"/>
          <w:pgMar w:top="1440" w:right="1077" w:bottom="1440" w:left="1077" w:header="851" w:footer="992" w:gutter="0"/>
          <w:cols w:space="720" w:num="1"/>
          <w:docGrid w:type="lines" w:linePitch="312" w:charSpace="0"/>
        </w:sectPr>
      </w:pPr>
    </w:p>
    <w:p w14:paraId="1D175789">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第一部分 项目背景</w:t>
      </w:r>
    </w:p>
    <w:p w14:paraId="2385E9CE">
      <w:pPr>
        <w:spacing w:line="560" w:lineRule="exact"/>
        <w:ind w:firstLine="562" w:firstLineChars="200"/>
        <w:rPr>
          <w:rFonts w:ascii="黑体" w:hAnsi="黑体" w:eastAsia="黑体"/>
          <w:b/>
          <w:sz w:val="28"/>
          <w:szCs w:val="21"/>
        </w:rPr>
      </w:pPr>
      <w:r>
        <w:rPr>
          <w:rFonts w:hint="eastAsia" w:ascii="黑体" w:hAnsi="黑体" w:eastAsia="黑体"/>
          <w:b/>
          <w:sz w:val="28"/>
          <w:szCs w:val="21"/>
        </w:rPr>
        <w:t>一、项目概况</w:t>
      </w:r>
    </w:p>
    <w:p w14:paraId="63673ECD">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rPr>
        <w:t>项目名称</w:t>
      </w:r>
      <w:r>
        <w:rPr>
          <w:rFonts w:hint="eastAsia" w:ascii="仿宋_GB2312" w:hAnsi="宋体" w:eastAsia="仿宋_GB2312"/>
          <w:sz w:val="28"/>
          <w:szCs w:val="21"/>
          <w:highlight w:val="none"/>
        </w:rPr>
        <w:t>：</w:t>
      </w:r>
      <w:r>
        <w:rPr>
          <w:rFonts w:hint="eastAsia" w:ascii="仿宋_GB2312" w:hAnsi="宋体" w:eastAsia="仿宋_GB2312"/>
          <w:sz w:val="28"/>
          <w:szCs w:val="21"/>
          <w:highlight w:val="none"/>
          <w:lang w:eastAsia="zh-CN"/>
        </w:rPr>
        <w:t>400KW充电桩采购项目</w:t>
      </w:r>
    </w:p>
    <w:p w14:paraId="0AE13CCE">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项目编号：</w:t>
      </w:r>
      <w:r>
        <w:rPr>
          <w:rFonts w:hint="eastAsia" w:ascii="仿宋_GB2312" w:hAnsi="宋体" w:eastAsia="仿宋_GB2312"/>
          <w:sz w:val="28"/>
          <w:szCs w:val="21"/>
          <w:highlight w:val="none"/>
          <w:lang w:eastAsia="zh-CN"/>
        </w:rPr>
        <w:t>WHJX-ZB-2026-025</w:t>
      </w:r>
    </w:p>
    <w:p w14:paraId="7DE667C0">
      <w:pPr>
        <w:spacing w:line="560" w:lineRule="exact"/>
        <w:ind w:firstLine="560" w:firstLineChars="200"/>
        <w:rPr>
          <w:rFonts w:ascii="仿宋_GB2312" w:hAnsi="宋体" w:eastAsia="仿宋_GB2312"/>
          <w:color w:val="0000FF"/>
          <w:sz w:val="28"/>
          <w:szCs w:val="21"/>
          <w:highlight w:val="none"/>
        </w:rPr>
      </w:pPr>
      <w:r>
        <w:rPr>
          <w:rFonts w:hint="eastAsia" w:ascii="仿宋_GB2312" w:hAnsi="宋体" w:eastAsia="仿宋_GB2312"/>
          <w:sz w:val="28"/>
          <w:szCs w:val="21"/>
          <w:highlight w:val="none"/>
        </w:rPr>
        <w:t>项目概况说明：为积极响应国家绿色低碳发展、节能减排及新能源汽车推广应用相关政策要求，深入落实生态文明建设与绿色出行发展理念，进一步完善区域新能源汽车配套基础设施布局，补齐现有充电服务短板，切实保障新能源车辆充电刚需；通过规范增设配置充电桩设备，丰富便民补能服务场景，优化绿色出行配套保障能力，有效缓解新能源车辆充电难、补能不便问题，持续提升低碳运营水平，助力双碳目标落地实施，</w:t>
      </w:r>
      <w:r>
        <w:rPr>
          <w:rFonts w:hint="eastAsia" w:ascii="仿宋_GB2312" w:hAnsi="宋体" w:eastAsia="仿宋_GB2312"/>
          <w:color w:val="0000FF"/>
          <w:sz w:val="28"/>
          <w:szCs w:val="21"/>
          <w:highlight w:val="none"/>
        </w:rPr>
        <w:t>特开展本次</w:t>
      </w:r>
      <w:r>
        <w:rPr>
          <w:rFonts w:hint="eastAsia" w:ascii="仿宋_GB2312" w:hAnsi="宋体" w:eastAsia="仿宋_GB2312"/>
          <w:color w:val="0000FF"/>
          <w:sz w:val="28"/>
          <w:szCs w:val="21"/>
          <w:highlight w:val="none"/>
          <w:lang w:val="en-US" w:eastAsia="zh-CN"/>
        </w:rPr>
        <w:t>采购400KW充电桩采购项目-10台工作</w:t>
      </w:r>
      <w:r>
        <w:rPr>
          <w:rFonts w:hint="eastAsia" w:ascii="仿宋_GB2312" w:hAnsi="宋体" w:eastAsia="仿宋_GB2312"/>
          <w:color w:val="0000FF"/>
          <w:sz w:val="28"/>
          <w:szCs w:val="21"/>
          <w:highlight w:val="none"/>
          <w:lang w:eastAsia="zh-CN"/>
        </w:rPr>
        <w:t>。</w:t>
      </w:r>
    </w:p>
    <w:p w14:paraId="0B272471">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二、采购目标</w:t>
      </w:r>
    </w:p>
    <w:p w14:paraId="77ADC7E8">
      <w:pPr>
        <w:pStyle w:val="61"/>
        <w:spacing w:line="560" w:lineRule="exact"/>
        <w:ind w:firstLine="560"/>
        <w:rPr>
          <w:rFonts w:ascii="仿宋_GB2312" w:hAnsi="宋体" w:eastAsia="仿宋_GB2312"/>
          <w:highlight w:val="none"/>
        </w:rPr>
      </w:pPr>
      <w:r>
        <w:rPr>
          <w:rFonts w:hint="eastAsia" w:ascii="仿宋_GB2312" w:hAnsi="宋体" w:eastAsia="仿宋_GB2312"/>
          <w:highlight w:val="none"/>
        </w:rPr>
        <w:t>采购标的需实现的功能或者目标：完成</w:t>
      </w:r>
      <w:r>
        <w:rPr>
          <w:rFonts w:hint="eastAsia" w:ascii="仿宋_GB2312" w:hAnsi="宋体" w:eastAsia="仿宋_GB2312"/>
          <w:sz w:val="28"/>
          <w:szCs w:val="21"/>
          <w:highlight w:val="none"/>
          <w:lang w:eastAsia="zh-CN"/>
        </w:rPr>
        <w:t>400KW充电桩采购项目</w:t>
      </w:r>
    </w:p>
    <w:p w14:paraId="60DB0CB6">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三、采购预算</w:t>
      </w:r>
    </w:p>
    <w:p w14:paraId="319BA4E4">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本项目的采购预算金额为</w:t>
      </w:r>
      <w:r>
        <w:rPr>
          <w:rFonts w:hint="eastAsia" w:ascii="仿宋_GB2312" w:hAnsi="宋体" w:eastAsia="仿宋_GB2312"/>
          <w:sz w:val="28"/>
          <w:szCs w:val="28"/>
          <w:highlight w:val="none"/>
          <w:lang w:eastAsia="zh-CN"/>
        </w:rPr>
        <w:t>620000.00</w:t>
      </w:r>
      <w:r>
        <w:rPr>
          <w:rFonts w:hint="eastAsia" w:ascii="仿宋_GB2312" w:hAnsi="宋体" w:eastAsia="仿宋_GB2312"/>
          <w:sz w:val="28"/>
          <w:szCs w:val="28"/>
          <w:highlight w:val="none"/>
          <w:lang w:val="en-US" w:eastAsia="zh-CN"/>
        </w:rPr>
        <w:t>元</w:t>
      </w:r>
      <w:r>
        <w:rPr>
          <w:rFonts w:hint="eastAsia" w:ascii="仿宋_GB2312" w:hAnsi="宋体" w:eastAsia="仿宋_GB2312"/>
          <w:sz w:val="28"/>
          <w:szCs w:val="28"/>
          <w:highlight w:val="none"/>
        </w:rPr>
        <w:t>。</w:t>
      </w:r>
    </w:p>
    <w:p w14:paraId="259EB306">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四、采购方式</w:t>
      </w:r>
    </w:p>
    <w:p w14:paraId="5446A54D">
      <w:pPr>
        <w:pStyle w:val="61"/>
        <w:spacing w:line="560" w:lineRule="exact"/>
        <w:ind w:firstLine="560"/>
        <w:rPr>
          <w:rFonts w:ascii="仿宋_GB2312" w:hAnsi="宋体" w:eastAsia="仿宋_GB2312"/>
        </w:rPr>
      </w:pPr>
      <w:r>
        <w:rPr>
          <w:rFonts w:hint="eastAsia" w:ascii="仿宋_GB2312" w:hAnsi="宋体" w:eastAsia="仿宋_GB2312"/>
        </w:rPr>
        <w:t>本项目包段采用自愿公开招标方式进行采购。</w:t>
      </w:r>
    </w:p>
    <w:p w14:paraId="354056B0">
      <w:pPr>
        <w:widowControl/>
        <w:spacing w:line="560" w:lineRule="exact"/>
        <w:ind w:firstLine="643" w:firstLineChars="200"/>
        <w:jc w:val="center"/>
        <w:rPr>
          <w:rFonts w:ascii="楷体_GB2312" w:hAnsi="宋体" w:eastAsia="楷体_GB2312"/>
          <w:b/>
          <w:bCs/>
          <w:kern w:val="44"/>
          <w:sz w:val="32"/>
          <w:szCs w:val="30"/>
        </w:rPr>
        <w:sectPr>
          <w:headerReference r:id="rId14" w:type="default"/>
          <w:footerReference r:id="rId15" w:type="default"/>
          <w:pgSz w:w="11906" w:h="16838"/>
          <w:pgMar w:top="1440" w:right="1077" w:bottom="1440" w:left="1077" w:header="851" w:footer="992" w:gutter="0"/>
          <w:cols w:space="720" w:num="1"/>
          <w:docGrid w:type="lines" w:linePitch="312" w:charSpace="0"/>
        </w:sectPr>
      </w:pPr>
    </w:p>
    <w:p w14:paraId="004A5E01">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第二部分 采购清单及技术参数</w:t>
      </w:r>
    </w:p>
    <w:p w14:paraId="40050B74">
      <w:pPr>
        <w:pStyle w:val="14"/>
        <w:spacing w:line="560" w:lineRule="exact"/>
        <w:ind w:firstLine="560" w:firstLineChars="200"/>
        <w:rPr>
          <w:rFonts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p w14:paraId="3CF430FE">
      <w:pPr>
        <w:widowControl/>
        <w:spacing w:line="560" w:lineRule="exact"/>
        <w:ind w:firstLine="708" w:firstLineChars="253"/>
        <w:jc w:val="left"/>
        <w:rPr>
          <w:rFonts w:ascii="仿宋_GB2312" w:hAnsi="宋体" w:eastAsia="仿宋_GB2312"/>
          <w:sz w:val="28"/>
          <w:szCs w:val="21"/>
        </w:rPr>
      </w:pPr>
    </w:p>
    <w:tbl>
      <w:tblPr>
        <w:tblStyle w:val="30"/>
        <w:tblW w:w="119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134"/>
        <w:gridCol w:w="1134"/>
        <w:gridCol w:w="1134"/>
        <w:gridCol w:w="5876"/>
      </w:tblGrid>
      <w:tr w14:paraId="7D7E4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D9D9D9"/>
            <w:vAlign w:val="center"/>
          </w:tcPr>
          <w:p w14:paraId="2ADF770A">
            <w:pPr>
              <w:jc w:val="center"/>
              <w:rPr>
                <w:rFonts w:ascii="仿宋_GB2312" w:hAnsi="宋体" w:eastAsia="仿宋_GB2312"/>
                <w:b/>
                <w:sz w:val="24"/>
              </w:rPr>
            </w:pPr>
            <w:r>
              <w:rPr>
                <w:rFonts w:hint="eastAsia" w:ascii="仿宋_GB2312" w:hAnsi="宋体" w:eastAsia="仿宋_GB2312"/>
                <w:b/>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59E671B4">
            <w:pPr>
              <w:jc w:val="center"/>
              <w:rPr>
                <w:rFonts w:ascii="仿宋_GB2312" w:hAnsi="宋体" w:eastAsia="仿宋_GB2312"/>
                <w:b/>
                <w:sz w:val="24"/>
              </w:rPr>
            </w:pPr>
            <w:r>
              <w:rPr>
                <w:rFonts w:hint="eastAsia" w:ascii="仿宋_GB2312" w:hAnsi="宋体" w:eastAsia="仿宋_GB2312"/>
                <w:b/>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78A4F3A2">
            <w:pPr>
              <w:jc w:val="center"/>
              <w:rPr>
                <w:rFonts w:ascii="仿宋_GB2312" w:hAnsi="宋体" w:eastAsia="仿宋_GB2312"/>
                <w:b/>
                <w:sz w:val="24"/>
              </w:rPr>
            </w:pPr>
            <w:r>
              <w:rPr>
                <w:rFonts w:hint="eastAsia" w:ascii="仿宋_GB2312" w:hAnsi="宋体" w:eastAsia="仿宋_GB2312"/>
                <w:b/>
                <w:sz w:val="24"/>
              </w:rPr>
              <w:t>清单</w:t>
            </w:r>
          </w:p>
          <w:p w14:paraId="6B23879C">
            <w:pPr>
              <w:jc w:val="center"/>
              <w:rPr>
                <w:rFonts w:ascii="仿宋_GB2312" w:hAnsi="宋体" w:eastAsia="仿宋_GB2312"/>
                <w:b/>
                <w:sz w:val="24"/>
              </w:rPr>
            </w:pPr>
            <w:r>
              <w:rPr>
                <w:rFonts w:hint="eastAsia" w:ascii="仿宋_GB2312" w:hAnsi="宋体" w:eastAsia="仿宋_GB2312"/>
                <w:b/>
                <w:sz w:val="24"/>
              </w:rPr>
              <w:t>分组</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4D164BF4">
            <w:pPr>
              <w:jc w:val="center"/>
              <w:rPr>
                <w:rFonts w:ascii="仿宋_GB2312" w:hAnsi="宋体" w:eastAsia="仿宋_GB2312"/>
                <w:b/>
                <w:sz w:val="24"/>
              </w:rPr>
            </w:pPr>
            <w:r>
              <w:rPr>
                <w:rFonts w:hint="eastAsia" w:ascii="仿宋_GB2312" w:hAnsi="宋体" w:eastAsia="仿宋_GB2312"/>
                <w:b/>
                <w:sz w:val="24"/>
              </w:rPr>
              <w:t>清单名称</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6B6CB936">
            <w:pPr>
              <w:jc w:val="center"/>
              <w:rPr>
                <w:rFonts w:hint="eastAsia" w:ascii="仿宋_GB2312" w:hAnsi="宋体" w:eastAsia="仿宋_GB2312"/>
                <w:b/>
                <w:sz w:val="24"/>
                <w:highlight w:val="none"/>
                <w:lang w:eastAsia="zh-CN"/>
              </w:rPr>
            </w:pPr>
            <w:r>
              <w:rPr>
                <w:rFonts w:hint="eastAsia" w:ascii="仿宋_GB2312" w:hAnsi="宋体" w:eastAsia="仿宋_GB2312"/>
                <w:b/>
                <w:sz w:val="24"/>
                <w:highlight w:val="none"/>
                <w:lang w:val="en-US" w:eastAsia="zh-CN"/>
              </w:rPr>
              <w:t>数量</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36CD4A7D">
            <w:pPr>
              <w:jc w:val="center"/>
              <w:rPr>
                <w:rFonts w:ascii="仿宋_GB2312" w:hAnsi="宋体" w:eastAsia="仿宋_GB2312"/>
                <w:b/>
                <w:sz w:val="24"/>
                <w:highlight w:val="none"/>
              </w:rPr>
            </w:pPr>
            <w:r>
              <w:rPr>
                <w:rFonts w:hint="eastAsia" w:ascii="仿宋_GB2312" w:hAnsi="宋体" w:eastAsia="仿宋_GB2312"/>
                <w:b/>
                <w:sz w:val="24"/>
                <w:highlight w:val="none"/>
              </w:rPr>
              <w:t>单位</w:t>
            </w:r>
          </w:p>
        </w:tc>
        <w:tc>
          <w:tcPr>
            <w:tcW w:w="5876" w:type="dxa"/>
            <w:tcBorders>
              <w:top w:val="single" w:color="auto" w:sz="4" w:space="0"/>
              <w:left w:val="single" w:color="auto" w:sz="4" w:space="0"/>
              <w:bottom w:val="single" w:color="auto" w:sz="4" w:space="0"/>
              <w:right w:val="single" w:color="auto" w:sz="4" w:space="0"/>
            </w:tcBorders>
            <w:shd w:val="clear" w:color="auto" w:fill="D9D9D9"/>
            <w:vAlign w:val="center"/>
          </w:tcPr>
          <w:p w14:paraId="7CAF6D94">
            <w:pPr>
              <w:jc w:val="center"/>
              <w:rPr>
                <w:rFonts w:ascii="仿宋_GB2312" w:hAnsi="宋体" w:eastAsia="仿宋_GB2312"/>
                <w:b/>
                <w:sz w:val="24"/>
              </w:rPr>
            </w:pPr>
            <w:r>
              <w:rPr>
                <w:rFonts w:hint="eastAsia" w:ascii="仿宋_GB2312" w:hAnsi="宋体" w:eastAsia="仿宋_GB2312"/>
                <w:b/>
                <w:sz w:val="24"/>
              </w:rPr>
              <w:t>功能与技术参数</w:t>
            </w:r>
          </w:p>
        </w:tc>
      </w:tr>
      <w:tr w14:paraId="346AB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DE8124D">
            <w:pPr>
              <w:jc w:val="center"/>
              <w:rPr>
                <w:rFonts w:ascii="仿宋_GB2312" w:hAnsi="宋体" w:eastAsia="仿宋_GB2312"/>
                <w:sz w:val="24"/>
              </w:rPr>
            </w:pPr>
            <w:r>
              <w:rPr>
                <w:rFonts w:hint="eastAsia" w:ascii="仿宋_GB2312" w:hAnsi="宋体" w:eastAsia="仿宋_GB2312"/>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B1305A3">
            <w:pPr>
              <w:jc w:val="center"/>
              <w:rPr>
                <w:rFonts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3CC2D30">
            <w:pPr>
              <w:jc w:val="center"/>
              <w:rPr>
                <w:rFonts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AEE3E5C">
            <w:pPr>
              <w:keepNext w:val="0"/>
              <w:keepLines w:val="0"/>
              <w:widowControl/>
              <w:suppressLineNumbers w:val="0"/>
              <w:jc w:val="center"/>
              <w:textAlignment w:val="center"/>
              <w:rPr>
                <w:rFonts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400kW一体式直流充电机</w:t>
            </w:r>
          </w:p>
        </w:tc>
        <w:tc>
          <w:tcPr>
            <w:tcW w:w="1134" w:type="dxa"/>
            <w:tcBorders>
              <w:top w:val="single" w:color="auto" w:sz="4" w:space="0"/>
              <w:left w:val="single" w:color="auto" w:sz="4" w:space="0"/>
              <w:bottom w:val="single" w:color="auto" w:sz="4" w:space="0"/>
              <w:right w:val="single" w:color="auto" w:sz="4" w:space="0"/>
            </w:tcBorders>
            <w:vAlign w:val="center"/>
          </w:tcPr>
          <w:p w14:paraId="50DB4AE7">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0</w:t>
            </w:r>
          </w:p>
        </w:tc>
        <w:tc>
          <w:tcPr>
            <w:tcW w:w="1134" w:type="dxa"/>
            <w:tcBorders>
              <w:top w:val="single" w:color="auto" w:sz="4" w:space="0"/>
              <w:left w:val="single" w:color="auto" w:sz="4" w:space="0"/>
              <w:bottom w:val="single" w:color="auto" w:sz="4" w:space="0"/>
              <w:right w:val="single" w:color="auto" w:sz="4" w:space="0"/>
            </w:tcBorders>
            <w:vAlign w:val="center"/>
          </w:tcPr>
          <w:p w14:paraId="20DB2264">
            <w:pPr>
              <w:jc w:val="center"/>
              <w:rPr>
                <w:rFonts w:hint="default" w:ascii="仿宋_GB2312" w:hAnsi="宋体" w:eastAsia="仿宋_GB2312"/>
                <w:sz w:val="24"/>
                <w:highlight w:val="none"/>
                <w:lang w:val="en-US" w:eastAsia="zh-CN"/>
              </w:rPr>
            </w:pPr>
            <w:r>
              <w:rPr>
                <w:rFonts w:hint="eastAsia" w:ascii="仿宋_GB2312" w:hAnsi="宋体" w:eastAsia="仿宋_GB2312"/>
                <w:sz w:val="24"/>
                <w:highlight w:val="none"/>
                <w:lang w:val="en-US" w:eastAsia="zh-CN"/>
              </w:rPr>
              <w:t>套</w:t>
            </w:r>
          </w:p>
        </w:tc>
        <w:tc>
          <w:tcPr>
            <w:tcW w:w="5876"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D9BD582">
            <w:pPr>
              <w:widowControl/>
              <w:rPr>
                <w:color w:val="000000" w:themeColor="text1"/>
                <w:sz w:val="21"/>
                <w:szCs w:val="15"/>
                <w14:textFill>
                  <w14:solidFill>
                    <w14:schemeClr w14:val="tx1"/>
                  </w14:solidFill>
                </w14:textFill>
              </w:rPr>
            </w:pPr>
            <w:r>
              <w:rPr>
                <w:rFonts w:hint="eastAsia"/>
                <w:color w:val="000000" w:themeColor="text1"/>
                <w:sz w:val="21"/>
                <w:szCs w:val="15"/>
                <w14:textFill>
                  <w14:solidFill>
                    <w14:schemeClr w14:val="tx1"/>
                  </w14:solidFill>
                </w14:textFill>
              </w:rPr>
              <w:t>额定功率：40</w:t>
            </w:r>
            <w:r>
              <w:rPr>
                <w:color w:val="000000" w:themeColor="text1"/>
                <w:sz w:val="21"/>
                <w:szCs w:val="15"/>
                <w14:textFill>
                  <w14:solidFill>
                    <w14:schemeClr w14:val="tx1"/>
                  </w14:solidFill>
                </w14:textFill>
              </w:rPr>
              <w:t>0</w:t>
            </w:r>
            <w:r>
              <w:rPr>
                <w:rFonts w:hint="eastAsia"/>
                <w:color w:val="000000" w:themeColor="text1"/>
                <w:sz w:val="21"/>
                <w:szCs w:val="15"/>
                <w14:textFill>
                  <w14:solidFill>
                    <w14:schemeClr w14:val="tx1"/>
                  </w14:solidFill>
                </w14:textFill>
              </w:rPr>
              <w:t>k</w:t>
            </w:r>
            <w:r>
              <w:rPr>
                <w:color w:val="000000" w:themeColor="text1"/>
                <w:sz w:val="21"/>
                <w:szCs w:val="15"/>
                <w14:textFill>
                  <w14:solidFill>
                    <w14:schemeClr w14:val="tx1"/>
                  </w14:solidFill>
                </w14:textFill>
              </w:rPr>
              <w:t>W</w:t>
            </w:r>
          </w:p>
          <w:p w14:paraId="0F774E6D">
            <w:pPr>
              <w:widowControl/>
              <w:rPr>
                <w:color w:val="000000" w:themeColor="text1"/>
                <w:sz w:val="21"/>
                <w:szCs w:val="15"/>
                <w14:textFill>
                  <w14:solidFill>
                    <w14:schemeClr w14:val="tx1"/>
                  </w14:solidFill>
                </w14:textFill>
              </w:rPr>
            </w:pPr>
            <w:r>
              <w:rPr>
                <w:rFonts w:hint="eastAsia"/>
                <w:color w:val="000000" w:themeColor="text1"/>
                <w:sz w:val="21"/>
                <w:szCs w:val="15"/>
                <w14:textFill>
                  <w14:solidFill>
                    <w14:schemeClr w14:val="tx1"/>
                  </w14:solidFill>
                </w14:textFill>
              </w:rPr>
              <w:t>充电枪线长度：</w:t>
            </w:r>
            <w:r>
              <w:rPr>
                <w:color w:val="000000" w:themeColor="text1"/>
                <w:sz w:val="21"/>
                <w:szCs w:val="15"/>
                <w14:textFill>
                  <w14:solidFill>
                    <w14:schemeClr w14:val="tx1"/>
                  </w14:solidFill>
                </w14:textFill>
              </w:rPr>
              <w:t>7</w:t>
            </w:r>
            <w:r>
              <w:rPr>
                <w:rFonts w:hint="eastAsia"/>
                <w:color w:val="000000" w:themeColor="text1"/>
                <w:sz w:val="21"/>
                <w:szCs w:val="15"/>
                <w14:textFill>
                  <w14:solidFill>
                    <w14:schemeClr w14:val="tx1"/>
                  </w14:solidFill>
                </w14:textFill>
              </w:rPr>
              <w:t>m</w:t>
            </w:r>
          </w:p>
          <w:p w14:paraId="4A99F020">
            <w:pPr>
              <w:widowControl/>
              <w:rPr>
                <w:color w:val="000000" w:themeColor="text1"/>
                <w:sz w:val="21"/>
                <w:szCs w:val="15"/>
                <w14:textFill>
                  <w14:solidFill>
                    <w14:schemeClr w14:val="tx1"/>
                  </w14:solidFill>
                </w14:textFill>
              </w:rPr>
            </w:pPr>
            <w:r>
              <w:rPr>
                <w:rFonts w:hint="eastAsia"/>
                <w:color w:val="000000" w:themeColor="text1"/>
                <w:sz w:val="21"/>
                <w:szCs w:val="15"/>
                <w14:textFill>
                  <w14:solidFill>
                    <w14:schemeClr w14:val="tx1"/>
                  </w14:solidFill>
                </w14:textFill>
              </w:rPr>
              <w:t>输出电压：5</w:t>
            </w:r>
            <w:r>
              <w:rPr>
                <w:color w:val="000000" w:themeColor="text1"/>
                <w:sz w:val="21"/>
                <w:szCs w:val="15"/>
                <w14:textFill>
                  <w14:solidFill>
                    <w14:schemeClr w14:val="tx1"/>
                  </w14:solidFill>
                </w14:textFill>
              </w:rPr>
              <w:t>0-1000V</w:t>
            </w:r>
          </w:p>
          <w:p w14:paraId="6008B652">
            <w:pPr>
              <w:widowControl/>
              <w:rPr>
                <w:color w:val="000000" w:themeColor="text1"/>
                <w:sz w:val="21"/>
                <w:szCs w:val="15"/>
                <w14:textFill>
                  <w14:solidFill>
                    <w14:schemeClr w14:val="tx1"/>
                  </w14:solidFill>
                </w14:textFill>
              </w:rPr>
            </w:pPr>
            <w:r>
              <w:rPr>
                <w:rFonts w:hint="eastAsia"/>
                <w:color w:val="000000" w:themeColor="text1"/>
                <w:sz w:val="21"/>
                <w:szCs w:val="15"/>
                <w14:textFill>
                  <w14:solidFill>
                    <w14:schemeClr w14:val="tx1"/>
                  </w14:solidFill>
                </w14:textFill>
              </w:rPr>
              <w:t>充电枪数量：2</w:t>
            </w:r>
          </w:p>
          <w:p w14:paraId="473BA515">
            <w:pPr>
              <w:widowControl/>
              <w:rPr>
                <w:color w:val="000000" w:themeColor="text1"/>
                <w:sz w:val="21"/>
                <w:szCs w:val="15"/>
                <w14:textFill>
                  <w14:solidFill>
                    <w14:schemeClr w14:val="tx1"/>
                  </w14:solidFill>
                </w14:textFill>
              </w:rPr>
            </w:pPr>
            <w:r>
              <w:rPr>
                <w:rFonts w:hint="eastAsia"/>
                <w:color w:val="000000" w:themeColor="text1"/>
                <w:sz w:val="21"/>
                <w:szCs w:val="15"/>
                <w14:textFill>
                  <w14:solidFill>
                    <w14:schemeClr w14:val="tx1"/>
                  </w14:solidFill>
                </w14:textFill>
              </w:rPr>
              <w:t>输出电流：单枪：0</w:t>
            </w:r>
            <w:r>
              <w:rPr>
                <w:color w:val="000000" w:themeColor="text1"/>
                <w:sz w:val="21"/>
                <w:szCs w:val="15"/>
                <w14:textFill>
                  <w14:solidFill>
                    <w14:schemeClr w14:val="tx1"/>
                  </w14:solidFill>
                </w14:textFill>
              </w:rPr>
              <w:t>-</w:t>
            </w:r>
            <w:r>
              <w:rPr>
                <w:rFonts w:hint="eastAsia"/>
                <w:color w:val="000000" w:themeColor="text1"/>
                <w:sz w:val="21"/>
                <w:szCs w:val="15"/>
                <w14:textFill>
                  <w14:solidFill>
                    <w14:schemeClr w14:val="tx1"/>
                  </w14:solidFill>
                </w14:textFill>
              </w:rPr>
              <w:t>300A，双枪：0</w:t>
            </w:r>
            <w:r>
              <w:rPr>
                <w:color w:val="000000" w:themeColor="text1"/>
                <w:sz w:val="21"/>
                <w:szCs w:val="15"/>
                <w14:textFill>
                  <w14:solidFill>
                    <w14:schemeClr w14:val="tx1"/>
                  </w14:solidFill>
                </w14:textFill>
              </w:rPr>
              <w:t>-</w:t>
            </w:r>
            <w:r>
              <w:rPr>
                <w:rFonts w:hint="eastAsia"/>
                <w:color w:val="000000" w:themeColor="text1"/>
                <w:sz w:val="21"/>
                <w:szCs w:val="15"/>
                <w14:textFill>
                  <w14:solidFill>
                    <w14:schemeClr w14:val="tx1"/>
                  </w14:solidFill>
                </w14:textFill>
              </w:rPr>
              <w:t>600A</w:t>
            </w:r>
          </w:p>
          <w:p w14:paraId="1BD150BA">
            <w:pPr>
              <w:widowControl/>
              <w:rPr>
                <w:color w:val="000000" w:themeColor="text1"/>
                <w:sz w:val="21"/>
                <w:szCs w:val="15"/>
                <w14:textFill>
                  <w14:solidFill>
                    <w14:schemeClr w14:val="tx1"/>
                  </w14:solidFill>
                </w14:textFill>
              </w:rPr>
            </w:pPr>
            <w:r>
              <w:rPr>
                <w:rFonts w:hint="eastAsia"/>
                <w:color w:val="000000" w:themeColor="text1"/>
                <w:sz w:val="21"/>
                <w:szCs w:val="15"/>
                <w14:textFill>
                  <w14:solidFill>
                    <w14:schemeClr w14:val="tx1"/>
                  </w14:solidFill>
                </w14:textFill>
              </w:rPr>
              <w:t>安装方式：落地式</w:t>
            </w:r>
          </w:p>
          <w:p w14:paraId="781A0D48">
            <w:pPr>
              <w:widowControl/>
              <w:rPr>
                <w:rFonts w:ascii="Times New Roman" w:hAnsi="Times New Roman" w:eastAsia="宋体" w:cs="Times New Roman"/>
                <w:color w:val="000000" w:themeColor="text1"/>
                <w:kern w:val="2"/>
                <w:sz w:val="21"/>
                <w:szCs w:val="15"/>
                <w:lang w:val="en-US" w:eastAsia="zh-CN" w:bidi="ar-SA"/>
                <w14:textFill>
                  <w14:solidFill>
                    <w14:schemeClr w14:val="tx1"/>
                  </w14:solidFill>
                </w14:textFill>
              </w:rPr>
            </w:pPr>
            <w:r>
              <w:rPr>
                <w:rFonts w:hint="eastAsia"/>
                <w:color w:val="000000" w:themeColor="text1"/>
                <w:sz w:val="21"/>
                <w:szCs w:val="15"/>
                <w14:textFill>
                  <w14:solidFill>
                    <w14:schemeClr w14:val="tx1"/>
                  </w14:solidFill>
                </w14:textFill>
              </w:rPr>
              <w:t>防护等级：IP5</w:t>
            </w:r>
            <w:r>
              <w:rPr>
                <w:color w:val="000000" w:themeColor="text1"/>
                <w:sz w:val="21"/>
                <w:szCs w:val="15"/>
                <w14:textFill>
                  <w14:solidFill>
                    <w14:schemeClr w14:val="tx1"/>
                  </w14:solidFill>
                </w14:textFill>
              </w:rPr>
              <w:t>5</w:t>
            </w:r>
          </w:p>
        </w:tc>
      </w:tr>
    </w:tbl>
    <w:p w14:paraId="2CA93F31">
      <w:pPr>
        <w:widowControl/>
        <w:spacing w:line="560" w:lineRule="exact"/>
        <w:ind w:firstLine="708" w:firstLineChars="253"/>
        <w:jc w:val="left"/>
        <w:rPr>
          <w:rFonts w:ascii="仿宋_GB2312" w:hAnsi="宋体" w:eastAsia="仿宋_GB2312"/>
          <w:sz w:val="28"/>
          <w:szCs w:val="21"/>
        </w:rPr>
        <w:sectPr>
          <w:pgSz w:w="16838" w:h="11906" w:orient="landscape"/>
          <w:pgMar w:top="1077" w:right="1440" w:bottom="1077" w:left="1440" w:header="851" w:footer="992" w:gutter="0"/>
          <w:cols w:space="720" w:num="1"/>
          <w:docGrid w:type="lines" w:linePitch="312" w:charSpace="0"/>
        </w:sectPr>
      </w:pPr>
    </w:p>
    <w:p w14:paraId="09FD7AFF">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第三部分 技术要求</w:t>
      </w:r>
    </w:p>
    <w:p w14:paraId="5C644421">
      <w:pPr>
        <w:spacing w:line="560" w:lineRule="exact"/>
        <w:ind w:firstLine="562" w:firstLineChars="200"/>
        <w:rPr>
          <w:rFonts w:ascii="黑体" w:hAnsi="黑体" w:eastAsia="黑体"/>
          <w:b/>
          <w:sz w:val="28"/>
          <w:szCs w:val="21"/>
        </w:rPr>
      </w:pPr>
      <w:r>
        <w:rPr>
          <w:rFonts w:hint="eastAsia" w:ascii="黑体" w:hAnsi="黑体" w:eastAsia="黑体"/>
          <w:b/>
          <w:sz w:val="28"/>
          <w:szCs w:val="21"/>
        </w:rPr>
        <w:t>一、需执行的标准</w:t>
      </w:r>
    </w:p>
    <w:p w14:paraId="0D96885F">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14:paraId="62FA6AF1">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14:paraId="3BE595D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14:paraId="71B311DA">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4）其他标准：按照最新标准执行  </w:t>
      </w:r>
    </w:p>
    <w:p w14:paraId="7DC0DED7">
      <w:pPr>
        <w:spacing w:line="560" w:lineRule="exact"/>
        <w:ind w:firstLine="562" w:firstLineChars="200"/>
        <w:rPr>
          <w:rFonts w:ascii="黑体" w:hAnsi="黑体" w:eastAsia="黑体"/>
          <w:b/>
          <w:sz w:val="28"/>
          <w:szCs w:val="21"/>
        </w:rPr>
      </w:pPr>
      <w:r>
        <w:rPr>
          <w:rFonts w:hint="eastAsia" w:ascii="黑体" w:hAnsi="黑体" w:eastAsia="黑体"/>
          <w:b/>
          <w:sz w:val="28"/>
          <w:szCs w:val="21"/>
        </w:rPr>
        <w:t>二、实施及交付</w:t>
      </w:r>
    </w:p>
    <w:p w14:paraId="6B31C7A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1）质量要求</w:t>
      </w:r>
    </w:p>
    <w:p w14:paraId="6FC63580">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合格  </w:t>
      </w:r>
    </w:p>
    <w:p w14:paraId="21FF60DE">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2）安全要求</w:t>
      </w:r>
    </w:p>
    <w:p w14:paraId="5D33F7BE">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 使用安全、可靠   </w:t>
      </w:r>
    </w:p>
    <w:p w14:paraId="2DB41EB9">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rPr>
        <w:t>3）</w:t>
      </w:r>
      <w:r>
        <w:rPr>
          <w:rFonts w:hint="eastAsia" w:ascii="仿宋_GB2312" w:hAnsi="宋体" w:eastAsia="仿宋_GB2312"/>
          <w:sz w:val="28"/>
          <w:szCs w:val="21"/>
          <w:lang w:val="en-US" w:eastAsia="zh-CN"/>
        </w:rPr>
        <w:t>交付</w:t>
      </w:r>
      <w:r>
        <w:rPr>
          <w:rFonts w:hint="eastAsia" w:ascii="仿宋_GB2312" w:hAnsi="宋体" w:eastAsia="仿宋_GB2312"/>
          <w:sz w:val="28"/>
          <w:szCs w:val="21"/>
        </w:rPr>
        <w:t>期</w:t>
      </w:r>
    </w:p>
    <w:p w14:paraId="6E56C2DD">
      <w:pPr>
        <w:spacing w:line="560" w:lineRule="exact"/>
        <w:ind w:firstLine="560" w:firstLineChars="200"/>
        <w:rPr>
          <w:rFonts w:hint="eastAsia" w:ascii="仿宋_GB2312" w:hAnsi="宋体" w:eastAsia="仿宋_GB2312"/>
          <w:sz w:val="28"/>
          <w:szCs w:val="21"/>
          <w:highlight w:val="none"/>
          <w:lang w:val="en-US" w:eastAsia="zh-CN"/>
        </w:rPr>
      </w:pPr>
      <w:r>
        <w:rPr>
          <w:rFonts w:hint="eastAsia" w:ascii="仿宋_GB2312" w:hAnsi="宋体" w:eastAsia="仿宋_GB2312"/>
          <w:sz w:val="28"/>
          <w:szCs w:val="21"/>
          <w:highlight w:val="none"/>
          <w:lang w:eastAsia="zh-CN"/>
        </w:rPr>
        <w:t>自合同签订后10天内交付</w:t>
      </w:r>
    </w:p>
    <w:p w14:paraId="3B35A9CB">
      <w:pPr>
        <w:spacing w:line="560" w:lineRule="exact"/>
        <w:ind w:firstLine="560" w:firstLineChars="200"/>
        <w:rPr>
          <w:rFonts w:ascii="仿宋_GB2312" w:hAnsi="宋体" w:eastAsia="仿宋_GB2312"/>
          <w:sz w:val="28"/>
          <w:szCs w:val="21"/>
          <w:highlight w:val="none"/>
        </w:rPr>
      </w:pPr>
      <w:r>
        <w:rPr>
          <w:rFonts w:ascii="仿宋_GB2312" w:hAnsi="宋体" w:eastAsia="仿宋_GB2312"/>
          <w:sz w:val="28"/>
          <w:szCs w:val="21"/>
          <w:highlight w:val="none"/>
        </w:rPr>
        <w:t>4）交付（实施）地点</w:t>
      </w:r>
    </w:p>
    <w:p w14:paraId="14BFA6B1">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采购人指定地点 </w:t>
      </w:r>
    </w:p>
    <w:p w14:paraId="176A94E4">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5）付款方式</w:t>
      </w:r>
    </w:p>
    <w:p w14:paraId="6EDEB855">
      <w:pPr>
        <w:spacing w:line="560" w:lineRule="exact"/>
        <w:ind w:firstLine="560" w:firstLineChars="200"/>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eastAsia="zh-CN"/>
        </w:rPr>
        <w:t>甲方支付30%预付款 ，到货验收合格后支付至合同金额的60%，安装完成经甲方验收设备完备并可正常使用后支付至合同金额的97%，预留3%质保金,。货物使用一年后无质量问题一次性付清质保金（不包含利息）。</w:t>
      </w:r>
    </w:p>
    <w:p w14:paraId="715275FC">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三、服务要求</w:t>
      </w:r>
    </w:p>
    <w:p w14:paraId="03852DF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1）服务标准</w:t>
      </w:r>
    </w:p>
    <w:p w14:paraId="274172D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在规定的期限内，保质保量完成供货任务。  </w:t>
      </w:r>
    </w:p>
    <w:p w14:paraId="3364BF9A">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四、验收标准</w:t>
      </w:r>
    </w:p>
    <w:p w14:paraId="3B173F7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8"/>
          <w:highlight w:val="none"/>
        </w:rPr>
        <w:t xml:space="preserve">符合相关技术要求及行业标准。 </w:t>
      </w:r>
      <w:r>
        <w:rPr>
          <w:rFonts w:hint="eastAsia" w:ascii="仿宋_GB2312" w:hAnsi="宋体" w:eastAsia="仿宋_GB2312"/>
          <w:sz w:val="28"/>
          <w:szCs w:val="21"/>
          <w:highlight w:val="none"/>
        </w:rPr>
        <w:t xml:space="preserve"> </w:t>
      </w:r>
    </w:p>
    <w:p w14:paraId="05EAFE92">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五、其他技术及服务要求</w:t>
      </w:r>
    </w:p>
    <w:p w14:paraId="69AA5450">
      <w:pPr>
        <w:spacing w:line="560" w:lineRule="exact"/>
        <w:ind w:firstLine="560" w:firstLineChars="200"/>
        <w:rPr>
          <w:rFonts w:hint="eastAsia" w:ascii="仿宋_GB2312" w:hAnsi="宋体" w:eastAsia="仿宋_GB2312"/>
          <w:sz w:val="28"/>
          <w:szCs w:val="28"/>
          <w:highlight w:val="none"/>
          <w:lang w:val="en-US" w:eastAsia="zh-CN"/>
        </w:rPr>
      </w:pPr>
      <w:r>
        <w:rPr>
          <w:rFonts w:hint="eastAsia" w:ascii="仿宋_GB2312" w:hAnsi="宋体" w:eastAsia="仿宋_GB2312"/>
          <w:sz w:val="28"/>
          <w:szCs w:val="28"/>
          <w:highlight w:val="none"/>
          <w:lang w:val="en-US" w:eastAsia="zh-CN"/>
        </w:rPr>
        <w:t>投标方提供的设备和附件需要满足的主要标准</w:t>
      </w:r>
    </w:p>
    <w:tbl>
      <w:tblPr>
        <w:tblStyle w:val="31"/>
        <w:tblW w:w="83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1"/>
        <w:gridCol w:w="5851"/>
      </w:tblGrid>
      <w:tr w14:paraId="1DFF1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2451" w:type="dxa"/>
            <w:tcBorders>
              <w:top w:val="single" w:color="auto" w:sz="4" w:space="0"/>
              <w:left w:val="single" w:color="auto" w:sz="4" w:space="0"/>
              <w:bottom w:val="single" w:color="auto" w:sz="4" w:space="0"/>
              <w:right w:val="single" w:color="auto" w:sz="4" w:space="0"/>
            </w:tcBorders>
            <w:vAlign w:val="center"/>
          </w:tcPr>
          <w:p w14:paraId="70995210">
            <w:pPr>
              <w:jc w:val="center"/>
              <w:rPr>
                <w:rFonts w:hint="eastAsia" w:hAnsi="宋体" w:cs="Times New Roman"/>
                <w:b/>
                <w:bCs/>
                <w:kern w:val="0"/>
                <w:sz w:val="21"/>
                <w:szCs w:val="21"/>
              </w:rPr>
            </w:pPr>
            <w:bookmarkStart w:id="0" w:name="_Toc411176403"/>
            <w:bookmarkStart w:id="1" w:name="_Toc351107502"/>
            <w:bookmarkStart w:id="2" w:name="_Toc351107605"/>
            <w:bookmarkStart w:id="3" w:name="_Toc351107787"/>
            <w:bookmarkStart w:id="4" w:name="_Toc255074821"/>
            <w:bookmarkStart w:id="5" w:name="_Toc428997264"/>
            <w:bookmarkStart w:id="6" w:name="_Toc387646167"/>
            <w:bookmarkStart w:id="7" w:name="_Toc253150285"/>
            <w:r>
              <w:rPr>
                <w:rFonts w:hint="eastAsia" w:hAnsi="宋体" w:cs="Arial"/>
                <w:b/>
                <w:bCs/>
                <w:kern w:val="0"/>
                <w:szCs w:val="21"/>
              </w:rPr>
              <w:t>标   准   号</w:t>
            </w:r>
          </w:p>
        </w:tc>
        <w:tc>
          <w:tcPr>
            <w:tcW w:w="5851" w:type="dxa"/>
            <w:tcBorders>
              <w:top w:val="single" w:color="auto" w:sz="4" w:space="0"/>
              <w:left w:val="single" w:color="auto" w:sz="4" w:space="0"/>
              <w:bottom w:val="single" w:color="auto" w:sz="4" w:space="0"/>
              <w:right w:val="single" w:color="auto" w:sz="4" w:space="0"/>
            </w:tcBorders>
            <w:vAlign w:val="center"/>
          </w:tcPr>
          <w:p w14:paraId="0F3066BE">
            <w:pPr>
              <w:jc w:val="center"/>
              <w:rPr>
                <w:rFonts w:hint="eastAsia" w:hAnsi="宋体" w:cs="Times New Roman"/>
                <w:b/>
                <w:bCs/>
                <w:kern w:val="0"/>
                <w:szCs w:val="21"/>
              </w:rPr>
            </w:pPr>
            <w:r>
              <w:rPr>
                <w:rFonts w:hint="eastAsia" w:hAnsi="宋体" w:cs="Arial"/>
                <w:b/>
                <w:bCs/>
                <w:kern w:val="0"/>
                <w:szCs w:val="21"/>
              </w:rPr>
              <w:t>标  准  名  称</w:t>
            </w:r>
          </w:p>
        </w:tc>
      </w:tr>
      <w:tr w14:paraId="0504A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7BF88E9F">
            <w:pPr>
              <w:jc w:val="center"/>
              <w:rPr>
                <w:rFonts w:hint="eastAsia" w:hAnsi="宋体" w:cs="Arial"/>
                <w:kern w:val="0"/>
                <w:szCs w:val="21"/>
              </w:rPr>
            </w:pPr>
            <w:r>
              <w:rPr>
                <w:rFonts w:hint="eastAsia" w:hAnsi="宋体" w:cs="Arial"/>
                <w:kern w:val="0"/>
                <w:szCs w:val="21"/>
              </w:rPr>
              <w:t>GB/T 18487.1-2015</w:t>
            </w:r>
          </w:p>
        </w:tc>
        <w:tc>
          <w:tcPr>
            <w:tcW w:w="5851" w:type="dxa"/>
            <w:tcBorders>
              <w:top w:val="single" w:color="auto" w:sz="4" w:space="0"/>
              <w:left w:val="single" w:color="auto" w:sz="4" w:space="0"/>
              <w:bottom w:val="single" w:color="auto" w:sz="4" w:space="0"/>
              <w:right w:val="single" w:color="auto" w:sz="4" w:space="0"/>
            </w:tcBorders>
            <w:vAlign w:val="center"/>
          </w:tcPr>
          <w:p w14:paraId="55BA273C">
            <w:pPr>
              <w:rPr>
                <w:rFonts w:hint="eastAsia" w:hAnsi="宋体" w:cs="Arial"/>
                <w:kern w:val="0"/>
                <w:szCs w:val="21"/>
              </w:rPr>
            </w:pPr>
            <w:r>
              <w:rPr>
                <w:rFonts w:hint="eastAsia" w:hAnsi="宋体" w:cs="Arial"/>
                <w:kern w:val="0"/>
                <w:szCs w:val="21"/>
              </w:rPr>
              <w:t xml:space="preserve">电动车辆传导充电系统 </w:t>
            </w:r>
          </w:p>
        </w:tc>
      </w:tr>
      <w:tr w14:paraId="7429E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36E63E4B">
            <w:pPr>
              <w:jc w:val="center"/>
              <w:rPr>
                <w:rFonts w:hint="eastAsia" w:hAnsi="宋体" w:cs="Arial"/>
                <w:kern w:val="0"/>
                <w:szCs w:val="21"/>
              </w:rPr>
            </w:pPr>
            <w:r>
              <w:rPr>
                <w:rFonts w:hint="eastAsia" w:hAnsi="宋体" w:cs="Arial"/>
                <w:kern w:val="0"/>
                <w:szCs w:val="21"/>
              </w:rPr>
              <w:t>GB/T 18487.1-2023</w:t>
            </w:r>
          </w:p>
        </w:tc>
        <w:tc>
          <w:tcPr>
            <w:tcW w:w="5851" w:type="dxa"/>
            <w:tcBorders>
              <w:top w:val="single" w:color="auto" w:sz="4" w:space="0"/>
              <w:left w:val="single" w:color="auto" w:sz="4" w:space="0"/>
              <w:bottom w:val="single" w:color="auto" w:sz="4" w:space="0"/>
              <w:right w:val="single" w:color="auto" w:sz="4" w:space="0"/>
            </w:tcBorders>
            <w:vAlign w:val="center"/>
          </w:tcPr>
          <w:p w14:paraId="7FEFCC31">
            <w:pPr>
              <w:rPr>
                <w:rFonts w:hint="eastAsia" w:hAnsi="宋体" w:cs="Arial"/>
                <w:kern w:val="0"/>
                <w:szCs w:val="21"/>
              </w:rPr>
            </w:pPr>
            <w:r>
              <w:rPr>
                <w:rFonts w:hint="eastAsia" w:hAnsi="宋体" w:cs="Arial"/>
                <w:kern w:val="0"/>
                <w:szCs w:val="21"/>
              </w:rPr>
              <w:t xml:space="preserve">电动车辆传导充电系统 </w:t>
            </w:r>
          </w:p>
        </w:tc>
      </w:tr>
      <w:tr w14:paraId="0F585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6B5AF224">
            <w:pPr>
              <w:jc w:val="center"/>
              <w:rPr>
                <w:rFonts w:hint="eastAsia" w:hAnsi="宋体" w:cs="Arial"/>
                <w:kern w:val="0"/>
                <w:szCs w:val="21"/>
              </w:rPr>
            </w:pPr>
            <w:r>
              <w:rPr>
                <w:rFonts w:hint="eastAsia" w:hAnsi="宋体" w:cs="Arial"/>
                <w:kern w:val="0"/>
                <w:szCs w:val="21"/>
              </w:rPr>
              <w:t>GB/T 18487.2-2017</w:t>
            </w:r>
          </w:p>
        </w:tc>
        <w:tc>
          <w:tcPr>
            <w:tcW w:w="5851" w:type="dxa"/>
            <w:tcBorders>
              <w:top w:val="single" w:color="auto" w:sz="4" w:space="0"/>
              <w:left w:val="single" w:color="auto" w:sz="4" w:space="0"/>
              <w:bottom w:val="single" w:color="auto" w:sz="4" w:space="0"/>
              <w:right w:val="single" w:color="auto" w:sz="4" w:space="0"/>
            </w:tcBorders>
            <w:vAlign w:val="center"/>
          </w:tcPr>
          <w:p w14:paraId="02CE23DF">
            <w:pPr>
              <w:rPr>
                <w:rFonts w:hint="eastAsia" w:hAnsi="宋体" w:cs="Arial"/>
                <w:kern w:val="0"/>
                <w:szCs w:val="21"/>
              </w:rPr>
            </w:pPr>
            <w:r>
              <w:rPr>
                <w:rFonts w:hint="eastAsia" w:hAnsi="宋体" w:cs="Arial"/>
                <w:kern w:val="0"/>
                <w:szCs w:val="21"/>
              </w:rPr>
              <w:t>电动汽车传导充电系统　</w:t>
            </w:r>
          </w:p>
        </w:tc>
      </w:tr>
      <w:tr w14:paraId="2836E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084E2AF1">
            <w:pPr>
              <w:jc w:val="center"/>
              <w:rPr>
                <w:rFonts w:hint="eastAsia" w:hAnsi="宋体" w:cs="Arial"/>
                <w:kern w:val="0"/>
                <w:szCs w:val="21"/>
              </w:rPr>
            </w:pPr>
            <w:r>
              <w:rPr>
                <w:rFonts w:hint="eastAsia" w:hAnsi="宋体" w:cs="Arial"/>
                <w:kern w:val="0"/>
                <w:szCs w:val="21"/>
              </w:rPr>
              <w:t>GB/T 27930-2023</w:t>
            </w:r>
          </w:p>
        </w:tc>
        <w:tc>
          <w:tcPr>
            <w:tcW w:w="5851" w:type="dxa"/>
            <w:tcBorders>
              <w:top w:val="single" w:color="auto" w:sz="4" w:space="0"/>
              <w:left w:val="single" w:color="auto" w:sz="4" w:space="0"/>
              <w:bottom w:val="single" w:color="auto" w:sz="4" w:space="0"/>
              <w:right w:val="single" w:color="auto" w:sz="4" w:space="0"/>
            </w:tcBorders>
            <w:vAlign w:val="center"/>
          </w:tcPr>
          <w:p w14:paraId="4148EFC1">
            <w:pPr>
              <w:rPr>
                <w:rFonts w:hint="eastAsia" w:hAnsi="宋体" w:cs="Arial"/>
                <w:kern w:val="0"/>
                <w:szCs w:val="21"/>
              </w:rPr>
            </w:pPr>
            <w:r>
              <w:rPr>
                <w:rFonts w:hint="eastAsia" w:hAnsi="宋体" w:cs="Arial"/>
                <w:kern w:val="0"/>
                <w:szCs w:val="21"/>
              </w:rPr>
              <w:t>非车载传导式充电机与电动汽车之间的数字通信协议</w:t>
            </w:r>
          </w:p>
        </w:tc>
      </w:tr>
      <w:tr w14:paraId="147D3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69CC411E">
            <w:pPr>
              <w:jc w:val="center"/>
              <w:rPr>
                <w:rFonts w:hint="eastAsia" w:hAnsi="宋体" w:cs="Arial"/>
                <w:kern w:val="0"/>
                <w:szCs w:val="21"/>
              </w:rPr>
            </w:pPr>
            <w:r>
              <w:rPr>
                <w:rFonts w:hint="eastAsia" w:hAnsi="宋体" w:cs="Arial"/>
                <w:kern w:val="0"/>
                <w:szCs w:val="21"/>
              </w:rPr>
              <w:t>GB/T 20234.1-2023</w:t>
            </w:r>
          </w:p>
        </w:tc>
        <w:tc>
          <w:tcPr>
            <w:tcW w:w="5851" w:type="dxa"/>
            <w:tcBorders>
              <w:top w:val="single" w:color="auto" w:sz="4" w:space="0"/>
              <w:left w:val="single" w:color="auto" w:sz="4" w:space="0"/>
              <w:bottom w:val="single" w:color="auto" w:sz="4" w:space="0"/>
              <w:right w:val="single" w:color="auto" w:sz="4" w:space="0"/>
            </w:tcBorders>
            <w:vAlign w:val="center"/>
          </w:tcPr>
          <w:p w14:paraId="5B443FAE">
            <w:pPr>
              <w:rPr>
                <w:rFonts w:hint="eastAsia" w:hAnsi="宋体" w:cs="Arial"/>
                <w:kern w:val="0"/>
                <w:szCs w:val="21"/>
              </w:rPr>
            </w:pPr>
            <w:r>
              <w:rPr>
                <w:rFonts w:hint="eastAsia" w:hAnsi="宋体" w:cs="Arial"/>
                <w:kern w:val="0"/>
                <w:szCs w:val="21"/>
              </w:rPr>
              <w:t>电动汽车传导充电用连接装置</w:t>
            </w:r>
            <w:r>
              <w:rPr>
                <w:rFonts w:hint="eastAsia" w:hAnsi="宋体" w:cs="Arial"/>
                <w:color w:val="0000FF"/>
                <w:kern w:val="0"/>
                <w:szCs w:val="21"/>
              </w:rPr>
              <w:t xml:space="preserve"> </w:t>
            </w:r>
          </w:p>
        </w:tc>
      </w:tr>
      <w:tr w14:paraId="6959A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030A4440">
            <w:pPr>
              <w:jc w:val="center"/>
              <w:rPr>
                <w:rFonts w:hint="eastAsia" w:hAnsi="宋体" w:cs="Arial"/>
                <w:kern w:val="0"/>
                <w:szCs w:val="21"/>
              </w:rPr>
            </w:pPr>
            <w:r>
              <w:rPr>
                <w:rFonts w:hint="eastAsia" w:hAnsi="宋体" w:cs="Arial"/>
                <w:kern w:val="0"/>
                <w:szCs w:val="21"/>
              </w:rPr>
              <w:t>GB/T 20234.3-2023</w:t>
            </w:r>
          </w:p>
        </w:tc>
        <w:tc>
          <w:tcPr>
            <w:tcW w:w="5851" w:type="dxa"/>
            <w:tcBorders>
              <w:top w:val="single" w:color="auto" w:sz="4" w:space="0"/>
              <w:left w:val="single" w:color="auto" w:sz="4" w:space="0"/>
              <w:bottom w:val="single" w:color="auto" w:sz="4" w:space="0"/>
              <w:right w:val="single" w:color="auto" w:sz="4" w:space="0"/>
            </w:tcBorders>
            <w:vAlign w:val="center"/>
          </w:tcPr>
          <w:p w14:paraId="4FE6E21B">
            <w:pPr>
              <w:rPr>
                <w:rFonts w:hint="eastAsia" w:hAnsi="宋体" w:cs="Arial"/>
                <w:kern w:val="0"/>
                <w:szCs w:val="21"/>
              </w:rPr>
            </w:pPr>
            <w:r>
              <w:rPr>
                <w:rFonts w:hint="eastAsia" w:hAnsi="宋体" w:cs="Arial"/>
                <w:kern w:val="0"/>
                <w:szCs w:val="21"/>
              </w:rPr>
              <w:t xml:space="preserve">电动汽车传导充电用连接装置 </w:t>
            </w:r>
          </w:p>
        </w:tc>
      </w:tr>
      <w:tr w14:paraId="5CD05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1E3BB941">
            <w:pPr>
              <w:jc w:val="center"/>
              <w:rPr>
                <w:rFonts w:hint="eastAsia" w:hAnsi="宋体" w:cs="Arial"/>
                <w:kern w:val="0"/>
                <w:szCs w:val="21"/>
              </w:rPr>
            </w:pPr>
            <w:r>
              <w:rPr>
                <w:rFonts w:hint="eastAsia" w:hAnsi="宋体" w:cs="Arial"/>
                <w:kern w:val="0"/>
                <w:szCs w:val="21"/>
              </w:rPr>
              <w:t>GB/T 20234.4-2023</w:t>
            </w:r>
          </w:p>
        </w:tc>
        <w:tc>
          <w:tcPr>
            <w:tcW w:w="5851" w:type="dxa"/>
            <w:tcBorders>
              <w:top w:val="single" w:color="auto" w:sz="4" w:space="0"/>
              <w:left w:val="single" w:color="auto" w:sz="4" w:space="0"/>
              <w:bottom w:val="single" w:color="auto" w:sz="4" w:space="0"/>
              <w:right w:val="single" w:color="auto" w:sz="4" w:space="0"/>
            </w:tcBorders>
            <w:vAlign w:val="center"/>
          </w:tcPr>
          <w:p w14:paraId="198FE284">
            <w:pPr>
              <w:rPr>
                <w:rFonts w:hint="eastAsia" w:hAnsi="宋体" w:cs="Arial"/>
                <w:kern w:val="0"/>
                <w:szCs w:val="21"/>
              </w:rPr>
            </w:pPr>
            <w:r>
              <w:rPr>
                <w:rFonts w:hint="eastAsia" w:hAnsi="宋体" w:cs="Arial"/>
                <w:kern w:val="0"/>
                <w:szCs w:val="21"/>
              </w:rPr>
              <w:t xml:space="preserve">电动汽车传导充电用连接装置 </w:t>
            </w:r>
          </w:p>
        </w:tc>
      </w:tr>
      <w:tr w14:paraId="620A4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62AA685A">
            <w:pPr>
              <w:jc w:val="center"/>
              <w:rPr>
                <w:rFonts w:hint="eastAsia" w:hAnsi="宋体" w:cs="Arial"/>
                <w:kern w:val="0"/>
                <w:szCs w:val="21"/>
              </w:rPr>
            </w:pPr>
            <w:r>
              <w:rPr>
                <w:rFonts w:hint="eastAsia" w:hAnsi="宋体" w:cs="Arial"/>
                <w:kern w:val="0"/>
                <w:szCs w:val="21"/>
              </w:rPr>
              <w:t>NB/T 33001-2018</w:t>
            </w:r>
          </w:p>
        </w:tc>
        <w:tc>
          <w:tcPr>
            <w:tcW w:w="5851" w:type="dxa"/>
            <w:tcBorders>
              <w:top w:val="single" w:color="auto" w:sz="4" w:space="0"/>
              <w:left w:val="single" w:color="auto" w:sz="4" w:space="0"/>
              <w:bottom w:val="single" w:color="auto" w:sz="4" w:space="0"/>
              <w:right w:val="single" w:color="auto" w:sz="4" w:space="0"/>
            </w:tcBorders>
            <w:vAlign w:val="center"/>
          </w:tcPr>
          <w:p w14:paraId="6441A210">
            <w:pPr>
              <w:rPr>
                <w:rFonts w:hint="eastAsia" w:hAnsi="宋体" w:cs="Arial"/>
                <w:kern w:val="0"/>
                <w:szCs w:val="21"/>
              </w:rPr>
            </w:pPr>
            <w:r>
              <w:rPr>
                <w:rFonts w:hint="eastAsia" w:hAnsi="宋体" w:cs="Arial"/>
                <w:kern w:val="0"/>
                <w:szCs w:val="21"/>
              </w:rPr>
              <w:t>电动汽车非车载传导式充电机技术条件</w:t>
            </w:r>
          </w:p>
        </w:tc>
      </w:tr>
      <w:tr w14:paraId="58B8F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01727654">
            <w:pPr>
              <w:jc w:val="center"/>
              <w:rPr>
                <w:rFonts w:hint="eastAsia" w:hAnsi="宋体" w:cs="Arial"/>
                <w:kern w:val="0"/>
                <w:szCs w:val="21"/>
              </w:rPr>
            </w:pPr>
            <w:r>
              <w:rPr>
                <w:rFonts w:hint="eastAsia" w:hAnsi="宋体" w:cs="Arial"/>
                <w:kern w:val="0"/>
                <w:szCs w:val="21"/>
              </w:rPr>
              <w:t>NB/T 33008.1-2018</w:t>
            </w:r>
          </w:p>
        </w:tc>
        <w:tc>
          <w:tcPr>
            <w:tcW w:w="5851" w:type="dxa"/>
            <w:tcBorders>
              <w:top w:val="single" w:color="auto" w:sz="4" w:space="0"/>
              <w:left w:val="single" w:color="auto" w:sz="4" w:space="0"/>
              <w:bottom w:val="single" w:color="auto" w:sz="4" w:space="0"/>
              <w:right w:val="single" w:color="auto" w:sz="4" w:space="0"/>
            </w:tcBorders>
            <w:vAlign w:val="center"/>
          </w:tcPr>
          <w:p w14:paraId="49F7E96F">
            <w:pPr>
              <w:rPr>
                <w:rFonts w:hint="eastAsia" w:hAnsi="宋体" w:cs="Arial"/>
                <w:kern w:val="0"/>
                <w:szCs w:val="21"/>
              </w:rPr>
            </w:pPr>
            <w:r>
              <w:rPr>
                <w:rFonts w:hint="eastAsia" w:hAnsi="宋体" w:cs="Arial"/>
                <w:kern w:val="0"/>
                <w:szCs w:val="21"/>
              </w:rPr>
              <w:t>电动汽车充电设备检验试验规范 第1部分：非车载充电机</w:t>
            </w:r>
          </w:p>
        </w:tc>
      </w:tr>
      <w:tr w14:paraId="36616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1EB1B8FC">
            <w:pPr>
              <w:jc w:val="center"/>
              <w:rPr>
                <w:rFonts w:hint="eastAsia" w:hAnsi="宋体" w:cs="Arial"/>
                <w:kern w:val="0"/>
                <w:szCs w:val="21"/>
              </w:rPr>
            </w:pPr>
            <w:r>
              <w:rPr>
                <w:rFonts w:hint="eastAsia" w:hAnsi="宋体" w:cs="Arial"/>
                <w:kern w:val="0"/>
                <w:szCs w:val="21"/>
              </w:rPr>
              <w:t>JJG 1149-2022</w:t>
            </w:r>
          </w:p>
        </w:tc>
        <w:tc>
          <w:tcPr>
            <w:tcW w:w="5851" w:type="dxa"/>
            <w:tcBorders>
              <w:top w:val="single" w:color="auto" w:sz="4" w:space="0"/>
              <w:left w:val="single" w:color="auto" w:sz="4" w:space="0"/>
              <w:bottom w:val="single" w:color="auto" w:sz="4" w:space="0"/>
              <w:right w:val="single" w:color="auto" w:sz="4" w:space="0"/>
            </w:tcBorders>
            <w:vAlign w:val="center"/>
          </w:tcPr>
          <w:p w14:paraId="3FBF39B4">
            <w:pPr>
              <w:rPr>
                <w:rFonts w:hint="eastAsia" w:hAnsi="宋体" w:cs="Arial"/>
                <w:kern w:val="0"/>
                <w:szCs w:val="21"/>
              </w:rPr>
            </w:pPr>
            <w:r>
              <w:rPr>
                <w:rFonts w:hint="eastAsia" w:hAnsi="宋体" w:cs="Arial"/>
                <w:kern w:val="0"/>
                <w:szCs w:val="21"/>
              </w:rPr>
              <w:t>电动汽车非车载充电机(试行)</w:t>
            </w:r>
          </w:p>
        </w:tc>
      </w:tr>
      <w:tr w14:paraId="2C6AE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26D6943A">
            <w:pPr>
              <w:jc w:val="center"/>
              <w:rPr>
                <w:rFonts w:hint="eastAsia" w:hAnsi="宋体" w:cs="Times New Roman"/>
                <w:kern w:val="0"/>
                <w:szCs w:val="21"/>
              </w:rPr>
            </w:pPr>
            <w:r>
              <w:rPr>
                <w:rFonts w:hint="eastAsia" w:hAnsi="宋体" w:cs="Arial"/>
                <w:kern w:val="0"/>
                <w:szCs w:val="21"/>
              </w:rPr>
              <w:t>GB/T 2423.1-2008</w:t>
            </w:r>
          </w:p>
        </w:tc>
        <w:tc>
          <w:tcPr>
            <w:tcW w:w="5851" w:type="dxa"/>
            <w:tcBorders>
              <w:top w:val="single" w:color="auto" w:sz="4" w:space="0"/>
              <w:left w:val="single" w:color="auto" w:sz="4" w:space="0"/>
              <w:bottom w:val="single" w:color="auto" w:sz="4" w:space="0"/>
              <w:right w:val="single" w:color="auto" w:sz="4" w:space="0"/>
            </w:tcBorders>
            <w:vAlign w:val="center"/>
          </w:tcPr>
          <w:p w14:paraId="199F2301">
            <w:pPr>
              <w:rPr>
                <w:rFonts w:hint="eastAsia" w:hAnsi="宋体" w:cs="Times New Roman"/>
                <w:kern w:val="0"/>
                <w:szCs w:val="21"/>
              </w:rPr>
            </w:pPr>
            <w:r>
              <w:rPr>
                <w:rFonts w:hint="eastAsia" w:hAnsi="宋体" w:cs="Arial"/>
                <w:kern w:val="0"/>
                <w:szCs w:val="21"/>
              </w:rPr>
              <w:t>电工电子产品环境试验　</w:t>
            </w:r>
          </w:p>
        </w:tc>
      </w:tr>
      <w:tr w14:paraId="11F25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4307B505">
            <w:pPr>
              <w:jc w:val="center"/>
              <w:rPr>
                <w:rFonts w:hint="eastAsia" w:hAnsi="宋体" w:cs="Times New Roman"/>
                <w:kern w:val="0"/>
                <w:szCs w:val="21"/>
              </w:rPr>
            </w:pPr>
            <w:r>
              <w:rPr>
                <w:rFonts w:hint="eastAsia" w:hAnsi="宋体" w:cs="Arial"/>
                <w:kern w:val="0"/>
                <w:szCs w:val="21"/>
              </w:rPr>
              <w:t>GB/T 2423.2-2008</w:t>
            </w:r>
          </w:p>
        </w:tc>
        <w:tc>
          <w:tcPr>
            <w:tcW w:w="5851" w:type="dxa"/>
            <w:tcBorders>
              <w:top w:val="single" w:color="auto" w:sz="4" w:space="0"/>
              <w:left w:val="single" w:color="auto" w:sz="4" w:space="0"/>
              <w:bottom w:val="single" w:color="auto" w:sz="4" w:space="0"/>
              <w:right w:val="single" w:color="auto" w:sz="4" w:space="0"/>
            </w:tcBorders>
            <w:vAlign w:val="center"/>
          </w:tcPr>
          <w:p w14:paraId="22F9D414">
            <w:pPr>
              <w:rPr>
                <w:rFonts w:hint="eastAsia" w:hAnsi="宋体" w:cs="Times New Roman"/>
                <w:kern w:val="0"/>
                <w:szCs w:val="21"/>
              </w:rPr>
            </w:pPr>
            <w:r>
              <w:rPr>
                <w:rFonts w:hint="eastAsia" w:hAnsi="宋体" w:cs="Arial"/>
                <w:kern w:val="0"/>
                <w:szCs w:val="21"/>
              </w:rPr>
              <w:t>电工电子产品环境试验　</w:t>
            </w:r>
          </w:p>
        </w:tc>
      </w:tr>
      <w:tr w14:paraId="6D2C5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183F698A">
            <w:pPr>
              <w:jc w:val="center"/>
              <w:rPr>
                <w:rFonts w:hint="eastAsia" w:hAnsi="宋体" w:cs="Times New Roman"/>
                <w:kern w:val="0"/>
                <w:szCs w:val="21"/>
              </w:rPr>
            </w:pPr>
            <w:r>
              <w:rPr>
                <w:rFonts w:hint="eastAsia" w:hAnsi="宋体" w:cs="Arial"/>
                <w:kern w:val="0"/>
                <w:szCs w:val="21"/>
              </w:rPr>
              <w:t>GB/T 2423.3-2006</w:t>
            </w:r>
          </w:p>
        </w:tc>
        <w:tc>
          <w:tcPr>
            <w:tcW w:w="5851" w:type="dxa"/>
            <w:tcBorders>
              <w:top w:val="single" w:color="auto" w:sz="4" w:space="0"/>
              <w:left w:val="single" w:color="auto" w:sz="4" w:space="0"/>
              <w:bottom w:val="single" w:color="auto" w:sz="4" w:space="0"/>
              <w:right w:val="single" w:color="auto" w:sz="4" w:space="0"/>
            </w:tcBorders>
          </w:tcPr>
          <w:p w14:paraId="0FDA8AF1">
            <w:pPr>
              <w:rPr>
                <w:rFonts w:hint="eastAsia" w:hAnsi="宋体" w:cs="Times New Roman"/>
                <w:kern w:val="0"/>
                <w:szCs w:val="21"/>
              </w:rPr>
            </w:pPr>
            <w:r>
              <w:rPr>
                <w:rFonts w:hint="eastAsia" w:hAnsi="宋体" w:cs="Arial"/>
                <w:kern w:val="0"/>
                <w:szCs w:val="21"/>
              </w:rPr>
              <w:t xml:space="preserve">电工电子产品环境试验  </w:t>
            </w:r>
          </w:p>
        </w:tc>
      </w:tr>
      <w:tr w14:paraId="76DC6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3603B0A4">
            <w:pPr>
              <w:jc w:val="center"/>
              <w:rPr>
                <w:rFonts w:hint="eastAsia" w:hAnsi="宋体" w:cs="Times New Roman"/>
                <w:kern w:val="0"/>
                <w:szCs w:val="21"/>
              </w:rPr>
            </w:pPr>
            <w:r>
              <w:rPr>
                <w:rFonts w:hint="eastAsia" w:hAnsi="宋体" w:cs="Arial"/>
                <w:kern w:val="0"/>
                <w:szCs w:val="21"/>
              </w:rPr>
              <w:t>GB/T 2423.4-2008</w:t>
            </w:r>
          </w:p>
        </w:tc>
        <w:tc>
          <w:tcPr>
            <w:tcW w:w="5851" w:type="dxa"/>
            <w:tcBorders>
              <w:top w:val="single" w:color="auto" w:sz="4" w:space="0"/>
              <w:left w:val="single" w:color="auto" w:sz="4" w:space="0"/>
              <w:bottom w:val="single" w:color="auto" w:sz="4" w:space="0"/>
              <w:right w:val="single" w:color="auto" w:sz="4" w:space="0"/>
            </w:tcBorders>
            <w:vAlign w:val="center"/>
          </w:tcPr>
          <w:p w14:paraId="42AD98A5">
            <w:pPr>
              <w:rPr>
                <w:rFonts w:hint="eastAsia" w:hAnsi="宋体" w:cs="Times New Roman"/>
                <w:kern w:val="0"/>
                <w:szCs w:val="21"/>
              </w:rPr>
            </w:pPr>
            <w:r>
              <w:rPr>
                <w:rFonts w:hint="eastAsia" w:hAnsi="宋体" w:cs="Arial"/>
                <w:kern w:val="0"/>
                <w:szCs w:val="21"/>
              </w:rPr>
              <w:t>电工电子产品环境试验　</w:t>
            </w:r>
          </w:p>
        </w:tc>
      </w:tr>
      <w:tr w14:paraId="58D04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2297AD1F">
            <w:pPr>
              <w:jc w:val="center"/>
              <w:rPr>
                <w:rFonts w:hint="eastAsia" w:hAnsi="宋体" w:cs="Times New Roman"/>
                <w:kern w:val="0"/>
                <w:szCs w:val="21"/>
              </w:rPr>
            </w:pPr>
            <w:r>
              <w:rPr>
                <w:rFonts w:hint="eastAsia" w:hAnsi="宋体" w:cs="Arial"/>
                <w:kern w:val="0"/>
                <w:szCs w:val="21"/>
              </w:rPr>
              <w:t>GB/T 2423.17-2024</w:t>
            </w:r>
          </w:p>
        </w:tc>
        <w:tc>
          <w:tcPr>
            <w:tcW w:w="5851" w:type="dxa"/>
            <w:tcBorders>
              <w:top w:val="single" w:color="auto" w:sz="4" w:space="0"/>
              <w:left w:val="single" w:color="auto" w:sz="4" w:space="0"/>
              <w:bottom w:val="single" w:color="auto" w:sz="4" w:space="0"/>
              <w:right w:val="single" w:color="auto" w:sz="4" w:space="0"/>
            </w:tcBorders>
            <w:vAlign w:val="center"/>
          </w:tcPr>
          <w:p w14:paraId="189F2CDC">
            <w:pPr>
              <w:rPr>
                <w:rFonts w:hint="eastAsia" w:hAnsi="宋体" w:cs="Times New Roman"/>
                <w:kern w:val="0"/>
                <w:szCs w:val="21"/>
              </w:rPr>
            </w:pPr>
            <w:r>
              <w:rPr>
                <w:rFonts w:hint="eastAsia" w:hAnsi="宋体" w:cs="Arial"/>
                <w:kern w:val="0"/>
                <w:szCs w:val="21"/>
              </w:rPr>
              <w:t xml:space="preserve">环境试验 </w:t>
            </w:r>
          </w:p>
        </w:tc>
      </w:tr>
      <w:tr w14:paraId="01CB1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00B48DFE">
            <w:pPr>
              <w:jc w:val="center"/>
              <w:rPr>
                <w:rFonts w:hint="eastAsia" w:hAnsi="宋体" w:cs="Times New Roman"/>
                <w:kern w:val="0"/>
                <w:szCs w:val="21"/>
              </w:rPr>
            </w:pPr>
            <w:r>
              <w:rPr>
                <w:rFonts w:hint="eastAsia" w:hAnsi="宋体" w:cs="Arial"/>
                <w:kern w:val="0"/>
                <w:szCs w:val="21"/>
              </w:rPr>
              <w:t>GB/T 2423.55-2023</w:t>
            </w:r>
          </w:p>
        </w:tc>
        <w:tc>
          <w:tcPr>
            <w:tcW w:w="5851" w:type="dxa"/>
            <w:tcBorders>
              <w:top w:val="single" w:color="auto" w:sz="4" w:space="0"/>
              <w:left w:val="single" w:color="auto" w:sz="4" w:space="0"/>
              <w:bottom w:val="single" w:color="auto" w:sz="4" w:space="0"/>
              <w:right w:val="single" w:color="auto" w:sz="4" w:space="0"/>
            </w:tcBorders>
            <w:vAlign w:val="center"/>
          </w:tcPr>
          <w:p w14:paraId="388DDBA3">
            <w:pPr>
              <w:rPr>
                <w:rFonts w:hint="eastAsia" w:hAnsi="宋体" w:cs="Times New Roman"/>
                <w:kern w:val="0"/>
                <w:szCs w:val="21"/>
              </w:rPr>
            </w:pPr>
            <w:r>
              <w:rPr>
                <w:rFonts w:hint="eastAsia" w:hAnsi="宋体" w:cs="Arial"/>
                <w:kern w:val="0"/>
                <w:szCs w:val="21"/>
              </w:rPr>
              <w:t xml:space="preserve">环境试验 </w:t>
            </w:r>
          </w:p>
        </w:tc>
      </w:tr>
      <w:tr w14:paraId="0DB40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780EC443">
            <w:pPr>
              <w:jc w:val="center"/>
              <w:rPr>
                <w:rFonts w:hint="eastAsia" w:hAnsi="宋体" w:cs="Arial"/>
                <w:kern w:val="0"/>
                <w:szCs w:val="21"/>
              </w:rPr>
            </w:pPr>
            <w:r>
              <w:rPr>
                <w:rFonts w:hint="eastAsia" w:hAnsi="宋体" w:cs="Arial"/>
                <w:kern w:val="0"/>
                <w:szCs w:val="21"/>
              </w:rPr>
              <w:t>GB/T 4208-2017</w:t>
            </w:r>
          </w:p>
        </w:tc>
        <w:tc>
          <w:tcPr>
            <w:tcW w:w="5851" w:type="dxa"/>
            <w:tcBorders>
              <w:top w:val="single" w:color="auto" w:sz="4" w:space="0"/>
              <w:left w:val="single" w:color="auto" w:sz="4" w:space="0"/>
              <w:bottom w:val="single" w:color="auto" w:sz="4" w:space="0"/>
              <w:right w:val="single" w:color="auto" w:sz="4" w:space="0"/>
            </w:tcBorders>
            <w:vAlign w:val="center"/>
          </w:tcPr>
          <w:p w14:paraId="4B39931E">
            <w:pPr>
              <w:rPr>
                <w:rFonts w:hint="eastAsia" w:hAnsi="宋体" w:cs="Arial"/>
                <w:kern w:val="0"/>
                <w:szCs w:val="21"/>
              </w:rPr>
            </w:pPr>
            <w:r>
              <w:rPr>
                <w:rFonts w:hint="eastAsia" w:hAnsi="宋体" w:cs="Arial"/>
                <w:kern w:val="0"/>
                <w:szCs w:val="21"/>
              </w:rPr>
              <w:t>外壳防护等级（IP代码）</w:t>
            </w:r>
          </w:p>
        </w:tc>
      </w:tr>
      <w:tr w14:paraId="0FF30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1DB4D063">
            <w:pPr>
              <w:jc w:val="center"/>
              <w:rPr>
                <w:rFonts w:hint="eastAsia" w:hAnsi="宋体" w:cs="Arial"/>
                <w:kern w:val="0"/>
                <w:szCs w:val="21"/>
              </w:rPr>
            </w:pPr>
            <w:r>
              <w:rPr>
                <w:rFonts w:hint="eastAsia" w:hAnsi="宋体" w:cs="Arial"/>
                <w:kern w:val="0"/>
                <w:szCs w:val="21"/>
              </w:rPr>
              <w:t>GB/T 4797.5-2017</w:t>
            </w:r>
          </w:p>
        </w:tc>
        <w:tc>
          <w:tcPr>
            <w:tcW w:w="5851" w:type="dxa"/>
            <w:tcBorders>
              <w:top w:val="single" w:color="auto" w:sz="4" w:space="0"/>
              <w:left w:val="single" w:color="auto" w:sz="4" w:space="0"/>
              <w:bottom w:val="single" w:color="auto" w:sz="4" w:space="0"/>
              <w:right w:val="single" w:color="auto" w:sz="4" w:space="0"/>
            </w:tcBorders>
            <w:vAlign w:val="center"/>
          </w:tcPr>
          <w:p w14:paraId="031671C1">
            <w:pPr>
              <w:rPr>
                <w:rFonts w:hint="eastAsia" w:hAnsi="宋体" w:cs="Arial"/>
                <w:kern w:val="0"/>
                <w:szCs w:val="21"/>
              </w:rPr>
            </w:pPr>
            <w:r>
              <w:rPr>
                <w:rFonts w:hint="eastAsia" w:hAnsi="宋体" w:cs="Arial"/>
                <w:kern w:val="0"/>
                <w:szCs w:val="21"/>
              </w:rPr>
              <w:t>环境条件分类 自然环境条件 降水和风</w:t>
            </w:r>
          </w:p>
        </w:tc>
      </w:tr>
      <w:tr w14:paraId="0BB4A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57943012">
            <w:pPr>
              <w:jc w:val="center"/>
              <w:rPr>
                <w:rFonts w:hint="eastAsia" w:hAnsi="宋体" w:cs="Arial"/>
                <w:kern w:val="0"/>
                <w:szCs w:val="21"/>
              </w:rPr>
            </w:pPr>
            <w:r>
              <w:rPr>
                <w:rFonts w:hint="eastAsia" w:hAnsi="宋体" w:cs="Arial"/>
                <w:kern w:val="0"/>
                <w:szCs w:val="21"/>
              </w:rPr>
              <w:t>GB/T 13384-2008</w:t>
            </w:r>
          </w:p>
        </w:tc>
        <w:tc>
          <w:tcPr>
            <w:tcW w:w="5851" w:type="dxa"/>
            <w:tcBorders>
              <w:top w:val="single" w:color="auto" w:sz="4" w:space="0"/>
              <w:left w:val="single" w:color="auto" w:sz="4" w:space="0"/>
              <w:bottom w:val="single" w:color="auto" w:sz="4" w:space="0"/>
              <w:right w:val="single" w:color="auto" w:sz="4" w:space="0"/>
            </w:tcBorders>
            <w:vAlign w:val="center"/>
          </w:tcPr>
          <w:p w14:paraId="3C208369">
            <w:pPr>
              <w:rPr>
                <w:rFonts w:hint="eastAsia" w:hAnsi="宋体" w:cs="Arial"/>
                <w:kern w:val="0"/>
                <w:szCs w:val="21"/>
              </w:rPr>
            </w:pPr>
            <w:r>
              <w:rPr>
                <w:rFonts w:hint="eastAsia" w:hAnsi="宋体" w:cs="Arial"/>
                <w:kern w:val="0"/>
                <w:szCs w:val="21"/>
              </w:rPr>
              <w:t>机电产品包装通用技术条件</w:t>
            </w:r>
          </w:p>
        </w:tc>
      </w:tr>
      <w:tr w14:paraId="1AEB3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5AC0E9DB">
            <w:pPr>
              <w:jc w:val="center"/>
              <w:rPr>
                <w:rFonts w:hint="eastAsia" w:hAnsi="宋体" w:cs="Arial"/>
                <w:kern w:val="0"/>
                <w:szCs w:val="21"/>
              </w:rPr>
            </w:pPr>
            <w:r>
              <w:rPr>
                <w:rFonts w:hint="eastAsia" w:hAnsi="宋体" w:cs="Arial"/>
                <w:kern w:val="0"/>
                <w:szCs w:val="21"/>
              </w:rPr>
              <w:t>GB/T 13422-2013</w:t>
            </w:r>
          </w:p>
        </w:tc>
        <w:tc>
          <w:tcPr>
            <w:tcW w:w="5851" w:type="dxa"/>
            <w:tcBorders>
              <w:top w:val="single" w:color="auto" w:sz="4" w:space="0"/>
              <w:left w:val="single" w:color="auto" w:sz="4" w:space="0"/>
              <w:bottom w:val="single" w:color="auto" w:sz="4" w:space="0"/>
              <w:right w:val="single" w:color="auto" w:sz="4" w:space="0"/>
            </w:tcBorders>
            <w:vAlign w:val="center"/>
          </w:tcPr>
          <w:p w14:paraId="55F4C10F">
            <w:pPr>
              <w:rPr>
                <w:rFonts w:hint="eastAsia" w:hAnsi="宋体" w:cs="Arial"/>
                <w:kern w:val="0"/>
                <w:szCs w:val="21"/>
              </w:rPr>
            </w:pPr>
            <w:r>
              <w:rPr>
                <w:rFonts w:hint="eastAsia" w:hAnsi="宋体" w:cs="Arial"/>
                <w:kern w:val="0"/>
                <w:szCs w:val="21"/>
              </w:rPr>
              <w:t>半导体电力变流器 电气试验方法</w:t>
            </w:r>
          </w:p>
        </w:tc>
      </w:tr>
      <w:tr w14:paraId="7CA66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58C07F74">
            <w:pPr>
              <w:jc w:val="center"/>
              <w:rPr>
                <w:rFonts w:hint="eastAsia" w:hAnsi="宋体" w:cs="Arial"/>
                <w:kern w:val="0"/>
                <w:szCs w:val="21"/>
              </w:rPr>
            </w:pPr>
            <w:r>
              <w:rPr>
                <w:rFonts w:hint="eastAsia" w:hAnsi="宋体" w:cs="Arial"/>
                <w:kern w:val="0"/>
                <w:szCs w:val="21"/>
              </w:rPr>
              <w:t>GB 17625.1-2016</w:t>
            </w:r>
          </w:p>
        </w:tc>
        <w:tc>
          <w:tcPr>
            <w:tcW w:w="5851" w:type="dxa"/>
            <w:tcBorders>
              <w:top w:val="single" w:color="auto" w:sz="4" w:space="0"/>
              <w:left w:val="single" w:color="auto" w:sz="4" w:space="0"/>
              <w:bottom w:val="single" w:color="auto" w:sz="4" w:space="0"/>
              <w:right w:val="single" w:color="auto" w:sz="4" w:space="0"/>
            </w:tcBorders>
            <w:vAlign w:val="center"/>
          </w:tcPr>
          <w:p w14:paraId="1F69CF35">
            <w:pPr>
              <w:rPr>
                <w:rFonts w:hint="eastAsia" w:hAnsi="宋体" w:cs="Arial"/>
                <w:kern w:val="0"/>
                <w:szCs w:val="21"/>
              </w:rPr>
            </w:pPr>
            <w:r>
              <w:rPr>
                <w:rFonts w:hint="eastAsia" w:hAnsi="宋体" w:cs="Arial"/>
                <w:kern w:val="0"/>
                <w:szCs w:val="21"/>
              </w:rPr>
              <w:t>电磁兼容限值　波电流发射限值（设备每相输入电流≤16 A）</w:t>
            </w:r>
          </w:p>
        </w:tc>
      </w:tr>
      <w:tr w14:paraId="5F18D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504A4968">
            <w:pPr>
              <w:jc w:val="center"/>
              <w:rPr>
                <w:rFonts w:hint="eastAsia" w:hAnsi="宋体" w:cs="Arial"/>
                <w:kern w:val="0"/>
                <w:szCs w:val="21"/>
              </w:rPr>
            </w:pPr>
            <w:r>
              <w:rPr>
                <w:rFonts w:hint="eastAsia" w:hAnsi="宋体" w:cs="Arial"/>
                <w:kern w:val="0"/>
                <w:szCs w:val="21"/>
              </w:rPr>
              <w:t>GB/Z 17625.6-2016</w:t>
            </w:r>
          </w:p>
        </w:tc>
        <w:tc>
          <w:tcPr>
            <w:tcW w:w="5851" w:type="dxa"/>
            <w:tcBorders>
              <w:top w:val="single" w:color="auto" w:sz="4" w:space="0"/>
              <w:left w:val="single" w:color="auto" w:sz="4" w:space="0"/>
              <w:bottom w:val="single" w:color="auto" w:sz="4" w:space="0"/>
              <w:right w:val="single" w:color="auto" w:sz="4" w:space="0"/>
            </w:tcBorders>
            <w:vAlign w:val="center"/>
          </w:tcPr>
          <w:p w14:paraId="0C3F190E">
            <w:pPr>
              <w:rPr>
                <w:rFonts w:hint="eastAsia" w:hAnsi="宋体" w:cs="Arial"/>
                <w:kern w:val="0"/>
                <w:szCs w:val="21"/>
              </w:rPr>
            </w:pPr>
            <w:r>
              <w:rPr>
                <w:rFonts w:hint="eastAsia" w:hAnsi="宋体" w:cs="Arial"/>
                <w:kern w:val="0"/>
                <w:szCs w:val="21"/>
              </w:rPr>
              <w:t>电磁兼容限值对额定电流大于16 A的设备在低压供电系统中产生的谐波电流的限制</w:t>
            </w:r>
          </w:p>
        </w:tc>
      </w:tr>
      <w:tr w14:paraId="1F352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3F92AA86">
            <w:pPr>
              <w:jc w:val="center"/>
              <w:rPr>
                <w:rFonts w:hint="eastAsia" w:hAnsi="宋体" w:cs="Arial"/>
                <w:kern w:val="0"/>
                <w:szCs w:val="21"/>
              </w:rPr>
            </w:pPr>
            <w:r>
              <w:rPr>
                <w:rFonts w:hint="eastAsia" w:hAnsi="宋体" w:cs="Arial"/>
                <w:kern w:val="0"/>
                <w:szCs w:val="21"/>
              </w:rPr>
              <w:t>GB/T 17626.2-2018</w:t>
            </w:r>
          </w:p>
        </w:tc>
        <w:tc>
          <w:tcPr>
            <w:tcW w:w="5851" w:type="dxa"/>
            <w:tcBorders>
              <w:top w:val="single" w:color="auto" w:sz="4" w:space="0"/>
              <w:left w:val="single" w:color="auto" w:sz="4" w:space="0"/>
              <w:bottom w:val="single" w:color="auto" w:sz="4" w:space="0"/>
              <w:right w:val="single" w:color="auto" w:sz="4" w:space="0"/>
            </w:tcBorders>
            <w:vAlign w:val="center"/>
          </w:tcPr>
          <w:p w14:paraId="35E004F3">
            <w:pPr>
              <w:rPr>
                <w:rFonts w:hint="eastAsia" w:hAnsi="宋体" w:cs="Arial"/>
                <w:kern w:val="0"/>
                <w:szCs w:val="21"/>
              </w:rPr>
            </w:pPr>
            <w:r>
              <w:rPr>
                <w:rFonts w:hint="eastAsia" w:hAnsi="宋体" w:cs="Arial"/>
                <w:kern w:val="0"/>
                <w:szCs w:val="21"/>
              </w:rPr>
              <w:t>电磁兼容试验和测量技术 静电放电抗扰度试验</w:t>
            </w:r>
          </w:p>
        </w:tc>
      </w:tr>
      <w:tr w14:paraId="161BC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5C1CEEFF">
            <w:pPr>
              <w:jc w:val="center"/>
              <w:rPr>
                <w:rFonts w:hint="eastAsia" w:hAnsi="宋体" w:cs="Arial"/>
                <w:kern w:val="0"/>
                <w:szCs w:val="21"/>
              </w:rPr>
            </w:pPr>
            <w:r>
              <w:rPr>
                <w:rFonts w:hint="eastAsia" w:hAnsi="宋体" w:cs="Arial"/>
                <w:kern w:val="0"/>
                <w:szCs w:val="21"/>
              </w:rPr>
              <w:t>GB/T 17626.3-2016</w:t>
            </w:r>
          </w:p>
        </w:tc>
        <w:tc>
          <w:tcPr>
            <w:tcW w:w="5851" w:type="dxa"/>
            <w:tcBorders>
              <w:top w:val="single" w:color="auto" w:sz="4" w:space="0"/>
              <w:left w:val="single" w:color="auto" w:sz="4" w:space="0"/>
              <w:bottom w:val="single" w:color="auto" w:sz="4" w:space="0"/>
              <w:right w:val="single" w:color="auto" w:sz="4" w:space="0"/>
            </w:tcBorders>
            <w:vAlign w:val="center"/>
          </w:tcPr>
          <w:p w14:paraId="425F4280">
            <w:pPr>
              <w:rPr>
                <w:rFonts w:hint="eastAsia" w:hAnsi="宋体" w:cs="Arial"/>
                <w:kern w:val="0"/>
                <w:szCs w:val="21"/>
              </w:rPr>
            </w:pPr>
            <w:r>
              <w:rPr>
                <w:rFonts w:hint="eastAsia" w:hAnsi="宋体" w:cs="Arial"/>
                <w:kern w:val="0"/>
                <w:szCs w:val="21"/>
              </w:rPr>
              <w:t>电磁兼容　试验和测量技术　射频电磁场辐射抗扰度试验</w:t>
            </w:r>
          </w:p>
        </w:tc>
      </w:tr>
      <w:tr w14:paraId="5AD60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7F851E84">
            <w:pPr>
              <w:jc w:val="center"/>
              <w:rPr>
                <w:rFonts w:hint="eastAsia" w:hAnsi="宋体" w:cs="Arial"/>
                <w:kern w:val="0"/>
                <w:szCs w:val="21"/>
              </w:rPr>
            </w:pPr>
            <w:r>
              <w:rPr>
                <w:rFonts w:hint="eastAsia" w:hAnsi="宋体" w:cs="Arial"/>
                <w:kern w:val="0"/>
                <w:szCs w:val="21"/>
              </w:rPr>
              <w:t>GB/T 17626.4-2018</w:t>
            </w:r>
          </w:p>
        </w:tc>
        <w:tc>
          <w:tcPr>
            <w:tcW w:w="5851" w:type="dxa"/>
            <w:tcBorders>
              <w:top w:val="single" w:color="auto" w:sz="4" w:space="0"/>
              <w:left w:val="single" w:color="auto" w:sz="4" w:space="0"/>
              <w:bottom w:val="single" w:color="auto" w:sz="4" w:space="0"/>
              <w:right w:val="single" w:color="auto" w:sz="4" w:space="0"/>
            </w:tcBorders>
            <w:vAlign w:val="center"/>
          </w:tcPr>
          <w:p w14:paraId="134D6032">
            <w:pPr>
              <w:rPr>
                <w:rFonts w:hint="eastAsia" w:hAnsi="宋体" w:cs="Arial"/>
                <w:kern w:val="0"/>
                <w:szCs w:val="21"/>
              </w:rPr>
            </w:pPr>
            <w:r>
              <w:rPr>
                <w:rFonts w:hint="eastAsia" w:hAnsi="宋体" w:cs="Arial"/>
                <w:kern w:val="0"/>
                <w:szCs w:val="21"/>
              </w:rPr>
              <w:t>电磁兼容　试验和测量技术　电快速瞬变脉冲群抗扰度试验</w:t>
            </w:r>
          </w:p>
        </w:tc>
      </w:tr>
      <w:tr w14:paraId="45703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3FA91242">
            <w:pPr>
              <w:jc w:val="center"/>
              <w:rPr>
                <w:rFonts w:hint="eastAsia" w:hAnsi="宋体" w:cs="Arial"/>
                <w:kern w:val="0"/>
                <w:szCs w:val="21"/>
              </w:rPr>
            </w:pPr>
            <w:r>
              <w:rPr>
                <w:rFonts w:hint="eastAsia" w:hAnsi="宋体" w:cs="Arial"/>
                <w:kern w:val="0"/>
                <w:szCs w:val="21"/>
              </w:rPr>
              <w:t>GB/T 17626.5-2019</w:t>
            </w:r>
          </w:p>
        </w:tc>
        <w:tc>
          <w:tcPr>
            <w:tcW w:w="5851" w:type="dxa"/>
            <w:tcBorders>
              <w:top w:val="single" w:color="auto" w:sz="4" w:space="0"/>
              <w:left w:val="single" w:color="auto" w:sz="4" w:space="0"/>
              <w:bottom w:val="single" w:color="auto" w:sz="4" w:space="0"/>
              <w:right w:val="single" w:color="auto" w:sz="4" w:space="0"/>
            </w:tcBorders>
            <w:vAlign w:val="center"/>
          </w:tcPr>
          <w:p w14:paraId="1FDD5203">
            <w:pPr>
              <w:rPr>
                <w:rFonts w:hint="eastAsia" w:hAnsi="宋体" w:cs="Arial"/>
                <w:kern w:val="0"/>
                <w:szCs w:val="21"/>
              </w:rPr>
            </w:pPr>
            <w:r>
              <w:rPr>
                <w:rFonts w:hint="eastAsia" w:hAnsi="宋体" w:cs="Arial"/>
                <w:kern w:val="0"/>
                <w:szCs w:val="21"/>
              </w:rPr>
              <w:t>电磁兼容　试验和测量技术　浪涌(冲击)抗扰度试验</w:t>
            </w:r>
          </w:p>
        </w:tc>
      </w:tr>
      <w:tr w14:paraId="432A3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00375010">
            <w:pPr>
              <w:jc w:val="center"/>
              <w:rPr>
                <w:rFonts w:hint="eastAsia" w:hAnsi="宋体" w:cs="Arial"/>
                <w:kern w:val="0"/>
                <w:szCs w:val="21"/>
              </w:rPr>
            </w:pPr>
            <w:r>
              <w:rPr>
                <w:rFonts w:hint="eastAsia" w:hAnsi="宋体" w:cs="Arial"/>
                <w:kern w:val="0"/>
                <w:szCs w:val="21"/>
              </w:rPr>
              <w:t>GB/T 17626.11-2023</w:t>
            </w:r>
          </w:p>
        </w:tc>
        <w:tc>
          <w:tcPr>
            <w:tcW w:w="5851" w:type="dxa"/>
            <w:tcBorders>
              <w:top w:val="single" w:color="auto" w:sz="4" w:space="0"/>
              <w:left w:val="single" w:color="auto" w:sz="4" w:space="0"/>
              <w:bottom w:val="single" w:color="auto" w:sz="4" w:space="0"/>
              <w:right w:val="single" w:color="auto" w:sz="4" w:space="0"/>
            </w:tcBorders>
            <w:vAlign w:val="center"/>
          </w:tcPr>
          <w:p w14:paraId="40687128">
            <w:pPr>
              <w:rPr>
                <w:rFonts w:hint="eastAsia" w:hAnsi="宋体" w:cs="Arial"/>
                <w:kern w:val="0"/>
                <w:szCs w:val="21"/>
              </w:rPr>
            </w:pPr>
            <w:r>
              <w:rPr>
                <w:rFonts w:hint="eastAsia" w:hAnsi="宋体" w:cs="Arial"/>
                <w:kern w:val="0"/>
                <w:szCs w:val="21"/>
              </w:rPr>
              <w:t xml:space="preserve">电磁兼容 试验和测量技术 </w:t>
            </w:r>
          </w:p>
        </w:tc>
      </w:tr>
      <w:tr w14:paraId="44223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5FE6A975">
            <w:pPr>
              <w:jc w:val="center"/>
              <w:rPr>
                <w:rFonts w:hint="eastAsia" w:hAnsi="宋体" w:cs="Arial"/>
                <w:kern w:val="0"/>
                <w:szCs w:val="21"/>
              </w:rPr>
            </w:pPr>
            <w:r>
              <w:rPr>
                <w:rFonts w:hint="eastAsia" w:hAnsi="宋体" w:cs="Arial"/>
                <w:kern w:val="0"/>
                <w:szCs w:val="21"/>
              </w:rPr>
              <w:t>GB/T 19826-2014</w:t>
            </w:r>
          </w:p>
        </w:tc>
        <w:tc>
          <w:tcPr>
            <w:tcW w:w="5851" w:type="dxa"/>
            <w:tcBorders>
              <w:top w:val="single" w:color="auto" w:sz="4" w:space="0"/>
              <w:left w:val="single" w:color="auto" w:sz="4" w:space="0"/>
              <w:bottom w:val="single" w:color="auto" w:sz="4" w:space="0"/>
              <w:right w:val="single" w:color="auto" w:sz="4" w:space="0"/>
            </w:tcBorders>
            <w:vAlign w:val="center"/>
          </w:tcPr>
          <w:p w14:paraId="2782C0B6">
            <w:pPr>
              <w:rPr>
                <w:rFonts w:hint="eastAsia" w:hAnsi="宋体" w:cs="Arial"/>
                <w:kern w:val="0"/>
                <w:szCs w:val="21"/>
              </w:rPr>
            </w:pPr>
            <w:r>
              <w:rPr>
                <w:rFonts w:hint="eastAsia" w:hAnsi="宋体" w:cs="Arial"/>
                <w:kern w:val="0"/>
                <w:szCs w:val="21"/>
              </w:rPr>
              <w:t>电力工程直流电源设备通用技术条件及安全要求</w:t>
            </w:r>
          </w:p>
        </w:tc>
      </w:tr>
      <w:tr w14:paraId="26E82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4C9B22B3">
            <w:pPr>
              <w:jc w:val="center"/>
              <w:rPr>
                <w:rFonts w:hint="eastAsia" w:hAnsi="宋体" w:cs="Arial"/>
                <w:kern w:val="0"/>
                <w:szCs w:val="21"/>
              </w:rPr>
            </w:pPr>
            <w:r>
              <w:rPr>
                <w:rFonts w:hint="eastAsia" w:hAnsi="宋体" w:cs="Arial"/>
                <w:kern w:val="0"/>
                <w:szCs w:val="21"/>
              </w:rPr>
              <w:t>GB/T 29317-2012</w:t>
            </w:r>
          </w:p>
        </w:tc>
        <w:tc>
          <w:tcPr>
            <w:tcW w:w="5851" w:type="dxa"/>
            <w:tcBorders>
              <w:top w:val="single" w:color="auto" w:sz="4" w:space="0"/>
              <w:left w:val="single" w:color="auto" w:sz="4" w:space="0"/>
              <w:bottom w:val="single" w:color="auto" w:sz="4" w:space="0"/>
              <w:right w:val="single" w:color="auto" w:sz="4" w:space="0"/>
            </w:tcBorders>
            <w:vAlign w:val="center"/>
          </w:tcPr>
          <w:p w14:paraId="13489111">
            <w:pPr>
              <w:rPr>
                <w:rFonts w:hint="eastAsia" w:hAnsi="宋体" w:cs="Arial"/>
                <w:kern w:val="0"/>
                <w:szCs w:val="21"/>
              </w:rPr>
            </w:pPr>
            <w:r>
              <w:rPr>
                <w:rFonts w:hint="eastAsia" w:hAnsi="宋体" w:cs="Arial"/>
                <w:kern w:val="0"/>
                <w:szCs w:val="21"/>
              </w:rPr>
              <w:t>电动汽车充换电设施术语</w:t>
            </w:r>
          </w:p>
        </w:tc>
      </w:tr>
      <w:tr w14:paraId="1DE6D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4E219D94">
            <w:pPr>
              <w:jc w:val="center"/>
              <w:rPr>
                <w:rFonts w:hint="eastAsia" w:hAnsi="宋体" w:cs="Arial"/>
                <w:kern w:val="0"/>
                <w:szCs w:val="21"/>
              </w:rPr>
            </w:pPr>
            <w:r>
              <w:rPr>
                <w:rFonts w:hint="eastAsia" w:hAnsi="宋体" w:cs="Arial"/>
                <w:kern w:val="0"/>
                <w:szCs w:val="21"/>
              </w:rPr>
              <w:t>GB/T 29316-2012</w:t>
            </w:r>
          </w:p>
        </w:tc>
        <w:tc>
          <w:tcPr>
            <w:tcW w:w="5851" w:type="dxa"/>
            <w:tcBorders>
              <w:top w:val="single" w:color="auto" w:sz="4" w:space="0"/>
              <w:left w:val="single" w:color="auto" w:sz="4" w:space="0"/>
              <w:bottom w:val="single" w:color="auto" w:sz="4" w:space="0"/>
              <w:right w:val="single" w:color="auto" w:sz="4" w:space="0"/>
            </w:tcBorders>
            <w:vAlign w:val="center"/>
          </w:tcPr>
          <w:p w14:paraId="406C6F7C">
            <w:pPr>
              <w:rPr>
                <w:rFonts w:hint="eastAsia" w:hAnsi="宋体" w:cs="Arial"/>
                <w:kern w:val="0"/>
                <w:szCs w:val="21"/>
              </w:rPr>
            </w:pPr>
            <w:r>
              <w:rPr>
                <w:rFonts w:hint="eastAsia" w:hAnsi="宋体" w:cs="Arial"/>
                <w:kern w:val="0"/>
                <w:szCs w:val="21"/>
              </w:rPr>
              <w:t>电动汽车充换电设施电能质量技术要求</w:t>
            </w:r>
          </w:p>
        </w:tc>
      </w:tr>
      <w:tr w14:paraId="58E18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5EBCB9D8">
            <w:pPr>
              <w:jc w:val="center"/>
              <w:rPr>
                <w:rFonts w:hint="eastAsia" w:hAnsi="宋体" w:cs="Arial"/>
                <w:kern w:val="0"/>
                <w:szCs w:val="21"/>
              </w:rPr>
            </w:pPr>
            <w:r>
              <w:rPr>
                <w:rFonts w:hint="eastAsia" w:hAnsi="宋体" w:cs="Arial"/>
                <w:kern w:val="0"/>
                <w:szCs w:val="21"/>
              </w:rPr>
              <w:t>GB/T 33708-2017</w:t>
            </w:r>
          </w:p>
        </w:tc>
        <w:tc>
          <w:tcPr>
            <w:tcW w:w="5851" w:type="dxa"/>
            <w:tcBorders>
              <w:top w:val="single" w:color="auto" w:sz="4" w:space="0"/>
              <w:left w:val="single" w:color="auto" w:sz="4" w:space="0"/>
              <w:bottom w:val="single" w:color="auto" w:sz="4" w:space="0"/>
              <w:right w:val="single" w:color="auto" w:sz="4" w:space="0"/>
            </w:tcBorders>
            <w:vAlign w:val="center"/>
          </w:tcPr>
          <w:p w14:paraId="2DF18B31">
            <w:pPr>
              <w:rPr>
                <w:rFonts w:hint="eastAsia" w:hAnsi="宋体" w:cs="Arial"/>
                <w:kern w:val="0"/>
                <w:szCs w:val="21"/>
              </w:rPr>
            </w:pPr>
            <w:r>
              <w:rPr>
                <w:rFonts w:hint="eastAsia" w:hAnsi="宋体" w:cs="Arial"/>
                <w:kern w:val="0"/>
                <w:szCs w:val="21"/>
              </w:rPr>
              <w:t>静止式直流电能表</w:t>
            </w:r>
          </w:p>
        </w:tc>
      </w:tr>
      <w:tr w14:paraId="21E05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16566540">
            <w:pPr>
              <w:jc w:val="center"/>
              <w:rPr>
                <w:rFonts w:hint="eastAsia" w:hAnsi="宋体" w:cs="Arial"/>
                <w:kern w:val="0"/>
                <w:szCs w:val="21"/>
              </w:rPr>
            </w:pPr>
            <w:r>
              <w:rPr>
                <w:rFonts w:hint="eastAsia" w:hAnsi="宋体" w:cs="Arial"/>
                <w:kern w:val="0"/>
                <w:szCs w:val="21"/>
              </w:rPr>
              <w:t>Q/GDW 1825-2013</w:t>
            </w:r>
          </w:p>
        </w:tc>
        <w:tc>
          <w:tcPr>
            <w:tcW w:w="5851" w:type="dxa"/>
            <w:tcBorders>
              <w:top w:val="single" w:color="auto" w:sz="4" w:space="0"/>
              <w:left w:val="single" w:color="auto" w:sz="4" w:space="0"/>
              <w:bottom w:val="single" w:color="auto" w:sz="4" w:space="0"/>
              <w:right w:val="single" w:color="auto" w:sz="4" w:space="0"/>
            </w:tcBorders>
            <w:vAlign w:val="center"/>
          </w:tcPr>
          <w:p w14:paraId="1D192B6A">
            <w:pPr>
              <w:rPr>
                <w:rFonts w:hint="eastAsia" w:hAnsi="宋体" w:cs="Arial"/>
                <w:kern w:val="0"/>
                <w:szCs w:val="21"/>
              </w:rPr>
            </w:pPr>
            <w:r>
              <w:rPr>
                <w:rFonts w:hint="eastAsia" w:hAnsi="宋体" w:cs="Arial"/>
                <w:kern w:val="0"/>
                <w:szCs w:val="21"/>
              </w:rPr>
              <w:t>直流电能表技术规范</w:t>
            </w:r>
          </w:p>
        </w:tc>
      </w:tr>
      <w:tr w14:paraId="1F256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296B9FD6">
            <w:pPr>
              <w:jc w:val="center"/>
              <w:rPr>
                <w:rFonts w:hint="eastAsia" w:hAnsi="宋体" w:cs="Arial"/>
                <w:kern w:val="0"/>
                <w:szCs w:val="21"/>
              </w:rPr>
            </w:pPr>
            <w:r>
              <w:rPr>
                <w:rFonts w:hint="eastAsia" w:hAnsi="宋体" w:cs="Arial"/>
                <w:kern w:val="0"/>
                <w:szCs w:val="21"/>
              </w:rPr>
              <w:t>JJG 842-2017</w:t>
            </w:r>
          </w:p>
        </w:tc>
        <w:tc>
          <w:tcPr>
            <w:tcW w:w="5851" w:type="dxa"/>
            <w:tcBorders>
              <w:top w:val="single" w:color="auto" w:sz="4" w:space="0"/>
              <w:left w:val="single" w:color="auto" w:sz="4" w:space="0"/>
              <w:bottom w:val="single" w:color="auto" w:sz="4" w:space="0"/>
              <w:right w:val="single" w:color="auto" w:sz="4" w:space="0"/>
            </w:tcBorders>
            <w:vAlign w:val="center"/>
          </w:tcPr>
          <w:p w14:paraId="79C8A637">
            <w:pPr>
              <w:rPr>
                <w:rFonts w:hint="eastAsia" w:hAnsi="宋体" w:cs="Arial"/>
                <w:kern w:val="0"/>
                <w:szCs w:val="21"/>
              </w:rPr>
            </w:pPr>
            <w:r>
              <w:rPr>
                <w:rFonts w:hint="eastAsia" w:hAnsi="宋体" w:cs="Arial"/>
                <w:kern w:val="0"/>
                <w:szCs w:val="21"/>
              </w:rPr>
              <w:t>电子式直流电能表检定规程</w:t>
            </w:r>
          </w:p>
        </w:tc>
      </w:tr>
      <w:tr w14:paraId="11D12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2A0ABE4D">
            <w:pPr>
              <w:jc w:val="center"/>
              <w:rPr>
                <w:rFonts w:hint="eastAsia" w:hAnsi="宋体" w:cs="Arial"/>
                <w:kern w:val="0"/>
                <w:szCs w:val="21"/>
              </w:rPr>
            </w:pPr>
            <w:r>
              <w:rPr>
                <w:rFonts w:hint="eastAsia" w:hAnsi="宋体" w:cs="Arial"/>
                <w:kern w:val="0"/>
                <w:szCs w:val="21"/>
              </w:rPr>
              <w:t>GB/T 29318-2012</w:t>
            </w:r>
          </w:p>
        </w:tc>
        <w:tc>
          <w:tcPr>
            <w:tcW w:w="5851" w:type="dxa"/>
            <w:tcBorders>
              <w:top w:val="single" w:color="auto" w:sz="4" w:space="0"/>
              <w:left w:val="single" w:color="auto" w:sz="4" w:space="0"/>
              <w:bottom w:val="single" w:color="auto" w:sz="4" w:space="0"/>
              <w:right w:val="single" w:color="auto" w:sz="4" w:space="0"/>
            </w:tcBorders>
            <w:vAlign w:val="center"/>
          </w:tcPr>
          <w:p w14:paraId="04F6F51F">
            <w:pPr>
              <w:rPr>
                <w:rFonts w:hint="eastAsia" w:hAnsi="宋体" w:cs="Arial"/>
                <w:kern w:val="0"/>
                <w:szCs w:val="21"/>
              </w:rPr>
            </w:pPr>
            <w:r>
              <w:rPr>
                <w:rFonts w:hint="eastAsia" w:hAnsi="宋体" w:cs="Arial"/>
                <w:kern w:val="0"/>
                <w:szCs w:val="21"/>
              </w:rPr>
              <w:t>电动汽车非车载充电机电能计量</w:t>
            </w:r>
          </w:p>
        </w:tc>
      </w:tr>
      <w:tr w14:paraId="00F8F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1CC9E131">
            <w:pPr>
              <w:jc w:val="center"/>
              <w:rPr>
                <w:rFonts w:hint="eastAsia" w:hAnsi="宋体" w:cs="Arial"/>
                <w:kern w:val="0"/>
                <w:szCs w:val="21"/>
              </w:rPr>
            </w:pPr>
            <w:r>
              <w:rPr>
                <w:rFonts w:hint="eastAsia" w:hAnsi="宋体" w:cs="Arial"/>
                <w:kern w:val="0"/>
                <w:szCs w:val="21"/>
              </w:rPr>
              <w:t>Q/GDW 1354-2013</w:t>
            </w:r>
          </w:p>
        </w:tc>
        <w:tc>
          <w:tcPr>
            <w:tcW w:w="5851" w:type="dxa"/>
            <w:tcBorders>
              <w:top w:val="single" w:color="auto" w:sz="4" w:space="0"/>
              <w:left w:val="single" w:color="auto" w:sz="4" w:space="0"/>
              <w:bottom w:val="single" w:color="auto" w:sz="4" w:space="0"/>
              <w:right w:val="single" w:color="auto" w:sz="4" w:space="0"/>
            </w:tcBorders>
          </w:tcPr>
          <w:p w14:paraId="201B29D4">
            <w:pPr>
              <w:rPr>
                <w:rFonts w:hint="eastAsia" w:hAnsi="宋体" w:cs="Arial"/>
                <w:kern w:val="0"/>
                <w:szCs w:val="21"/>
              </w:rPr>
            </w:pPr>
            <w:r>
              <w:rPr>
                <w:rFonts w:hint="eastAsia" w:hAnsi="宋体" w:cs="Arial"/>
                <w:kern w:val="0"/>
                <w:szCs w:val="21"/>
              </w:rPr>
              <w:t>智能电能表功能规范</w:t>
            </w:r>
          </w:p>
        </w:tc>
      </w:tr>
      <w:tr w14:paraId="72EAF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4BDD2FFB">
            <w:pPr>
              <w:jc w:val="center"/>
              <w:rPr>
                <w:rFonts w:hint="eastAsia" w:hAnsi="宋体" w:cs="Arial"/>
                <w:kern w:val="0"/>
                <w:szCs w:val="21"/>
              </w:rPr>
            </w:pPr>
            <w:r>
              <w:rPr>
                <w:rFonts w:hint="eastAsia" w:hAnsi="宋体" w:cs="Arial"/>
                <w:kern w:val="0"/>
                <w:szCs w:val="21"/>
              </w:rPr>
              <w:t>Q/GDW 1364-2013</w:t>
            </w:r>
          </w:p>
        </w:tc>
        <w:tc>
          <w:tcPr>
            <w:tcW w:w="5851" w:type="dxa"/>
            <w:tcBorders>
              <w:top w:val="single" w:color="auto" w:sz="4" w:space="0"/>
              <w:left w:val="single" w:color="auto" w:sz="4" w:space="0"/>
              <w:bottom w:val="single" w:color="auto" w:sz="4" w:space="0"/>
              <w:right w:val="single" w:color="auto" w:sz="4" w:space="0"/>
            </w:tcBorders>
          </w:tcPr>
          <w:p w14:paraId="20FF28C5">
            <w:pPr>
              <w:rPr>
                <w:rFonts w:hint="eastAsia" w:hAnsi="宋体" w:cs="Arial"/>
                <w:kern w:val="0"/>
                <w:szCs w:val="21"/>
              </w:rPr>
            </w:pPr>
            <w:r>
              <w:rPr>
                <w:rFonts w:hint="eastAsia" w:hAnsi="宋体" w:cs="Arial"/>
                <w:kern w:val="0"/>
                <w:szCs w:val="21"/>
              </w:rPr>
              <w:t>单相智能电能表技术规范</w:t>
            </w:r>
          </w:p>
        </w:tc>
      </w:tr>
      <w:tr w14:paraId="6E0FB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6A47013C">
            <w:pPr>
              <w:jc w:val="center"/>
              <w:rPr>
                <w:rFonts w:hint="eastAsia" w:hAnsi="宋体" w:cs="Arial"/>
                <w:kern w:val="0"/>
                <w:szCs w:val="21"/>
              </w:rPr>
            </w:pPr>
            <w:r>
              <w:rPr>
                <w:rFonts w:hint="eastAsia" w:hAnsi="宋体" w:cs="Arial"/>
                <w:kern w:val="0"/>
                <w:szCs w:val="21"/>
              </w:rPr>
              <w:t>JJG 1069-2011</w:t>
            </w:r>
          </w:p>
        </w:tc>
        <w:tc>
          <w:tcPr>
            <w:tcW w:w="5851" w:type="dxa"/>
            <w:tcBorders>
              <w:top w:val="single" w:color="auto" w:sz="4" w:space="0"/>
              <w:left w:val="single" w:color="auto" w:sz="4" w:space="0"/>
              <w:bottom w:val="single" w:color="auto" w:sz="4" w:space="0"/>
              <w:right w:val="single" w:color="auto" w:sz="4" w:space="0"/>
            </w:tcBorders>
            <w:vAlign w:val="center"/>
          </w:tcPr>
          <w:p w14:paraId="280FD7A3">
            <w:pPr>
              <w:rPr>
                <w:rFonts w:hint="eastAsia" w:hAnsi="宋体" w:cs="Arial"/>
                <w:kern w:val="0"/>
                <w:szCs w:val="21"/>
              </w:rPr>
            </w:pPr>
            <w:r>
              <w:rPr>
                <w:rFonts w:hint="eastAsia" w:hAnsi="宋体" w:cs="Arial"/>
                <w:kern w:val="0"/>
                <w:szCs w:val="21"/>
              </w:rPr>
              <w:t>直流分流器检定规程</w:t>
            </w:r>
          </w:p>
        </w:tc>
      </w:tr>
      <w:tr w14:paraId="7EC9F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4CA50598">
            <w:pPr>
              <w:jc w:val="center"/>
              <w:rPr>
                <w:rFonts w:hint="eastAsia" w:hAnsi="宋体" w:cs="Arial"/>
                <w:kern w:val="0"/>
                <w:szCs w:val="21"/>
              </w:rPr>
            </w:pPr>
            <w:r>
              <w:rPr>
                <w:rFonts w:hint="eastAsia" w:hAnsi="宋体" w:cs="Arial"/>
                <w:kern w:val="0"/>
                <w:szCs w:val="21"/>
              </w:rPr>
              <w:t>DL/T 645-2007</w:t>
            </w:r>
          </w:p>
        </w:tc>
        <w:tc>
          <w:tcPr>
            <w:tcW w:w="5851" w:type="dxa"/>
            <w:tcBorders>
              <w:top w:val="single" w:color="auto" w:sz="4" w:space="0"/>
              <w:left w:val="single" w:color="auto" w:sz="4" w:space="0"/>
              <w:bottom w:val="single" w:color="auto" w:sz="4" w:space="0"/>
              <w:right w:val="single" w:color="auto" w:sz="4" w:space="0"/>
            </w:tcBorders>
            <w:vAlign w:val="center"/>
          </w:tcPr>
          <w:p w14:paraId="5F21980D">
            <w:pPr>
              <w:rPr>
                <w:rFonts w:hint="eastAsia" w:hAnsi="宋体" w:cs="Arial"/>
                <w:kern w:val="0"/>
                <w:szCs w:val="21"/>
              </w:rPr>
            </w:pPr>
            <w:r>
              <w:rPr>
                <w:rFonts w:hint="eastAsia" w:hAnsi="宋体" w:cs="Arial"/>
                <w:kern w:val="0"/>
                <w:szCs w:val="21"/>
              </w:rPr>
              <w:t>多功能电能表通信协议</w:t>
            </w:r>
          </w:p>
        </w:tc>
      </w:tr>
      <w:tr w14:paraId="4DE21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374D45CE">
            <w:pPr>
              <w:jc w:val="center"/>
              <w:rPr>
                <w:rFonts w:hint="eastAsia" w:hAnsi="宋体" w:cs="Arial"/>
                <w:kern w:val="0"/>
                <w:szCs w:val="21"/>
              </w:rPr>
            </w:pPr>
            <w:r>
              <w:rPr>
                <w:rFonts w:hint="eastAsia" w:hAnsi="宋体" w:cs="Arial"/>
                <w:kern w:val="0"/>
                <w:szCs w:val="21"/>
              </w:rPr>
              <w:t>GB/T 50966-2024</w:t>
            </w:r>
          </w:p>
        </w:tc>
        <w:tc>
          <w:tcPr>
            <w:tcW w:w="5851" w:type="dxa"/>
            <w:tcBorders>
              <w:top w:val="single" w:color="auto" w:sz="4" w:space="0"/>
              <w:left w:val="single" w:color="auto" w:sz="4" w:space="0"/>
              <w:bottom w:val="single" w:color="auto" w:sz="4" w:space="0"/>
              <w:right w:val="single" w:color="auto" w:sz="4" w:space="0"/>
            </w:tcBorders>
            <w:vAlign w:val="center"/>
          </w:tcPr>
          <w:p w14:paraId="4C2BE3D0">
            <w:pPr>
              <w:rPr>
                <w:rFonts w:hint="eastAsia" w:hAnsi="宋体" w:cs="Arial"/>
                <w:kern w:val="0"/>
                <w:szCs w:val="21"/>
              </w:rPr>
            </w:pPr>
            <w:r>
              <w:rPr>
                <w:rFonts w:hint="eastAsia" w:hAnsi="宋体" w:cs="Arial"/>
                <w:kern w:val="0"/>
                <w:szCs w:val="21"/>
              </w:rPr>
              <w:t>电动汽车充电站设计标准</w:t>
            </w:r>
          </w:p>
        </w:tc>
      </w:tr>
      <w:tr w14:paraId="00CB6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517B8357">
            <w:pPr>
              <w:jc w:val="center"/>
              <w:rPr>
                <w:rFonts w:hint="eastAsia" w:hAnsi="宋体" w:cs="Arial"/>
                <w:kern w:val="0"/>
                <w:szCs w:val="21"/>
              </w:rPr>
            </w:pPr>
            <w:r>
              <w:rPr>
                <w:rFonts w:hint="eastAsia" w:hAnsi="宋体" w:cs="Arial"/>
                <w:kern w:val="0"/>
                <w:szCs w:val="21"/>
              </w:rPr>
              <w:t>GB/T 51313-2018</w:t>
            </w:r>
          </w:p>
        </w:tc>
        <w:tc>
          <w:tcPr>
            <w:tcW w:w="5851" w:type="dxa"/>
            <w:tcBorders>
              <w:top w:val="single" w:color="auto" w:sz="4" w:space="0"/>
              <w:left w:val="single" w:color="auto" w:sz="4" w:space="0"/>
              <w:bottom w:val="single" w:color="auto" w:sz="4" w:space="0"/>
              <w:right w:val="single" w:color="auto" w:sz="4" w:space="0"/>
            </w:tcBorders>
            <w:vAlign w:val="center"/>
          </w:tcPr>
          <w:p w14:paraId="7644C7AD">
            <w:pPr>
              <w:rPr>
                <w:rFonts w:hint="eastAsia" w:hAnsi="宋体" w:cs="Arial"/>
                <w:kern w:val="0"/>
                <w:szCs w:val="21"/>
              </w:rPr>
            </w:pPr>
            <w:r>
              <w:rPr>
                <w:rFonts w:hint="eastAsia" w:hAnsi="宋体" w:cs="Arial"/>
                <w:kern w:val="0"/>
                <w:szCs w:val="21"/>
              </w:rPr>
              <w:t>电动汽车分散充电设施工程技术标准</w:t>
            </w:r>
          </w:p>
        </w:tc>
      </w:tr>
      <w:tr w14:paraId="6F840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49844F2B">
            <w:pPr>
              <w:jc w:val="center"/>
              <w:rPr>
                <w:rFonts w:hint="eastAsia" w:hAnsi="宋体" w:cs="Arial"/>
                <w:kern w:val="0"/>
                <w:szCs w:val="21"/>
              </w:rPr>
            </w:pPr>
            <w:r>
              <w:rPr>
                <w:rFonts w:hint="eastAsia" w:hAnsi="宋体" w:cs="Arial"/>
                <w:kern w:val="0"/>
                <w:szCs w:val="21"/>
              </w:rPr>
              <w:t>GB/T 34658-2017</w:t>
            </w:r>
          </w:p>
        </w:tc>
        <w:tc>
          <w:tcPr>
            <w:tcW w:w="5851" w:type="dxa"/>
            <w:tcBorders>
              <w:top w:val="single" w:color="auto" w:sz="4" w:space="0"/>
              <w:left w:val="single" w:color="auto" w:sz="4" w:space="0"/>
              <w:bottom w:val="single" w:color="auto" w:sz="4" w:space="0"/>
              <w:right w:val="single" w:color="auto" w:sz="4" w:space="0"/>
            </w:tcBorders>
            <w:vAlign w:val="center"/>
          </w:tcPr>
          <w:p w14:paraId="6FAC3439">
            <w:pPr>
              <w:rPr>
                <w:rFonts w:hint="eastAsia" w:hAnsi="宋体" w:cs="Arial"/>
                <w:kern w:val="0"/>
                <w:szCs w:val="21"/>
              </w:rPr>
            </w:pPr>
            <w:r>
              <w:rPr>
                <w:rFonts w:hint="eastAsia" w:hAnsi="宋体" w:cs="Arial"/>
                <w:kern w:val="0"/>
                <w:szCs w:val="21"/>
              </w:rPr>
              <w:t>电动汽车非车载传导式充电机与电池管理系统之间的通信协议一致性测试</w:t>
            </w:r>
          </w:p>
        </w:tc>
      </w:tr>
      <w:tr w14:paraId="62339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51" w:type="dxa"/>
            <w:tcBorders>
              <w:top w:val="single" w:color="auto" w:sz="4" w:space="0"/>
              <w:left w:val="single" w:color="auto" w:sz="4" w:space="0"/>
              <w:bottom w:val="single" w:color="auto" w:sz="4" w:space="0"/>
              <w:right w:val="single" w:color="auto" w:sz="4" w:space="0"/>
            </w:tcBorders>
            <w:vAlign w:val="center"/>
          </w:tcPr>
          <w:p w14:paraId="133487CB">
            <w:pPr>
              <w:jc w:val="center"/>
              <w:rPr>
                <w:rFonts w:hint="eastAsia" w:hAnsi="宋体" w:cs="Arial"/>
                <w:kern w:val="0"/>
                <w:szCs w:val="21"/>
              </w:rPr>
            </w:pPr>
            <w:r>
              <w:rPr>
                <w:rFonts w:hint="eastAsia" w:hAnsi="宋体" w:cs="Arial"/>
                <w:kern w:val="0"/>
                <w:szCs w:val="21"/>
              </w:rPr>
              <w:t>GB/T 34657-2017</w:t>
            </w:r>
          </w:p>
        </w:tc>
        <w:tc>
          <w:tcPr>
            <w:tcW w:w="5851" w:type="dxa"/>
            <w:tcBorders>
              <w:top w:val="single" w:color="auto" w:sz="4" w:space="0"/>
              <w:left w:val="single" w:color="auto" w:sz="4" w:space="0"/>
              <w:bottom w:val="single" w:color="auto" w:sz="4" w:space="0"/>
              <w:right w:val="single" w:color="auto" w:sz="4" w:space="0"/>
            </w:tcBorders>
            <w:vAlign w:val="center"/>
          </w:tcPr>
          <w:p w14:paraId="3F50E36C">
            <w:pPr>
              <w:rPr>
                <w:rFonts w:hint="eastAsia" w:hAnsi="宋体" w:cs="Arial"/>
                <w:kern w:val="0"/>
                <w:szCs w:val="21"/>
              </w:rPr>
            </w:pPr>
            <w:r>
              <w:rPr>
                <w:rFonts w:hint="eastAsia" w:hAnsi="宋体" w:cs="Arial"/>
                <w:kern w:val="0"/>
                <w:szCs w:val="21"/>
              </w:rPr>
              <w:t xml:space="preserve">电动汽车传导充电互操作性测试规范 </w:t>
            </w:r>
          </w:p>
        </w:tc>
      </w:tr>
      <w:bookmarkEnd w:id="0"/>
      <w:bookmarkEnd w:id="1"/>
      <w:bookmarkEnd w:id="2"/>
      <w:bookmarkEnd w:id="3"/>
      <w:bookmarkEnd w:id="4"/>
      <w:bookmarkEnd w:id="5"/>
      <w:bookmarkEnd w:id="6"/>
      <w:bookmarkEnd w:id="7"/>
    </w:tbl>
    <w:p w14:paraId="4A8C806A">
      <w:pPr>
        <w:spacing w:line="560" w:lineRule="exact"/>
        <w:ind w:firstLine="562" w:firstLineChars="200"/>
        <w:rPr>
          <w:rFonts w:hint="eastAsia"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b/>
          <w:bCs/>
          <w:color w:val="000000" w:themeColor="text1"/>
          <w:sz w:val="28"/>
          <w:szCs w:val="28"/>
          <w:highlight w:val="none"/>
          <w:lang w:val="en-US" w:eastAsia="zh-CN"/>
          <w14:textFill>
            <w14:solidFill>
              <w14:schemeClr w14:val="tx1"/>
            </w14:solidFill>
          </w14:textFill>
        </w:rPr>
        <w:t>需随设备提供的资料：</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投标方应免费随设备提供给招标方相关资料，包括综合监控与运营管理云平台、设备及配套软件的安装手册、管理维护手册以及参数配置手册等以及配套软件的安装介质。</w:t>
      </w:r>
    </w:p>
    <w:p w14:paraId="45F307E1">
      <w:pPr>
        <w:pStyle w:val="3"/>
        <w:numPr>
          <w:ilvl w:val="0"/>
          <w:numId w:val="0"/>
        </w:numPr>
        <w:bidi w:val="0"/>
        <w:ind w:left="0" w:leftChars="0" w:firstLine="0" w:firstLineChars="0"/>
        <w:rPr>
          <w:color w:val="000000" w:themeColor="text1"/>
          <w14:textFill>
            <w14:solidFill>
              <w14:schemeClr w14:val="tx1"/>
            </w14:solidFill>
          </w14:textFill>
        </w:rPr>
      </w:pPr>
      <w:r>
        <w:rPr>
          <w:rFonts w:hint="eastAsia" w:ascii="黑体" w:eastAsia="黑体" w:hAnsiTheme="majorHAnsi" w:cstheme="majorBidi"/>
          <w:b/>
          <w:bCs/>
          <w:color w:val="000000" w:themeColor="text1"/>
          <w:kern w:val="2"/>
          <w:sz w:val="32"/>
          <w:szCs w:val="32"/>
          <w:lang w:val="en-US" w:eastAsia="zh-CN" w:bidi="ar-SA"/>
          <w14:textFill>
            <w14:solidFill>
              <w14:schemeClr w14:val="tx1"/>
            </w14:solidFill>
          </w14:textFill>
          <w14:ligatures w14:val="standardContextual"/>
        </w:rPr>
        <w:t>1</w:t>
      </w:r>
      <w:r>
        <w:rPr>
          <w:rFonts w:hint="eastAsia"/>
          <w:color w:val="000000" w:themeColor="text1"/>
          <w14:textFill>
            <w14:solidFill>
              <w14:schemeClr w14:val="tx1"/>
            </w14:solidFill>
          </w14:textFill>
        </w:rPr>
        <w:t>技术参数</w:t>
      </w:r>
    </w:p>
    <w:p w14:paraId="36739CC1">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1.1.1</w:t>
      </w:r>
      <w:r>
        <w:rPr>
          <w:rFonts w:hint="eastAsia"/>
          <w:color w:val="000000" w:themeColor="text1"/>
          <w14:textFill>
            <w14:solidFill>
              <w14:schemeClr w14:val="tx1"/>
            </w14:solidFill>
          </w14:textFill>
        </w:rPr>
        <w:t>环境条件</w:t>
      </w:r>
    </w:p>
    <w:p w14:paraId="4CF7B0FC">
      <w:pPr>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环境温度：</w:t>
      </w:r>
      <w:r>
        <w:rPr>
          <w:rFonts w:hAnsi="宋体"/>
          <w:color w:val="000000" w:themeColor="text1"/>
          <w:szCs w:val="21"/>
          <w14:textFill>
            <w14:solidFill>
              <w14:schemeClr w14:val="tx1"/>
            </w14:solidFill>
          </w14:textFill>
        </w:rPr>
        <w:t>-20</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～50</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w:t>
      </w:r>
    </w:p>
    <w:p w14:paraId="64E0B55D">
      <w:pPr>
        <w:spacing w:line="360" w:lineRule="auto"/>
        <w:ind w:firstLine="420" w:firstLineChars="200"/>
        <w:rPr>
          <w:rFonts w:hint="eastAsia"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相对湿度：5％～95％；</w:t>
      </w:r>
    </w:p>
    <w:p w14:paraId="63F3F6AE">
      <w:pPr>
        <w:spacing w:line="360" w:lineRule="auto"/>
        <w:ind w:firstLine="420" w:firstLineChars="200"/>
        <w:rPr>
          <w:rFonts w:hint="eastAsia"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海拔高度：≤2000m</w:t>
      </w:r>
      <w:r>
        <w:rPr>
          <w:rFonts w:hint="eastAsia" w:hAnsi="宋体"/>
          <w:color w:val="000000" w:themeColor="text1"/>
          <w:szCs w:val="21"/>
          <w14:textFill>
            <w14:solidFill>
              <w14:schemeClr w14:val="tx1"/>
            </w14:solidFill>
          </w14:textFill>
        </w:rPr>
        <w:t>，2000</w:t>
      </w:r>
      <w:r>
        <w:rPr>
          <w:rFonts w:hAnsi="宋体"/>
          <w:color w:val="000000" w:themeColor="text1"/>
          <w:szCs w:val="21"/>
          <w14:textFill>
            <w14:solidFill>
              <w14:schemeClr w14:val="tx1"/>
            </w14:solidFill>
          </w14:textFill>
        </w:rPr>
        <w:t>m以上降额输出；</w:t>
      </w:r>
    </w:p>
    <w:p w14:paraId="70FADC8A">
      <w:pPr>
        <w:spacing w:line="360" w:lineRule="auto"/>
        <w:ind w:firstLine="420" w:firstLineChars="200"/>
        <w:rPr>
          <w:rFonts w:hint="eastAsia"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大气压强：80kPa～110kPa；</w:t>
      </w:r>
    </w:p>
    <w:p w14:paraId="1696CF8A">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1.1.2</w:t>
      </w:r>
      <w:r>
        <w:rPr>
          <w:rFonts w:hint="eastAsia"/>
          <w:color w:val="000000" w:themeColor="text1"/>
          <w14:textFill>
            <w14:solidFill>
              <w14:schemeClr w14:val="tx1"/>
            </w14:solidFill>
          </w14:textFill>
        </w:rPr>
        <w:t>电源条件</w:t>
      </w:r>
    </w:p>
    <w:p w14:paraId="01366B35">
      <w:pPr>
        <w:spacing w:line="360" w:lineRule="auto"/>
        <w:ind w:firstLine="420" w:firstLine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t>交流输入电压：380V±15％；</w:t>
      </w:r>
    </w:p>
    <w:p w14:paraId="574B4DCA">
      <w:pPr>
        <w:spacing w:line="360" w:lineRule="auto"/>
        <w:ind w:firstLine="420" w:firstLine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t>交流电源频率：45HZ</w:t>
      </w:r>
      <w:r>
        <w:rPr>
          <w:rFonts w:hint="eastAsia" w:hAnsi="宋体"/>
          <w:color w:val="000000" w:themeColor="text1"/>
          <w:szCs w:val="21"/>
          <w14:textFill>
            <w14:solidFill>
              <w14:schemeClr w14:val="tx1"/>
            </w14:solidFill>
          </w14:textFill>
        </w:rPr>
        <w:t>~</w:t>
      </w:r>
      <w:r>
        <w:rPr>
          <w:color w:val="000000" w:themeColor="text1"/>
          <w:szCs w:val="21"/>
          <w14:textFill>
            <w14:solidFill>
              <w14:schemeClr w14:val="tx1"/>
            </w14:solidFill>
          </w14:textFill>
        </w:rPr>
        <w:t>65HZ。</w:t>
      </w:r>
    </w:p>
    <w:p w14:paraId="05FB55FD">
      <w:pPr>
        <w:pStyle w:val="5"/>
        <w:numPr>
          <w:ilvl w:val="0"/>
          <w:numId w:val="0"/>
        </w:numPr>
        <w:ind w:left="0" w:leftChars="0" w:firstLine="0" w:firstLineChars="0"/>
        <w:rPr>
          <w:color w:val="000000" w:themeColor="text1"/>
          <w14:textFill>
            <w14:solidFill>
              <w14:schemeClr w14:val="tx1"/>
            </w14:solidFill>
          </w14:textFill>
        </w:rPr>
      </w:pPr>
      <w:bookmarkStart w:id="8" w:name="_Hlk101618858"/>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1.1.3</w:t>
      </w:r>
      <w:r>
        <w:rPr>
          <w:rFonts w:hint="eastAsia"/>
          <w:color w:val="000000" w:themeColor="text1"/>
          <w14:textFill>
            <w14:solidFill>
              <w14:schemeClr w14:val="tx1"/>
            </w14:solidFill>
          </w14:textFill>
        </w:rPr>
        <w:t>输出电压和额定功率</w:t>
      </w:r>
    </w:p>
    <w:p w14:paraId="69D535F8">
      <w:pPr>
        <w:pStyle w:val="61"/>
        <w:numPr>
          <w:ilvl w:val="0"/>
          <w:numId w:val="3"/>
        </w:numPr>
        <w:spacing w:line="360" w:lineRule="auto"/>
        <w:ind w:firstLineChars="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直流</w:t>
      </w:r>
      <w:r>
        <w:rPr>
          <w:color w:val="000000" w:themeColor="text1"/>
          <w:szCs w:val="21"/>
          <w14:textFill>
            <w14:solidFill>
              <w14:schemeClr w14:val="tx1"/>
            </w14:solidFill>
          </w14:textFill>
        </w:rPr>
        <w:t>输出电压：</w:t>
      </w:r>
      <w:r>
        <w:rPr>
          <w:rFonts w:hint="eastAsia"/>
          <w:color w:val="000000" w:themeColor="text1"/>
          <w:szCs w:val="21"/>
          <w14:textFill>
            <w14:solidFill>
              <w14:schemeClr w14:val="tx1"/>
            </w14:solidFill>
          </w14:textFill>
        </w:rPr>
        <w:t>5</w:t>
      </w:r>
      <w:r>
        <w:rPr>
          <w:color w:val="000000" w:themeColor="text1"/>
          <w:szCs w:val="21"/>
          <w14:textFill>
            <w14:solidFill>
              <w14:schemeClr w14:val="tx1"/>
            </w14:solidFill>
          </w14:textFill>
        </w:rPr>
        <w:t>0V-1000V</w:t>
      </w:r>
      <w:r>
        <w:rPr>
          <w:rFonts w:hint="eastAsia"/>
          <w:color w:val="000000" w:themeColor="text1"/>
          <w:szCs w:val="21"/>
          <w14:textFill>
            <w14:solidFill>
              <w14:schemeClr w14:val="tx1"/>
            </w14:solidFill>
          </w14:textFill>
        </w:rPr>
        <w:t>连续可调不分段；</w:t>
      </w:r>
    </w:p>
    <w:p w14:paraId="358DC66A">
      <w:pPr>
        <w:pStyle w:val="61"/>
        <w:numPr>
          <w:ilvl w:val="0"/>
          <w:numId w:val="3"/>
        </w:numPr>
        <w:spacing w:line="360" w:lineRule="auto"/>
        <w:ind w:firstLineChars="0"/>
        <w:rPr>
          <w:color w:val="000000" w:themeColor="text1"/>
          <w:szCs w:val="21"/>
          <w14:textFill>
            <w14:solidFill>
              <w14:schemeClr w14:val="tx1"/>
            </w14:solidFill>
          </w14:textFill>
        </w:rPr>
      </w:pPr>
      <w:r>
        <w:rPr>
          <w:color w:val="000000" w:themeColor="text1"/>
          <w:szCs w:val="21"/>
          <w14:textFill>
            <w14:solidFill>
              <w14:schemeClr w14:val="tx1"/>
            </w14:solidFill>
          </w14:textFill>
        </w:rPr>
        <w:t>恒功率</w:t>
      </w:r>
      <w:r>
        <w:rPr>
          <w:rFonts w:hint="eastAsia"/>
          <w:color w:val="000000" w:themeColor="text1"/>
          <w:szCs w:val="21"/>
          <w14:textFill>
            <w14:solidFill>
              <w14:schemeClr w14:val="tx1"/>
            </w14:solidFill>
          </w14:textFill>
        </w:rPr>
        <w:t>段300V-</w:t>
      </w:r>
      <w:r>
        <w:rPr>
          <w:color w:val="000000" w:themeColor="text1"/>
          <w:szCs w:val="21"/>
          <w14:textFill>
            <w14:solidFill>
              <w14:schemeClr w14:val="tx1"/>
            </w14:solidFill>
          </w14:textFill>
        </w:rPr>
        <w:t>100</w:t>
      </w:r>
      <w:r>
        <w:rPr>
          <w:rFonts w:hint="eastAsia"/>
          <w:color w:val="000000" w:themeColor="text1"/>
          <w:szCs w:val="21"/>
          <w14:textFill>
            <w14:solidFill>
              <w14:schemeClr w14:val="tx1"/>
            </w14:solidFill>
          </w14:textFill>
        </w:rPr>
        <w:t>0V连续可调不分段。</w:t>
      </w:r>
    </w:p>
    <w:p w14:paraId="5E3EE401">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1.1.4</w:t>
      </w:r>
      <w:r>
        <w:rPr>
          <w:rFonts w:hint="eastAsia"/>
          <w:color w:val="000000" w:themeColor="text1"/>
          <w14:textFill>
            <w14:solidFill>
              <w14:schemeClr w14:val="tx1"/>
            </w14:solidFill>
          </w14:textFill>
        </w:rPr>
        <w:t>低压辅助电源</w:t>
      </w:r>
    </w:p>
    <w:p w14:paraId="4A223C1C">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充电机应能为电动汽车提供低压辅助电源，</w:t>
      </w:r>
      <w:r>
        <w:rPr>
          <w:color w:val="000000" w:themeColor="text1"/>
          <w14:textFill>
            <w14:solidFill>
              <w14:schemeClr w14:val="tx1"/>
            </w14:solidFill>
          </w14:textFill>
        </w:rPr>
        <w:t>且具备过负荷、过压、过温保护</w:t>
      </w:r>
      <w:r>
        <w:rPr>
          <w:rFonts w:hint="eastAsia"/>
          <w:color w:val="000000" w:themeColor="text1"/>
          <w14:textFill>
            <w14:solidFill>
              <w14:schemeClr w14:val="tx1"/>
            </w14:solidFill>
          </w14:textFill>
        </w:rPr>
        <w:t>功能。</w:t>
      </w:r>
    </w:p>
    <w:p w14:paraId="6CF416CF">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辅助电源电压：</w:t>
      </w:r>
      <w:r>
        <w:rPr>
          <w:rFonts w:hint="eastAsia"/>
          <w:color w:val="000000" w:themeColor="text1"/>
          <w:szCs w:val="21"/>
          <w14:textFill>
            <w14:solidFill>
              <w14:schemeClr w14:val="tx1"/>
            </w14:solidFill>
          </w14:textFill>
        </w:rPr>
        <w:t>12V/24V兼容</w:t>
      </w:r>
      <w:r>
        <w:rPr>
          <w:color w:val="000000" w:themeColor="text1"/>
          <w:szCs w:val="21"/>
          <w14:textFill>
            <w14:solidFill>
              <w14:schemeClr w14:val="tx1"/>
            </w14:solidFill>
          </w14:textFill>
        </w:rPr>
        <w:t>；</w:t>
      </w:r>
    </w:p>
    <w:p w14:paraId="256C5BF2">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2）充电机辅助电源满足GB/T 18487</w:t>
      </w:r>
      <w:r>
        <w:rPr>
          <w:color w:val="000000" w:themeColor="text1"/>
          <w:szCs w:val="21"/>
          <w14:textFill>
            <w14:solidFill>
              <w14:schemeClr w14:val="tx1"/>
            </w14:solidFill>
          </w14:textFill>
        </w:rPr>
        <w:t>.1-2015</w:t>
      </w:r>
      <w:r>
        <w:rPr>
          <w:rFonts w:hint="eastAsia"/>
          <w:color w:val="000000" w:themeColor="text1"/>
          <w:szCs w:val="21"/>
          <w14:textFill>
            <w14:solidFill>
              <w14:schemeClr w14:val="tx1"/>
            </w14:solidFill>
          </w14:textFill>
        </w:rPr>
        <w:t>和Q/GDW</w:t>
      </w:r>
      <w:r>
        <w:rPr>
          <w:color w:val="000000" w:themeColor="text1"/>
          <w:szCs w:val="21"/>
          <w14:textFill>
            <w14:solidFill>
              <w14:schemeClr w14:val="tx1"/>
            </w14:solidFill>
          </w14:textFill>
        </w:rPr>
        <w:t xml:space="preserve"> 1594-2014</w:t>
      </w:r>
      <w:r>
        <w:rPr>
          <w:rFonts w:hint="eastAsia"/>
          <w:color w:val="000000" w:themeColor="text1"/>
          <w:szCs w:val="21"/>
          <w14:textFill>
            <w14:solidFill>
              <w14:schemeClr w14:val="tx1"/>
            </w14:solidFill>
          </w14:textFill>
        </w:rPr>
        <w:t>中的要求</w:t>
      </w:r>
      <w:r>
        <w:rPr>
          <w:color w:val="000000" w:themeColor="text1"/>
          <w:szCs w:val="21"/>
          <w14:textFill>
            <w14:solidFill>
              <w14:schemeClr w14:val="tx1"/>
            </w14:solidFill>
          </w14:textFill>
        </w:rPr>
        <w:t>；</w:t>
      </w:r>
    </w:p>
    <w:p w14:paraId="4FA015A0">
      <w:pPr>
        <w:spacing w:line="360" w:lineRule="auto"/>
        <w:ind w:firstLine="420" w:firstLineChars="200"/>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纹波峰值系数：不超过±1%</w:t>
      </w:r>
      <w:r>
        <w:rPr>
          <w:rFonts w:hint="eastAsia"/>
          <w:color w:val="000000" w:themeColor="text1"/>
          <w14:textFill>
            <w14:solidFill>
              <w14:schemeClr w14:val="tx1"/>
            </w14:solidFill>
          </w14:textFill>
        </w:rPr>
        <w:t>。</w:t>
      </w:r>
    </w:p>
    <w:bookmarkEnd w:id="8"/>
    <w:p w14:paraId="42BE35B6">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1.1.5</w:t>
      </w:r>
      <w:r>
        <w:rPr>
          <w:rFonts w:hint="eastAsia"/>
          <w:color w:val="000000" w:themeColor="text1"/>
          <w14:textFill>
            <w14:solidFill>
              <w14:schemeClr w14:val="tx1"/>
            </w14:solidFill>
          </w14:textFill>
        </w:rPr>
        <w:t>待机损耗</w:t>
      </w:r>
    </w:p>
    <w:p w14:paraId="7C7EC19A">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整机待机损耗小于等于N</w:t>
      </w:r>
      <w:r>
        <w:rPr>
          <w:color w:val="000000" w:themeColor="text1"/>
          <w14:textFill>
            <w14:solidFill>
              <w14:schemeClr w14:val="tx1"/>
            </w14:solidFill>
          </w14:textFill>
        </w:rPr>
        <w:t>*30</w:t>
      </w:r>
      <w:r>
        <w:rPr>
          <w:rFonts w:hint="eastAsia"/>
          <w:color w:val="000000" w:themeColor="text1"/>
          <w14:textFill>
            <w14:solidFill>
              <w14:schemeClr w14:val="tx1"/>
            </w14:solidFill>
          </w14:textFill>
        </w:rPr>
        <w:t>W。（N表示车辆接口数量）</w:t>
      </w:r>
    </w:p>
    <w:p w14:paraId="18AD9A11">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2.2</w:t>
      </w:r>
      <w:r>
        <w:rPr>
          <w:rFonts w:hint="eastAsia"/>
          <w:color w:val="000000" w:themeColor="text1"/>
          <w14:textFill>
            <w14:solidFill>
              <w14:schemeClr w14:val="tx1"/>
            </w14:solidFill>
          </w14:textFill>
        </w:rPr>
        <w:t>结构要求</w:t>
      </w:r>
    </w:p>
    <w:p w14:paraId="3A9DF54B">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一体式直流充电机，</w:t>
      </w:r>
      <w:r>
        <w:rPr>
          <w:color w:val="000000" w:themeColor="text1"/>
          <w:szCs w:val="21"/>
          <w14:textFill>
            <w14:solidFill>
              <w14:schemeClr w14:val="tx1"/>
            </w14:solidFill>
          </w14:textFill>
        </w:rPr>
        <w:t>基本</w:t>
      </w:r>
      <w:r>
        <w:rPr>
          <w:rFonts w:hint="eastAsia"/>
          <w:color w:val="000000" w:themeColor="text1"/>
          <w:szCs w:val="21"/>
          <w14:textFill>
            <w14:solidFill>
              <w14:schemeClr w14:val="tx1"/>
            </w14:solidFill>
          </w14:textFill>
        </w:rPr>
        <w:t>构成包括：充电模块、配电单元、控制单元、人机交互单元、</w:t>
      </w:r>
      <w:r>
        <w:rPr>
          <w:color w:val="000000" w:themeColor="text1"/>
          <w:szCs w:val="21"/>
          <w14:textFill>
            <w14:solidFill>
              <w14:schemeClr w14:val="tx1"/>
            </w14:solidFill>
          </w14:textFill>
        </w:rPr>
        <w:t>计量</w:t>
      </w:r>
      <w:r>
        <w:rPr>
          <w:rFonts w:hint="eastAsia"/>
          <w:color w:val="000000" w:themeColor="text1"/>
          <w:szCs w:val="21"/>
          <w14:textFill>
            <w14:solidFill>
              <w14:schemeClr w14:val="tx1"/>
            </w14:solidFill>
          </w14:textFill>
        </w:rPr>
        <w:t>单元、</w:t>
      </w:r>
      <w:r>
        <w:rPr>
          <w:color w:val="000000" w:themeColor="text1"/>
          <w:szCs w:val="21"/>
          <w14:textFill>
            <w14:solidFill>
              <w14:schemeClr w14:val="tx1"/>
            </w14:solidFill>
          </w14:textFill>
        </w:rPr>
        <w:t>充电接口</w:t>
      </w:r>
      <w:r>
        <w:rPr>
          <w:rFonts w:hint="eastAsia"/>
          <w:color w:val="000000" w:themeColor="text1"/>
          <w:szCs w:val="21"/>
          <w14:textFill>
            <w14:solidFill>
              <w14:schemeClr w14:val="tx1"/>
            </w14:solidFill>
          </w14:textFill>
        </w:rPr>
        <w:t>等，充电机左、右、</w:t>
      </w:r>
      <w:r>
        <w:rPr>
          <w:color w:val="000000" w:themeColor="text1"/>
          <w:szCs w:val="21"/>
          <w14:textFill>
            <w14:solidFill>
              <w14:schemeClr w14:val="tx1"/>
            </w14:solidFill>
          </w14:textFill>
        </w:rPr>
        <w:t>前</w:t>
      </w:r>
      <w:r>
        <w:rPr>
          <w:rFonts w:hint="eastAsia"/>
          <w:color w:val="000000" w:themeColor="text1"/>
          <w:szCs w:val="21"/>
          <w14:textFill>
            <w14:solidFill>
              <w14:schemeClr w14:val="tx1"/>
            </w14:solidFill>
          </w14:textFill>
        </w:rPr>
        <w:t>开门，可支持靠墙安装</w:t>
      </w:r>
      <w:r>
        <w:rPr>
          <w:rFonts w:hint="eastAsia"/>
          <w:color w:val="000000" w:themeColor="text1"/>
          <w14:textFill>
            <w14:solidFill>
              <w14:schemeClr w14:val="tx1"/>
            </w14:solidFill>
          </w14:textFill>
        </w:rPr>
        <w:t>。</w:t>
      </w:r>
    </w:p>
    <w:p w14:paraId="53B6A8D6">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2.2.1</w:t>
      </w:r>
      <w:r>
        <w:rPr>
          <w:rFonts w:hint="eastAsia"/>
          <w:color w:val="000000" w:themeColor="text1"/>
          <w14:textFill>
            <w14:solidFill>
              <w14:schemeClr w14:val="tx1"/>
            </w14:solidFill>
          </w14:textFill>
        </w:rPr>
        <w:t>结构形式</w:t>
      </w:r>
    </w:p>
    <w:p w14:paraId="3E209F3C">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一体式直流充电机，柜体带有A、B两把枪，出线方式均为上出线</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 xml:space="preserve"> </w:t>
      </w:r>
    </w:p>
    <w:p w14:paraId="24FC81BD">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2.2.2</w:t>
      </w:r>
      <w:r>
        <w:rPr>
          <w:color w:val="000000" w:themeColor="text1"/>
          <w14:textFill>
            <w14:solidFill>
              <w14:schemeClr w14:val="tx1"/>
            </w14:solidFill>
          </w14:textFill>
        </w:rPr>
        <w:t>外壳要求</w:t>
      </w:r>
    </w:p>
    <w:p w14:paraId="310FD642">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充电机采用抗冲击力强、抗老化的材质，</w:t>
      </w:r>
      <w:r>
        <w:rPr>
          <w:color w:val="000000" w:themeColor="text1"/>
          <w:szCs w:val="21"/>
          <w14:textFill>
            <w14:solidFill>
              <w14:schemeClr w14:val="tx1"/>
            </w14:solidFill>
          </w14:textFill>
        </w:rPr>
        <w:t>可靠性</w:t>
      </w:r>
      <w:r>
        <w:rPr>
          <w:rFonts w:hint="eastAsia"/>
          <w:color w:val="000000" w:themeColor="text1"/>
          <w:szCs w:val="21"/>
          <w14:textFill>
            <w14:solidFill>
              <w14:schemeClr w14:val="tx1"/>
            </w14:solidFill>
          </w14:textFill>
        </w:rPr>
        <w:t>高，充电机钣金外壳和暴露在外的钣金支架、零件应采取双层防锈措施，非金属外壳也应具有防老化处理</w:t>
      </w:r>
      <w:r>
        <w:rPr>
          <w:color w:val="000000" w:themeColor="text1"/>
          <w14:textFill>
            <w14:solidFill>
              <w14:schemeClr w14:val="tx1"/>
            </w14:solidFill>
          </w14:textFill>
        </w:rPr>
        <w:t>。</w:t>
      </w:r>
    </w:p>
    <w:p w14:paraId="13084895">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2.3</w:t>
      </w:r>
      <w:r>
        <w:rPr>
          <w:rFonts w:hint="eastAsia"/>
          <w:color w:val="000000" w:themeColor="text1"/>
          <w14:textFill>
            <w14:solidFill>
              <w14:schemeClr w14:val="tx1"/>
            </w14:solidFill>
          </w14:textFill>
        </w:rPr>
        <w:t>功能要求</w:t>
      </w:r>
    </w:p>
    <w:p w14:paraId="47D1D3DA">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w:t>
      </w:r>
      <w:r>
        <w:rPr>
          <w:rFonts w:hint="eastAsia"/>
          <w:color w:val="000000" w:themeColor="text1"/>
          <w14:textFill>
            <w14:solidFill>
              <w14:schemeClr w14:val="tx1"/>
            </w14:solidFill>
          </w14:textFill>
        </w:rPr>
        <w:t>充电控制功能</w:t>
      </w:r>
    </w:p>
    <w:p w14:paraId="5609EF74">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充电机应具备自动充电控制功能，可具备手动充电控制功能。充电机采用手动充电控制时，应具有明显的操作提示信息，仅限于专业人员在特殊情况下对充电机设备进行调试或维护时使用</w:t>
      </w:r>
      <w:r>
        <w:rPr>
          <w:rFonts w:hint="eastAsia"/>
          <w:color w:val="000000" w:themeColor="text1"/>
          <w14:textFill>
            <w14:solidFill>
              <w14:schemeClr w14:val="tx1"/>
            </w14:solidFill>
          </w14:textFill>
        </w:rPr>
        <w:t>。</w:t>
      </w:r>
    </w:p>
    <w:p w14:paraId="1080818C">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2.3.2</w:t>
      </w:r>
      <w:r>
        <w:rPr>
          <w:rFonts w:hint="eastAsia"/>
          <w:color w:val="000000" w:themeColor="text1"/>
          <w14:textFill>
            <w14:solidFill>
              <w14:schemeClr w14:val="tx1"/>
            </w14:solidFill>
          </w14:textFill>
        </w:rPr>
        <w:t>人机交互功能</w:t>
      </w:r>
    </w:p>
    <w:p w14:paraId="1914D08C">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充电机显示下列状态信息：</w:t>
      </w:r>
    </w:p>
    <w:p w14:paraId="563459A1">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（1）充电机的运行状态指示：待机、插枪、充电、告警。</w:t>
      </w:r>
    </w:p>
    <w:p w14:paraId="1EAFB840">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 xml:space="preserve">（2）具有手动充电控制功能的充电机应显示人工输入信息。 </w:t>
      </w:r>
    </w:p>
    <w:p w14:paraId="7CB0E712">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充电机显示下列信息：</w:t>
      </w:r>
    </w:p>
    <w:p w14:paraId="76EAFDDC">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（1）电池当前荷电状态（state of charge, SOC）、充电电压、充电电流、充电功率；</w:t>
      </w:r>
    </w:p>
    <w:p w14:paraId="7DF269E3">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（2）己充电时间、己充电电量、己充电金额。</w:t>
      </w:r>
    </w:p>
    <w:p w14:paraId="708814AF">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2.3.3</w:t>
      </w:r>
      <w:r>
        <w:rPr>
          <w:rFonts w:hint="eastAsia"/>
          <w:color w:val="000000" w:themeColor="text1"/>
          <w14:textFill>
            <w14:solidFill>
              <w14:schemeClr w14:val="tx1"/>
            </w14:solidFill>
          </w14:textFill>
        </w:rPr>
        <w:t>充电启动方式设定</w:t>
      </w:r>
    </w:p>
    <w:p w14:paraId="6CC32443">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充电机支持离线运行和联网运行，多种启动方式可选。</w:t>
      </w:r>
      <w:r>
        <w:rPr>
          <w:rFonts w:hAnsi="宋体"/>
          <w:color w:val="000000" w:themeColor="text1"/>
          <w:szCs w:val="21"/>
          <w14:textFill>
            <w14:solidFill>
              <w14:schemeClr w14:val="tx1"/>
            </w14:solidFill>
          </w14:textFill>
        </w:rPr>
        <w:t>离线</w:t>
      </w:r>
      <w:r>
        <w:rPr>
          <w:rFonts w:hint="eastAsia" w:hAnsi="宋体"/>
          <w:color w:val="000000" w:themeColor="text1"/>
          <w:szCs w:val="21"/>
          <w14:textFill>
            <w14:solidFill>
              <w14:schemeClr w14:val="tx1"/>
            </w14:solidFill>
          </w14:textFill>
        </w:rPr>
        <w:t>支持刷卡、</w:t>
      </w:r>
      <w:r>
        <w:rPr>
          <w:rFonts w:hAnsi="宋体"/>
          <w:color w:val="000000" w:themeColor="text1"/>
          <w:szCs w:val="21"/>
          <w14:textFill>
            <w14:solidFill>
              <w14:schemeClr w14:val="tx1"/>
            </w14:solidFill>
          </w14:textFill>
        </w:rPr>
        <w:t>密码</w:t>
      </w:r>
      <w:r>
        <w:rPr>
          <w:rFonts w:hint="eastAsia" w:hAnsi="宋体"/>
          <w:color w:val="000000" w:themeColor="text1"/>
          <w:szCs w:val="21"/>
          <w14:textFill>
            <w14:solidFill>
              <w14:schemeClr w14:val="tx1"/>
            </w14:solidFill>
          </w14:textFill>
        </w:rPr>
        <w:t>、即插即充启动方式；联网支持APP、小程序、</w:t>
      </w:r>
      <w:r>
        <w:rPr>
          <w:rFonts w:hAnsi="宋体"/>
          <w:color w:val="000000" w:themeColor="text1"/>
          <w:szCs w:val="21"/>
          <w14:textFill>
            <w14:solidFill>
              <w14:schemeClr w14:val="tx1"/>
            </w14:solidFill>
          </w14:textFill>
        </w:rPr>
        <w:t>刷卡</w:t>
      </w:r>
      <w:r>
        <w:rPr>
          <w:rFonts w:hint="eastAsia" w:hAnsi="宋体"/>
          <w:color w:val="000000" w:themeColor="text1"/>
          <w:szCs w:val="21"/>
          <w14:textFill>
            <w14:solidFill>
              <w14:schemeClr w14:val="tx1"/>
            </w14:solidFill>
          </w14:textFill>
        </w:rPr>
        <w:t>启动方式。</w:t>
      </w:r>
    </w:p>
    <w:p w14:paraId="71625583">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2.3.4</w:t>
      </w:r>
      <w:r>
        <w:rPr>
          <w:rFonts w:hint="eastAsia"/>
          <w:color w:val="000000" w:themeColor="text1"/>
          <w14:textFill>
            <w14:solidFill>
              <w14:schemeClr w14:val="tx1"/>
            </w14:solidFill>
          </w14:textFill>
        </w:rPr>
        <w:t>充电模式和连接方式</w:t>
      </w:r>
    </w:p>
    <w:p w14:paraId="45554BD2">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充电机采用GB/T18487.1-2015附录B中规定的充电模式4和连接方式C对电动汽车进行充电。充电接口应满足GB/T20234.1-2015和 GB/T20234.3-2015的规定。</w:t>
      </w:r>
    </w:p>
    <w:p w14:paraId="5A4202D4">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2.3.5</w:t>
      </w:r>
      <w:r>
        <w:rPr>
          <w:rFonts w:hint="eastAsia"/>
          <w:color w:val="000000" w:themeColor="text1"/>
          <w14:textFill>
            <w14:solidFill>
              <w14:schemeClr w14:val="tx1"/>
            </w14:solidFill>
          </w14:textFill>
        </w:rPr>
        <w:t>与电池管理系统通信功能</w:t>
      </w:r>
    </w:p>
    <w:p w14:paraId="2C0AAC85">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充电机应具有与电池管理系统通信的CAN接口，获得电池管理系统的充电参数和充电实时数据，通信协议应能满足 GB/T 27930-2015的规定。</w:t>
      </w:r>
    </w:p>
    <w:p w14:paraId="4679814F">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2.3.6</w:t>
      </w:r>
      <w:r>
        <w:rPr>
          <w:rFonts w:hint="eastAsia"/>
          <w:color w:val="000000" w:themeColor="text1"/>
          <w14:textFill>
            <w14:solidFill>
              <w14:schemeClr w14:val="tx1"/>
            </w14:solidFill>
          </w14:textFill>
        </w:rPr>
        <w:t>主动</w:t>
      </w:r>
      <w:r>
        <w:rPr>
          <w:color w:val="000000" w:themeColor="text1"/>
          <w14:textFill>
            <w14:solidFill>
              <w14:schemeClr w14:val="tx1"/>
            </w14:solidFill>
          </w14:textFill>
        </w:rPr>
        <w:t>防护过</w:t>
      </w:r>
      <w:r>
        <w:rPr>
          <w:rFonts w:hint="eastAsia"/>
          <w:color w:val="000000" w:themeColor="text1"/>
          <w14:textFill>
            <w14:solidFill>
              <w14:schemeClr w14:val="tx1"/>
            </w14:solidFill>
          </w14:textFill>
        </w:rPr>
        <w:t>充</w:t>
      </w:r>
      <w:r>
        <w:rPr>
          <w:color w:val="000000" w:themeColor="text1"/>
          <w14:textFill>
            <w14:solidFill>
              <w14:schemeClr w14:val="tx1"/>
            </w14:solidFill>
          </w14:textFill>
        </w:rPr>
        <w:t>设计</w:t>
      </w:r>
    </w:p>
    <w:p w14:paraId="2278C78F">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具备主动监测电动汽车BMS运行状态、电池特性参数及充电机自身的运行状态等功能。</w:t>
      </w:r>
      <w:r>
        <w:rPr>
          <w:rFonts w:hint="eastAsia"/>
          <w:color w:val="000000" w:themeColor="text1"/>
          <w:szCs w:val="21"/>
          <w14:textFill>
            <w14:solidFill>
              <w14:schemeClr w14:val="tx1"/>
            </w14:solidFill>
          </w14:textFill>
        </w:rPr>
        <w:t>通过输入输出保护、通信保护、充电过程保护、功能性保护方面内容，</w:t>
      </w:r>
      <w:r>
        <w:rPr>
          <w:rFonts w:hint="eastAsia" w:hAnsi="宋体"/>
          <w:color w:val="000000" w:themeColor="text1"/>
          <w:szCs w:val="21"/>
          <w14:textFill>
            <w14:solidFill>
              <w14:schemeClr w14:val="tx1"/>
            </w14:solidFill>
          </w14:textFill>
        </w:rPr>
        <w:t>主动诊断并处理故障和异常，实现电动汽车充电过程的主动防护。</w:t>
      </w:r>
    </w:p>
    <w:p w14:paraId="779251DD">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2.3.7</w:t>
      </w:r>
      <w:r>
        <w:rPr>
          <w:rFonts w:hint="eastAsia"/>
          <w:color w:val="000000" w:themeColor="text1"/>
          <w14:textFill>
            <w14:solidFill>
              <w14:schemeClr w14:val="tx1"/>
            </w14:solidFill>
          </w14:textFill>
        </w:rPr>
        <w:t>充电控制</w:t>
      </w:r>
    </w:p>
    <w:p w14:paraId="53EC90C9">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14:textFill>
            <w14:solidFill>
              <w14:schemeClr w14:val="tx1"/>
            </w14:solidFill>
          </w14:textFill>
        </w:rPr>
        <w:t>具备VIN自动识别充电：通过插枪，</w:t>
      </w:r>
      <w:r>
        <w:rPr>
          <w:rFonts w:hint="eastAsia"/>
          <w:color w:val="000000" w:themeColor="text1"/>
          <w14:textFill>
            <w14:solidFill>
              <w14:schemeClr w14:val="tx1"/>
            </w14:solidFill>
          </w14:textFill>
        </w:rPr>
        <w:t>自动</w:t>
      </w:r>
      <w:r>
        <w:rPr>
          <w:color w:val="000000" w:themeColor="text1"/>
          <w14:textFill>
            <w14:solidFill>
              <w14:schemeClr w14:val="tx1"/>
            </w14:solidFill>
          </w14:textFill>
        </w:rPr>
        <w:t>识别车辆BMS传回的VIN</w:t>
      </w:r>
      <w:r>
        <w:rPr>
          <w:rFonts w:hint="eastAsia"/>
          <w:color w:val="000000" w:themeColor="text1"/>
          <w14:textFill>
            <w14:solidFill>
              <w14:schemeClr w14:val="tx1"/>
            </w14:solidFill>
          </w14:textFill>
        </w:rPr>
        <w:t>码</w:t>
      </w:r>
      <w:r>
        <w:rPr>
          <w:color w:val="000000" w:themeColor="text1"/>
          <w14:textFill>
            <w14:solidFill>
              <w14:schemeClr w14:val="tx1"/>
            </w14:solidFill>
          </w14:textFill>
        </w:rPr>
        <w:t>，集中控制器识别正确，</w:t>
      </w:r>
      <w:r>
        <w:rPr>
          <w:rFonts w:hint="eastAsia"/>
          <w:color w:val="000000" w:themeColor="text1"/>
          <w14:textFill>
            <w14:solidFill>
              <w14:schemeClr w14:val="tx1"/>
            </w14:solidFill>
          </w14:textFill>
        </w:rPr>
        <w:t>自动</w:t>
      </w:r>
      <w:r>
        <w:rPr>
          <w:color w:val="000000" w:themeColor="text1"/>
          <w14:textFill>
            <w14:solidFill>
              <w14:schemeClr w14:val="tx1"/>
            </w14:solidFill>
          </w14:textFill>
        </w:rPr>
        <w:t>启动充电或遵循后台设置的</w:t>
      </w:r>
      <w:r>
        <w:rPr>
          <w:rFonts w:hint="eastAsia"/>
          <w:color w:val="000000" w:themeColor="text1"/>
          <w14:textFill>
            <w14:solidFill>
              <w14:schemeClr w14:val="tx1"/>
            </w14:solidFill>
          </w14:textFill>
        </w:rPr>
        <w:t>启动</w:t>
      </w:r>
      <w:r>
        <w:rPr>
          <w:color w:val="000000" w:themeColor="text1"/>
          <w14:textFill>
            <w14:solidFill>
              <w14:schemeClr w14:val="tx1"/>
            </w14:solidFill>
          </w14:textFill>
        </w:rPr>
        <w:t>充电时间，</w:t>
      </w:r>
      <w:r>
        <w:rPr>
          <w:rFonts w:hint="eastAsia"/>
          <w:color w:val="000000" w:themeColor="text1"/>
          <w14:textFill>
            <w14:solidFill>
              <w14:schemeClr w14:val="tx1"/>
            </w14:solidFill>
          </w14:textFill>
        </w:rPr>
        <w:t>自动</w:t>
      </w:r>
      <w:r>
        <w:rPr>
          <w:color w:val="000000" w:themeColor="text1"/>
          <w14:textFill>
            <w14:solidFill>
              <w14:schemeClr w14:val="tx1"/>
            </w14:solidFill>
          </w14:textFill>
        </w:rPr>
        <w:t>启动；</w:t>
      </w:r>
      <w:r>
        <w:rPr>
          <w:rFonts w:hint="eastAsia"/>
          <w:color w:val="000000" w:themeColor="text1"/>
          <w14:textFill>
            <w14:solidFill>
              <w14:schemeClr w14:val="tx1"/>
            </w14:solidFill>
          </w14:textFill>
        </w:rPr>
        <w:t>充电结束</w:t>
      </w:r>
      <w:r>
        <w:rPr>
          <w:color w:val="000000" w:themeColor="text1"/>
          <w14:textFill>
            <w14:solidFill>
              <w14:schemeClr w14:val="tx1"/>
            </w14:solidFill>
          </w14:textFill>
        </w:rPr>
        <w:t>后，</w:t>
      </w:r>
      <w:r>
        <w:rPr>
          <w:rFonts w:hint="eastAsia"/>
          <w:color w:val="000000" w:themeColor="text1"/>
          <w14:textFill>
            <w14:solidFill>
              <w14:schemeClr w14:val="tx1"/>
            </w14:solidFill>
          </w14:textFill>
        </w:rPr>
        <w:t>自动</w:t>
      </w:r>
      <w:r>
        <w:rPr>
          <w:color w:val="000000" w:themeColor="text1"/>
          <w14:textFill>
            <w14:solidFill>
              <w14:schemeClr w14:val="tx1"/>
            </w14:solidFill>
          </w14:textFill>
        </w:rPr>
        <w:t>停止，</w:t>
      </w:r>
      <w:r>
        <w:rPr>
          <w:rFonts w:hint="eastAsia"/>
          <w:color w:val="000000" w:themeColor="text1"/>
          <w14:textFill>
            <w14:solidFill>
              <w14:schemeClr w14:val="tx1"/>
            </w14:solidFill>
          </w14:textFill>
        </w:rPr>
        <w:t>充电未结束</w:t>
      </w:r>
      <w:r>
        <w:rPr>
          <w:color w:val="000000" w:themeColor="text1"/>
          <w14:textFill>
            <w14:solidFill>
              <w14:schemeClr w14:val="tx1"/>
            </w14:solidFill>
          </w14:textFill>
        </w:rPr>
        <w:t>时，</w:t>
      </w:r>
      <w:r>
        <w:rPr>
          <w:rFonts w:hint="eastAsia"/>
          <w:color w:val="000000" w:themeColor="text1"/>
          <w14:textFill>
            <w14:solidFill>
              <w14:schemeClr w14:val="tx1"/>
            </w14:solidFill>
          </w14:textFill>
        </w:rPr>
        <w:t>通过</w:t>
      </w:r>
      <w:r>
        <w:rPr>
          <w:color w:val="000000" w:themeColor="text1"/>
          <w14:textFill>
            <w14:solidFill>
              <w14:schemeClr w14:val="tx1"/>
            </w14:solidFill>
          </w14:textFill>
        </w:rPr>
        <w:t>手机、</w:t>
      </w:r>
      <w:r>
        <w:rPr>
          <w:rFonts w:hint="eastAsia"/>
          <w:color w:val="000000" w:themeColor="text1"/>
          <w14:textFill>
            <w14:solidFill>
              <w14:schemeClr w14:val="tx1"/>
            </w14:solidFill>
          </w14:textFill>
        </w:rPr>
        <w:t>PAD</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PC</w:t>
      </w:r>
      <w:r>
        <w:rPr>
          <w:color w:val="000000" w:themeColor="text1"/>
          <w14:textFill>
            <w14:solidFill>
              <w14:schemeClr w14:val="tx1"/>
            </w14:solidFill>
          </w14:textFill>
        </w:rPr>
        <w:t>等终端，</w:t>
      </w:r>
      <w:r>
        <w:rPr>
          <w:rFonts w:hint="eastAsia"/>
          <w:color w:val="000000" w:themeColor="text1"/>
          <w14:textFill>
            <w14:solidFill>
              <w14:schemeClr w14:val="tx1"/>
            </w14:solidFill>
          </w14:textFill>
        </w:rPr>
        <w:t>可</w:t>
      </w:r>
      <w:r>
        <w:rPr>
          <w:color w:val="000000" w:themeColor="text1"/>
          <w14:textFill>
            <w14:solidFill>
              <w14:schemeClr w14:val="tx1"/>
            </w14:solidFill>
          </w14:textFill>
        </w:rPr>
        <w:t>直接选择充电枪，</w:t>
      </w:r>
      <w:r>
        <w:rPr>
          <w:rFonts w:hint="eastAsia"/>
          <w:color w:val="000000" w:themeColor="text1"/>
          <w14:textFill>
            <w14:solidFill>
              <w14:schemeClr w14:val="tx1"/>
            </w14:solidFill>
          </w14:textFill>
        </w:rPr>
        <w:t>终止</w:t>
      </w:r>
      <w:r>
        <w:rPr>
          <w:color w:val="000000" w:themeColor="text1"/>
          <w14:textFill>
            <w14:solidFill>
              <w14:schemeClr w14:val="tx1"/>
            </w14:solidFill>
          </w14:textFill>
        </w:rPr>
        <w:t>充电。</w:t>
      </w:r>
    </w:p>
    <w:p w14:paraId="1605DAE9">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2）</w:t>
      </w:r>
      <w:r>
        <w:rPr>
          <w:rFonts w:hint="eastAsia"/>
          <w:color w:val="000000" w:themeColor="text1"/>
          <w14:textFill>
            <w14:solidFill>
              <w14:schemeClr w14:val="tx1"/>
            </w14:solidFill>
          </w14:textFill>
        </w:rPr>
        <w:t>定时充电功能</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可以自动或</w:t>
      </w:r>
      <w:r>
        <w:rPr>
          <w:color w:val="000000" w:themeColor="text1"/>
          <w14:textFill>
            <w14:solidFill>
              <w14:schemeClr w14:val="tx1"/>
            </w14:solidFill>
          </w14:textFill>
        </w:rPr>
        <w:t>手动</w:t>
      </w:r>
      <w:r>
        <w:rPr>
          <w:rFonts w:hint="eastAsia"/>
          <w:color w:val="000000" w:themeColor="text1"/>
          <w14:textFill>
            <w14:solidFill>
              <w14:schemeClr w14:val="tx1"/>
            </w14:solidFill>
          </w14:textFill>
        </w:rPr>
        <w:t>设置充电时间，充分利用低谷电价，降低运营成本</w:t>
      </w:r>
      <w:r>
        <w:rPr>
          <w:color w:val="000000" w:themeColor="text1"/>
          <w14:textFill>
            <w14:solidFill>
              <w14:schemeClr w14:val="tx1"/>
            </w14:solidFill>
          </w14:textFill>
        </w:rPr>
        <w:t>。</w:t>
      </w:r>
    </w:p>
    <w:p w14:paraId="260EE45B">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3）</w:t>
      </w:r>
      <w:r>
        <w:rPr>
          <w:rFonts w:hint="eastAsia"/>
          <w:color w:val="000000" w:themeColor="text1"/>
          <w14:textFill>
            <w14:solidFill>
              <w14:schemeClr w14:val="tx1"/>
            </w14:solidFill>
          </w14:textFill>
        </w:rPr>
        <w:t>智能</w:t>
      </w:r>
      <w:r>
        <w:rPr>
          <w:color w:val="000000" w:themeColor="text1"/>
          <w14:textFill>
            <w14:solidFill>
              <w14:schemeClr w14:val="tx1"/>
            </w14:solidFill>
          </w14:textFill>
        </w:rPr>
        <w:t>充电功能；区域组网，</w:t>
      </w:r>
      <w:r>
        <w:rPr>
          <w:rFonts w:hint="eastAsia"/>
          <w:color w:val="000000" w:themeColor="text1"/>
          <w14:textFill>
            <w14:solidFill>
              <w14:schemeClr w14:val="tx1"/>
            </w14:solidFill>
          </w14:textFill>
        </w:rPr>
        <w:t>本地</w:t>
      </w:r>
      <w:r>
        <w:rPr>
          <w:color w:val="000000" w:themeColor="text1"/>
          <w14:textFill>
            <w14:solidFill>
              <w14:schemeClr w14:val="tx1"/>
            </w14:solidFill>
          </w14:textFill>
        </w:rPr>
        <w:t>所有充电机</w:t>
      </w:r>
      <w:r>
        <w:rPr>
          <w:rFonts w:hint="eastAsia"/>
          <w:color w:val="000000" w:themeColor="text1"/>
          <w14:textFill>
            <w14:solidFill>
              <w14:schemeClr w14:val="tx1"/>
            </w14:solidFill>
          </w14:textFill>
        </w:rPr>
        <w:t>协同</w:t>
      </w:r>
      <w:r>
        <w:rPr>
          <w:color w:val="000000" w:themeColor="text1"/>
          <w14:textFill>
            <w14:solidFill>
              <w14:schemeClr w14:val="tx1"/>
            </w14:solidFill>
          </w14:textFill>
        </w:rPr>
        <w:t>，智能错峰充电。</w:t>
      </w:r>
    </w:p>
    <w:p w14:paraId="7A5F32CE">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2.3.8</w:t>
      </w:r>
      <w:r>
        <w:rPr>
          <w:rFonts w:hint="eastAsia"/>
          <w:color w:val="000000" w:themeColor="text1"/>
          <w14:textFill>
            <w14:solidFill>
              <w14:schemeClr w14:val="tx1"/>
            </w14:solidFill>
          </w14:textFill>
        </w:rPr>
        <w:t>与电池管理系统通信功能</w:t>
      </w:r>
    </w:p>
    <w:p w14:paraId="71E34E4F">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充电机应具有与电池管理系统通信的CAN接口，获得电池管理系统的充电参数和充电实时数据。通信协议应能满足 GB/T 27930-2015的规定。</w:t>
      </w:r>
    </w:p>
    <w:p w14:paraId="4273E5E0">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2.3.9</w:t>
      </w:r>
      <w:r>
        <w:rPr>
          <w:rFonts w:hint="eastAsia"/>
          <w:color w:val="000000" w:themeColor="text1"/>
          <w14:textFill>
            <w14:solidFill>
              <w14:schemeClr w14:val="tx1"/>
            </w14:solidFill>
          </w14:textFill>
        </w:rPr>
        <w:t>计量功能</w:t>
      </w:r>
    </w:p>
    <w:p w14:paraId="53F53937">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充电机采用直流侧计量，</w:t>
      </w:r>
      <w:r>
        <w:rPr>
          <w:rFonts w:hint="eastAsia"/>
          <w:color w:val="000000" w:themeColor="text1"/>
          <w14:textFill>
            <w14:solidFill>
              <w14:schemeClr w14:val="tx1"/>
            </w14:solidFill>
          </w14:textFill>
        </w:rPr>
        <w:t>应具有对每个充电接口输出电能进行计量的功能。电能计量装置应符合国家计量</w:t>
      </w:r>
      <w:r>
        <w:rPr>
          <w:color w:val="000000" w:themeColor="text1"/>
          <w14:textFill>
            <w14:solidFill>
              <w14:schemeClr w14:val="tx1"/>
            </w14:solidFill>
          </w14:textFill>
        </w:rPr>
        <w:t>器具检定</w:t>
      </w:r>
      <w:r>
        <w:rPr>
          <w:rFonts w:hint="eastAsia"/>
          <w:color w:val="000000" w:themeColor="text1"/>
          <w14:textFill>
            <w14:solidFill>
              <w14:schemeClr w14:val="tx1"/>
            </w14:solidFill>
          </w14:textFill>
        </w:rPr>
        <w:t>相关要求。精确度等级1.0级，电能计量装置具备1个RS485接口，通信协议遵循《DL/T 645-2007多功能电能表通信协议》技术要求。</w:t>
      </w:r>
    </w:p>
    <w:p w14:paraId="0BE6AC59">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充电机须具备电表校验异常功能。当充电机的电表校验发生异常时，充电机应能进行告警。</w:t>
      </w:r>
    </w:p>
    <w:p w14:paraId="2540833D">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2.3.10</w:t>
      </w:r>
      <w:r>
        <w:rPr>
          <w:rFonts w:hint="eastAsia"/>
          <w:color w:val="000000" w:themeColor="text1"/>
          <w14:textFill>
            <w14:solidFill>
              <w14:schemeClr w14:val="tx1"/>
            </w14:solidFill>
          </w14:textFill>
        </w:rPr>
        <w:t>负荷约束设置功能</w:t>
      </w:r>
    </w:p>
    <w:p w14:paraId="35C58BF1">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当多设备间共享有限变压器容量时，可以通过互相调节每台设备的输出，最大化、智能利用变压器和每台充电机的功率输出，防止变压器超负荷、利用率低。</w:t>
      </w:r>
    </w:p>
    <w:p w14:paraId="3A8D01E7">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2.3.11</w:t>
      </w:r>
      <w:r>
        <w:rPr>
          <w:rFonts w:hint="eastAsia"/>
          <w:color w:val="000000" w:themeColor="text1"/>
          <w14:textFill>
            <w14:solidFill>
              <w14:schemeClr w14:val="tx1"/>
            </w14:solidFill>
          </w14:textFill>
        </w:rPr>
        <w:t>错峰充电设置功能</w:t>
      </w:r>
    </w:p>
    <w:p w14:paraId="721BABE2">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具有通过界面设置错峰充电时间段，包括高价、低价、平价三个时间段进行充电的功能。</w:t>
      </w:r>
    </w:p>
    <w:p w14:paraId="1B8D2916">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2.3.12</w:t>
      </w:r>
      <w:r>
        <w:rPr>
          <w:color w:val="000000" w:themeColor="text1"/>
          <w14:textFill>
            <w14:solidFill>
              <w14:schemeClr w14:val="tx1"/>
            </w14:solidFill>
          </w14:textFill>
        </w:rPr>
        <w:t>通信功能</w:t>
      </w:r>
    </w:p>
    <w:p w14:paraId="52525C73">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配置4</w:t>
      </w:r>
      <w:r>
        <w:rPr>
          <w:rFonts w:hint="eastAsia"/>
          <w:color w:val="000000" w:themeColor="text1"/>
          <w14:textFill>
            <w14:solidFill>
              <w14:schemeClr w14:val="tx1"/>
            </w14:solidFill>
          </w14:textFill>
        </w:rPr>
        <w:t>G</w:t>
      </w:r>
      <w:r>
        <w:rPr>
          <w:color w:val="000000" w:themeColor="text1"/>
          <w14:textFill>
            <w14:solidFill>
              <w14:schemeClr w14:val="tx1"/>
            </w14:solidFill>
          </w14:textFill>
        </w:rPr>
        <w:t>通讯模块，</w:t>
      </w:r>
      <w:r>
        <w:rPr>
          <w:rFonts w:hint="eastAsia"/>
          <w:color w:val="000000" w:themeColor="text1"/>
          <w14:textFill>
            <w14:solidFill>
              <w14:schemeClr w14:val="tx1"/>
            </w14:solidFill>
          </w14:textFill>
        </w:rPr>
        <w:t>采用</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G通讯流量卡连接网络，</w:t>
      </w:r>
      <w:r>
        <w:rPr>
          <w:color w:val="000000" w:themeColor="text1"/>
          <w14:textFill>
            <w14:solidFill>
              <w14:schemeClr w14:val="tx1"/>
            </w14:solidFill>
          </w14:textFill>
        </w:rPr>
        <w:t>手机</w:t>
      </w:r>
      <w:r>
        <w:rPr>
          <w:rFonts w:hint="eastAsia"/>
          <w:color w:val="000000" w:themeColor="text1"/>
          <w14:textFill>
            <w14:solidFill>
              <w14:schemeClr w14:val="tx1"/>
            </w14:solidFill>
          </w14:textFill>
        </w:rPr>
        <w:t>APP</w:t>
      </w:r>
      <w:r>
        <w:rPr>
          <w:color w:val="000000" w:themeColor="text1"/>
          <w14:textFill>
            <w14:solidFill>
              <w14:schemeClr w14:val="tx1"/>
            </w14:solidFill>
          </w14:textFill>
        </w:rPr>
        <w:t>、PAD、PC</w:t>
      </w:r>
      <w:r>
        <w:rPr>
          <w:rFonts w:hint="eastAsia"/>
          <w:color w:val="000000" w:themeColor="text1"/>
          <w14:textFill>
            <w14:solidFill>
              <w14:schemeClr w14:val="tx1"/>
            </w14:solidFill>
          </w14:textFill>
        </w:rPr>
        <w:t>登陆云平台进行充电状态的监控</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查询及控制</w:t>
      </w:r>
      <w:r>
        <w:rPr>
          <w:color w:val="000000" w:themeColor="text1"/>
          <w14:textFill>
            <w14:solidFill>
              <w14:schemeClr w14:val="tx1"/>
            </w14:solidFill>
          </w14:textFill>
        </w:rPr>
        <w:t>功能。受后台通讯频次与数据</w:t>
      </w:r>
      <w:r>
        <w:rPr>
          <w:rFonts w:hint="eastAsia"/>
          <w:color w:val="000000" w:themeColor="text1"/>
          <w14:textFill>
            <w14:solidFill>
              <w14:schemeClr w14:val="tx1"/>
            </w14:solidFill>
          </w14:textFill>
        </w:rPr>
        <w:t>要求</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配置流量卡</w:t>
      </w:r>
      <w:r>
        <w:rPr>
          <w:color w:val="000000" w:themeColor="text1"/>
          <w14:textFill>
            <w14:solidFill>
              <w14:schemeClr w14:val="tx1"/>
            </w14:solidFill>
          </w14:textFill>
        </w:rPr>
        <w:t>具备每月不低于500</w:t>
      </w:r>
      <w:r>
        <w:rPr>
          <w:rFonts w:hint="eastAsia"/>
          <w:color w:val="000000" w:themeColor="text1"/>
          <w14:textFill>
            <w14:solidFill>
              <w14:schemeClr w14:val="tx1"/>
            </w14:solidFill>
          </w14:textFill>
        </w:rPr>
        <w:t>M</w:t>
      </w:r>
      <w:r>
        <w:rPr>
          <w:color w:val="000000" w:themeColor="text1"/>
          <w14:textFill>
            <w14:solidFill>
              <w14:schemeClr w14:val="tx1"/>
            </w14:solidFill>
          </w14:textFill>
        </w:rPr>
        <w:t>流量／</w:t>
      </w:r>
      <w:r>
        <w:rPr>
          <w:rFonts w:hint="eastAsia"/>
          <w:color w:val="000000" w:themeColor="text1"/>
          <w14:textFill>
            <w14:solidFill>
              <w14:schemeClr w14:val="tx1"/>
            </w14:solidFill>
          </w14:textFill>
        </w:rPr>
        <w:t>桩</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每个</w:t>
      </w:r>
      <w:r>
        <w:rPr>
          <w:color w:val="000000" w:themeColor="text1"/>
          <w14:textFill>
            <w14:solidFill>
              <w14:schemeClr w14:val="tx1"/>
            </w14:solidFill>
          </w14:textFill>
        </w:rPr>
        <w:t>车位可单独计量、</w:t>
      </w:r>
      <w:r>
        <w:rPr>
          <w:rFonts w:hint="eastAsia"/>
          <w:color w:val="000000" w:themeColor="text1"/>
          <w14:textFill>
            <w14:solidFill>
              <w14:schemeClr w14:val="tx1"/>
            </w14:solidFill>
          </w14:textFill>
        </w:rPr>
        <w:t>计费</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通信</w:t>
      </w:r>
      <w:r>
        <w:rPr>
          <w:color w:val="000000" w:themeColor="text1"/>
          <w14:textFill>
            <w14:solidFill>
              <w14:schemeClr w14:val="tx1"/>
            </w14:solidFill>
          </w14:textFill>
        </w:rPr>
        <w:t>，流量卡由</w:t>
      </w:r>
      <w:r>
        <w:rPr>
          <w:rFonts w:hint="eastAsia"/>
          <w:color w:val="000000" w:themeColor="text1"/>
          <w14:textFill>
            <w14:solidFill>
              <w14:schemeClr w14:val="tx1"/>
            </w14:solidFill>
          </w14:textFill>
        </w:rPr>
        <w:t>投标人</w:t>
      </w:r>
      <w:r>
        <w:rPr>
          <w:color w:val="000000" w:themeColor="text1"/>
          <w14:textFill>
            <w14:solidFill>
              <w14:schemeClr w14:val="tx1"/>
            </w14:solidFill>
          </w14:textFill>
        </w:rPr>
        <w:t>提供，</w:t>
      </w:r>
      <w:r>
        <w:rPr>
          <w:rFonts w:hint="eastAsia"/>
          <w:color w:val="000000" w:themeColor="text1"/>
          <w14:textFill>
            <w14:solidFill>
              <w14:schemeClr w14:val="tx1"/>
            </w14:solidFill>
          </w14:textFill>
        </w:rPr>
        <w:t>自行计入</w:t>
      </w:r>
      <w:r>
        <w:rPr>
          <w:color w:val="000000" w:themeColor="text1"/>
          <w14:textFill>
            <w14:solidFill>
              <w14:schemeClr w14:val="tx1"/>
            </w14:solidFill>
          </w14:textFill>
        </w:rPr>
        <w:t>成本，</w:t>
      </w:r>
      <w:r>
        <w:rPr>
          <w:rFonts w:hint="eastAsia"/>
          <w:color w:val="000000" w:themeColor="text1"/>
          <w14:textFill>
            <w14:solidFill>
              <w14:schemeClr w14:val="tx1"/>
            </w14:solidFill>
          </w14:textFill>
        </w:rPr>
        <w:t>通讯运营商</w:t>
      </w:r>
      <w:r>
        <w:rPr>
          <w:color w:val="000000" w:themeColor="text1"/>
          <w14:textFill>
            <w14:solidFill>
              <w14:schemeClr w14:val="tx1"/>
            </w14:solidFill>
          </w14:textFill>
        </w:rPr>
        <w:t>的选择根据充电站所在位置选择网络较好的运营商，由招标人在下单时提供。自行配</w:t>
      </w:r>
      <w:r>
        <w:rPr>
          <w:rFonts w:hint="eastAsia"/>
          <w:color w:val="000000" w:themeColor="text1"/>
          <w14:textFill>
            <w14:solidFill>
              <w14:schemeClr w14:val="tx1"/>
            </w14:solidFill>
          </w14:textFill>
        </w:rPr>
        <w:t>置</w:t>
      </w:r>
      <w:r>
        <w:rPr>
          <w:color w:val="000000" w:themeColor="text1"/>
          <w14:textFill>
            <w14:solidFill>
              <w14:schemeClr w14:val="tx1"/>
            </w14:solidFill>
          </w14:textFill>
        </w:rPr>
        <w:t>工业级无线路由器（全网通通信模块，兼容4G/3G/2G频段，</w:t>
      </w:r>
      <w:r>
        <w:rPr>
          <w:rFonts w:hint="eastAsia"/>
          <w:color w:val="000000" w:themeColor="text1"/>
          <w14:textFill>
            <w14:solidFill>
              <w14:schemeClr w14:val="tx1"/>
            </w14:solidFill>
          </w14:textFill>
        </w:rPr>
        <w:t>有线</w:t>
      </w:r>
      <w:r>
        <w:rPr>
          <w:color w:val="000000" w:themeColor="text1"/>
          <w14:textFill>
            <w14:solidFill>
              <w14:schemeClr w14:val="tx1"/>
            </w14:solidFill>
          </w14:textFill>
        </w:rPr>
        <w:t>加无线双网互备）。</w:t>
      </w:r>
    </w:p>
    <w:p w14:paraId="1EDD8041">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2.3.13</w:t>
      </w:r>
      <w:r>
        <w:rPr>
          <w:rFonts w:hint="eastAsia"/>
          <w:color w:val="000000" w:themeColor="text1"/>
          <w14:textFill>
            <w14:solidFill>
              <w14:schemeClr w14:val="tx1"/>
            </w14:solidFill>
          </w14:textFill>
        </w:rPr>
        <w:t>流量统计功能</w:t>
      </w:r>
    </w:p>
    <w:p w14:paraId="6BC6735A">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具有对外通信流量统计功能，并显示流量信息。</w:t>
      </w:r>
    </w:p>
    <w:p w14:paraId="687E363F">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2.3.14</w:t>
      </w:r>
      <w:r>
        <w:rPr>
          <w:color w:val="000000" w:themeColor="text1"/>
          <w14:textFill>
            <w14:solidFill>
              <w14:schemeClr w14:val="tx1"/>
            </w14:solidFill>
          </w14:textFill>
        </w:rPr>
        <w:t>远程</w:t>
      </w:r>
      <w:r>
        <w:rPr>
          <w:rFonts w:hint="eastAsia"/>
          <w:color w:val="000000" w:themeColor="text1"/>
          <w14:textFill>
            <w14:solidFill>
              <w14:schemeClr w14:val="tx1"/>
            </w14:solidFill>
          </w14:textFill>
        </w:rPr>
        <w:t>运维</w:t>
      </w:r>
    </w:p>
    <w:p w14:paraId="6CC94928">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为保证充电机运维售后的及时性，充电机应具备以下功能：</w:t>
      </w:r>
    </w:p>
    <w:p w14:paraId="49AE5C0D">
      <w:pPr>
        <w:pStyle w:val="11"/>
        <w:numPr>
          <w:ilvl w:val="0"/>
          <w:numId w:val="4"/>
        </w:numPr>
        <w:spacing w:line="360" w:lineRule="auto"/>
        <w:ind w:firstLineChars="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充电机的软件系统具备远程升级能力；</w:t>
      </w:r>
    </w:p>
    <w:p w14:paraId="26513176">
      <w:pPr>
        <w:pStyle w:val="11"/>
        <w:numPr>
          <w:ilvl w:val="0"/>
          <w:numId w:val="4"/>
        </w:numPr>
        <w:spacing w:line="360" w:lineRule="auto"/>
        <w:ind w:firstLineChars="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充电机应具有可以通过远程进行设置相关参数的功能；</w:t>
      </w:r>
    </w:p>
    <w:p w14:paraId="1BEEF62A">
      <w:pPr>
        <w:pStyle w:val="11"/>
        <w:numPr>
          <w:ilvl w:val="0"/>
          <w:numId w:val="4"/>
        </w:numPr>
        <w:spacing w:line="360" w:lineRule="auto"/>
        <w:ind w:firstLineChars="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充电机应能够实现远程监控故障，并进行设备软件维护。</w:t>
      </w:r>
    </w:p>
    <w:p w14:paraId="703CF9CF">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充电机烧写程序可通过联网后</w:t>
      </w:r>
      <w:r>
        <w:rPr>
          <w:rFonts w:hint="eastAsia"/>
          <w:color w:val="000000" w:themeColor="text1"/>
          <w14:textFill>
            <w14:solidFill>
              <w14:schemeClr w14:val="tx1"/>
            </w14:solidFill>
          </w14:textFill>
        </w:rPr>
        <w:t>通过</w:t>
      </w:r>
      <w:r>
        <w:rPr>
          <w:color w:val="000000" w:themeColor="text1"/>
          <w14:textFill>
            <w14:solidFill>
              <w14:schemeClr w14:val="tx1"/>
            </w14:solidFill>
          </w14:textFill>
        </w:rPr>
        <w:t>监控运维平台控制，</w:t>
      </w:r>
      <w:r>
        <w:rPr>
          <w:rFonts w:hint="eastAsia"/>
          <w:color w:val="000000" w:themeColor="text1"/>
          <w14:textFill>
            <w14:solidFill>
              <w14:schemeClr w14:val="tx1"/>
            </w14:solidFill>
          </w14:textFill>
        </w:rPr>
        <w:t>远程</w:t>
      </w:r>
      <w:r>
        <w:rPr>
          <w:color w:val="000000" w:themeColor="text1"/>
          <w14:textFill>
            <w14:solidFill>
              <w14:schemeClr w14:val="tx1"/>
            </w14:solidFill>
          </w14:textFill>
        </w:rPr>
        <w:t>一键升级，远程更新所有通信协议，以及新国标更新等带来的控制模式升级。</w:t>
      </w:r>
    </w:p>
    <w:p w14:paraId="5717971E">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2.3.15</w:t>
      </w:r>
      <w:r>
        <w:rPr>
          <w:rFonts w:hint="eastAsia"/>
          <w:color w:val="000000" w:themeColor="text1"/>
          <w14:textFill>
            <w14:solidFill>
              <w14:schemeClr w14:val="tx1"/>
            </w14:solidFill>
          </w14:textFill>
        </w:rPr>
        <w:t>开门断电功能</w:t>
      </w:r>
    </w:p>
    <w:p w14:paraId="5A5C95E3">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充电机应在开门有裸露电气部分的门位置安装信号开关，当在充电前或充电中开门时，其信号开关应将信号传至总开关，并执行断开交流电源动作，以保证人身安全。</w:t>
      </w:r>
    </w:p>
    <w:p w14:paraId="0D12054D">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2.3.16</w:t>
      </w:r>
      <w:r>
        <w:rPr>
          <w:rFonts w:hint="eastAsia"/>
          <w:color w:val="000000" w:themeColor="text1"/>
          <w14:textFill>
            <w14:solidFill>
              <w14:schemeClr w14:val="tx1"/>
            </w14:solidFill>
          </w14:textFill>
        </w:rPr>
        <w:t>助检修功能</w:t>
      </w:r>
    </w:p>
    <w:p w14:paraId="10BB694D">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充电机具有柜内照明灯和柜内220V维护插座，便于后期现场运维检修。</w:t>
      </w:r>
    </w:p>
    <w:p w14:paraId="4313B0D6">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2.3.17</w:t>
      </w:r>
      <w:r>
        <w:rPr>
          <w:rFonts w:hint="eastAsia"/>
          <w:color w:val="000000" w:themeColor="text1"/>
          <w14:textFill>
            <w14:solidFill>
              <w14:schemeClr w14:val="tx1"/>
            </w14:solidFill>
          </w14:textFill>
        </w:rPr>
        <w:t>掉电检测功能</w:t>
      </w:r>
    </w:p>
    <w:p w14:paraId="40FD59AC">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具有掉电后维持10秒供电，记录掉电故障，保存数据。</w:t>
      </w:r>
    </w:p>
    <w:p w14:paraId="49DA3C38">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2.3.18</w:t>
      </w:r>
      <w:r>
        <w:rPr>
          <w:rFonts w:hint="eastAsia"/>
          <w:color w:val="000000" w:themeColor="text1"/>
          <w14:textFill>
            <w14:solidFill>
              <w14:schemeClr w14:val="tx1"/>
            </w14:solidFill>
          </w14:textFill>
        </w:rPr>
        <w:t>备份</w:t>
      </w:r>
      <w:r>
        <w:rPr>
          <w:color w:val="000000" w:themeColor="text1"/>
          <w14:textFill>
            <w14:solidFill>
              <w14:schemeClr w14:val="tx1"/>
            </w14:solidFill>
          </w14:textFill>
        </w:rPr>
        <w:t>存储自动上传</w:t>
      </w:r>
    </w:p>
    <w:p w14:paraId="3D5B23BA">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本地系统自动备份</w:t>
      </w:r>
      <w:r>
        <w:rPr>
          <w:rFonts w:hint="eastAsia"/>
          <w:color w:val="000000" w:themeColor="text1"/>
          <w14:textFill>
            <w14:solidFill>
              <w14:schemeClr w14:val="tx1"/>
            </w14:solidFill>
          </w14:textFill>
        </w:rPr>
        <w:t>离网</w:t>
      </w:r>
      <w:r>
        <w:rPr>
          <w:color w:val="000000" w:themeColor="text1"/>
          <w14:textFill>
            <w14:solidFill>
              <w14:schemeClr w14:val="tx1"/>
            </w14:solidFill>
          </w14:textFill>
        </w:rPr>
        <w:t>数据，</w:t>
      </w:r>
      <w:r>
        <w:rPr>
          <w:rFonts w:hint="eastAsia"/>
          <w:color w:val="000000" w:themeColor="text1"/>
          <w14:textFill>
            <w14:solidFill>
              <w14:schemeClr w14:val="tx1"/>
            </w14:solidFill>
          </w14:textFill>
        </w:rPr>
        <w:t>并实现</w:t>
      </w:r>
      <w:r>
        <w:rPr>
          <w:color w:val="000000" w:themeColor="text1"/>
          <w14:textFill>
            <w14:solidFill>
              <w14:schemeClr w14:val="tx1"/>
            </w14:solidFill>
          </w14:textFill>
        </w:rPr>
        <w:t>上传。</w:t>
      </w:r>
      <w:r>
        <w:rPr>
          <w:rFonts w:hint="eastAsia"/>
          <w:color w:val="000000" w:themeColor="text1"/>
          <w14:textFill>
            <w14:solidFill>
              <w14:schemeClr w14:val="tx1"/>
            </w14:solidFill>
          </w14:textFill>
        </w:rPr>
        <w:t>并且具有U盘鉴权能力，具有通过有加密的特殊U盘才能进行软件升级和拷贝数据的功能。</w:t>
      </w:r>
    </w:p>
    <w:p w14:paraId="098A47AA">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2.3.19</w:t>
      </w:r>
      <w:r>
        <w:rPr>
          <w:color w:val="000000" w:themeColor="text1"/>
          <w14:textFill>
            <w14:solidFill>
              <w14:schemeClr w14:val="tx1"/>
            </w14:solidFill>
          </w14:textFill>
        </w:rPr>
        <w:t>锁止功能</w:t>
      </w:r>
    </w:p>
    <w:p w14:paraId="1DC39E32">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充电</w:t>
      </w:r>
      <w:r>
        <w:rPr>
          <w:rFonts w:hint="eastAsia" w:hAnsi="宋体"/>
          <w:color w:val="000000" w:themeColor="text1"/>
          <w:szCs w:val="21"/>
          <w14:textFill>
            <w14:solidFill>
              <w14:schemeClr w14:val="tx1"/>
            </w14:solidFill>
          </w14:textFill>
        </w:rPr>
        <w:t>枪应安装电子锁止装置，具有枪头锁止功能，防止充电过程中意外</w:t>
      </w:r>
      <w:r>
        <w:rPr>
          <w:rFonts w:hAnsi="宋体"/>
          <w:color w:val="000000" w:themeColor="text1"/>
          <w:szCs w:val="21"/>
          <w14:textFill>
            <w14:solidFill>
              <w14:schemeClr w14:val="tx1"/>
            </w14:solidFill>
          </w14:textFill>
        </w:rPr>
        <w:t>拔枪</w:t>
      </w:r>
      <w:r>
        <w:rPr>
          <w:rFonts w:hint="eastAsia" w:hAnsi="宋体"/>
          <w:color w:val="000000" w:themeColor="text1"/>
          <w:szCs w:val="21"/>
          <w14:textFill>
            <w14:solidFill>
              <w14:schemeClr w14:val="tx1"/>
            </w14:solidFill>
          </w14:textFill>
        </w:rPr>
        <w:t>，当电子锁未可靠锁止时，充电机应不能启动充电或立即停止充电。</w:t>
      </w:r>
    </w:p>
    <w:p w14:paraId="6185AFEA">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2.3.20</w:t>
      </w:r>
      <w:r>
        <w:rPr>
          <w:color w:val="000000" w:themeColor="text1"/>
          <w14:textFill>
            <w14:solidFill>
              <w14:schemeClr w14:val="tx1"/>
            </w14:solidFill>
          </w14:textFill>
        </w:rPr>
        <w:t>超温断电</w:t>
      </w:r>
    </w:p>
    <w:p w14:paraId="6F418BC6">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充电枪带有</w:t>
      </w:r>
      <w:r>
        <w:rPr>
          <w:rFonts w:hint="eastAsia" w:hAnsi="宋体"/>
          <w:color w:val="000000" w:themeColor="text1"/>
          <w:szCs w:val="21"/>
          <w14:textFill>
            <w14:solidFill>
              <w14:schemeClr w14:val="tx1"/>
            </w14:solidFill>
          </w14:textFill>
        </w:rPr>
        <w:t>温度检测功能，充电过程对枪头DC+/DC-端子连接处进行温度实时检测</w:t>
      </w:r>
      <w:r>
        <w:rPr>
          <w:rFonts w:hAnsi="宋体"/>
          <w:color w:val="000000" w:themeColor="text1"/>
          <w:szCs w:val="21"/>
          <w14:textFill>
            <w14:solidFill>
              <w14:schemeClr w14:val="tx1"/>
            </w14:solidFill>
          </w14:textFill>
        </w:rPr>
        <w:t>。</w:t>
      </w:r>
      <w:r>
        <w:rPr>
          <w:rFonts w:hint="eastAsia" w:hAnsi="宋体"/>
          <w:color w:val="000000" w:themeColor="text1"/>
          <w:szCs w:val="21"/>
          <w14:textFill>
            <w14:solidFill>
              <w14:schemeClr w14:val="tx1"/>
            </w14:solidFill>
          </w14:textFill>
        </w:rPr>
        <w:t>当确认充电枪头温度达到90℃两分钟后，充电机限制输出电流为当前直流电表检测值的90%；当确认充电枪头温度达到95℃两分钟后，充电机限制输出电流为当前直流电表检测值的80%；当确认充电枪头温度达到100℃两分钟后，充电机限制输出电流为当前直流电表检测值的70%；当确认充电枪头温度达到110℃两秒钟后，充电机立即停止充电，</w:t>
      </w:r>
      <w:r>
        <w:rPr>
          <w:rFonts w:hAnsi="宋体"/>
          <w:color w:val="000000" w:themeColor="text1"/>
          <w:szCs w:val="21"/>
          <w14:textFill>
            <w14:solidFill>
              <w14:schemeClr w14:val="tx1"/>
            </w14:solidFill>
          </w14:textFill>
        </w:rPr>
        <w:t>并</w:t>
      </w:r>
      <w:r>
        <w:rPr>
          <w:rFonts w:hint="eastAsia" w:hAnsi="宋体"/>
          <w:color w:val="000000" w:themeColor="text1"/>
          <w:szCs w:val="21"/>
          <w14:textFill>
            <w14:solidFill>
              <w14:schemeClr w14:val="tx1"/>
            </w14:solidFill>
          </w14:textFill>
        </w:rPr>
        <w:t>发出过温故障提示。</w:t>
      </w:r>
    </w:p>
    <w:p w14:paraId="24EF68CD">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2.3.21</w:t>
      </w:r>
      <w:r>
        <w:rPr>
          <w:color w:val="000000" w:themeColor="text1"/>
          <w14:textFill>
            <w14:solidFill>
              <w14:schemeClr w14:val="tx1"/>
            </w14:solidFill>
          </w14:textFill>
        </w:rPr>
        <w:t>GPS</w:t>
      </w:r>
      <w:r>
        <w:rPr>
          <w:rFonts w:hint="eastAsia"/>
          <w:color w:val="000000" w:themeColor="text1"/>
          <w14:textFill>
            <w14:solidFill>
              <w14:schemeClr w14:val="tx1"/>
            </w14:solidFill>
          </w14:textFill>
        </w:rPr>
        <w:t>定位功能</w:t>
      </w:r>
    </w:p>
    <w:p w14:paraId="4B2BF454">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具有定位设备所在地理位置，并记录信息，定位精度小于200m。</w:t>
      </w:r>
    </w:p>
    <w:p w14:paraId="1320B949">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3.4</w:t>
      </w:r>
      <w:r>
        <w:rPr>
          <w:rFonts w:hint="eastAsia"/>
          <w:color w:val="000000" w:themeColor="text1"/>
          <w14:textFill>
            <w14:solidFill>
              <w14:schemeClr w14:val="tx1"/>
            </w14:solidFill>
          </w14:textFill>
        </w:rPr>
        <w:t>耐气候环境要求</w:t>
      </w:r>
    </w:p>
    <w:p w14:paraId="2B8DC2D5">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3.4.1</w:t>
      </w:r>
      <w:r>
        <w:rPr>
          <w:rFonts w:hint="eastAsia"/>
          <w:color w:val="000000" w:themeColor="text1"/>
          <w14:textFill>
            <w14:solidFill>
              <w14:schemeClr w14:val="tx1"/>
            </w14:solidFill>
          </w14:textFill>
        </w:rPr>
        <w:t>防护等级</w:t>
      </w:r>
    </w:p>
    <w:p w14:paraId="3328D621">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充电机的柜体防护等级不应低于GB 4208-2008中IP5</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（室外）的规定。</w:t>
      </w:r>
    </w:p>
    <w:p w14:paraId="5102484D">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3.4.2</w:t>
      </w:r>
      <w:r>
        <w:rPr>
          <w:rFonts w:hint="eastAsia"/>
          <w:color w:val="000000" w:themeColor="text1"/>
          <w14:textFill>
            <w14:solidFill>
              <w14:schemeClr w14:val="tx1"/>
            </w14:solidFill>
          </w14:textFill>
        </w:rPr>
        <w:t>三防（防潮湿，防霉变，防盐雾）保护</w:t>
      </w:r>
    </w:p>
    <w:p w14:paraId="76652C03">
      <w:pPr>
        <w:adjustRightInd w:val="0"/>
        <w:snapToGrid w:val="0"/>
        <w:spacing w:line="360" w:lineRule="auto"/>
        <w:ind w:firstLine="420" w:firstLineChars="200"/>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充电机内印刷线路板、接插件等电路应进行防潮湿、防霉变、防盐雾处理，</w:t>
      </w:r>
      <w:r>
        <w:rPr>
          <w:rFonts w:hAnsi="宋体"/>
          <w:color w:val="000000" w:themeColor="text1"/>
          <w:szCs w:val="21"/>
          <w14:textFill>
            <w14:solidFill>
              <w14:schemeClr w14:val="tx1"/>
            </w14:solidFill>
          </w14:textFill>
        </w:rPr>
        <w:t>关键</w:t>
      </w:r>
      <w:r>
        <w:rPr>
          <w:rFonts w:hint="eastAsia" w:hAnsi="宋体"/>
          <w:color w:val="000000" w:themeColor="text1"/>
          <w:szCs w:val="21"/>
          <w14:textFill>
            <w14:solidFill>
              <w14:schemeClr w14:val="tx1"/>
            </w14:solidFill>
          </w14:textFill>
        </w:rPr>
        <w:t>器件充电模块、</w:t>
      </w:r>
      <w:r>
        <w:rPr>
          <w:rFonts w:hAnsi="宋体"/>
          <w:color w:val="000000" w:themeColor="text1"/>
          <w:szCs w:val="21"/>
          <w14:textFill>
            <w14:solidFill>
              <w14:schemeClr w14:val="tx1"/>
            </w14:solidFill>
          </w14:textFill>
        </w:rPr>
        <w:t>辅源</w:t>
      </w:r>
      <w:r>
        <w:rPr>
          <w:rFonts w:hint="eastAsia" w:hAnsi="宋体"/>
          <w:color w:val="000000" w:themeColor="text1"/>
          <w:szCs w:val="21"/>
          <w14:textFill>
            <w14:solidFill>
              <w14:schemeClr w14:val="tx1"/>
            </w14:solidFill>
          </w14:textFill>
        </w:rPr>
        <w:t>采用全灌胶工艺。</w:t>
      </w:r>
    </w:p>
    <w:p w14:paraId="64E1FCB9">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3.4.3</w:t>
      </w:r>
      <w:r>
        <w:rPr>
          <w:rFonts w:hint="eastAsia"/>
          <w:color w:val="000000" w:themeColor="text1"/>
          <w14:textFill>
            <w14:solidFill>
              <w14:schemeClr w14:val="tx1"/>
            </w14:solidFill>
          </w14:textFill>
        </w:rPr>
        <w:t>防锈(防氧化)保护</w:t>
      </w:r>
    </w:p>
    <w:p w14:paraId="684D0B5F">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充电机铁质外壳和暴露在外的铁质支架、零件应采取双层防锈措施，非铁质的金属外壳也应具有防氧化保护膜或进行防氧化处理</w:t>
      </w:r>
      <w:r>
        <w:rPr>
          <w:color w:val="000000" w:themeColor="text1"/>
          <w14:textFill>
            <w14:solidFill>
              <w14:schemeClr w14:val="tx1"/>
            </w14:solidFill>
          </w14:textFill>
        </w:rPr>
        <w:t>。</w:t>
      </w:r>
    </w:p>
    <w:p w14:paraId="0B892D95">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3.4.4</w:t>
      </w:r>
      <w:r>
        <w:rPr>
          <w:rFonts w:hint="eastAsia"/>
          <w:color w:val="000000" w:themeColor="text1"/>
          <w14:textFill>
            <w14:solidFill>
              <w14:schemeClr w14:val="tx1"/>
            </w14:solidFill>
          </w14:textFill>
        </w:rPr>
        <w:t>防风保护</w:t>
      </w:r>
    </w:p>
    <w:p w14:paraId="2CD9D3FC">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充电机应能承受GB/T 4797.5-2008中规定的不同地区最大风速的侵袭。</w:t>
      </w:r>
    </w:p>
    <w:p w14:paraId="225C9DEE">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3.5</w:t>
      </w:r>
      <w:r>
        <w:rPr>
          <w:rFonts w:hint="eastAsia"/>
          <w:color w:val="000000" w:themeColor="text1"/>
          <w14:textFill>
            <w14:solidFill>
              <w14:schemeClr w14:val="tx1"/>
            </w14:solidFill>
          </w14:textFill>
        </w:rPr>
        <w:t>防护要求</w:t>
      </w:r>
    </w:p>
    <w:p w14:paraId="054AEFD7">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3.5.1</w:t>
      </w:r>
      <w:r>
        <w:rPr>
          <w:rFonts w:hint="eastAsia"/>
          <w:color w:val="000000" w:themeColor="text1"/>
          <w14:textFill>
            <w14:solidFill>
              <w14:schemeClr w14:val="tx1"/>
            </w14:solidFill>
          </w14:textFill>
        </w:rPr>
        <w:t>允许温度</w:t>
      </w:r>
    </w:p>
    <w:p w14:paraId="2E77481E">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14:textFill>
            <w14:solidFill>
              <w14:schemeClr w14:val="tx1"/>
            </w14:solidFill>
          </w14:textFill>
        </w:rPr>
        <w:t>在40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环境温度下，充电机可用手接触部分允许的最高温度应为：</w:t>
      </w:r>
    </w:p>
    <w:p w14:paraId="488822C3">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——金属部分，50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w:t>
      </w:r>
    </w:p>
    <w:p w14:paraId="3B86C721">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——非金属部分，60</w:t>
      </w:r>
      <w:r>
        <w:rPr>
          <w:rFonts w:hint="eastAsia"/>
          <w:color w:val="000000" w:themeColor="text1"/>
          <w14:textFill>
            <w14:solidFill>
              <w14:schemeClr w14:val="tx1"/>
            </w14:solidFill>
          </w14:textFill>
        </w:rPr>
        <w:t>℃。</w:t>
      </w:r>
    </w:p>
    <w:p w14:paraId="4439DB48">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2）</w:t>
      </w:r>
      <w:r>
        <w:rPr>
          <w:rFonts w:hint="eastAsia"/>
          <w:color w:val="000000" w:themeColor="text1"/>
          <w14:textFill>
            <w14:solidFill>
              <w14:schemeClr w14:val="tx1"/>
            </w14:solidFill>
          </w14:textFill>
        </w:rPr>
        <w:t>可以用手接触但不必紧握的部分，在同样条件下允许的最高温度应为：</w:t>
      </w:r>
    </w:p>
    <w:p w14:paraId="5DBBF86C">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——金属部分，60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w:t>
      </w:r>
    </w:p>
    <w:p w14:paraId="5A312357">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——非金属部分，85</w:t>
      </w:r>
      <w:r>
        <w:rPr>
          <w:rFonts w:hint="eastAsia"/>
          <w:color w:val="000000" w:themeColor="text1"/>
          <w14:textFill>
            <w14:solidFill>
              <w14:schemeClr w14:val="tx1"/>
            </w14:solidFill>
          </w14:textFill>
        </w:rPr>
        <w:t>℃。</w:t>
      </w:r>
    </w:p>
    <w:p w14:paraId="63C195BD">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3.5.2</w:t>
      </w:r>
      <w:r>
        <w:rPr>
          <w:rFonts w:hint="eastAsia"/>
          <w:color w:val="000000" w:themeColor="text1"/>
          <w14:textFill>
            <w14:solidFill>
              <w14:schemeClr w14:val="tx1"/>
            </w14:solidFill>
          </w14:textFill>
        </w:rPr>
        <w:t>电击防护</w:t>
      </w:r>
    </w:p>
    <w:p w14:paraId="634CD878">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充电机的电击防护应符合GB/T 18487.1-20</w:t>
      </w:r>
      <w:r>
        <w:rPr>
          <w:rFonts w:hint="eastAsia"/>
          <w:color w:val="000000" w:themeColor="text1"/>
          <w14:textFill>
            <w14:solidFill>
              <w14:schemeClr w14:val="tx1"/>
            </w14:solidFill>
          </w14:textFill>
        </w:rPr>
        <w:t>15</w:t>
      </w:r>
      <w:r>
        <w:rPr>
          <w:color w:val="000000" w:themeColor="text1"/>
          <w14:textFill>
            <w14:solidFill>
              <w14:schemeClr w14:val="tx1"/>
            </w14:solidFill>
          </w14:textFill>
        </w:rPr>
        <w:t>中第</w:t>
      </w:r>
      <w:r>
        <w:rPr>
          <w:rFonts w:hint="eastAsia"/>
          <w:color w:val="000000" w:themeColor="text1"/>
          <w14:textFill>
            <w14:solidFill>
              <w14:schemeClr w14:val="tx1"/>
            </w14:solidFill>
          </w14:textFill>
        </w:rPr>
        <w:t>7</w:t>
      </w:r>
      <w:r>
        <w:rPr>
          <w:color w:val="000000" w:themeColor="text1"/>
          <w14:textFill>
            <w14:solidFill>
              <w14:schemeClr w14:val="tx1"/>
            </w14:solidFill>
          </w14:textFill>
        </w:rPr>
        <w:t>章的要求。</w:t>
      </w:r>
    </w:p>
    <w:p w14:paraId="5EA9542D">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3.5.3</w:t>
      </w:r>
      <w:r>
        <w:rPr>
          <w:rFonts w:hint="eastAsia"/>
          <w:color w:val="000000" w:themeColor="text1"/>
          <w14:textFill>
            <w14:solidFill>
              <w14:schemeClr w14:val="tx1"/>
            </w14:solidFill>
          </w14:textFill>
        </w:rPr>
        <w:t>电气间隙和爬电距离</w:t>
      </w:r>
    </w:p>
    <w:p w14:paraId="200F8B47">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充电机的电气间隙和爬电距离应符合的规定。</w:t>
      </w:r>
    </w:p>
    <w:p w14:paraId="1283F7DE">
      <w:pPr>
        <w:pStyle w:val="119"/>
        <w:numPr>
          <w:ilvl w:val="0"/>
          <w:numId w:val="0"/>
        </w:numPr>
        <w:spacing w:before="0" w:beforeLines="0" w:after="0" w:afterLines="0" w:line="360" w:lineRule="auto"/>
        <w:rPr>
          <w:rFonts w:ascii="Times New Roman"/>
          <w:color w:val="000000" w:themeColor="text1"/>
          <w14:textFill>
            <w14:solidFill>
              <w14:schemeClr w14:val="tx1"/>
            </w14:solidFill>
          </w14:textFill>
        </w:rPr>
      </w:pPr>
      <w:r>
        <w:rPr>
          <w:rFonts w:ascii="Times New Roman"/>
          <w:color w:val="000000" w:themeColor="text1"/>
          <w14:textFill>
            <w14:solidFill>
              <w14:schemeClr w14:val="tx1"/>
            </w14:solidFill>
          </w14:textFill>
        </w:rPr>
        <w:t>电气间隙和爬电距离</w:t>
      </w:r>
    </w:p>
    <w:tbl>
      <w:tblPr>
        <w:tblStyle w:val="30"/>
        <w:tblW w:w="8286"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895"/>
        <w:gridCol w:w="2628"/>
        <w:gridCol w:w="2763"/>
      </w:tblGrid>
      <w:tr w14:paraId="182368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895" w:type="dxa"/>
            <w:tcBorders>
              <w:top w:val="single" w:color="auto" w:sz="8" w:space="0"/>
              <w:bottom w:val="single" w:color="auto" w:sz="8" w:space="0"/>
            </w:tcBorders>
            <w:vAlign w:val="center"/>
          </w:tcPr>
          <w:p w14:paraId="3BDD7C4A">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额定绝缘电压Ui（V）</w:t>
            </w:r>
          </w:p>
        </w:tc>
        <w:tc>
          <w:tcPr>
            <w:tcW w:w="2628" w:type="dxa"/>
            <w:tcBorders>
              <w:top w:val="single" w:color="auto" w:sz="8" w:space="0"/>
              <w:bottom w:val="single" w:color="auto" w:sz="8" w:space="0"/>
            </w:tcBorders>
            <w:vAlign w:val="center"/>
          </w:tcPr>
          <w:p w14:paraId="45951D78">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电气间隙（mm）</w:t>
            </w:r>
          </w:p>
        </w:tc>
        <w:tc>
          <w:tcPr>
            <w:tcW w:w="2763" w:type="dxa"/>
            <w:tcBorders>
              <w:top w:val="single" w:color="auto" w:sz="8" w:space="0"/>
              <w:bottom w:val="single" w:color="auto" w:sz="8" w:space="0"/>
            </w:tcBorders>
            <w:vAlign w:val="center"/>
          </w:tcPr>
          <w:p w14:paraId="1BF19612">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爬电距离（mm）</w:t>
            </w:r>
          </w:p>
        </w:tc>
      </w:tr>
      <w:tr w14:paraId="3BA3AA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2895" w:type="dxa"/>
            <w:tcBorders>
              <w:top w:val="single" w:color="auto" w:sz="8" w:space="0"/>
              <w:bottom w:val="single" w:color="auto" w:sz="8" w:space="0"/>
            </w:tcBorders>
            <w:vAlign w:val="center"/>
          </w:tcPr>
          <w:p w14:paraId="5565AF99">
            <w:pPr>
              <w:widowControl/>
              <w:jc w:val="center"/>
              <w:rPr>
                <w:rFonts w:hint="eastAsia" w:hAnsi="宋体"/>
                <w:color w:val="000000" w:themeColor="text1"/>
                <w:sz w:val="21"/>
                <w:szCs w:val="15"/>
                <w14:textFill>
                  <w14:solidFill>
                    <w14:schemeClr w14:val="tx1"/>
                  </w14:solidFill>
                </w14:textFill>
              </w:rPr>
            </w:pPr>
            <w:r>
              <w:rPr>
                <w:rFonts w:hAnsi="宋体"/>
                <w:i/>
                <w:color w:val="000000" w:themeColor="text1"/>
                <w:sz w:val="21"/>
                <w:szCs w:val="15"/>
                <w14:textFill>
                  <w14:solidFill>
                    <w14:schemeClr w14:val="tx1"/>
                  </w14:solidFill>
                </w14:textFill>
              </w:rPr>
              <w:t>Ui</w:t>
            </w:r>
            <w:r>
              <w:rPr>
                <w:rFonts w:hAnsi="宋体"/>
                <w:color w:val="000000" w:themeColor="text1"/>
                <w:sz w:val="21"/>
                <w:szCs w:val="15"/>
                <w14:textFill>
                  <w14:solidFill>
                    <w14:schemeClr w14:val="tx1"/>
                  </w14:solidFill>
                </w14:textFill>
              </w:rPr>
              <w:t>≤60</w:t>
            </w:r>
          </w:p>
        </w:tc>
        <w:tc>
          <w:tcPr>
            <w:tcW w:w="2628" w:type="dxa"/>
            <w:tcBorders>
              <w:top w:val="single" w:color="auto" w:sz="8" w:space="0"/>
              <w:bottom w:val="single" w:color="auto" w:sz="8" w:space="0"/>
            </w:tcBorders>
            <w:vAlign w:val="center"/>
          </w:tcPr>
          <w:p w14:paraId="0F6D879A">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3</w:t>
            </w:r>
            <w:r>
              <w:rPr>
                <w:rFonts w:hint="eastAsia" w:hAnsi="宋体"/>
                <w:color w:val="000000" w:themeColor="text1"/>
                <w:sz w:val="21"/>
                <w:szCs w:val="15"/>
                <w14:textFill>
                  <w14:solidFill>
                    <w14:schemeClr w14:val="tx1"/>
                  </w14:solidFill>
                </w14:textFill>
              </w:rPr>
              <w:t>.0</w:t>
            </w:r>
          </w:p>
        </w:tc>
        <w:tc>
          <w:tcPr>
            <w:tcW w:w="2763" w:type="dxa"/>
            <w:tcBorders>
              <w:top w:val="single" w:color="auto" w:sz="8" w:space="0"/>
              <w:bottom w:val="single" w:color="auto" w:sz="8" w:space="0"/>
            </w:tcBorders>
            <w:vAlign w:val="center"/>
          </w:tcPr>
          <w:p w14:paraId="5B60865B">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3</w:t>
            </w:r>
            <w:r>
              <w:rPr>
                <w:rFonts w:hint="eastAsia" w:hAnsi="宋体"/>
                <w:color w:val="000000" w:themeColor="text1"/>
                <w:sz w:val="21"/>
                <w:szCs w:val="15"/>
                <w14:textFill>
                  <w14:solidFill>
                    <w14:schemeClr w14:val="tx1"/>
                  </w14:solidFill>
                </w14:textFill>
              </w:rPr>
              <w:t>.0</w:t>
            </w:r>
          </w:p>
        </w:tc>
      </w:tr>
      <w:tr w14:paraId="1B69A2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5" w:hRule="atLeast"/>
        </w:trPr>
        <w:tc>
          <w:tcPr>
            <w:tcW w:w="2895" w:type="dxa"/>
            <w:tcBorders>
              <w:top w:val="single" w:color="auto" w:sz="8" w:space="0"/>
              <w:bottom w:val="single" w:color="auto" w:sz="8" w:space="0"/>
            </w:tcBorders>
            <w:vAlign w:val="center"/>
          </w:tcPr>
          <w:p w14:paraId="57FCD792">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60＜</w:t>
            </w:r>
            <w:r>
              <w:rPr>
                <w:rFonts w:hAnsi="宋体"/>
                <w:i/>
                <w:color w:val="000000" w:themeColor="text1"/>
                <w:sz w:val="21"/>
                <w:szCs w:val="15"/>
                <w14:textFill>
                  <w14:solidFill>
                    <w14:schemeClr w14:val="tx1"/>
                  </w14:solidFill>
                </w14:textFill>
              </w:rPr>
              <w:t>Ui</w:t>
            </w:r>
            <w:r>
              <w:rPr>
                <w:rFonts w:hAnsi="宋体"/>
                <w:color w:val="000000" w:themeColor="text1"/>
                <w:sz w:val="21"/>
                <w:szCs w:val="15"/>
                <w14:textFill>
                  <w14:solidFill>
                    <w14:schemeClr w14:val="tx1"/>
                  </w14:solidFill>
                </w14:textFill>
              </w:rPr>
              <w:t>≤300</w:t>
            </w:r>
          </w:p>
        </w:tc>
        <w:tc>
          <w:tcPr>
            <w:tcW w:w="2628" w:type="dxa"/>
            <w:tcBorders>
              <w:top w:val="single" w:color="auto" w:sz="8" w:space="0"/>
              <w:bottom w:val="single" w:color="auto" w:sz="8" w:space="0"/>
            </w:tcBorders>
            <w:vAlign w:val="center"/>
          </w:tcPr>
          <w:p w14:paraId="3383F17E">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5</w:t>
            </w:r>
            <w:r>
              <w:rPr>
                <w:rFonts w:hint="eastAsia" w:hAnsi="宋体"/>
                <w:color w:val="000000" w:themeColor="text1"/>
                <w:sz w:val="21"/>
                <w:szCs w:val="15"/>
                <w14:textFill>
                  <w14:solidFill>
                    <w14:schemeClr w14:val="tx1"/>
                  </w14:solidFill>
                </w14:textFill>
              </w:rPr>
              <w:t>.0</w:t>
            </w:r>
          </w:p>
        </w:tc>
        <w:tc>
          <w:tcPr>
            <w:tcW w:w="2763" w:type="dxa"/>
            <w:tcBorders>
              <w:top w:val="single" w:color="auto" w:sz="8" w:space="0"/>
              <w:bottom w:val="single" w:color="auto" w:sz="8" w:space="0"/>
            </w:tcBorders>
            <w:vAlign w:val="center"/>
          </w:tcPr>
          <w:p w14:paraId="7F89DF49">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6</w:t>
            </w:r>
            <w:r>
              <w:rPr>
                <w:rFonts w:hint="eastAsia" w:hAnsi="宋体"/>
                <w:color w:val="000000" w:themeColor="text1"/>
                <w:sz w:val="21"/>
                <w:szCs w:val="15"/>
                <w14:textFill>
                  <w14:solidFill>
                    <w14:schemeClr w14:val="tx1"/>
                  </w14:solidFill>
                </w14:textFill>
              </w:rPr>
              <w:t>.0</w:t>
            </w:r>
          </w:p>
        </w:tc>
      </w:tr>
      <w:tr w14:paraId="4C9D13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2895" w:type="dxa"/>
            <w:tcBorders>
              <w:top w:val="single" w:color="auto" w:sz="8" w:space="0"/>
              <w:bottom w:val="single" w:color="auto" w:sz="8" w:space="0"/>
            </w:tcBorders>
            <w:vAlign w:val="center"/>
          </w:tcPr>
          <w:p w14:paraId="4B463D50">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300＜</w:t>
            </w:r>
            <w:r>
              <w:rPr>
                <w:rFonts w:hAnsi="宋体"/>
                <w:i/>
                <w:color w:val="000000" w:themeColor="text1"/>
                <w:sz w:val="21"/>
                <w:szCs w:val="15"/>
                <w14:textFill>
                  <w14:solidFill>
                    <w14:schemeClr w14:val="tx1"/>
                  </w14:solidFill>
                </w14:textFill>
              </w:rPr>
              <w:t>Ui</w:t>
            </w:r>
            <w:r>
              <w:rPr>
                <w:rFonts w:hAnsi="宋体"/>
                <w:color w:val="000000" w:themeColor="text1"/>
                <w:sz w:val="21"/>
                <w:szCs w:val="15"/>
                <w14:textFill>
                  <w14:solidFill>
                    <w14:schemeClr w14:val="tx1"/>
                  </w14:solidFill>
                </w14:textFill>
              </w:rPr>
              <w:t>≤700</w:t>
            </w:r>
          </w:p>
        </w:tc>
        <w:tc>
          <w:tcPr>
            <w:tcW w:w="2628" w:type="dxa"/>
            <w:tcBorders>
              <w:top w:val="single" w:color="auto" w:sz="8" w:space="0"/>
              <w:bottom w:val="single" w:color="auto" w:sz="8" w:space="0"/>
            </w:tcBorders>
            <w:vAlign w:val="center"/>
          </w:tcPr>
          <w:p w14:paraId="4018FFE0">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8</w:t>
            </w:r>
            <w:r>
              <w:rPr>
                <w:rFonts w:hint="eastAsia" w:hAnsi="宋体"/>
                <w:color w:val="000000" w:themeColor="text1"/>
                <w:sz w:val="21"/>
                <w:szCs w:val="15"/>
                <w14:textFill>
                  <w14:solidFill>
                    <w14:schemeClr w14:val="tx1"/>
                  </w14:solidFill>
                </w14:textFill>
              </w:rPr>
              <w:t>.0</w:t>
            </w:r>
          </w:p>
        </w:tc>
        <w:tc>
          <w:tcPr>
            <w:tcW w:w="2763" w:type="dxa"/>
            <w:tcBorders>
              <w:top w:val="single" w:color="auto" w:sz="8" w:space="0"/>
              <w:bottom w:val="single" w:color="auto" w:sz="8" w:space="0"/>
            </w:tcBorders>
            <w:vAlign w:val="center"/>
          </w:tcPr>
          <w:p w14:paraId="46347A32">
            <w:pPr>
              <w:widowControl/>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10</w:t>
            </w:r>
            <w:r>
              <w:rPr>
                <w:rFonts w:hint="eastAsia" w:hAnsi="宋体"/>
                <w:color w:val="000000" w:themeColor="text1"/>
                <w:sz w:val="21"/>
                <w:szCs w:val="15"/>
                <w14:textFill>
                  <w14:solidFill>
                    <w14:schemeClr w14:val="tx1"/>
                  </w14:solidFill>
                </w14:textFill>
              </w:rPr>
              <w:t>.0</w:t>
            </w:r>
          </w:p>
        </w:tc>
      </w:tr>
      <w:tr w14:paraId="121B35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2895" w:type="dxa"/>
            <w:tcBorders>
              <w:top w:val="single" w:color="auto" w:sz="8" w:space="0"/>
              <w:bottom w:val="single" w:color="auto" w:sz="8" w:space="0"/>
            </w:tcBorders>
            <w:vAlign w:val="center"/>
          </w:tcPr>
          <w:p w14:paraId="0568FA8C">
            <w:pPr>
              <w:widowControl/>
              <w:jc w:val="center"/>
              <w:rPr>
                <w:rFonts w:hint="eastAsia" w:hAnsi="宋体"/>
                <w:color w:val="000000" w:themeColor="text1"/>
                <w:sz w:val="21"/>
                <w:szCs w:val="15"/>
                <w:highlight w:val="none"/>
                <w14:textFill>
                  <w14:solidFill>
                    <w14:schemeClr w14:val="tx1"/>
                  </w14:solidFill>
                </w14:textFill>
              </w:rPr>
            </w:pPr>
            <w:r>
              <w:rPr>
                <w:rFonts w:hAnsi="宋体"/>
                <w:color w:val="000000" w:themeColor="text1"/>
                <w:sz w:val="21"/>
                <w:szCs w:val="15"/>
                <w:highlight w:val="none"/>
                <w14:textFill>
                  <w14:solidFill>
                    <w14:schemeClr w14:val="tx1"/>
                  </w14:solidFill>
                </w14:textFill>
              </w:rPr>
              <w:t>700＜</w:t>
            </w:r>
            <w:r>
              <w:rPr>
                <w:rFonts w:hAnsi="宋体"/>
                <w:i/>
                <w:color w:val="000000" w:themeColor="text1"/>
                <w:sz w:val="21"/>
                <w:szCs w:val="15"/>
                <w:highlight w:val="none"/>
                <w14:textFill>
                  <w14:solidFill>
                    <w14:schemeClr w14:val="tx1"/>
                  </w14:solidFill>
                </w14:textFill>
              </w:rPr>
              <w:t>Ui</w:t>
            </w:r>
            <w:r>
              <w:rPr>
                <w:rFonts w:hAnsi="宋体"/>
                <w:color w:val="000000" w:themeColor="text1"/>
                <w:sz w:val="21"/>
                <w:szCs w:val="15"/>
                <w:highlight w:val="none"/>
                <w14:textFill>
                  <w14:solidFill>
                    <w14:schemeClr w14:val="tx1"/>
                  </w14:solidFill>
                </w14:textFill>
              </w:rPr>
              <w:t>≤950</w:t>
            </w:r>
          </w:p>
        </w:tc>
        <w:tc>
          <w:tcPr>
            <w:tcW w:w="2628" w:type="dxa"/>
            <w:tcBorders>
              <w:top w:val="single" w:color="auto" w:sz="8" w:space="0"/>
              <w:bottom w:val="single" w:color="auto" w:sz="8" w:space="0"/>
            </w:tcBorders>
            <w:vAlign w:val="center"/>
          </w:tcPr>
          <w:p w14:paraId="330416E4">
            <w:pPr>
              <w:widowControl/>
              <w:jc w:val="center"/>
              <w:rPr>
                <w:rFonts w:hint="eastAsia" w:hAnsi="宋体"/>
                <w:color w:val="000000" w:themeColor="text1"/>
                <w:sz w:val="21"/>
                <w:szCs w:val="15"/>
                <w:highlight w:val="none"/>
                <w14:textFill>
                  <w14:solidFill>
                    <w14:schemeClr w14:val="tx1"/>
                  </w14:solidFill>
                </w14:textFill>
              </w:rPr>
            </w:pPr>
            <w:r>
              <w:rPr>
                <w:rFonts w:hint="eastAsia" w:hAnsi="宋体"/>
                <w:color w:val="000000" w:themeColor="text1"/>
                <w:sz w:val="21"/>
                <w:szCs w:val="15"/>
                <w:highlight w:val="none"/>
                <w14:textFill>
                  <w14:solidFill>
                    <w14:schemeClr w14:val="tx1"/>
                  </w14:solidFill>
                </w14:textFill>
              </w:rPr>
              <w:t>14.0</w:t>
            </w:r>
          </w:p>
        </w:tc>
        <w:tc>
          <w:tcPr>
            <w:tcW w:w="2763" w:type="dxa"/>
            <w:tcBorders>
              <w:top w:val="single" w:color="auto" w:sz="8" w:space="0"/>
              <w:bottom w:val="single" w:color="auto" w:sz="8" w:space="0"/>
            </w:tcBorders>
            <w:vAlign w:val="center"/>
          </w:tcPr>
          <w:p w14:paraId="345C032D">
            <w:pPr>
              <w:widowControl/>
              <w:jc w:val="center"/>
              <w:rPr>
                <w:rFonts w:hint="eastAsia" w:hAnsi="宋体"/>
                <w:color w:val="000000" w:themeColor="text1"/>
                <w:sz w:val="21"/>
                <w:szCs w:val="15"/>
                <w:highlight w:val="none"/>
                <w14:textFill>
                  <w14:solidFill>
                    <w14:schemeClr w14:val="tx1"/>
                  </w14:solidFill>
                </w14:textFill>
              </w:rPr>
            </w:pPr>
            <w:r>
              <w:rPr>
                <w:rFonts w:hint="eastAsia" w:hAnsi="宋体"/>
                <w:color w:val="000000" w:themeColor="text1"/>
                <w:sz w:val="21"/>
                <w:szCs w:val="15"/>
                <w:highlight w:val="none"/>
                <w14:textFill>
                  <w14:solidFill>
                    <w14:schemeClr w14:val="tx1"/>
                  </w14:solidFill>
                </w14:textFill>
              </w:rPr>
              <w:t>20.0</w:t>
            </w:r>
          </w:p>
        </w:tc>
      </w:tr>
      <w:tr w14:paraId="3B2654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0" w:hRule="atLeast"/>
        </w:trPr>
        <w:tc>
          <w:tcPr>
            <w:tcW w:w="8286" w:type="dxa"/>
            <w:gridSpan w:val="3"/>
            <w:tcBorders>
              <w:top w:val="single" w:color="auto" w:sz="8" w:space="0"/>
              <w:bottom w:val="single" w:color="auto" w:sz="8" w:space="0"/>
            </w:tcBorders>
            <w:vAlign w:val="center"/>
          </w:tcPr>
          <w:p w14:paraId="5647D7A9">
            <w:pPr>
              <w:widowControl/>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注1：当主电路与控制电路或辅助电路的额定绝缘电压不一致时，其电气间隙和爬电距离可分别按其额定值选取。</w:t>
            </w:r>
          </w:p>
          <w:p w14:paraId="58F51842">
            <w:pPr>
              <w:widowControl/>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注2：具有不同额定值主电路或控制电路导电部分之间的电气间隙与爬电距离，应按最高额定绝缘电压选取。</w:t>
            </w:r>
          </w:p>
          <w:p w14:paraId="221B515A">
            <w:pPr>
              <w:widowControl/>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注3：小母线、汇流排或不同级的裸露的带电导体之间，以及裸露的带电导体与未经绝缘的不带电导体之间的电气间隙不小于12mm，爬电距离不小于20mm。</w:t>
            </w:r>
          </w:p>
        </w:tc>
      </w:tr>
    </w:tbl>
    <w:p w14:paraId="3647C2E5">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3.5.4</w:t>
      </w:r>
      <w:r>
        <w:rPr>
          <w:rFonts w:hint="eastAsia"/>
          <w:color w:val="000000" w:themeColor="text1"/>
          <w14:textFill>
            <w14:solidFill>
              <w14:schemeClr w14:val="tx1"/>
            </w14:solidFill>
          </w14:textFill>
        </w:rPr>
        <w:t>接地要求</w:t>
      </w:r>
    </w:p>
    <w:p w14:paraId="70BFCCD2">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充电机的接地要求应能满足以下的规定：</w:t>
      </w:r>
    </w:p>
    <w:p w14:paraId="72D8DBEC">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14:textFill>
            <w14:solidFill>
              <w14:schemeClr w14:val="tx1"/>
            </w14:solidFill>
          </w14:textFill>
        </w:rPr>
        <w:t>充电机金属壳体应设置接地螺栓，其直径不得小于6mm，并应有接地标志。</w:t>
      </w:r>
    </w:p>
    <w:p w14:paraId="324E6BD0">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2）</w:t>
      </w:r>
      <w:r>
        <w:rPr>
          <w:color w:val="000000" w:themeColor="text1"/>
          <w14:textFill>
            <w14:solidFill>
              <w14:schemeClr w14:val="tx1"/>
            </w14:solidFill>
          </w14:textFill>
        </w:rPr>
        <w:t>所有作为隔离带电导体的金属隔板、电气元件的金属外壳以及金属手柄等均应有效接地，连续性电阻不应大于0.1Ω。</w:t>
      </w:r>
    </w:p>
    <w:p w14:paraId="194295D5">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3）</w:t>
      </w:r>
      <w:r>
        <w:rPr>
          <w:color w:val="000000" w:themeColor="text1"/>
          <w14:textFill>
            <w14:solidFill>
              <w14:schemeClr w14:val="tx1"/>
            </w14:solidFill>
          </w14:textFill>
        </w:rPr>
        <w:t>充电机的门、盖板、覆板和类似部件，应采用保护导体将这些部件和充电机主体框架连接，此保护导体的截面积不得小于2.5mm2。</w:t>
      </w:r>
    </w:p>
    <w:p w14:paraId="3FD1C3C0">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szCs w:val="21"/>
          <w14:textFill>
            <w14:solidFill>
              <w14:schemeClr w14:val="tx1"/>
            </w14:solidFill>
          </w14:textFill>
        </w:rPr>
        <w:t>4）</w:t>
      </w:r>
      <w:r>
        <w:rPr>
          <w:color w:val="000000" w:themeColor="text1"/>
          <w14:textFill>
            <w14:solidFill>
              <w14:schemeClr w14:val="tx1"/>
            </w14:solidFill>
          </w14:textFill>
        </w:rPr>
        <w:t>接地母线和柜体之间的所有连接应躲开（或穿透绝缘层）喷漆层，以保证有效的电气连接。</w:t>
      </w:r>
    </w:p>
    <w:p w14:paraId="78979EFF">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3.6</w:t>
      </w:r>
      <w:r>
        <w:rPr>
          <w:rFonts w:hint="eastAsia"/>
          <w:color w:val="000000" w:themeColor="text1"/>
          <w14:textFill>
            <w14:solidFill>
              <w14:schemeClr w14:val="tx1"/>
            </w14:solidFill>
          </w14:textFill>
        </w:rPr>
        <w:t>绝缘性能</w:t>
      </w:r>
    </w:p>
    <w:p w14:paraId="0AD016C7">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3.6.1</w:t>
      </w:r>
      <w:r>
        <w:rPr>
          <w:rFonts w:hint="eastAsia"/>
          <w:color w:val="000000" w:themeColor="text1"/>
          <w14:textFill>
            <w14:solidFill>
              <w14:schemeClr w14:val="tx1"/>
            </w14:solidFill>
          </w14:textFill>
        </w:rPr>
        <w:t>绝缘电阻</w:t>
      </w:r>
    </w:p>
    <w:p w14:paraId="7E957714">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用开路电压为规定电压的测试仪器测量，充电机非电气连接的各带电回路之间、各独立带电回路与地（金属外壳）之间绝缘电阻</w:t>
      </w:r>
      <w:r>
        <w:rPr>
          <w:rFonts w:hint="eastAsia"/>
          <w:color w:val="000000" w:themeColor="text1"/>
          <w14:textFill>
            <w14:solidFill>
              <w14:schemeClr w14:val="tx1"/>
            </w14:solidFill>
          </w14:textFill>
        </w:rPr>
        <w:t>不应小于</w:t>
      </w:r>
      <w:r>
        <w:rPr>
          <w:color w:val="000000" w:themeColor="text1"/>
          <w14:textFill>
            <w14:solidFill>
              <w14:schemeClr w14:val="tx1"/>
            </w14:solidFill>
          </w14:textFill>
        </w:rPr>
        <w:t>10MΩ。</w:t>
      </w:r>
    </w:p>
    <w:p w14:paraId="6FA07767">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3.6.2</w:t>
      </w:r>
      <w:r>
        <w:rPr>
          <w:color w:val="000000" w:themeColor="text1"/>
          <w14:textFill>
            <w14:solidFill>
              <w14:schemeClr w14:val="tx1"/>
            </w14:solidFill>
          </w14:textFill>
        </w:rPr>
        <w:t>工频耐压</w:t>
      </w:r>
    </w:p>
    <w:p w14:paraId="7621CFD7">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充电机非电气连接的各带电回路之间、各独立带电回路与地（金属外壳）之间，按其工作电压应能承受所规定历时1 min的工频耐压试验（也可采用直流电压，试验电压为交流电压有效值的1.4倍）。试验过程中应无绝缘击穿和闪络现象。</w:t>
      </w:r>
    </w:p>
    <w:p w14:paraId="1848F984">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3.6.3</w:t>
      </w:r>
      <w:r>
        <w:rPr>
          <w:color w:val="000000" w:themeColor="text1"/>
          <w14:textFill>
            <w14:solidFill>
              <w14:schemeClr w14:val="tx1"/>
            </w14:solidFill>
          </w14:textFill>
        </w:rPr>
        <w:t>冲击电压</w:t>
      </w:r>
    </w:p>
    <w:p w14:paraId="4E9B67E5">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充电机各带电回路、各带电电路对地（金属外壳）之间，按其工作电压应能承受所规定标准雷电波的短时冲击电压试验。试验过程中应无击穿放电。</w:t>
      </w:r>
    </w:p>
    <w:p w14:paraId="32453D94">
      <w:pPr>
        <w:pStyle w:val="119"/>
        <w:numPr>
          <w:ilvl w:val="0"/>
          <w:numId w:val="0"/>
        </w:numPr>
        <w:spacing w:before="0" w:beforeLines="0" w:after="0" w:afterLines="0"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绝缘试验的试验等级</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2058"/>
        <w:gridCol w:w="3297"/>
        <w:gridCol w:w="2366"/>
        <w:gridCol w:w="2145"/>
      </w:tblGrid>
      <w:tr w14:paraId="5C5B3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91" w:hRule="atLeast"/>
          <w:jc w:val="center"/>
        </w:trPr>
        <w:tc>
          <w:tcPr>
            <w:tcW w:w="1043" w:type="pct"/>
            <w:vAlign w:val="center"/>
          </w:tcPr>
          <w:p w14:paraId="65AC3EB0">
            <w:pPr>
              <w:autoSpaceDE w:val="0"/>
              <w:autoSpaceDN w:val="0"/>
              <w:adjustRightInd w:val="0"/>
              <w:jc w:val="center"/>
              <w:rPr>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额定绝缘电压</w:t>
            </w:r>
            <w:r>
              <w:rPr>
                <w:color w:val="000000" w:themeColor="text1"/>
                <w:sz w:val="21"/>
                <w:szCs w:val="15"/>
                <w14:textFill>
                  <w14:solidFill>
                    <w14:schemeClr w14:val="tx1"/>
                  </w14:solidFill>
                </w14:textFill>
              </w:rPr>
              <w:t>Ui</w:t>
            </w:r>
            <w:r>
              <w:rPr>
                <w:rFonts w:hAnsi="宋体"/>
                <w:color w:val="000000" w:themeColor="text1"/>
                <w:sz w:val="21"/>
                <w:szCs w:val="15"/>
                <w14:textFill>
                  <w14:solidFill>
                    <w14:schemeClr w14:val="tx1"/>
                  </w14:solidFill>
                </w14:textFill>
              </w:rPr>
              <w:t>（</w:t>
            </w:r>
            <w:r>
              <w:rPr>
                <w:color w:val="000000" w:themeColor="text1"/>
                <w:sz w:val="21"/>
                <w:szCs w:val="15"/>
                <w14:textFill>
                  <w14:solidFill>
                    <w14:schemeClr w14:val="tx1"/>
                  </w14:solidFill>
                </w14:textFill>
              </w:rPr>
              <w:t>V</w:t>
            </w:r>
            <w:r>
              <w:rPr>
                <w:rFonts w:hAnsi="宋体"/>
                <w:color w:val="000000" w:themeColor="text1"/>
                <w:sz w:val="21"/>
                <w:szCs w:val="15"/>
                <w14:textFill>
                  <w14:solidFill>
                    <w14:schemeClr w14:val="tx1"/>
                  </w14:solidFill>
                </w14:textFill>
              </w:rPr>
              <w:t>）</w:t>
            </w:r>
          </w:p>
        </w:tc>
        <w:tc>
          <w:tcPr>
            <w:tcW w:w="1671" w:type="pct"/>
            <w:vAlign w:val="center"/>
          </w:tcPr>
          <w:p w14:paraId="5BC8B75B">
            <w:pPr>
              <w:autoSpaceDE w:val="0"/>
              <w:autoSpaceDN w:val="0"/>
              <w:adjustRightInd w:val="0"/>
              <w:jc w:val="center"/>
              <w:rPr>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绝缘电阻测试仪器的电压等级（</w:t>
            </w:r>
            <w:r>
              <w:rPr>
                <w:color w:val="000000" w:themeColor="text1"/>
                <w:sz w:val="21"/>
                <w:szCs w:val="15"/>
                <w14:textFill>
                  <w14:solidFill>
                    <w14:schemeClr w14:val="tx1"/>
                  </w14:solidFill>
                </w14:textFill>
              </w:rPr>
              <w:t>V</w:t>
            </w:r>
            <w:r>
              <w:rPr>
                <w:rFonts w:hAnsi="宋体"/>
                <w:color w:val="000000" w:themeColor="text1"/>
                <w:sz w:val="21"/>
                <w:szCs w:val="15"/>
                <w14:textFill>
                  <w14:solidFill>
                    <w14:schemeClr w14:val="tx1"/>
                  </w14:solidFill>
                </w14:textFill>
              </w:rPr>
              <w:t>）</w:t>
            </w:r>
          </w:p>
        </w:tc>
        <w:tc>
          <w:tcPr>
            <w:tcW w:w="1199" w:type="pct"/>
            <w:vAlign w:val="center"/>
          </w:tcPr>
          <w:p w14:paraId="604C47F7">
            <w:pPr>
              <w:autoSpaceDE w:val="0"/>
              <w:autoSpaceDN w:val="0"/>
              <w:adjustRightInd w:val="0"/>
              <w:jc w:val="center"/>
              <w:rPr>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工频耐压试验电压（</w:t>
            </w:r>
            <w:r>
              <w:rPr>
                <w:color w:val="000000" w:themeColor="text1"/>
                <w:sz w:val="21"/>
                <w:szCs w:val="15"/>
                <w14:textFill>
                  <w14:solidFill>
                    <w14:schemeClr w14:val="tx1"/>
                  </w14:solidFill>
                </w14:textFill>
              </w:rPr>
              <w:t>kV</w:t>
            </w:r>
            <w:r>
              <w:rPr>
                <w:rFonts w:hAnsi="宋体"/>
                <w:color w:val="000000" w:themeColor="text1"/>
                <w:sz w:val="21"/>
                <w:szCs w:val="15"/>
                <w14:textFill>
                  <w14:solidFill>
                    <w14:schemeClr w14:val="tx1"/>
                  </w14:solidFill>
                </w14:textFill>
              </w:rPr>
              <w:t>）</w:t>
            </w:r>
          </w:p>
        </w:tc>
        <w:tc>
          <w:tcPr>
            <w:tcW w:w="1087" w:type="pct"/>
            <w:vAlign w:val="center"/>
          </w:tcPr>
          <w:p w14:paraId="4F9010D7">
            <w:pPr>
              <w:autoSpaceDE w:val="0"/>
              <w:autoSpaceDN w:val="0"/>
              <w:adjustRightInd w:val="0"/>
              <w:jc w:val="center"/>
              <w:rPr>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冲击耐压试验电压（</w:t>
            </w:r>
            <w:r>
              <w:rPr>
                <w:color w:val="000000" w:themeColor="text1"/>
                <w:sz w:val="21"/>
                <w:szCs w:val="15"/>
                <w14:textFill>
                  <w14:solidFill>
                    <w14:schemeClr w14:val="tx1"/>
                  </w14:solidFill>
                </w14:textFill>
              </w:rPr>
              <w:t>kV</w:t>
            </w:r>
            <w:r>
              <w:rPr>
                <w:rFonts w:hAnsi="宋体"/>
                <w:color w:val="000000" w:themeColor="text1"/>
                <w:sz w:val="21"/>
                <w:szCs w:val="15"/>
                <w14:textFill>
                  <w14:solidFill>
                    <w14:schemeClr w14:val="tx1"/>
                  </w14:solidFill>
                </w14:textFill>
              </w:rPr>
              <w:t>）</w:t>
            </w:r>
          </w:p>
        </w:tc>
      </w:tr>
      <w:tr w14:paraId="76C36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1043" w:type="pct"/>
            <w:vAlign w:val="center"/>
          </w:tcPr>
          <w:p w14:paraId="262F0594">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 60</w:t>
            </w:r>
          </w:p>
        </w:tc>
        <w:tc>
          <w:tcPr>
            <w:tcW w:w="1671" w:type="pct"/>
            <w:vAlign w:val="center"/>
          </w:tcPr>
          <w:p w14:paraId="531A3ADD">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250</w:t>
            </w:r>
          </w:p>
        </w:tc>
        <w:tc>
          <w:tcPr>
            <w:tcW w:w="1199" w:type="pct"/>
            <w:vAlign w:val="center"/>
          </w:tcPr>
          <w:p w14:paraId="636E8062">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1.0(1.4)</w:t>
            </w:r>
          </w:p>
        </w:tc>
        <w:tc>
          <w:tcPr>
            <w:tcW w:w="1087" w:type="pct"/>
            <w:vAlign w:val="center"/>
          </w:tcPr>
          <w:p w14:paraId="3C675E4F">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1</w:t>
            </w:r>
          </w:p>
        </w:tc>
      </w:tr>
      <w:tr w14:paraId="21AD2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3" w:type="pct"/>
            <w:vAlign w:val="center"/>
          </w:tcPr>
          <w:p w14:paraId="2EBEFD53">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60 ＜ U</w:t>
            </w:r>
            <w:r>
              <w:rPr>
                <w:rFonts w:hint="eastAsia" w:hAnsi="宋体"/>
                <w:color w:val="000000" w:themeColor="text1"/>
                <w:sz w:val="21"/>
                <w:szCs w:val="15"/>
                <w:vertAlign w:val="subscript"/>
                <w14:textFill>
                  <w14:solidFill>
                    <w14:schemeClr w14:val="tx1"/>
                  </w14:solidFill>
                </w14:textFill>
              </w:rPr>
              <w:t xml:space="preserve">I </w:t>
            </w:r>
            <w:r>
              <w:rPr>
                <w:rFonts w:hint="eastAsia" w:hAnsi="宋体"/>
                <w:color w:val="000000" w:themeColor="text1"/>
                <w:sz w:val="21"/>
                <w:szCs w:val="15"/>
                <w14:textFill>
                  <w14:solidFill>
                    <w14:schemeClr w14:val="tx1"/>
                  </w14:solidFill>
                </w14:textFill>
              </w:rPr>
              <w:t>≤ 300</w:t>
            </w:r>
          </w:p>
        </w:tc>
        <w:tc>
          <w:tcPr>
            <w:tcW w:w="1671" w:type="pct"/>
            <w:vAlign w:val="center"/>
          </w:tcPr>
          <w:p w14:paraId="30B3672D">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500</w:t>
            </w:r>
          </w:p>
        </w:tc>
        <w:tc>
          <w:tcPr>
            <w:tcW w:w="1199" w:type="pct"/>
            <w:vAlign w:val="center"/>
          </w:tcPr>
          <w:p w14:paraId="3E521231">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2.0(2.8)</w:t>
            </w:r>
          </w:p>
        </w:tc>
        <w:tc>
          <w:tcPr>
            <w:tcW w:w="1087" w:type="pct"/>
            <w:vAlign w:val="center"/>
          </w:tcPr>
          <w:p w14:paraId="33932D57">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±2.5</w:t>
            </w:r>
          </w:p>
        </w:tc>
      </w:tr>
      <w:tr w14:paraId="59593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3" w:type="pct"/>
            <w:vAlign w:val="center"/>
          </w:tcPr>
          <w:p w14:paraId="7F059094">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300 ＜ U</w:t>
            </w:r>
            <w:r>
              <w:rPr>
                <w:rFonts w:hint="eastAsia" w:hAnsi="宋体"/>
                <w:color w:val="000000" w:themeColor="text1"/>
                <w:sz w:val="21"/>
                <w:szCs w:val="15"/>
                <w:vertAlign w:val="subscript"/>
                <w14:textFill>
                  <w14:solidFill>
                    <w14:schemeClr w14:val="tx1"/>
                  </w14:solidFill>
                </w14:textFill>
              </w:rPr>
              <w:t xml:space="preserve">I </w:t>
            </w:r>
            <w:r>
              <w:rPr>
                <w:rFonts w:hint="eastAsia" w:hAnsi="宋体"/>
                <w:color w:val="000000" w:themeColor="text1"/>
                <w:sz w:val="21"/>
                <w:szCs w:val="15"/>
                <w14:textFill>
                  <w14:solidFill>
                    <w14:schemeClr w14:val="tx1"/>
                  </w14:solidFill>
                </w14:textFill>
              </w:rPr>
              <w:t>≤ 700</w:t>
            </w:r>
          </w:p>
        </w:tc>
        <w:tc>
          <w:tcPr>
            <w:tcW w:w="1671" w:type="pct"/>
            <w:vAlign w:val="center"/>
          </w:tcPr>
          <w:p w14:paraId="162C1888">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1000</w:t>
            </w:r>
          </w:p>
        </w:tc>
        <w:tc>
          <w:tcPr>
            <w:tcW w:w="1199" w:type="pct"/>
            <w:vAlign w:val="center"/>
          </w:tcPr>
          <w:p w14:paraId="7D2F2986">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2.4(3.36)</w:t>
            </w:r>
          </w:p>
        </w:tc>
        <w:tc>
          <w:tcPr>
            <w:tcW w:w="1087" w:type="pct"/>
            <w:vAlign w:val="center"/>
          </w:tcPr>
          <w:p w14:paraId="371B3434">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±6</w:t>
            </w:r>
          </w:p>
        </w:tc>
      </w:tr>
      <w:tr w14:paraId="0E654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3" w:type="pct"/>
            <w:vAlign w:val="center"/>
          </w:tcPr>
          <w:p w14:paraId="584F991E">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700 ＜ UI ≤ 950</w:t>
            </w:r>
          </w:p>
        </w:tc>
        <w:tc>
          <w:tcPr>
            <w:tcW w:w="1671" w:type="pct"/>
            <w:vAlign w:val="center"/>
          </w:tcPr>
          <w:p w14:paraId="73962200">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1000</w:t>
            </w:r>
          </w:p>
        </w:tc>
        <w:tc>
          <w:tcPr>
            <w:tcW w:w="1199" w:type="pct"/>
            <w:vAlign w:val="center"/>
          </w:tcPr>
          <w:p w14:paraId="5D34F59A">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2×UI +1.0</w:t>
            </w:r>
          </w:p>
          <w:p w14:paraId="1E175376">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(2.8×UI +1.4)</w:t>
            </w:r>
          </w:p>
        </w:tc>
        <w:tc>
          <w:tcPr>
            <w:tcW w:w="1087" w:type="pct"/>
            <w:vAlign w:val="center"/>
          </w:tcPr>
          <w:p w14:paraId="457570D8">
            <w:pPr>
              <w:autoSpaceDE w:val="0"/>
              <w:autoSpaceDN w:val="0"/>
              <w:adjustRightInd w:val="0"/>
              <w:snapToGrid w:val="0"/>
              <w:jc w:val="center"/>
              <w:rPr>
                <w:rFonts w:hint="eastAsia" w:hAnsi="宋体"/>
                <w:color w:val="000000" w:themeColor="text1"/>
                <w:sz w:val="21"/>
                <w:szCs w:val="15"/>
                <w14:textFill>
                  <w14:solidFill>
                    <w14:schemeClr w14:val="tx1"/>
                  </w14:solidFill>
                </w14:textFill>
              </w:rPr>
            </w:pPr>
            <w:r>
              <w:rPr>
                <w:rFonts w:hint="eastAsia" w:hAnsi="宋体"/>
                <w:color w:val="000000" w:themeColor="text1"/>
                <w:sz w:val="21"/>
                <w:szCs w:val="15"/>
                <w14:textFill>
                  <w14:solidFill>
                    <w14:schemeClr w14:val="tx1"/>
                  </w14:solidFill>
                </w14:textFill>
              </w:rPr>
              <w:t>±6</w:t>
            </w:r>
          </w:p>
        </w:tc>
      </w:tr>
      <w:tr w14:paraId="46001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55" w:hRule="atLeast"/>
          <w:jc w:val="center"/>
        </w:trPr>
        <w:tc>
          <w:tcPr>
            <w:tcW w:w="5000" w:type="pct"/>
            <w:gridSpan w:val="4"/>
            <w:vAlign w:val="center"/>
          </w:tcPr>
          <w:p w14:paraId="51EB4EE3">
            <w:pPr>
              <w:jc w:val="center"/>
              <w:rPr>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注：括号内数据为直流介质强度试验值。</w:t>
            </w:r>
          </w:p>
        </w:tc>
      </w:tr>
    </w:tbl>
    <w:p w14:paraId="630C4F77">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3.7</w:t>
      </w:r>
      <w:r>
        <w:rPr>
          <w:rFonts w:hint="eastAsia"/>
          <w:color w:val="000000" w:themeColor="text1"/>
          <w14:textFill>
            <w14:solidFill>
              <w14:schemeClr w14:val="tx1"/>
            </w14:solidFill>
          </w14:textFill>
        </w:rPr>
        <w:t>安全要求</w:t>
      </w:r>
    </w:p>
    <w:p w14:paraId="72896635">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充电机的安全性要求应满足GB/T 18487.1-2015附录B中对应的描述及技术参数要求。</w:t>
      </w:r>
    </w:p>
    <w:p w14:paraId="341CCE6F">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1）充电机应具备电源输入侧的过压保护和欠压保护。</w:t>
      </w:r>
    </w:p>
    <w:p w14:paraId="45D6A4F8">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2</w:t>
      </w:r>
      <w:r>
        <w:rPr>
          <w:rFonts w:hint="eastAsia" w:hAnsi="宋体"/>
          <w:color w:val="000000" w:themeColor="text1"/>
          <w14:textFill>
            <w14:solidFill>
              <w14:schemeClr w14:val="tx1"/>
            </w14:solidFill>
          </w14:textFill>
        </w:rPr>
        <w:t>）充电机应具备输出过压保护。</w:t>
      </w:r>
    </w:p>
    <w:p w14:paraId="12781723">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3</w:t>
      </w:r>
      <w:r>
        <w:rPr>
          <w:rFonts w:hint="eastAsia" w:hAnsi="宋体"/>
          <w:color w:val="000000" w:themeColor="text1"/>
          <w14:textFill>
            <w14:solidFill>
              <w14:schemeClr w14:val="tx1"/>
            </w14:solidFill>
          </w14:textFill>
        </w:rPr>
        <w:t>）充电机应具备输出过电流和短路保护。</w:t>
      </w:r>
    </w:p>
    <w:p w14:paraId="6B4F9A3F">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4</w:t>
      </w:r>
      <w:r>
        <w:rPr>
          <w:rFonts w:hint="eastAsia" w:hAnsi="宋体"/>
          <w:color w:val="000000" w:themeColor="text1"/>
          <w14:textFill>
            <w14:solidFill>
              <w14:schemeClr w14:val="tx1"/>
            </w14:solidFill>
          </w14:textFill>
        </w:rPr>
        <w:t>）充电机应具备内部过温保护，当内部温度达到保护值时，采取降功率或停止输出。需具备超温断电功能，当温度过高时，可自动切断充电，防止发生高温自燃等意外，保护充电设备及新能源汽车安全</w:t>
      </w:r>
      <w:r>
        <w:rPr>
          <w:rFonts w:hAnsi="宋体"/>
          <w:color w:val="000000" w:themeColor="text1"/>
          <w14:textFill>
            <w14:solidFill>
              <w14:schemeClr w14:val="tx1"/>
            </w14:solidFill>
          </w14:textFill>
        </w:rPr>
        <w:t>。</w:t>
      </w:r>
    </w:p>
    <w:p w14:paraId="6F31E85B">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5）</w:t>
      </w:r>
      <w:r>
        <w:rPr>
          <w:rFonts w:hAnsi="宋体"/>
          <w:color w:val="000000" w:themeColor="text1"/>
          <w14:textFill>
            <w14:solidFill>
              <w14:schemeClr w14:val="tx1"/>
            </w14:solidFill>
          </w14:textFill>
        </w:rPr>
        <w:t>充电过程中20</w:t>
      </w:r>
      <w:r>
        <w:rPr>
          <w:rFonts w:hint="eastAsia" w:hAnsi="宋体"/>
          <w:color w:val="000000" w:themeColor="text1"/>
          <w14:textFill>
            <w14:solidFill>
              <w14:schemeClr w14:val="tx1"/>
            </w14:solidFill>
          </w14:textFill>
        </w:rPr>
        <w:t>分钟内</w:t>
      </w:r>
      <w:r>
        <w:rPr>
          <w:rFonts w:hAnsi="宋体"/>
          <w:color w:val="000000" w:themeColor="text1"/>
          <w14:textFill>
            <w14:solidFill>
              <w14:schemeClr w14:val="tx1"/>
            </w14:solidFill>
          </w14:textFill>
        </w:rPr>
        <w:t>温度升高超过15度保护。</w:t>
      </w:r>
    </w:p>
    <w:p w14:paraId="462DCC68">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6）充电机的绝缘检测功能应与车辆绝缘检测功能相配合。</w:t>
      </w:r>
    </w:p>
    <w:p w14:paraId="7919A622">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7</w:t>
      </w:r>
      <w:r>
        <w:rPr>
          <w:rFonts w:hint="eastAsia" w:hAnsi="宋体"/>
          <w:color w:val="000000" w:themeColor="text1"/>
          <w14:textFill>
            <w14:solidFill>
              <w14:schemeClr w14:val="tx1"/>
            </w14:solidFill>
          </w14:textFill>
        </w:rPr>
        <w:t>）充电过程中当发生下列情况时，充电机应能在100ms内断开直流输出接触器，且直流输出电压应在1s内下降至60V以下。</w:t>
      </w:r>
    </w:p>
    <w:p w14:paraId="1A402354">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启动急停开关；</w:t>
      </w:r>
    </w:p>
    <w:p w14:paraId="16C3DA93">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控制导引故障。</w:t>
      </w:r>
    </w:p>
    <w:p w14:paraId="4CDAAB04">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8）充电机在启动充电时应人工确认启动。</w:t>
      </w:r>
    </w:p>
    <w:p w14:paraId="48544194">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9</w:t>
      </w:r>
      <w:r>
        <w:rPr>
          <w:rFonts w:hint="eastAsia" w:hAnsi="宋体"/>
          <w:color w:val="000000" w:themeColor="text1"/>
          <w14:textFill>
            <w14:solidFill>
              <w14:schemeClr w14:val="tx1"/>
            </w14:solidFill>
          </w14:textFill>
        </w:rPr>
        <w:t>）充电机应具备限制冲击电流功能，冲击电流不应超过额定输入电流的110%。</w:t>
      </w:r>
    </w:p>
    <w:p w14:paraId="61F59CF7">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10</w:t>
      </w:r>
      <w:r>
        <w:rPr>
          <w:rFonts w:hint="eastAsia" w:hAnsi="宋体"/>
          <w:color w:val="000000" w:themeColor="text1"/>
          <w14:textFill>
            <w14:solidFill>
              <w14:schemeClr w14:val="tx1"/>
            </w14:solidFill>
          </w14:textFill>
        </w:rPr>
        <w:t>）充电机应具备电池反接保护功能。</w:t>
      </w:r>
    </w:p>
    <w:p w14:paraId="1F1A14D3">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11</w:t>
      </w:r>
      <w:r>
        <w:rPr>
          <w:rFonts w:hint="eastAsia" w:hAnsi="宋体"/>
          <w:color w:val="000000" w:themeColor="text1"/>
          <w14:textFill>
            <w14:solidFill>
              <w14:schemeClr w14:val="tx1"/>
            </w14:solidFill>
          </w14:textFill>
        </w:rPr>
        <w:t>）充电机在自动充电前，应具有电池电压检测功能。</w:t>
      </w:r>
    </w:p>
    <w:p w14:paraId="2B93F3CC">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12</w:t>
      </w:r>
      <w:r>
        <w:rPr>
          <w:rFonts w:hint="eastAsia" w:hAnsi="宋体"/>
          <w:color w:val="000000" w:themeColor="text1"/>
          <w14:textFill>
            <w14:solidFill>
              <w14:schemeClr w14:val="tx1"/>
            </w14:solidFill>
          </w14:textFill>
        </w:rPr>
        <w:t>）充电机在充电过程中应具有防止充电连接器意外脱落的锁止装置，直流充电时，车辆接口应具有锁止功能，该锁止功能应符合GB/T20234.1的相关要求。车辆插头端应安装机械锁止装置，供电设备应能判断机械锁是否可靠锁止。车辆插头应安装电子锁止装置，电子锁处于锁止位置时，机械锁应无法操作，供电设备应能判断电子锁是否可靠锁止。当机械锁或电子锁未可靠锁止时，供电设备应停止充电或不启动充电。直流充电车辆接口锁止装置工作示例参见GB/T18487.1-2015附录C。</w:t>
      </w:r>
    </w:p>
    <w:p w14:paraId="03DB6742">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w:t>
      </w:r>
      <w:r>
        <w:rPr>
          <w:rFonts w:hAnsi="宋体"/>
          <w:color w:val="000000" w:themeColor="text1"/>
          <w14:textFill>
            <w14:solidFill>
              <w14:schemeClr w14:val="tx1"/>
            </w14:solidFill>
          </w14:textFill>
        </w:rPr>
        <w:t>3</w:t>
      </w:r>
      <w:r>
        <w:rPr>
          <w:rFonts w:hint="eastAsia" w:hAnsi="宋体"/>
          <w:color w:val="000000" w:themeColor="text1"/>
          <w14:textFill>
            <w14:solidFill>
              <w14:schemeClr w14:val="tx1"/>
            </w14:solidFill>
          </w14:textFill>
        </w:rPr>
        <w:t>）</w:t>
      </w:r>
      <w:r>
        <w:rPr>
          <w:rFonts w:hAnsi="宋体"/>
          <w:color w:val="000000" w:themeColor="text1"/>
          <w14:textFill>
            <w14:solidFill>
              <w14:schemeClr w14:val="tx1"/>
            </w14:solidFill>
          </w14:textFill>
        </w:rPr>
        <w:t>充电过程中BMS传递的SOC/V/</w:t>
      </w:r>
      <w:r>
        <w:rPr>
          <w:rFonts w:hint="eastAsia" w:hAnsi="宋体"/>
          <w:color w:val="000000" w:themeColor="text1"/>
          <w14:textFill>
            <w14:solidFill>
              <w14:schemeClr w14:val="tx1"/>
            </w14:solidFill>
          </w14:textFill>
        </w:rPr>
        <w:t>I</w:t>
      </w:r>
      <w:r>
        <w:rPr>
          <w:rFonts w:hAnsi="宋体"/>
          <w:color w:val="000000" w:themeColor="text1"/>
          <w14:textFill>
            <w14:solidFill>
              <w14:schemeClr w14:val="tx1"/>
            </w14:solidFill>
          </w14:textFill>
        </w:rPr>
        <w:t xml:space="preserve">/Vcell </w:t>
      </w:r>
      <w:r>
        <w:rPr>
          <w:rFonts w:hint="eastAsia" w:hAnsi="宋体"/>
          <w:color w:val="000000" w:themeColor="text1"/>
          <w14:textFill>
            <w14:solidFill>
              <w14:schemeClr w14:val="tx1"/>
            </w14:solidFill>
          </w14:textFill>
        </w:rPr>
        <w:t>Max</w:t>
      </w:r>
      <w:r>
        <w:rPr>
          <w:rFonts w:hAnsi="宋体"/>
          <w:color w:val="000000" w:themeColor="text1"/>
          <w14:textFill>
            <w14:solidFill>
              <w14:schemeClr w14:val="tx1"/>
            </w14:solidFill>
          </w14:textFill>
        </w:rPr>
        <w:t>/</w:t>
      </w:r>
      <w:r>
        <w:rPr>
          <w:rFonts w:hint="eastAsia" w:hAnsi="宋体"/>
          <w:color w:val="000000" w:themeColor="text1"/>
          <w14:textFill>
            <w14:solidFill>
              <w14:schemeClr w14:val="tx1"/>
            </w14:solidFill>
          </w14:textFill>
        </w:rPr>
        <w:t>Tempture</w:t>
      </w:r>
      <w:r>
        <w:rPr>
          <w:rFonts w:hAnsi="宋体"/>
          <w:color w:val="000000" w:themeColor="text1"/>
          <w14:textFill>
            <w14:solidFill>
              <w14:schemeClr w14:val="tx1"/>
            </w14:solidFill>
          </w14:textFill>
        </w:rPr>
        <w:t>这些信息维持不变超过3分钟保护。</w:t>
      </w:r>
    </w:p>
    <w:p w14:paraId="22BFC49F">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14</w:t>
      </w:r>
      <w:r>
        <w:rPr>
          <w:rFonts w:hint="eastAsia" w:hAnsi="宋体"/>
          <w:color w:val="000000" w:themeColor="text1"/>
          <w14:textFill>
            <w14:solidFill>
              <w14:schemeClr w14:val="tx1"/>
            </w14:solidFill>
          </w14:textFill>
        </w:rPr>
        <w:t>）充电机应具备防止电池电流倒灌功能。</w:t>
      </w:r>
    </w:p>
    <w:p w14:paraId="31DC6F46">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15</w:t>
      </w:r>
      <w:r>
        <w:rPr>
          <w:rFonts w:hint="eastAsia" w:hAnsi="宋体"/>
          <w:color w:val="000000" w:themeColor="text1"/>
          <w14:textFill>
            <w14:solidFill>
              <w14:schemeClr w14:val="tx1"/>
            </w14:solidFill>
          </w14:textFill>
        </w:rPr>
        <w:t>）充电机应具备预充电功能。当充电机检测到电动汽车直流接触器闭合后，充电机应检测电池端电压；充电机检测到电池端电压后需进行预充，将功率模块输出电压升到与电池端电压测量值之差小于10V后，方可闭合充电机输出接触器。</w:t>
      </w:r>
    </w:p>
    <w:p w14:paraId="4FFF0280">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w:t>
      </w:r>
      <w:r>
        <w:rPr>
          <w:rFonts w:hAnsi="宋体"/>
          <w:color w:val="000000" w:themeColor="text1"/>
          <w14:textFill>
            <w14:solidFill>
              <w14:schemeClr w14:val="tx1"/>
            </w14:solidFill>
          </w14:textFill>
        </w:rPr>
        <w:t>6</w:t>
      </w:r>
      <w:r>
        <w:rPr>
          <w:rFonts w:hint="eastAsia" w:hAnsi="宋体"/>
          <w:color w:val="000000" w:themeColor="text1"/>
          <w14:textFill>
            <w14:solidFill>
              <w14:schemeClr w14:val="tx1"/>
            </w14:solidFill>
          </w14:textFill>
        </w:rPr>
        <w:t>）充电机在每个充电周期内进行接触器触点烧结检测。当检测到接触器触点出现粘连的情况后，充电机不得继续工作。</w:t>
      </w:r>
    </w:p>
    <w:p w14:paraId="00963D4E">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w:t>
      </w:r>
      <w:r>
        <w:rPr>
          <w:rFonts w:hAnsi="宋体"/>
          <w:color w:val="000000" w:themeColor="text1"/>
          <w14:textFill>
            <w14:solidFill>
              <w14:schemeClr w14:val="tx1"/>
            </w14:solidFill>
          </w14:textFill>
        </w:rPr>
        <w:t>7</w:t>
      </w:r>
      <w:r>
        <w:rPr>
          <w:rFonts w:hint="eastAsia" w:hAnsi="宋体"/>
          <w:color w:val="000000" w:themeColor="text1"/>
          <w14:textFill>
            <w14:solidFill>
              <w14:schemeClr w14:val="tx1"/>
            </w14:solidFill>
          </w14:textFill>
        </w:rPr>
        <w:t>）充电机必须保证充电机输出接触器闭合发生在车辆直流充电接触器闭合之后，其时间间隔不得低于500ms。</w:t>
      </w:r>
    </w:p>
    <w:p w14:paraId="7907919E">
      <w:pPr>
        <w:overflowPunct w:val="0"/>
        <w:topLinePunct/>
        <w:spacing w:line="360" w:lineRule="auto"/>
        <w:ind w:firstLine="420" w:firstLineChars="200"/>
        <w:rPr>
          <w:rFonts w:hint="eastAsia" w:hAnsi="宋体"/>
          <w:color w:val="000000" w:themeColor="text1"/>
          <w14:textFill>
            <w14:solidFill>
              <w14:schemeClr w14:val="tx1"/>
            </w14:solidFill>
          </w14:textFill>
        </w:rPr>
      </w:pPr>
      <w:r>
        <w:rPr>
          <w:rFonts w:hAnsi="宋体"/>
          <w:color w:val="000000" w:themeColor="text1"/>
          <w14:textFill>
            <w14:solidFill>
              <w14:schemeClr w14:val="tx1"/>
            </w14:solidFill>
          </w14:textFill>
        </w:rPr>
        <w:t>18</w:t>
      </w:r>
      <w:r>
        <w:rPr>
          <w:rFonts w:hint="eastAsia" w:hAnsi="宋体"/>
          <w:color w:val="000000" w:themeColor="text1"/>
          <w14:textFill>
            <w14:solidFill>
              <w14:schemeClr w14:val="tx1"/>
            </w14:solidFill>
          </w14:textFill>
        </w:rPr>
        <w:t>）充电机在充电停止状态下，应保证直流输出回路处于断开状态。</w:t>
      </w:r>
    </w:p>
    <w:p w14:paraId="7E746A27">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3.8</w:t>
      </w:r>
      <w:r>
        <w:rPr>
          <w:rFonts w:hint="eastAsia"/>
          <w:color w:val="000000" w:themeColor="text1"/>
          <w14:textFill>
            <w14:solidFill>
              <w14:schemeClr w14:val="tx1"/>
            </w14:solidFill>
          </w14:textFill>
        </w:rPr>
        <w:t>温升</w:t>
      </w:r>
    </w:p>
    <w:p w14:paraId="6BB16534">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正常试验条件下，交流输入为额定值，在额定负载下长期连续运行，充电机内部各发热元器件及各部位的温升不应超过中的规定。</w:t>
      </w:r>
    </w:p>
    <w:p w14:paraId="3042CB69">
      <w:pPr>
        <w:pStyle w:val="119"/>
        <w:numPr>
          <w:ilvl w:val="0"/>
          <w:numId w:val="0"/>
        </w:numPr>
        <w:spacing w:before="0" w:beforeLines="0" w:after="0" w:afterLines="0"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充电机各部件极限温升</w:t>
      </w:r>
    </w:p>
    <w:tbl>
      <w:tblPr>
        <w:tblStyle w:val="30"/>
        <w:tblW w:w="5000" w:type="pct"/>
        <w:jc w:val="center"/>
        <w:tblLayout w:type="autofit"/>
        <w:tblCellMar>
          <w:top w:w="0" w:type="dxa"/>
          <w:left w:w="108" w:type="dxa"/>
          <w:bottom w:w="0" w:type="dxa"/>
          <w:right w:w="108" w:type="dxa"/>
        </w:tblCellMar>
      </w:tblPr>
      <w:tblGrid>
        <w:gridCol w:w="5323"/>
        <w:gridCol w:w="4645"/>
      </w:tblGrid>
      <w:tr w14:paraId="6342E45E">
        <w:tblPrEx>
          <w:tblCellMar>
            <w:top w:w="0" w:type="dxa"/>
            <w:left w:w="108" w:type="dxa"/>
            <w:bottom w:w="0" w:type="dxa"/>
            <w:right w:w="108" w:type="dxa"/>
          </w:tblCellMar>
        </w:tblPrEx>
        <w:trPr>
          <w:trHeight w:val="124" w:hRule="atLeast"/>
          <w:jc w:val="center"/>
        </w:trPr>
        <w:tc>
          <w:tcPr>
            <w:tcW w:w="2670" w:type="pct"/>
            <w:tcBorders>
              <w:top w:val="single" w:color="000000" w:sz="8" w:space="0"/>
              <w:left w:val="single" w:color="000000" w:sz="8" w:space="0"/>
              <w:bottom w:val="single" w:color="000000" w:sz="8" w:space="0"/>
              <w:right w:val="single" w:color="000000" w:sz="8" w:space="0"/>
            </w:tcBorders>
            <w:vAlign w:val="center"/>
          </w:tcPr>
          <w:p w14:paraId="7FC28C5E">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部 件 或 器 件</w:t>
            </w:r>
          </w:p>
        </w:tc>
        <w:tc>
          <w:tcPr>
            <w:tcW w:w="2330" w:type="pct"/>
            <w:tcBorders>
              <w:top w:val="single" w:color="000000" w:sz="8" w:space="0"/>
              <w:left w:val="single" w:color="000000" w:sz="8" w:space="0"/>
              <w:bottom w:val="single" w:color="000000" w:sz="8" w:space="0"/>
              <w:right w:val="single" w:color="000000" w:sz="8" w:space="0"/>
            </w:tcBorders>
            <w:vAlign w:val="center"/>
          </w:tcPr>
          <w:p w14:paraId="0CF88317">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极 限 温 升（K）</w:t>
            </w:r>
          </w:p>
        </w:tc>
      </w:tr>
      <w:tr w14:paraId="7F4AD19F">
        <w:tblPrEx>
          <w:tblCellMar>
            <w:top w:w="0" w:type="dxa"/>
            <w:left w:w="108" w:type="dxa"/>
            <w:bottom w:w="0" w:type="dxa"/>
            <w:right w:w="108" w:type="dxa"/>
          </w:tblCellMar>
        </w:tblPrEx>
        <w:trPr>
          <w:trHeight w:val="186" w:hRule="atLeast"/>
          <w:jc w:val="center"/>
        </w:trPr>
        <w:tc>
          <w:tcPr>
            <w:tcW w:w="2670" w:type="pct"/>
            <w:tcBorders>
              <w:top w:val="single" w:color="000000" w:sz="8" w:space="0"/>
              <w:left w:val="single" w:color="000000" w:sz="8" w:space="0"/>
              <w:bottom w:val="single" w:color="000000" w:sz="8" w:space="0"/>
              <w:right w:val="single" w:color="000000" w:sz="8" w:space="0"/>
            </w:tcBorders>
            <w:vAlign w:val="center"/>
          </w:tcPr>
          <w:p w14:paraId="08BFD1EF">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功率开关器件</w:t>
            </w:r>
          </w:p>
        </w:tc>
        <w:tc>
          <w:tcPr>
            <w:tcW w:w="2330" w:type="pct"/>
            <w:tcBorders>
              <w:top w:val="single" w:color="000000" w:sz="8" w:space="0"/>
              <w:left w:val="single" w:color="000000" w:sz="8" w:space="0"/>
              <w:bottom w:val="single" w:color="000000" w:sz="8" w:space="0"/>
              <w:right w:val="single" w:color="000000" w:sz="8" w:space="0"/>
            </w:tcBorders>
            <w:vAlign w:val="center"/>
          </w:tcPr>
          <w:p w14:paraId="7B3086A3">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70</w:t>
            </w:r>
          </w:p>
        </w:tc>
      </w:tr>
      <w:tr w14:paraId="06A91C4E">
        <w:tblPrEx>
          <w:tblCellMar>
            <w:top w:w="0" w:type="dxa"/>
            <w:left w:w="108" w:type="dxa"/>
            <w:bottom w:w="0" w:type="dxa"/>
            <w:right w:w="108" w:type="dxa"/>
          </w:tblCellMar>
        </w:tblPrEx>
        <w:trPr>
          <w:trHeight w:val="211" w:hRule="atLeast"/>
          <w:jc w:val="center"/>
        </w:trPr>
        <w:tc>
          <w:tcPr>
            <w:tcW w:w="2670" w:type="pct"/>
            <w:tcBorders>
              <w:top w:val="single" w:color="000000" w:sz="8" w:space="0"/>
              <w:left w:val="single" w:color="000000" w:sz="8" w:space="0"/>
              <w:bottom w:val="single" w:color="000000" w:sz="8" w:space="0"/>
              <w:right w:val="single" w:color="000000" w:sz="8" w:space="0"/>
            </w:tcBorders>
            <w:vAlign w:val="center"/>
          </w:tcPr>
          <w:p w14:paraId="7BFD2E59">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整流变压器、电抗器（B级绝缘绕组）</w:t>
            </w:r>
          </w:p>
        </w:tc>
        <w:tc>
          <w:tcPr>
            <w:tcW w:w="2330" w:type="pct"/>
            <w:tcBorders>
              <w:top w:val="single" w:color="000000" w:sz="8" w:space="0"/>
              <w:left w:val="single" w:color="000000" w:sz="8" w:space="0"/>
              <w:bottom w:val="single" w:color="000000" w:sz="8" w:space="0"/>
              <w:right w:val="single" w:color="000000" w:sz="8" w:space="0"/>
            </w:tcBorders>
            <w:vAlign w:val="center"/>
          </w:tcPr>
          <w:p w14:paraId="5F2FE609">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80</w:t>
            </w:r>
          </w:p>
        </w:tc>
      </w:tr>
      <w:tr w14:paraId="3C545678">
        <w:tblPrEx>
          <w:tblCellMar>
            <w:top w:w="0" w:type="dxa"/>
            <w:left w:w="108" w:type="dxa"/>
            <w:bottom w:w="0" w:type="dxa"/>
            <w:right w:w="108" w:type="dxa"/>
          </w:tblCellMar>
        </w:tblPrEx>
        <w:trPr>
          <w:trHeight w:val="161" w:hRule="atLeast"/>
          <w:jc w:val="center"/>
        </w:trPr>
        <w:tc>
          <w:tcPr>
            <w:tcW w:w="2670" w:type="pct"/>
            <w:tcBorders>
              <w:top w:val="single" w:color="000000" w:sz="8" w:space="0"/>
              <w:left w:val="single" w:color="000000" w:sz="8" w:space="0"/>
              <w:bottom w:val="single" w:color="000000" w:sz="8" w:space="0"/>
              <w:right w:val="single" w:color="000000" w:sz="8" w:space="0"/>
            </w:tcBorders>
            <w:vAlign w:val="center"/>
          </w:tcPr>
          <w:p w14:paraId="2ACCB7E8">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与半导体器件的连接处</w:t>
            </w:r>
          </w:p>
        </w:tc>
        <w:tc>
          <w:tcPr>
            <w:tcW w:w="2330" w:type="pct"/>
            <w:tcBorders>
              <w:top w:val="single" w:color="000000" w:sz="8" w:space="0"/>
              <w:left w:val="single" w:color="000000" w:sz="8" w:space="0"/>
              <w:bottom w:val="single" w:color="000000" w:sz="8" w:space="0"/>
              <w:right w:val="single" w:color="000000" w:sz="8" w:space="0"/>
            </w:tcBorders>
            <w:vAlign w:val="center"/>
          </w:tcPr>
          <w:p w14:paraId="6D2F0502">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55</w:t>
            </w:r>
          </w:p>
        </w:tc>
      </w:tr>
      <w:tr w14:paraId="34F4DF70">
        <w:tblPrEx>
          <w:tblCellMar>
            <w:top w:w="0" w:type="dxa"/>
            <w:left w:w="108" w:type="dxa"/>
            <w:bottom w:w="0" w:type="dxa"/>
            <w:right w:w="108" w:type="dxa"/>
          </w:tblCellMar>
        </w:tblPrEx>
        <w:trPr>
          <w:trHeight w:val="111" w:hRule="atLeast"/>
          <w:jc w:val="center"/>
        </w:trPr>
        <w:tc>
          <w:tcPr>
            <w:tcW w:w="2670" w:type="pct"/>
            <w:tcBorders>
              <w:top w:val="single" w:color="000000" w:sz="8" w:space="0"/>
              <w:left w:val="single" w:color="000000" w:sz="8" w:space="0"/>
              <w:bottom w:val="single" w:color="000000" w:sz="8" w:space="0"/>
              <w:right w:val="single" w:color="000000" w:sz="8" w:space="0"/>
            </w:tcBorders>
            <w:vAlign w:val="center"/>
          </w:tcPr>
          <w:p w14:paraId="3AE71647">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与半导体器件的连接处的塑料绝缘线</w:t>
            </w:r>
          </w:p>
        </w:tc>
        <w:tc>
          <w:tcPr>
            <w:tcW w:w="2330" w:type="pct"/>
            <w:tcBorders>
              <w:top w:val="single" w:color="000000" w:sz="8" w:space="0"/>
              <w:left w:val="single" w:color="000000" w:sz="8" w:space="0"/>
              <w:bottom w:val="single" w:color="000000" w:sz="8" w:space="0"/>
              <w:right w:val="single" w:color="000000" w:sz="8" w:space="0"/>
            </w:tcBorders>
            <w:vAlign w:val="center"/>
          </w:tcPr>
          <w:p w14:paraId="0B88FFF9">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25</w:t>
            </w:r>
          </w:p>
        </w:tc>
      </w:tr>
      <w:tr w14:paraId="71CC384B">
        <w:tblPrEx>
          <w:tblCellMar>
            <w:top w:w="0" w:type="dxa"/>
            <w:left w:w="108" w:type="dxa"/>
            <w:bottom w:w="0" w:type="dxa"/>
            <w:right w:w="108" w:type="dxa"/>
          </w:tblCellMar>
        </w:tblPrEx>
        <w:trPr>
          <w:trHeight w:val="644" w:hRule="atLeast"/>
          <w:jc w:val="center"/>
        </w:trPr>
        <w:tc>
          <w:tcPr>
            <w:tcW w:w="2670" w:type="pct"/>
            <w:tcBorders>
              <w:top w:val="single" w:color="000000" w:sz="8" w:space="0"/>
              <w:left w:val="single" w:color="000000" w:sz="8" w:space="0"/>
              <w:bottom w:val="single" w:color="000000" w:sz="8" w:space="0"/>
              <w:right w:val="single" w:color="000000" w:sz="8" w:space="0"/>
            </w:tcBorders>
            <w:vAlign w:val="center"/>
          </w:tcPr>
          <w:p w14:paraId="152C7D5C">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母线连接处</w:t>
            </w:r>
          </w:p>
          <w:p w14:paraId="7FD7F492">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铜与铜</w:t>
            </w:r>
          </w:p>
          <w:p w14:paraId="3619EA89">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铜搪锡——铜搪锡</w:t>
            </w:r>
          </w:p>
        </w:tc>
        <w:tc>
          <w:tcPr>
            <w:tcW w:w="2330" w:type="pct"/>
            <w:tcBorders>
              <w:top w:val="single" w:color="000000" w:sz="8" w:space="0"/>
              <w:left w:val="single" w:color="000000" w:sz="8" w:space="0"/>
              <w:bottom w:val="single" w:color="000000" w:sz="8" w:space="0"/>
              <w:right w:val="single" w:color="000000" w:sz="8" w:space="0"/>
            </w:tcBorders>
            <w:vAlign w:val="center"/>
          </w:tcPr>
          <w:p w14:paraId="74148062">
            <w:pPr>
              <w:autoSpaceDE w:val="0"/>
              <w:autoSpaceDN w:val="0"/>
              <w:adjustRightInd w:val="0"/>
              <w:jc w:val="center"/>
              <w:rPr>
                <w:rFonts w:hint="eastAsia" w:hAnsi="宋体"/>
                <w:color w:val="000000" w:themeColor="text1"/>
                <w:sz w:val="21"/>
                <w:szCs w:val="15"/>
                <w14:textFill>
                  <w14:solidFill>
                    <w14:schemeClr w14:val="tx1"/>
                  </w14:solidFill>
                </w14:textFill>
              </w:rPr>
            </w:pPr>
          </w:p>
          <w:p w14:paraId="07D918A7">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50</w:t>
            </w:r>
          </w:p>
          <w:p w14:paraId="25CA9F95">
            <w:pPr>
              <w:autoSpaceDE w:val="0"/>
              <w:autoSpaceDN w:val="0"/>
              <w:adjustRightInd w:val="0"/>
              <w:jc w:val="center"/>
              <w:rPr>
                <w:rFonts w:hint="eastAsia" w:hAnsi="宋体"/>
                <w:color w:val="000000" w:themeColor="text1"/>
                <w:sz w:val="21"/>
                <w:szCs w:val="15"/>
                <w14:textFill>
                  <w14:solidFill>
                    <w14:schemeClr w14:val="tx1"/>
                  </w14:solidFill>
                </w14:textFill>
              </w:rPr>
            </w:pPr>
            <w:r>
              <w:rPr>
                <w:rFonts w:hAnsi="宋体"/>
                <w:color w:val="000000" w:themeColor="text1"/>
                <w:sz w:val="21"/>
                <w:szCs w:val="15"/>
                <w14:textFill>
                  <w14:solidFill>
                    <w14:schemeClr w14:val="tx1"/>
                  </w14:solidFill>
                </w14:textFill>
              </w:rPr>
              <w:t>60</w:t>
            </w:r>
          </w:p>
        </w:tc>
      </w:tr>
    </w:tbl>
    <w:p w14:paraId="7A4C6F0C">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3.9</w:t>
      </w:r>
      <w:r>
        <w:rPr>
          <w:rFonts w:hint="eastAsia"/>
          <w:color w:val="000000" w:themeColor="text1"/>
          <w14:textFill>
            <w14:solidFill>
              <w14:schemeClr w14:val="tx1"/>
            </w14:solidFill>
          </w14:textFill>
        </w:rPr>
        <w:t>高低温和湿热性能</w:t>
      </w:r>
    </w:p>
    <w:p w14:paraId="733BF794">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3.9.1</w:t>
      </w:r>
      <w:r>
        <w:rPr>
          <w:rFonts w:hint="eastAsia"/>
          <w:color w:val="000000" w:themeColor="text1"/>
          <w14:textFill>
            <w14:solidFill>
              <w14:schemeClr w14:val="tx1"/>
            </w14:solidFill>
          </w14:textFill>
        </w:rPr>
        <w:t>低温性能</w:t>
      </w:r>
    </w:p>
    <w:p w14:paraId="58471F2B">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试验温度为规定的下限值，待达到试验温度后启动充电机，充电机应能正常工作。测试充电机的稳压精度应</w:t>
      </w:r>
      <w:r>
        <w:rPr>
          <w:rFonts w:hint="eastAsia"/>
          <w:color w:val="000000" w:themeColor="text1"/>
          <w14:textFill>
            <w14:solidFill>
              <w14:schemeClr w14:val="tx1"/>
            </w14:solidFill>
          </w14:textFill>
        </w:rPr>
        <w:t>不超过±</w:t>
      </w:r>
      <w:r>
        <w:rPr>
          <w:color w:val="000000" w:themeColor="text1"/>
          <w14:textFill>
            <w14:solidFill>
              <w14:schemeClr w14:val="tx1"/>
            </w14:solidFill>
          </w14:textFill>
        </w:rPr>
        <w:t>0.5%。</w:t>
      </w:r>
    </w:p>
    <w:p w14:paraId="0E0A037A">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3.9.2</w:t>
      </w:r>
      <w:r>
        <w:rPr>
          <w:rFonts w:hint="eastAsia"/>
          <w:color w:val="000000" w:themeColor="text1"/>
          <w14:textFill>
            <w14:solidFill>
              <w14:schemeClr w14:val="tx1"/>
            </w14:solidFill>
          </w14:textFill>
        </w:rPr>
        <w:t>高温性能</w:t>
      </w:r>
    </w:p>
    <w:p w14:paraId="2485D7CB">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试验温度为规定的上限值，待达到试验温度后启动充电机，充电机应能正常工作。测试充电机的稳</w:t>
      </w:r>
      <w:r>
        <w:rPr>
          <w:color w:val="000000" w:themeColor="text1"/>
          <w14:textFill>
            <w14:solidFill>
              <w14:schemeClr w14:val="tx1"/>
            </w14:solidFill>
          </w14:textFill>
        </w:rPr>
        <w:t>压</w:t>
      </w:r>
      <w:r>
        <w:rPr>
          <w:rFonts w:hint="eastAsia"/>
          <w:color w:val="000000" w:themeColor="text1"/>
          <w14:textFill>
            <w14:solidFill>
              <w14:schemeClr w14:val="tx1"/>
            </w14:solidFill>
          </w14:textFill>
        </w:rPr>
        <w:t>精度应不超过±</w:t>
      </w:r>
      <w:r>
        <w:rPr>
          <w:color w:val="000000" w:themeColor="text1"/>
          <w14:textFill>
            <w14:solidFill>
              <w14:schemeClr w14:val="tx1"/>
            </w14:solidFill>
          </w14:textFill>
        </w:rPr>
        <w:t>0.5%</w:t>
      </w:r>
      <w:r>
        <w:rPr>
          <w:rFonts w:hint="eastAsia"/>
          <w:color w:val="000000" w:themeColor="text1"/>
          <w14:textFill>
            <w14:solidFill>
              <w14:schemeClr w14:val="tx1"/>
            </w14:solidFill>
          </w14:textFill>
        </w:rPr>
        <w:t>。</w:t>
      </w:r>
    </w:p>
    <w:p w14:paraId="7C71B488">
      <w:pPr>
        <w:pStyle w:val="5"/>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ajorHAnsi" w:eastAsiaTheme="minorEastAsia" w:cstheme="majorBidi"/>
          <w:b/>
          <w:bCs/>
          <w:color w:val="000000" w:themeColor="text1"/>
          <w:kern w:val="2"/>
          <w:sz w:val="28"/>
          <w:szCs w:val="28"/>
          <w:lang w:val="en-US" w:eastAsia="zh-CN" w:bidi="ar-SA"/>
          <w14:textFill>
            <w14:solidFill>
              <w14:schemeClr w14:val="tx1"/>
            </w14:solidFill>
          </w14:textFill>
          <w14:ligatures w14:val="standardContextual"/>
        </w:rPr>
        <w:t>3.9.3</w:t>
      </w:r>
      <w:r>
        <w:rPr>
          <w:rFonts w:hint="eastAsia"/>
          <w:color w:val="000000" w:themeColor="text1"/>
          <w14:textFill>
            <w14:solidFill>
              <w14:schemeClr w14:val="tx1"/>
            </w14:solidFill>
          </w14:textFill>
        </w:rPr>
        <w:t>湿热性能</w:t>
      </w:r>
    </w:p>
    <w:p w14:paraId="7E4BE583">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按GB/T 2423.4-2008中试验Db规定的方法进行试验，试验温度为（40±2）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，循环次数为2次，在试验结束前2h进行绝缘电阻和介电强度检测，其中绝缘电阻不应小于1MΩ，介电强度按规定值的75％施加测量电压。试验结束后，恢复至正常大气条件，通电后检查充电机各项功能应正常。</w:t>
      </w:r>
    </w:p>
    <w:p w14:paraId="6745D3D0">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3.10</w:t>
      </w:r>
      <w:r>
        <w:rPr>
          <w:rFonts w:hint="eastAsia"/>
          <w:color w:val="000000" w:themeColor="text1"/>
          <w14:textFill>
            <w14:solidFill>
              <w14:schemeClr w14:val="tx1"/>
            </w14:solidFill>
          </w14:textFill>
        </w:rPr>
        <w:t>机械强度</w:t>
      </w:r>
    </w:p>
    <w:p w14:paraId="422157AB">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按GB/T 2423.55-2006规定的方法进行试验，剧烈冲击能量为20J（5kg，在0.4m）。试验结束后，充电机的IP等级不受影响，绝缘性能不应降低，门的操作和锁止点不应损坏。</w:t>
      </w:r>
    </w:p>
    <w:p w14:paraId="7B4A1EF9">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3.11</w:t>
      </w:r>
      <w:r>
        <w:rPr>
          <w:rFonts w:hint="eastAsia"/>
          <w:color w:val="000000" w:themeColor="text1"/>
          <w14:textFill>
            <w14:solidFill>
              <w14:schemeClr w14:val="tx1"/>
            </w14:solidFill>
          </w14:textFill>
        </w:rPr>
        <w:t>充电输出参数</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电磁</w:t>
      </w:r>
      <w:r>
        <w:rPr>
          <w:color w:val="000000" w:themeColor="text1"/>
          <w14:textFill>
            <w14:solidFill>
              <w14:schemeClr w14:val="tx1"/>
            </w14:solidFill>
          </w14:textFill>
        </w:rPr>
        <w:t>兼容、</w:t>
      </w:r>
      <w:r>
        <w:rPr>
          <w:rFonts w:hint="eastAsia"/>
          <w:color w:val="000000" w:themeColor="text1"/>
          <w14:textFill>
            <w14:solidFill>
              <w14:schemeClr w14:val="tx1"/>
            </w14:solidFill>
          </w14:textFill>
        </w:rPr>
        <w:t>可靠性</w:t>
      </w:r>
      <w:r>
        <w:rPr>
          <w:color w:val="000000" w:themeColor="text1"/>
          <w14:textFill>
            <w14:solidFill>
              <w14:schemeClr w14:val="tx1"/>
            </w14:solidFill>
          </w14:textFill>
        </w:rPr>
        <w:t>要求</w:t>
      </w:r>
    </w:p>
    <w:tbl>
      <w:tblPr>
        <w:tblStyle w:val="30"/>
        <w:tblW w:w="5000" w:type="pct"/>
        <w:tblInd w:w="0" w:type="dxa"/>
        <w:tblLayout w:type="autofit"/>
        <w:tblCellMar>
          <w:top w:w="0" w:type="dxa"/>
          <w:left w:w="108" w:type="dxa"/>
          <w:bottom w:w="0" w:type="dxa"/>
          <w:right w:w="108" w:type="dxa"/>
        </w:tblCellMar>
      </w:tblPr>
      <w:tblGrid>
        <w:gridCol w:w="721"/>
        <w:gridCol w:w="828"/>
        <w:gridCol w:w="2805"/>
        <w:gridCol w:w="1716"/>
        <w:gridCol w:w="3898"/>
      </w:tblGrid>
      <w:tr w14:paraId="356C1FB5">
        <w:tblPrEx>
          <w:tblCellMar>
            <w:top w:w="0" w:type="dxa"/>
            <w:left w:w="108" w:type="dxa"/>
            <w:bottom w:w="0" w:type="dxa"/>
            <w:right w:w="108" w:type="dxa"/>
          </w:tblCellMar>
        </w:tblPrEx>
        <w:trPr>
          <w:trHeight w:val="634" w:hRule="atLeast"/>
          <w:tblHeader/>
        </w:trPr>
        <w:tc>
          <w:tcPr>
            <w:tcW w:w="362" w:type="pct"/>
            <w:tcBorders>
              <w:top w:val="single" w:color="auto" w:sz="4" w:space="0"/>
              <w:left w:val="single" w:color="auto" w:sz="4" w:space="0"/>
              <w:bottom w:val="single" w:color="auto" w:sz="4" w:space="0"/>
              <w:right w:val="single" w:color="auto" w:sz="4" w:space="0"/>
            </w:tcBorders>
            <w:vAlign w:val="center"/>
          </w:tcPr>
          <w:p w14:paraId="74032726">
            <w:pPr>
              <w:widowControl/>
              <w:jc w:val="center"/>
              <w:rPr>
                <w:rFonts w:hint="eastAsia" w:hAnsi="宋体" w:cs="宋体"/>
                <w:b/>
                <w:bCs/>
                <w:color w:val="000000" w:themeColor="text1"/>
                <w:sz w:val="18"/>
                <w:szCs w:val="18"/>
                <w14:textFill>
                  <w14:solidFill>
                    <w14:schemeClr w14:val="tx1"/>
                  </w14:solidFill>
                </w14:textFill>
              </w:rPr>
            </w:pPr>
            <w:bookmarkStart w:id="9" w:name="_Hlk101618929"/>
            <w:r>
              <w:rPr>
                <w:rFonts w:hint="eastAsia" w:hAnsi="宋体" w:cs="宋体"/>
                <w:b/>
                <w:bCs/>
                <w:color w:val="000000" w:themeColor="text1"/>
                <w:sz w:val="18"/>
                <w:szCs w:val="18"/>
                <w14:textFill>
                  <w14:solidFill>
                    <w14:schemeClr w14:val="tx1"/>
                  </w14:solidFill>
                </w14:textFill>
              </w:rPr>
              <w:t>序号</w:t>
            </w:r>
          </w:p>
        </w:tc>
        <w:tc>
          <w:tcPr>
            <w:tcW w:w="415" w:type="pct"/>
            <w:tcBorders>
              <w:top w:val="single" w:color="auto" w:sz="4" w:space="0"/>
              <w:left w:val="nil"/>
              <w:bottom w:val="single" w:color="auto" w:sz="4" w:space="0"/>
              <w:right w:val="single" w:color="auto" w:sz="4" w:space="0"/>
            </w:tcBorders>
            <w:vAlign w:val="center"/>
          </w:tcPr>
          <w:p w14:paraId="3253D6C2">
            <w:pPr>
              <w:widowControl/>
              <w:jc w:val="center"/>
              <w:rPr>
                <w:rFonts w:hint="eastAsia" w:hAnsi="宋体" w:cs="宋体"/>
                <w:b/>
                <w:bCs/>
                <w:color w:val="000000" w:themeColor="text1"/>
                <w:sz w:val="18"/>
                <w:szCs w:val="18"/>
                <w14:textFill>
                  <w14:solidFill>
                    <w14:schemeClr w14:val="tx1"/>
                  </w14:solidFill>
                </w14:textFill>
              </w:rPr>
            </w:pPr>
            <w:r>
              <w:rPr>
                <w:rFonts w:hint="eastAsia" w:hAnsi="宋体" w:cs="宋体"/>
                <w:b/>
                <w:bCs/>
                <w:color w:val="000000" w:themeColor="text1"/>
                <w:sz w:val="18"/>
                <w:szCs w:val="18"/>
                <w14:textFill>
                  <w14:solidFill>
                    <w14:schemeClr w14:val="tx1"/>
                  </w14:solidFill>
                </w14:textFill>
              </w:rPr>
              <w:t>名称</w:t>
            </w:r>
          </w:p>
        </w:tc>
        <w:tc>
          <w:tcPr>
            <w:tcW w:w="1406" w:type="pct"/>
            <w:tcBorders>
              <w:top w:val="single" w:color="auto" w:sz="4" w:space="0"/>
              <w:left w:val="nil"/>
              <w:bottom w:val="single" w:color="auto" w:sz="4" w:space="0"/>
              <w:right w:val="single" w:color="auto" w:sz="4" w:space="0"/>
            </w:tcBorders>
            <w:vAlign w:val="center"/>
          </w:tcPr>
          <w:p w14:paraId="50E24D82">
            <w:pPr>
              <w:widowControl/>
              <w:jc w:val="center"/>
              <w:rPr>
                <w:rFonts w:hint="eastAsia" w:hAnsi="宋体" w:cs="宋体"/>
                <w:b/>
                <w:bCs/>
                <w:color w:val="000000" w:themeColor="text1"/>
                <w:sz w:val="18"/>
                <w:szCs w:val="18"/>
                <w14:textFill>
                  <w14:solidFill>
                    <w14:schemeClr w14:val="tx1"/>
                  </w14:solidFill>
                </w14:textFill>
              </w:rPr>
            </w:pPr>
            <w:r>
              <w:rPr>
                <w:rFonts w:hint="eastAsia" w:hAnsi="宋体" w:cs="宋体"/>
                <w:b/>
                <w:bCs/>
                <w:color w:val="000000" w:themeColor="text1"/>
                <w:sz w:val="18"/>
                <w:szCs w:val="18"/>
                <w14:textFill>
                  <w14:solidFill>
                    <w14:schemeClr w14:val="tx1"/>
                  </w14:solidFill>
                </w14:textFill>
              </w:rPr>
              <w:t>项目</w:t>
            </w:r>
          </w:p>
        </w:tc>
        <w:tc>
          <w:tcPr>
            <w:tcW w:w="860" w:type="pct"/>
            <w:tcBorders>
              <w:top w:val="single" w:color="auto" w:sz="4" w:space="0"/>
              <w:left w:val="nil"/>
              <w:bottom w:val="single" w:color="auto" w:sz="4" w:space="0"/>
              <w:right w:val="single" w:color="auto" w:sz="4" w:space="0"/>
            </w:tcBorders>
            <w:vAlign w:val="center"/>
          </w:tcPr>
          <w:p w14:paraId="0559BF2D">
            <w:pPr>
              <w:widowControl/>
              <w:jc w:val="center"/>
              <w:rPr>
                <w:rFonts w:hint="eastAsia" w:hAnsi="宋体" w:cs="宋体"/>
                <w:b/>
                <w:bCs/>
                <w:color w:val="000000" w:themeColor="text1"/>
                <w:sz w:val="18"/>
                <w:szCs w:val="18"/>
                <w14:textFill>
                  <w14:solidFill>
                    <w14:schemeClr w14:val="tx1"/>
                  </w14:solidFill>
                </w14:textFill>
              </w:rPr>
            </w:pPr>
            <w:r>
              <w:rPr>
                <w:rFonts w:hint="eastAsia" w:hAnsi="宋体" w:cs="宋体"/>
                <w:b/>
                <w:bCs/>
                <w:color w:val="000000" w:themeColor="text1"/>
                <w:sz w:val="18"/>
                <w:szCs w:val="18"/>
                <w14:textFill>
                  <w14:solidFill>
                    <w14:schemeClr w14:val="tx1"/>
                  </w14:solidFill>
                </w14:textFill>
              </w:rPr>
              <w:t>单位</w:t>
            </w:r>
          </w:p>
        </w:tc>
        <w:tc>
          <w:tcPr>
            <w:tcW w:w="1954" w:type="pct"/>
            <w:tcBorders>
              <w:top w:val="single" w:color="auto" w:sz="4" w:space="0"/>
              <w:left w:val="nil"/>
              <w:bottom w:val="single" w:color="auto" w:sz="4" w:space="0"/>
              <w:right w:val="single" w:color="auto" w:sz="4" w:space="0"/>
            </w:tcBorders>
            <w:vAlign w:val="center"/>
          </w:tcPr>
          <w:p w14:paraId="4A9D22B8">
            <w:pPr>
              <w:widowControl/>
              <w:jc w:val="center"/>
              <w:rPr>
                <w:rFonts w:hint="eastAsia" w:hAnsi="宋体" w:cs="宋体"/>
                <w:b/>
                <w:bCs/>
                <w:color w:val="000000" w:themeColor="text1"/>
                <w:sz w:val="18"/>
                <w:szCs w:val="18"/>
                <w14:textFill>
                  <w14:solidFill>
                    <w14:schemeClr w14:val="tx1"/>
                  </w14:solidFill>
                </w14:textFill>
              </w:rPr>
            </w:pPr>
            <w:r>
              <w:rPr>
                <w:rFonts w:hint="eastAsia" w:hAnsi="宋体" w:cs="宋体"/>
                <w:b/>
                <w:bCs/>
                <w:color w:val="000000" w:themeColor="text1"/>
                <w:sz w:val="18"/>
                <w:szCs w:val="18"/>
                <w14:textFill>
                  <w14:solidFill>
                    <w14:schemeClr w14:val="tx1"/>
                  </w14:solidFill>
                </w14:textFill>
              </w:rPr>
              <w:t>技术参数要求</w:t>
            </w:r>
          </w:p>
        </w:tc>
      </w:tr>
      <w:tr w14:paraId="2D3E512C">
        <w:tblPrEx>
          <w:tblCellMar>
            <w:top w:w="0" w:type="dxa"/>
            <w:left w:w="108" w:type="dxa"/>
            <w:bottom w:w="0" w:type="dxa"/>
            <w:right w:w="108" w:type="dxa"/>
          </w:tblCellMar>
        </w:tblPrEx>
        <w:tc>
          <w:tcPr>
            <w:tcW w:w="362" w:type="pct"/>
            <w:tcBorders>
              <w:top w:val="single" w:color="auto" w:sz="4" w:space="0"/>
              <w:left w:val="single" w:color="auto" w:sz="4" w:space="0"/>
              <w:bottom w:val="single" w:color="auto" w:sz="4" w:space="0"/>
              <w:right w:val="single" w:color="auto" w:sz="4" w:space="0"/>
            </w:tcBorders>
            <w:vAlign w:val="center"/>
          </w:tcPr>
          <w:p w14:paraId="153A1A43">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1</w:t>
            </w:r>
          </w:p>
        </w:tc>
        <w:tc>
          <w:tcPr>
            <w:tcW w:w="415" w:type="pct"/>
            <w:vMerge w:val="restart"/>
            <w:tcBorders>
              <w:top w:val="single" w:color="auto" w:sz="4" w:space="0"/>
              <w:left w:val="single" w:color="auto" w:sz="4" w:space="0"/>
              <w:bottom w:val="single" w:color="auto" w:sz="4" w:space="0"/>
              <w:right w:val="single" w:color="auto" w:sz="4" w:space="0"/>
            </w:tcBorders>
            <w:vAlign w:val="center"/>
          </w:tcPr>
          <w:p w14:paraId="31122434">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直流充电机</w:t>
            </w:r>
          </w:p>
        </w:tc>
        <w:tc>
          <w:tcPr>
            <w:tcW w:w="1406" w:type="pct"/>
            <w:tcBorders>
              <w:top w:val="single" w:color="auto" w:sz="4" w:space="0"/>
              <w:left w:val="nil"/>
              <w:bottom w:val="single" w:color="auto" w:sz="4" w:space="0"/>
              <w:right w:val="single" w:color="auto" w:sz="4" w:space="0"/>
            </w:tcBorders>
            <w:vAlign w:val="center"/>
          </w:tcPr>
          <w:p w14:paraId="4C3F5DB4">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交流输入电压</w:t>
            </w:r>
          </w:p>
        </w:tc>
        <w:tc>
          <w:tcPr>
            <w:tcW w:w="860" w:type="pct"/>
            <w:tcBorders>
              <w:top w:val="single" w:color="auto" w:sz="4" w:space="0"/>
              <w:left w:val="nil"/>
              <w:bottom w:val="single" w:color="auto" w:sz="4" w:space="0"/>
              <w:right w:val="single" w:color="auto" w:sz="4" w:space="0"/>
            </w:tcBorders>
            <w:vAlign w:val="center"/>
          </w:tcPr>
          <w:p w14:paraId="7B1FCEB8">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V</w:t>
            </w:r>
          </w:p>
        </w:tc>
        <w:tc>
          <w:tcPr>
            <w:tcW w:w="1954" w:type="pct"/>
            <w:tcBorders>
              <w:top w:val="single" w:color="auto" w:sz="4" w:space="0"/>
              <w:left w:val="nil"/>
              <w:bottom w:val="single" w:color="auto" w:sz="4" w:space="0"/>
              <w:right w:val="single" w:color="auto" w:sz="4" w:space="0"/>
            </w:tcBorders>
            <w:vAlign w:val="center"/>
          </w:tcPr>
          <w:p w14:paraId="582955A3">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三相380：323～437</w:t>
            </w:r>
          </w:p>
        </w:tc>
      </w:tr>
      <w:tr w14:paraId="28D04037">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vAlign w:val="center"/>
          </w:tcPr>
          <w:p w14:paraId="74F37B29">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2</w:t>
            </w:r>
          </w:p>
        </w:tc>
        <w:tc>
          <w:tcPr>
            <w:tcW w:w="415" w:type="pct"/>
            <w:vMerge w:val="continue"/>
            <w:tcBorders>
              <w:top w:val="nil"/>
              <w:left w:val="single" w:color="auto" w:sz="4" w:space="0"/>
              <w:bottom w:val="single" w:color="auto" w:sz="4" w:space="0"/>
              <w:right w:val="single" w:color="auto" w:sz="4" w:space="0"/>
            </w:tcBorders>
            <w:vAlign w:val="center"/>
          </w:tcPr>
          <w:p w14:paraId="7095CA0A">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0C822BB6">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交流电源频率</w:t>
            </w:r>
          </w:p>
        </w:tc>
        <w:tc>
          <w:tcPr>
            <w:tcW w:w="860" w:type="pct"/>
            <w:tcBorders>
              <w:top w:val="nil"/>
              <w:left w:val="nil"/>
              <w:bottom w:val="single" w:color="auto" w:sz="4" w:space="0"/>
              <w:right w:val="single" w:color="auto" w:sz="4" w:space="0"/>
            </w:tcBorders>
            <w:vAlign w:val="center"/>
          </w:tcPr>
          <w:p w14:paraId="198C4FEC">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Hz</w:t>
            </w:r>
          </w:p>
        </w:tc>
        <w:tc>
          <w:tcPr>
            <w:tcW w:w="1954" w:type="pct"/>
            <w:tcBorders>
              <w:top w:val="nil"/>
              <w:left w:val="nil"/>
              <w:bottom w:val="single" w:color="auto" w:sz="4" w:space="0"/>
              <w:right w:val="single" w:color="auto" w:sz="4" w:space="0"/>
            </w:tcBorders>
            <w:vAlign w:val="center"/>
          </w:tcPr>
          <w:p w14:paraId="0E56DBF4">
            <w:pPr>
              <w:widowControl/>
              <w:jc w:val="center"/>
              <w:rPr>
                <w:rFonts w:hint="eastAsia" w:hAnsi="宋体" w:cs="宋体"/>
                <w:color w:val="000000" w:themeColor="text1"/>
                <w:sz w:val="18"/>
                <w:szCs w:val="18"/>
                <w14:textFill>
                  <w14:solidFill>
                    <w14:schemeClr w14:val="tx1"/>
                  </w14:solidFill>
                </w14:textFill>
              </w:rPr>
            </w:pPr>
            <w:r>
              <w:rPr>
                <w:rFonts w:hAnsi="宋体" w:cs="宋体"/>
                <w:color w:val="000000" w:themeColor="text1"/>
                <w:sz w:val="18"/>
                <w:szCs w:val="18"/>
                <w14:textFill>
                  <w14:solidFill>
                    <w14:schemeClr w14:val="tx1"/>
                  </w14:solidFill>
                </w14:textFill>
              </w:rPr>
              <w:t>45</w:t>
            </w:r>
            <w:r>
              <w:rPr>
                <w:rFonts w:hint="eastAsia" w:hAnsi="宋体" w:cs="宋体"/>
                <w:color w:val="000000" w:themeColor="text1"/>
                <w:sz w:val="18"/>
                <w:szCs w:val="18"/>
                <w14:textFill>
                  <w14:solidFill>
                    <w14:schemeClr w14:val="tx1"/>
                  </w14:solidFill>
                </w14:textFill>
              </w:rPr>
              <w:t>～65</w:t>
            </w:r>
          </w:p>
        </w:tc>
      </w:tr>
      <w:tr w14:paraId="79F606C6">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vAlign w:val="center"/>
          </w:tcPr>
          <w:p w14:paraId="7410347D">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3</w:t>
            </w:r>
          </w:p>
        </w:tc>
        <w:tc>
          <w:tcPr>
            <w:tcW w:w="415" w:type="pct"/>
            <w:vMerge w:val="continue"/>
            <w:tcBorders>
              <w:top w:val="nil"/>
              <w:left w:val="single" w:color="auto" w:sz="4" w:space="0"/>
              <w:bottom w:val="single" w:color="auto" w:sz="4" w:space="0"/>
              <w:right w:val="single" w:color="auto" w:sz="4" w:space="0"/>
            </w:tcBorders>
            <w:vAlign w:val="center"/>
          </w:tcPr>
          <w:p w14:paraId="333D2C3B">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6BCEE38C">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最大交流输入电流</w:t>
            </w:r>
          </w:p>
        </w:tc>
        <w:tc>
          <w:tcPr>
            <w:tcW w:w="860" w:type="pct"/>
            <w:tcBorders>
              <w:top w:val="nil"/>
              <w:left w:val="nil"/>
              <w:bottom w:val="single" w:color="auto" w:sz="4" w:space="0"/>
              <w:right w:val="single" w:color="auto" w:sz="4" w:space="0"/>
            </w:tcBorders>
            <w:vAlign w:val="center"/>
          </w:tcPr>
          <w:p w14:paraId="0C666285">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A</w:t>
            </w:r>
          </w:p>
        </w:tc>
        <w:tc>
          <w:tcPr>
            <w:tcW w:w="1954" w:type="pct"/>
            <w:tcBorders>
              <w:top w:val="nil"/>
              <w:left w:val="nil"/>
              <w:bottom w:val="single" w:color="auto" w:sz="4" w:space="0"/>
              <w:right w:val="single" w:color="auto" w:sz="4" w:space="0"/>
            </w:tcBorders>
            <w:vAlign w:val="center"/>
          </w:tcPr>
          <w:p w14:paraId="241F3B46">
            <w:pPr>
              <w:widowControl/>
              <w:jc w:val="center"/>
              <w:rPr>
                <w:rFonts w:hint="eastAsia" w:hAnsi="宋体" w:cs="宋体"/>
                <w:color w:val="000000" w:themeColor="text1"/>
                <w:sz w:val="18"/>
                <w:szCs w:val="18"/>
                <w:highlight w:val="yellow"/>
                <w14:textFill>
                  <w14:solidFill>
                    <w14:schemeClr w14:val="tx1"/>
                  </w14:solidFill>
                </w14:textFill>
              </w:rPr>
            </w:pPr>
            <w:r>
              <w:rPr>
                <w:rFonts w:hint="eastAsia" w:hAnsi="宋体" w:cs="宋体"/>
                <w:color w:val="000000" w:themeColor="text1"/>
                <w:sz w:val="18"/>
                <w:szCs w:val="18"/>
                <w:highlight w:val="none"/>
                <w14:textFill>
                  <w14:solidFill>
                    <w14:schemeClr w14:val="tx1"/>
                  </w14:solidFill>
                </w14:textFill>
              </w:rPr>
              <w:t>40</w:t>
            </w:r>
            <w:r>
              <w:rPr>
                <w:rFonts w:hAnsi="宋体" w:cs="宋体"/>
                <w:color w:val="000000" w:themeColor="text1"/>
                <w:sz w:val="18"/>
                <w:szCs w:val="18"/>
                <w:highlight w:val="none"/>
                <w14:textFill>
                  <w14:solidFill>
                    <w14:schemeClr w14:val="tx1"/>
                  </w14:solidFill>
                </w14:textFill>
              </w:rPr>
              <w:t>0kW:6</w:t>
            </w:r>
            <w:r>
              <w:rPr>
                <w:rFonts w:hint="eastAsia" w:hAnsi="宋体" w:cs="宋体"/>
                <w:color w:val="000000" w:themeColor="text1"/>
                <w:sz w:val="18"/>
                <w:szCs w:val="18"/>
                <w:highlight w:val="none"/>
                <w14:textFill>
                  <w14:solidFill>
                    <w14:schemeClr w14:val="tx1"/>
                  </w14:solidFill>
                </w14:textFill>
              </w:rPr>
              <w:t>46</w:t>
            </w:r>
          </w:p>
        </w:tc>
      </w:tr>
      <w:tr w14:paraId="2AF95C49">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vAlign w:val="center"/>
          </w:tcPr>
          <w:p w14:paraId="6C993A3A">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4</w:t>
            </w:r>
          </w:p>
        </w:tc>
        <w:tc>
          <w:tcPr>
            <w:tcW w:w="415" w:type="pct"/>
            <w:vMerge w:val="continue"/>
            <w:tcBorders>
              <w:top w:val="nil"/>
              <w:left w:val="single" w:color="auto" w:sz="4" w:space="0"/>
              <w:bottom w:val="single" w:color="auto" w:sz="4" w:space="0"/>
              <w:right w:val="single" w:color="auto" w:sz="4" w:space="0"/>
            </w:tcBorders>
            <w:vAlign w:val="center"/>
          </w:tcPr>
          <w:p w14:paraId="241CAA00">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60A71B20">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输入功率因数</w:t>
            </w:r>
          </w:p>
        </w:tc>
        <w:tc>
          <w:tcPr>
            <w:tcW w:w="860" w:type="pct"/>
            <w:tcBorders>
              <w:top w:val="nil"/>
              <w:left w:val="nil"/>
              <w:bottom w:val="single" w:color="auto" w:sz="4" w:space="0"/>
              <w:right w:val="single" w:color="auto" w:sz="4" w:space="0"/>
            </w:tcBorders>
            <w:vAlign w:val="center"/>
          </w:tcPr>
          <w:p w14:paraId="0F345277">
            <w:pPr>
              <w:widowControl/>
              <w:jc w:val="center"/>
              <w:rPr>
                <w:rFonts w:hint="eastAsia" w:hAnsi="宋体" w:cs="宋体"/>
                <w:color w:val="000000" w:themeColor="text1"/>
                <w:sz w:val="18"/>
                <w:szCs w:val="18"/>
                <w14:textFill>
                  <w14:solidFill>
                    <w14:schemeClr w14:val="tx1"/>
                  </w14:solidFill>
                </w14:textFill>
              </w:rPr>
            </w:pPr>
          </w:p>
        </w:tc>
        <w:tc>
          <w:tcPr>
            <w:tcW w:w="1954" w:type="pct"/>
            <w:tcBorders>
              <w:top w:val="nil"/>
              <w:left w:val="nil"/>
              <w:bottom w:val="single" w:color="auto" w:sz="4" w:space="0"/>
              <w:right w:val="single" w:color="auto" w:sz="4" w:space="0"/>
            </w:tcBorders>
            <w:vAlign w:val="center"/>
          </w:tcPr>
          <w:p w14:paraId="49A2784C">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≥0.99</w:t>
            </w:r>
          </w:p>
        </w:tc>
      </w:tr>
      <w:tr w14:paraId="69B8F197">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vAlign w:val="center"/>
          </w:tcPr>
          <w:p w14:paraId="3FCEAC60">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5</w:t>
            </w:r>
          </w:p>
        </w:tc>
        <w:tc>
          <w:tcPr>
            <w:tcW w:w="415" w:type="pct"/>
            <w:vMerge w:val="continue"/>
            <w:tcBorders>
              <w:top w:val="nil"/>
              <w:left w:val="single" w:color="auto" w:sz="4" w:space="0"/>
              <w:bottom w:val="single" w:color="auto" w:sz="4" w:space="0"/>
              <w:right w:val="single" w:color="auto" w:sz="4" w:space="0"/>
            </w:tcBorders>
            <w:vAlign w:val="center"/>
          </w:tcPr>
          <w:p w14:paraId="5DAAC9A0">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3F66C987">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直流电压调节范围</w:t>
            </w:r>
          </w:p>
        </w:tc>
        <w:tc>
          <w:tcPr>
            <w:tcW w:w="860" w:type="pct"/>
            <w:tcBorders>
              <w:top w:val="nil"/>
              <w:left w:val="nil"/>
              <w:bottom w:val="single" w:color="auto" w:sz="4" w:space="0"/>
              <w:right w:val="single" w:color="auto" w:sz="4" w:space="0"/>
            </w:tcBorders>
            <w:vAlign w:val="center"/>
          </w:tcPr>
          <w:p w14:paraId="273A3600">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V</w:t>
            </w:r>
          </w:p>
        </w:tc>
        <w:tc>
          <w:tcPr>
            <w:tcW w:w="1954" w:type="pct"/>
            <w:tcBorders>
              <w:top w:val="nil"/>
              <w:left w:val="nil"/>
              <w:bottom w:val="single" w:color="auto" w:sz="4" w:space="0"/>
              <w:right w:val="single" w:color="auto" w:sz="4" w:space="0"/>
            </w:tcBorders>
            <w:vAlign w:val="center"/>
          </w:tcPr>
          <w:p w14:paraId="5B79A85B">
            <w:pPr>
              <w:widowControl/>
              <w:jc w:val="center"/>
              <w:rPr>
                <w:rFonts w:hint="eastAsia" w:hAnsi="宋体" w:cs="宋体"/>
                <w:color w:val="000000" w:themeColor="text1"/>
                <w:sz w:val="18"/>
                <w:szCs w:val="18"/>
                <w14:textFill>
                  <w14:solidFill>
                    <w14:schemeClr w14:val="tx1"/>
                  </w14:solidFill>
                </w14:textFill>
              </w:rPr>
            </w:pPr>
            <w:r>
              <w:rPr>
                <w:rFonts w:hAnsi="宋体" w:cs="宋体"/>
                <w:color w:val="000000" w:themeColor="text1"/>
                <w:sz w:val="18"/>
                <w:szCs w:val="18"/>
                <w14:textFill>
                  <w14:solidFill>
                    <w14:schemeClr w14:val="tx1"/>
                  </w14:solidFill>
                </w14:textFill>
              </w:rPr>
              <w:t>50-1000V</w:t>
            </w:r>
          </w:p>
        </w:tc>
      </w:tr>
      <w:tr w14:paraId="249AAED7">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vAlign w:val="center"/>
          </w:tcPr>
          <w:p w14:paraId="432ACA0F">
            <w:pPr>
              <w:widowControl/>
              <w:jc w:val="center"/>
              <w:rPr>
                <w:rFonts w:hint="default" w:hAnsi="宋体" w:cs="宋体"/>
                <w:color w:val="000000" w:themeColor="text1"/>
                <w:sz w:val="18"/>
                <w:szCs w:val="18"/>
                <w14:textFill>
                  <w14:solidFill>
                    <w14:schemeClr w14:val="tx1"/>
                  </w14:solidFill>
                </w14:textFill>
                <w:woUserID w:val="1"/>
              </w:rPr>
            </w:pPr>
            <w:r>
              <w:rPr>
                <w:rFonts w:hint="default" w:hAnsi="宋体" w:cs="宋体"/>
                <w:color w:val="000000" w:themeColor="text1"/>
                <w:sz w:val="18"/>
                <w:szCs w:val="18"/>
                <w14:textFill>
                  <w14:solidFill>
                    <w14:schemeClr w14:val="tx1"/>
                  </w14:solidFill>
                </w14:textFill>
                <w:woUserID w:val="1"/>
              </w:rPr>
              <w:t>6</w:t>
            </w:r>
          </w:p>
        </w:tc>
        <w:tc>
          <w:tcPr>
            <w:tcW w:w="415" w:type="pct"/>
            <w:vMerge w:val="continue"/>
            <w:tcBorders>
              <w:top w:val="nil"/>
              <w:left w:val="single" w:color="auto" w:sz="4" w:space="0"/>
              <w:bottom w:val="single" w:color="auto" w:sz="4" w:space="0"/>
              <w:right w:val="single" w:color="auto" w:sz="4" w:space="0"/>
            </w:tcBorders>
            <w:vAlign w:val="center"/>
          </w:tcPr>
          <w:p w14:paraId="23F1BB74">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1E4E88D0">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电压设定误差</w:t>
            </w:r>
          </w:p>
        </w:tc>
        <w:tc>
          <w:tcPr>
            <w:tcW w:w="860" w:type="pct"/>
            <w:tcBorders>
              <w:top w:val="nil"/>
              <w:left w:val="nil"/>
              <w:bottom w:val="single" w:color="auto" w:sz="4" w:space="0"/>
              <w:right w:val="single" w:color="auto" w:sz="4" w:space="0"/>
            </w:tcBorders>
            <w:vAlign w:val="center"/>
          </w:tcPr>
          <w:p w14:paraId="53FBDEF9">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w:t>
            </w:r>
          </w:p>
        </w:tc>
        <w:tc>
          <w:tcPr>
            <w:tcW w:w="1954" w:type="pct"/>
            <w:tcBorders>
              <w:top w:val="nil"/>
              <w:left w:val="nil"/>
              <w:bottom w:val="single" w:color="auto" w:sz="4" w:space="0"/>
              <w:right w:val="single" w:color="auto" w:sz="4" w:space="0"/>
            </w:tcBorders>
            <w:vAlign w:val="center"/>
          </w:tcPr>
          <w:p w14:paraId="1DF56E42">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≤±0.5%</w:t>
            </w:r>
          </w:p>
        </w:tc>
      </w:tr>
      <w:tr w14:paraId="34B39490">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0A5C67AD">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woUserID w:val="1"/>
              </w:rPr>
              <w:t>7</w:t>
            </w:r>
          </w:p>
        </w:tc>
        <w:tc>
          <w:tcPr>
            <w:tcW w:w="415" w:type="pct"/>
            <w:vMerge w:val="continue"/>
            <w:tcBorders>
              <w:top w:val="nil"/>
              <w:left w:val="single" w:color="auto" w:sz="4" w:space="0"/>
              <w:bottom w:val="single" w:color="auto" w:sz="4" w:space="0"/>
              <w:right w:val="single" w:color="auto" w:sz="4" w:space="0"/>
            </w:tcBorders>
            <w:vAlign w:val="center"/>
          </w:tcPr>
          <w:p w14:paraId="6C5CBEF0">
            <w:pPr>
              <w:widowControl/>
              <w:rPr>
                <w:rFonts w:hint="eastAsia" w:hAnsi="宋体" w:cs="宋体"/>
                <w:color w:val="000000" w:themeColor="text1"/>
                <w:sz w:val="18"/>
                <w:szCs w:val="18"/>
                <w14:textFill>
                  <w14:solidFill>
                    <w14:schemeClr w14:val="tx1"/>
                  </w14:solidFill>
                </w14:textFill>
              </w:rPr>
            </w:pPr>
          </w:p>
        </w:tc>
        <w:tc>
          <w:tcPr>
            <w:tcW w:w="1406" w:type="pct"/>
            <w:tcBorders>
              <w:top w:val="single" w:color="auto" w:sz="4" w:space="0"/>
              <w:left w:val="nil"/>
              <w:bottom w:val="single" w:color="auto" w:sz="4" w:space="0"/>
              <w:right w:val="single" w:color="auto" w:sz="4" w:space="0"/>
            </w:tcBorders>
            <w:shd w:val="clear" w:color="auto" w:fill="FFFFFF" w:themeFill="background1"/>
            <w:vAlign w:val="center"/>
          </w:tcPr>
          <w:p w14:paraId="4151CA3B">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电流设定误差</w:t>
            </w:r>
          </w:p>
        </w:tc>
        <w:tc>
          <w:tcPr>
            <w:tcW w:w="860" w:type="pct"/>
            <w:tcBorders>
              <w:top w:val="single" w:color="auto" w:sz="4" w:space="0"/>
              <w:left w:val="nil"/>
              <w:bottom w:val="single" w:color="auto" w:sz="4" w:space="0"/>
              <w:right w:val="single" w:color="auto" w:sz="4" w:space="0"/>
            </w:tcBorders>
            <w:shd w:val="clear" w:color="auto" w:fill="FFFFFF" w:themeFill="background1"/>
            <w:vAlign w:val="center"/>
          </w:tcPr>
          <w:p w14:paraId="7C8668C9">
            <w:pPr>
              <w:widowControl/>
              <w:jc w:val="center"/>
              <w:rPr>
                <w:rFonts w:hint="eastAsia" w:hAnsi="宋体" w:cs="宋体"/>
                <w:color w:val="000000" w:themeColor="text1"/>
                <w:sz w:val="18"/>
                <w:szCs w:val="18"/>
                <w14:textFill>
                  <w14:solidFill>
                    <w14:schemeClr w14:val="tx1"/>
                  </w14:solidFill>
                </w14:textFill>
              </w:rPr>
            </w:pPr>
          </w:p>
        </w:tc>
        <w:tc>
          <w:tcPr>
            <w:tcW w:w="1954" w:type="pct"/>
            <w:tcBorders>
              <w:top w:val="single" w:color="auto" w:sz="4" w:space="0"/>
              <w:left w:val="nil"/>
              <w:bottom w:val="single" w:color="auto" w:sz="4" w:space="0"/>
              <w:right w:val="single" w:color="auto" w:sz="4" w:space="0"/>
            </w:tcBorders>
            <w:shd w:val="clear" w:color="auto" w:fill="FFFFFF" w:themeFill="background1"/>
            <w:vAlign w:val="center"/>
          </w:tcPr>
          <w:p w14:paraId="4E99FE03">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≤±0.2A（输出电流＜30A）</w:t>
            </w:r>
          </w:p>
          <w:p w14:paraId="28F645DF">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≤±0.</w:t>
            </w:r>
            <w:r>
              <w:rPr>
                <w:rFonts w:hAnsi="宋体" w:cs="宋体"/>
                <w:color w:val="000000" w:themeColor="text1"/>
                <w:sz w:val="18"/>
                <w:szCs w:val="18"/>
                <w14:textFill>
                  <w14:solidFill>
                    <w14:schemeClr w14:val="tx1"/>
                  </w14:solidFill>
                </w14:textFill>
              </w:rPr>
              <w:t>5%</w:t>
            </w:r>
            <w:r>
              <w:rPr>
                <w:rFonts w:hint="eastAsia" w:hAnsi="宋体" w:cs="宋体"/>
                <w:color w:val="000000" w:themeColor="text1"/>
                <w:sz w:val="18"/>
                <w:szCs w:val="18"/>
                <w14:textFill>
                  <w14:solidFill>
                    <w14:schemeClr w14:val="tx1"/>
                  </w14:solidFill>
                </w14:textFill>
              </w:rPr>
              <w:t>（输出电流≥30A）</w:t>
            </w:r>
          </w:p>
        </w:tc>
      </w:tr>
      <w:tr w14:paraId="588C8FD5">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0BF97BE1">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8</w:t>
            </w:r>
          </w:p>
        </w:tc>
        <w:tc>
          <w:tcPr>
            <w:tcW w:w="415" w:type="pct"/>
            <w:vMerge w:val="continue"/>
            <w:tcBorders>
              <w:top w:val="nil"/>
              <w:left w:val="single" w:color="auto" w:sz="4" w:space="0"/>
              <w:bottom w:val="single" w:color="auto" w:sz="4" w:space="0"/>
              <w:right w:val="single" w:color="auto" w:sz="4" w:space="0"/>
            </w:tcBorders>
            <w:vAlign w:val="center"/>
          </w:tcPr>
          <w:p w14:paraId="6EDB984C">
            <w:pPr>
              <w:widowControl/>
              <w:rPr>
                <w:rFonts w:hint="eastAsia" w:hAnsi="宋体" w:cs="宋体"/>
                <w:color w:val="000000" w:themeColor="text1"/>
                <w:sz w:val="18"/>
                <w:szCs w:val="18"/>
                <w14:textFill>
                  <w14:solidFill>
                    <w14:schemeClr w14:val="tx1"/>
                  </w14:solidFill>
                </w14:textFill>
              </w:rPr>
            </w:pPr>
          </w:p>
        </w:tc>
        <w:tc>
          <w:tcPr>
            <w:tcW w:w="1406" w:type="pct"/>
            <w:tcBorders>
              <w:top w:val="single" w:color="auto" w:sz="4" w:space="0"/>
              <w:left w:val="nil"/>
              <w:bottom w:val="single" w:color="auto" w:sz="4" w:space="0"/>
              <w:right w:val="single" w:color="auto" w:sz="4" w:space="0"/>
            </w:tcBorders>
            <w:shd w:val="clear" w:color="auto" w:fill="FFFFFF" w:themeFill="background1"/>
            <w:vAlign w:val="center"/>
          </w:tcPr>
          <w:p w14:paraId="71B35D2D">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稳压精度</w:t>
            </w:r>
          </w:p>
        </w:tc>
        <w:tc>
          <w:tcPr>
            <w:tcW w:w="860" w:type="pct"/>
            <w:tcBorders>
              <w:top w:val="single" w:color="auto" w:sz="4" w:space="0"/>
              <w:left w:val="nil"/>
              <w:bottom w:val="single" w:color="auto" w:sz="4" w:space="0"/>
              <w:right w:val="single" w:color="auto" w:sz="4" w:space="0"/>
            </w:tcBorders>
            <w:shd w:val="clear" w:color="auto" w:fill="FFFFFF" w:themeFill="background1"/>
            <w:vAlign w:val="center"/>
          </w:tcPr>
          <w:p w14:paraId="4BA8E588">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w:t>
            </w:r>
          </w:p>
        </w:tc>
        <w:tc>
          <w:tcPr>
            <w:tcW w:w="1954" w:type="pct"/>
            <w:tcBorders>
              <w:top w:val="single" w:color="auto" w:sz="4" w:space="0"/>
              <w:left w:val="nil"/>
              <w:bottom w:val="single" w:color="auto" w:sz="4" w:space="0"/>
              <w:right w:val="single" w:color="auto" w:sz="4" w:space="0"/>
            </w:tcBorders>
            <w:shd w:val="clear" w:color="auto" w:fill="FFFFFF" w:themeFill="background1"/>
            <w:vAlign w:val="center"/>
          </w:tcPr>
          <w:p w14:paraId="019BDC02">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≤±0.</w:t>
            </w:r>
            <w:r>
              <w:rPr>
                <w:rFonts w:hAnsi="宋体" w:cs="宋体"/>
                <w:color w:val="000000" w:themeColor="text1"/>
                <w:sz w:val="18"/>
                <w:szCs w:val="18"/>
                <w14:textFill>
                  <w14:solidFill>
                    <w14:schemeClr w14:val="tx1"/>
                  </w14:solidFill>
                </w14:textFill>
              </w:rPr>
              <w:t>5</w:t>
            </w:r>
            <w:r>
              <w:rPr>
                <w:rFonts w:hint="eastAsia" w:hAnsi="宋体" w:cs="宋体"/>
                <w:color w:val="000000" w:themeColor="text1"/>
                <w:sz w:val="18"/>
                <w:szCs w:val="18"/>
                <w14:textFill>
                  <w14:solidFill>
                    <w14:schemeClr w14:val="tx1"/>
                  </w14:solidFill>
                </w14:textFill>
              </w:rPr>
              <w:t>%</w:t>
            </w:r>
          </w:p>
        </w:tc>
      </w:tr>
      <w:tr w14:paraId="07942241">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57DB7FDC">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9</w:t>
            </w:r>
          </w:p>
        </w:tc>
        <w:tc>
          <w:tcPr>
            <w:tcW w:w="415" w:type="pct"/>
            <w:vMerge w:val="continue"/>
            <w:tcBorders>
              <w:top w:val="nil"/>
              <w:left w:val="single" w:color="auto" w:sz="4" w:space="0"/>
              <w:bottom w:val="single" w:color="auto" w:sz="4" w:space="0"/>
              <w:right w:val="single" w:color="auto" w:sz="4" w:space="0"/>
            </w:tcBorders>
            <w:vAlign w:val="center"/>
          </w:tcPr>
          <w:p w14:paraId="30473CDF">
            <w:pPr>
              <w:widowControl/>
              <w:rPr>
                <w:rFonts w:hint="eastAsia" w:hAnsi="宋体" w:cs="宋体"/>
                <w:color w:val="000000" w:themeColor="text1"/>
                <w:sz w:val="18"/>
                <w:szCs w:val="18"/>
                <w14:textFill>
                  <w14:solidFill>
                    <w14:schemeClr w14:val="tx1"/>
                  </w14:solidFill>
                </w14:textFill>
              </w:rPr>
            </w:pPr>
          </w:p>
        </w:tc>
        <w:tc>
          <w:tcPr>
            <w:tcW w:w="1406" w:type="pct"/>
            <w:tcBorders>
              <w:top w:val="single" w:color="auto" w:sz="4" w:space="0"/>
              <w:left w:val="nil"/>
              <w:bottom w:val="single" w:color="auto" w:sz="4" w:space="0"/>
              <w:right w:val="single" w:color="auto" w:sz="4" w:space="0"/>
            </w:tcBorders>
            <w:shd w:val="clear" w:color="auto" w:fill="FFFFFF" w:themeFill="background1"/>
            <w:vAlign w:val="center"/>
          </w:tcPr>
          <w:p w14:paraId="628C43A9">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稳流精度</w:t>
            </w:r>
          </w:p>
        </w:tc>
        <w:tc>
          <w:tcPr>
            <w:tcW w:w="860" w:type="pct"/>
            <w:tcBorders>
              <w:top w:val="single" w:color="auto" w:sz="4" w:space="0"/>
              <w:left w:val="nil"/>
              <w:bottom w:val="single" w:color="auto" w:sz="4" w:space="0"/>
              <w:right w:val="single" w:color="auto" w:sz="4" w:space="0"/>
            </w:tcBorders>
            <w:shd w:val="clear" w:color="auto" w:fill="FFFFFF" w:themeFill="background1"/>
            <w:vAlign w:val="center"/>
          </w:tcPr>
          <w:p w14:paraId="51191CCC">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w:t>
            </w:r>
          </w:p>
        </w:tc>
        <w:tc>
          <w:tcPr>
            <w:tcW w:w="1954" w:type="pct"/>
            <w:tcBorders>
              <w:top w:val="single" w:color="auto" w:sz="4" w:space="0"/>
              <w:left w:val="nil"/>
              <w:bottom w:val="single" w:color="auto" w:sz="4" w:space="0"/>
              <w:right w:val="single" w:color="auto" w:sz="4" w:space="0"/>
            </w:tcBorders>
            <w:shd w:val="clear" w:color="auto" w:fill="FFFFFF" w:themeFill="background1"/>
            <w:vAlign w:val="center"/>
          </w:tcPr>
          <w:p w14:paraId="4BC4B4B9">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≤±0.</w:t>
            </w:r>
            <w:r>
              <w:rPr>
                <w:rFonts w:hAnsi="宋体" w:cs="宋体"/>
                <w:color w:val="000000" w:themeColor="text1"/>
                <w:sz w:val="18"/>
                <w:szCs w:val="18"/>
                <w14:textFill>
                  <w14:solidFill>
                    <w14:schemeClr w14:val="tx1"/>
                  </w14:solidFill>
                </w14:textFill>
              </w:rPr>
              <w:t>5</w:t>
            </w:r>
            <w:r>
              <w:rPr>
                <w:rFonts w:hint="eastAsia" w:hAnsi="宋体" w:cs="宋体"/>
                <w:color w:val="000000" w:themeColor="text1"/>
                <w:sz w:val="18"/>
                <w:szCs w:val="18"/>
                <w14:textFill>
                  <w14:solidFill>
                    <w14:schemeClr w14:val="tx1"/>
                  </w14:solidFill>
                </w14:textFill>
              </w:rPr>
              <w:t>%</w:t>
            </w:r>
          </w:p>
        </w:tc>
      </w:tr>
      <w:tr w14:paraId="5D5594F8">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5E05123C">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10</w:t>
            </w:r>
          </w:p>
        </w:tc>
        <w:tc>
          <w:tcPr>
            <w:tcW w:w="415" w:type="pct"/>
            <w:vMerge w:val="continue"/>
            <w:tcBorders>
              <w:top w:val="nil"/>
              <w:left w:val="single" w:color="auto" w:sz="4" w:space="0"/>
              <w:bottom w:val="single" w:color="auto" w:sz="4" w:space="0"/>
              <w:right w:val="single" w:color="auto" w:sz="4" w:space="0"/>
            </w:tcBorders>
            <w:vAlign w:val="center"/>
          </w:tcPr>
          <w:p w14:paraId="5F4A4FE6">
            <w:pPr>
              <w:widowControl/>
              <w:rPr>
                <w:rFonts w:hint="eastAsia" w:hAnsi="宋体" w:cs="宋体"/>
                <w:color w:val="000000" w:themeColor="text1"/>
                <w:sz w:val="18"/>
                <w:szCs w:val="18"/>
                <w14:textFill>
                  <w14:solidFill>
                    <w14:schemeClr w14:val="tx1"/>
                  </w14:solidFill>
                </w14:textFill>
              </w:rPr>
            </w:pPr>
          </w:p>
        </w:tc>
        <w:tc>
          <w:tcPr>
            <w:tcW w:w="1406" w:type="pct"/>
            <w:tcBorders>
              <w:top w:val="single" w:color="auto" w:sz="4" w:space="0"/>
              <w:left w:val="nil"/>
              <w:bottom w:val="single" w:color="auto" w:sz="4" w:space="0"/>
              <w:right w:val="single" w:color="auto" w:sz="4" w:space="0"/>
            </w:tcBorders>
            <w:shd w:val="clear" w:color="auto" w:fill="FFFFFF" w:themeFill="background1"/>
            <w:vAlign w:val="center"/>
          </w:tcPr>
          <w:p w14:paraId="0C1ECBDD">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纹波系数</w:t>
            </w:r>
          </w:p>
        </w:tc>
        <w:tc>
          <w:tcPr>
            <w:tcW w:w="860" w:type="pct"/>
            <w:tcBorders>
              <w:top w:val="single" w:color="auto" w:sz="4" w:space="0"/>
              <w:left w:val="nil"/>
              <w:bottom w:val="single" w:color="auto" w:sz="4" w:space="0"/>
              <w:right w:val="single" w:color="auto" w:sz="4" w:space="0"/>
            </w:tcBorders>
            <w:shd w:val="clear" w:color="auto" w:fill="FFFFFF" w:themeFill="background1"/>
            <w:vAlign w:val="center"/>
          </w:tcPr>
          <w:p w14:paraId="4C374CAC">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w:t>
            </w:r>
          </w:p>
        </w:tc>
        <w:tc>
          <w:tcPr>
            <w:tcW w:w="1954" w:type="pct"/>
            <w:tcBorders>
              <w:top w:val="single" w:color="auto" w:sz="4" w:space="0"/>
              <w:left w:val="nil"/>
              <w:bottom w:val="single" w:color="auto" w:sz="4" w:space="0"/>
              <w:right w:val="single" w:color="auto" w:sz="4" w:space="0"/>
            </w:tcBorders>
            <w:shd w:val="clear" w:color="auto" w:fill="FFFFFF" w:themeFill="background1"/>
            <w:vAlign w:val="center"/>
          </w:tcPr>
          <w:p w14:paraId="09FF4272">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峰值：≤±</w:t>
            </w:r>
            <w:r>
              <w:rPr>
                <w:rFonts w:hAnsi="宋体" w:cs="宋体"/>
                <w:color w:val="000000" w:themeColor="text1"/>
                <w:sz w:val="18"/>
                <w:szCs w:val="18"/>
                <w14:textFill>
                  <w14:solidFill>
                    <w14:schemeClr w14:val="tx1"/>
                  </w14:solidFill>
                </w14:textFill>
              </w:rPr>
              <w:t>1%</w:t>
            </w:r>
          </w:p>
        </w:tc>
      </w:tr>
      <w:tr w14:paraId="7AD8DF47">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1DF3845A">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11</w:t>
            </w:r>
          </w:p>
        </w:tc>
        <w:tc>
          <w:tcPr>
            <w:tcW w:w="415" w:type="pct"/>
            <w:vMerge w:val="continue"/>
            <w:tcBorders>
              <w:top w:val="nil"/>
              <w:left w:val="single" w:color="auto" w:sz="4" w:space="0"/>
              <w:bottom w:val="single" w:color="auto" w:sz="4" w:space="0"/>
              <w:right w:val="single" w:color="auto" w:sz="4" w:space="0"/>
            </w:tcBorders>
            <w:vAlign w:val="center"/>
          </w:tcPr>
          <w:p w14:paraId="3B712F60">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2417657B">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输入冲击电流</w:t>
            </w:r>
          </w:p>
        </w:tc>
        <w:tc>
          <w:tcPr>
            <w:tcW w:w="860" w:type="pct"/>
            <w:tcBorders>
              <w:top w:val="nil"/>
              <w:left w:val="nil"/>
              <w:bottom w:val="single" w:color="auto" w:sz="4" w:space="0"/>
              <w:right w:val="single" w:color="auto" w:sz="4" w:space="0"/>
            </w:tcBorders>
            <w:vAlign w:val="center"/>
          </w:tcPr>
          <w:p w14:paraId="674C045D">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A</w:t>
            </w:r>
          </w:p>
        </w:tc>
        <w:tc>
          <w:tcPr>
            <w:tcW w:w="1954" w:type="pct"/>
            <w:tcBorders>
              <w:top w:val="nil"/>
              <w:left w:val="nil"/>
              <w:bottom w:val="single" w:color="auto" w:sz="4" w:space="0"/>
              <w:right w:val="single" w:color="auto" w:sz="4" w:space="0"/>
            </w:tcBorders>
            <w:vAlign w:val="center"/>
          </w:tcPr>
          <w:p w14:paraId="4FC3BC9A">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≤1</w:t>
            </w:r>
            <w:r>
              <w:rPr>
                <w:rFonts w:hAnsi="宋体" w:cs="宋体"/>
                <w:color w:val="000000" w:themeColor="text1"/>
                <w:sz w:val="18"/>
                <w:szCs w:val="18"/>
                <w14:textFill>
                  <w14:solidFill>
                    <w14:schemeClr w14:val="tx1"/>
                  </w14:solidFill>
                </w14:textFill>
              </w:rPr>
              <w:t>1</w:t>
            </w:r>
            <w:r>
              <w:rPr>
                <w:rFonts w:hint="eastAsia" w:hAnsi="宋体" w:cs="宋体"/>
                <w:color w:val="000000" w:themeColor="text1"/>
                <w:sz w:val="18"/>
                <w:szCs w:val="18"/>
                <w14:textFill>
                  <w14:solidFill>
                    <w14:schemeClr w14:val="tx1"/>
                  </w14:solidFill>
                </w14:textFill>
              </w:rPr>
              <w:t>0%额定输入电流</w:t>
            </w:r>
          </w:p>
        </w:tc>
      </w:tr>
      <w:tr w14:paraId="4A27DE3E">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15E27F36">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w:t>
            </w:r>
            <w:r>
              <w:rPr>
                <w:rFonts w:hAnsi="宋体" w:cs="宋体"/>
                <w:color w:val="000000" w:themeColor="text1"/>
                <w:sz w:val="18"/>
                <w:szCs w:val="18"/>
                <w14:textFill>
                  <w14:solidFill>
                    <w14:schemeClr w14:val="tx1"/>
                  </w14:solidFill>
                </w14:textFill>
              </w:rPr>
              <w:t>2</w:t>
            </w:r>
          </w:p>
        </w:tc>
        <w:tc>
          <w:tcPr>
            <w:tcW w:w="415" w:type="pct"/>
            <w:vMerge w:val="continue"/>
            <w:tcBorders>
              <w:top w:val="nil"/>
              <w:left w:val="single" w:color="auto" w:sz="4" w:space="0"/>
              <w:bottom w:val="single" w:color="auto" w:sz="4" w:space="0"/>
              <w:right w:val="single" w:color="auto" w:sz="4" w:space="0"/>
            </w:tcBorders>
            <w:vAlign w:val="center"/>
          </w:tcPr>
          <w:p w14:paraId="169AC0A9">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260FC91E">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效率</w:t>
            </w:r>
          </w:p>
        </w:tc>
        <w:tc>
          <w:tcPr>
            <w:tcW w:w="860" w:type="pct"/>
            <w:tcBorders>
              <w:top w:val="nil"/>
              <w:left w:val="nil"/>
              <w:bottom w:val="single" w:color="auto" w:sz="4" w:space="0"/>
              <w:right w:val="single" w:color="auto" w:sz="4" w:space="0"/>
            </w:tcBorders>
            <w:vAlign w:val="center"/>
          </w:tcPr>
          <w:p w14:paraId="395268FF">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w:t>
            </w:r>
          </w:p>
        </w:tc>
        <w:tc>
          <w:tcPr>
            <w:tcW w:w="1954" w:type="pct"/>
            <w:tcBorders>
              <w:top w:val="nil"/>
              <w:left w:val="nil"/>
              <w:bottom w:val="single" w:color="auto" w:sz="4" w:space="0"/>
              <w:right w:val="single" w:color="auto" w:sz="4" w:space="0"/>
            </w:tcBorders>
            <w:vAlign w:val="center"/>
          </w:tcPr>
          <w:p w14:paraId="29DA9D74">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≥9</w:t>
            </w:r>
            <w:r>
              <w:rPr>
                <w:rFonts w:hAnsi="宋体" w:cs="宋体"/>
                <w:color w:val="000000" w:themeColor="text1"/>
                <w:sz w:val="18"/>
                <w:szCs w:val="18"/>
                <w14:textFill>
                  <w14:solidFill>
                    <w14:schemeClr w14:val="tx1"/>
                  </w14:solidFill>
                </w14:textFill>
              </w:rPr>
              <w:t>5</w:t>
            </w:r>
            <w:r>
              <w:rPr>
                <w:rFonts w:hint="eastAsia" w:hAnsi="宋体" w:cs="宋体"/>
                <w:color w:val="000000" w:themeColor="text1"/>
                <w:sz w:val="18"/>
                <w:szCs w:val="18"/>
                <w14:textFill>
                  <w14:solidFill>
                    <w14:schemeClr w14:val="tx1"/>
                  </w14:solidFill>
                </w14:textFill>
              </w:rPr>
              <w:t>%</w:t>
            </w:r>
          </w:p>
        </w:tc>
      </w:tr>
      <w:tr w14:paraId="684E6506">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0A988B0D">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w:t>
            </w:r>
            <w:r>
              <w:rPr>
                <w:rFonts w:hAnsi="宋体" w:cs="宋体"/>
                <w:color w:val="000000" w:themeColor="text1"/>
                <w:sz w:val="18"/>
                <w:szCs w:val="18"/>
                <w14:textFill>
                  <w14:solidFill>
                    <w14:schemeClr w14:val="tx1"/>
                  </w14:solidFill>
                </w14:textFill>
              </w:rPr>
              <w:t>3</w:t>
            </w:r>
          </w:p>
        </w:tc>
        <w:tc>
          <w:tcPr>
            <w:tcW w:w="415" w:type="pct"/>
            <w:vMerge w:val="continue"/>
            <w:tcBorders>
              <w:top w:val="nil"/>
              <w:left w:val="single" w:color="auto" w:sz="4" w:space="0"/>
              <w:bottom w:val="single" w:color="auto" w:sz="4" w:space="0"/>
              <w:right w:val="single" w:color="auto" w:sz="4" w:space="0"/>
            </w:tcBorders>
            <w:vAlign w:val="center"/>
          </w:tcPr>
          <w:p w14:paraId="48C5EF17">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68689928">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噪声</w:t>
            </w:r>
          </w:p>
        </w:tc>
        <w:tc>
          <w:tcPr>
            <w:tcW w:w="860" w:type="pct"/>
            <w:tcBorders>
              <w:top w:val="nil"/>
              <w:left w:val="nil"/>
              <w:bottom w:val="single" w:color="auto" w:sz="4" w:space="0"/>
              <w:right w:val="single" w:color="auto" w:sz="4" w:space="0"/>
            </w:tcBorders>
            <w:vAlign w:val="center"/>
          </w:tcPr>
          <w:p w14:paraId="0700FC07">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dB</w:t>
            </w:r>
          </w:p>
        </w:tc>
        <w:tc>
          <w:tcPr>
            <w:tcW w:w="1954" w:type="pct"/>
            <w:tcBorders>
              <w:top w:val="nil"/>
              <w:left w:val="nil"/>
              <w:bottom w:val="single" w:color="auto" w:sz="4" w:space="0"/>
              <w:right w:val="single" w:color="auto" w:sz="4" w:space="0"/>
            </w:tcBorders>
            <w:vAlign w:val="center"/>
          </w:tcPr>
          <w:p w14:paraId="79CB1EBE">
            <w:pPr>
              <w:widowControl/>
              <w:jc w:val="center"/>
              <w:rPr>
                <w:rFonts w:hint="eastAsia" w:hAnsi="宋体" w:cs="宋体"/>
                <w:color w:val="000000" w:themeColor="text1"/>
                <w:sz w:val="18"/>
                <w:szCs w:val="18"/>
                <w14:textFill>
                  <w14:solidFill>
                    <w14:schemeClr w14:val="tx1"/>
                  </w14:solidFill>
                </w14:textFill>
              </w:rPr>
            </w:pPr>
            <w:r>
              <w:rPr>
                <w:rFonts w:hAnsi="宋体" w:cs="宋体"/>
                <w:color w:val="000000" w:themeColor="text1"/>
                <w:sz w:val="18"/>
                <w:szCs w:val="18"/>
                <w14:textFill>
                  <w14:solidFill>
                    <w14:schemeClr w14:val="tx1"/>
                  </w14:solidFill>
                </w14:textFill>
              </w:rPr>
              <w:t>65</w:t>
            </w:r>
          </w:p>
        </w:tc>
      </w:tr>
      <w:tr w14:paraId="778CEB9A">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25B59D7C">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w:t>
            </w:r>
            <w:r>
              <w:rPr>
                <w:rFonts w:hAnsi="宋体" w:cs="宋体"/>
                <w:color w:val="000000" w:themeColor="text1"/>
                <w:sz w:val="18"/>
                <w:szCs w:val="18"/>
                <w14:textFill>
                  <w14:solidFill>
                    <w14:schemeClr w14:val="tx1"/>
                  </w14:solidFill>
                </w14:textFill>
              </w:rPr>
              <w:t>4</w:t>
            </w:r>
          </w:p>
        </w:tc>
        <w:tc>
          <w:tcPr>
            <w:tcW w:w="415" w:type="pct"/>
            <w:vMerge w:val="continue"/>
            <w:tcBorders>
              <w:top w:val="nil"/>
              <w:left w:val="single" w:color="auto" w:sz="4" w:space="0"/>
              <w:bottom w:val="single" w:color="auto" w:sz="4" w:space="0"/>
              <w:right w:val="single" w:color="auto" w:sz="4" w:space="0"/>
            </w:tcBorders>
            <w:vAlign w:val="center"/>
          </w:tcPr>
          <w:p w14:paraId="32F03405">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69250B10">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静电放电抗扰度</w:t>
            </w:r>
          </w:p>
        </w:tc>
        <w:tc>
          <w:tcPr>
            <w:tcW w:w="860" w:type="pct"/>
            <w:tcBorders>
              <w:top w:val="nil"/>
              <w:left w:val="nil"/>
              <w:bottom w:val="single" w:color="auto" w:sz="4" w:space="0"/>
              <w:right w:val="single" w:color="auto" w:sz="4" w:space="0"/>
            </w:tcBorders>
            <w:vAlign w:val="center"/>
          </w:tcPr>
          <w:p w14:paraId="0E5DD4C1">
            <w:pPr>
              <w:widowControl/>
              <w:jc w:val="center"/>
              <w:rPr>
                <w:rFonts w:hint="eastAsia" w:hAnsi="宋体" w:cs="宋体"/>
                <w:color w:val="000000" w:themeColor="text1"/>
                <w:sz w:val="18"/>
                <w:szCs w:val="18"/>
                <w14:textFill>
                  <w14:solidFill>
                    <w14:schemeClr w14:val="tx1"/>
                  </w14:solidFill>
                </w14:textFill>
              </w:rPr>
            </w:pPr>
          </w:p>
        </w:tc>
        <w:tc>
          <w:tcPr>
            <w:tcW w:w="1954" w:type="pct"/>
            <w:tcBorders>
              <w:top w:val="nil"/>
              <w:left w:val="nil"/>
              <w:bottom w:val="single" w:color="auto" w:sz="4" w:space="0"/>
              <w:right w:val="single" w:color="auto" w:sz="4" w:space="0"/>
            </w:tcBorders>
            <w:vAlign w:val="center"/>
          </w:tcPr>
          <w:p w14:paraId="0D117AD4">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4级</w:t>
            </w:r>
          </w:p>
        </w:tc>
      </w:tr>
      <w:tr w14:paraId="50D13C41">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12AAE20F">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w:t>
            </w:r>
            <w:r>
              <w:rPr>
                <w:rFonts w:hAnsi="宋体" w:cs="宋体"/>
                <w:color w:val="000000" w:themeColor="text1"/>
                <w:sz w:val="18"/>
                <w:szCs w:val="18"/>
                <w14:textFill>
                  <w14:solidFill>
                    <w14:schemeClr w14:val="tx1"/>
                  </w14:solidFill>
                </w14:textFill>
              </w:rPr>
              <w:t>5</w:t>
            </w:r>
          </w:p>
        </w:tc>
        <w:tc>
          <w:tcPr>
            <w:tcW w:w="415" w:type="pct"/>
            <w:vMerge w:val="continue"/>
            <w:tcBorders>
              <w:top w:val="nil"/>
              <w:left w:val="single" w:color="auto" w:sz="4" w:space="0"/>
              <w:bottom w:val="single" w:color="auto" w:sz="4" w:space="0"/>
              <w:right w:val="single" w:color="auto" w:sz="4" w:space="0"/>
            </w:tcBorders>
            <w:vAlign w:val="center"/>
          </w:tcPr>
          <w:p w14:paraId="7C9B19A8">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49408F41">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射频电磁场辐射抗扰度</w:t>
            </w:r>
          </w:p>
        </w:tc>
        <w:tc>
          <w:tcPr>
            <w:tcW w:w="860" w:type="pct"/>
            <w:tcBorders>
              <w:top w:val="nil"/>
              <w:left w:val="nil"/>
              <w:bottom w:val="single" w:color="auto" w:sz="4" w:space="0"/>
              <w:right w:val="single" w:color="auto" w:sz="4" w:space="0"/>
            </w:tcBorders>
            <w:vAlign w:val="center"/>
          </w:tcPr>
          <w:p w14:paraId="69A77D58">
            <w:pPr>
              <w:widowControl/>
              <w:jc w:val="center"/>
              <w:rPr>
                <w:rFonts w:hint="eastAsia" w:hAnsi="宋体" w:cs="宋体"/>
                <w:color w:val="000000" w:themeColor="text1"/>
                <w:sz w:val="18"/>
                <w:szCs w:val="18"/>
                <w14:textFill>
                  <w14:solidFill>
                    <w14:schemeClr w14:val="tx1"/>
                  </w14:solidFill>
                </w14:textFill>
              </w:rPr>
            </w:pPr>
          </w:p>
        </w:tc>
        <w:tc>
          <w:tcPr>
            <w:tcW w:w="1954" w:type="pct"/>
            <w:tcBorders>
              <w:top w:val="nil"/>
              <w:left w:val="nil"/>
              <w:bottom w:val="single" w:color="auto" w:sz="4" w:space="0"/>
              <w:right w:val="single" w:color="auto" w:sz="4" w:space="0"/>
            </w:tcBorders>
            <w:vAlign w:val="center"/>
          </w:tcPr>
          <w:p w14:paraId="64E47F4F">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4级</w:t>
            </w:r>
          </w:p>
        </w:tc>
      </w:tr>
      <w:tr w14:paraId="259DE42F">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60EB577B">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w:t>
            </w:r>
            <w:r>
              <w:rPr>
                <w:rFonts w:hAnsi="宋体" w:cs="宋体"/>
                <w:color w:val="000000" w:themeColor="text1"/>
                <w:sz w:val="18"/>
                <w:szCs w:val="18"/>
                <w14:textFill>
                  <w14:solidFill>
                    <w14:schemeClr w14:val="tx1"/>
                  </w14:solidFill>
                </w14:textFill>
              </w:rPr>
              <w:t>6</w:t>
            </w:r>
          </w:p>
        </w:tc>
        <w:tc>
          <w:tcPr>
            <w:tcW w:w="415" w:type="pct"/>
            <w:vMerge w:val="continue"/>
            <w:tcBorders>
              <w:top w:val="nil"/>
              <w:left w:val="single" w:color="auto" w:sz="4" w:space="0"/>
              <w:bottom w:val="single" w:color="auto" w:sz="4" w:space="0"/>
              <w:right w:val="single" w:color="auto" w:sz="4" w:space="0"/>
            </w:tcBorders>
            <w:vAlign w:val="center"/>
          </w:tcPr>
          <w:p w14:paraId="7E7C456E">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147D9533">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电快速瞬变脉冲群抗扰度</w:t>
            </w:r>
          </w:p>
        </w:tc>
        <w:tc>
          <w:tcPr>
            <w:tcW w:w="860" w:type="pct"/>
            <w:tcBorders>
              <w:top w:val="nil"/>
              <w:left w:val="nil"/>
              <w:bottom w:val="single" w:color="auto" w:sz="4" w:space="0"/>
              <w:right w:val="single" w:color="auto" w:sz="4" w:space="0"/>
            </w:tcBorders>
            <w:vAlign w:val="center"/>
          </w:tcPr>
          <w:p w14:paraId="27AEE186">
            <w:pPr>
              <w:widowControl/>
              <w:jc w:val="center"/>
              <w:rPr>
                <w:rFonts w:hint="eastAsia" w:hAnsi="宋体" w:cs="宋体"/>
                <w:color w:val="000000" w:themeColor="text1"/>
                <w:sz w:val="18"/>
                <w:szCs w:val="18"/>
                <w14:textFill>
                  <w14:solidFill>
                    <w14:schemeClr w14:val="tx1"/>
                  </w14:solidFill>
                </w14:textFill>
              </w:rPr>
            </w:pPr>
          </w:p>
        </w:tc>
        <w:tc>
          <w:tcPr>
            <w:tcW w:w="1954" w:type="pct"/>
            <w:tcBorders>
              <w:top w:val="nil"/>
              <w:left w:val="nil"/>
              <w:bottom w:val="single" w:color="auto" w:sz="4" w:space="0"/>
              <w:right w:val="single" w:color="auto" w:sz="4" w:space="0"/>
            </w:tcBorders>
            <w:vAlign w:val="center"/>
          </w:tcPr>
          <w:p w14:paraId="541BF90A">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4级</w:t>
            </w:r>
          </w:p>
        </w:tc>
      </w:tr>
      <w:tr w14:paraId="48F50A25">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27082B63">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w:t>
            </w:r>
            <w:r>
              <w:rPr>
                <w:rFonts w:hAnsi="宋体" w:cs="宋体"/>
                <w:color w:val="000000" w:themeColor="text1"/>
                <w:sz w:val="18"/>
                <w:szCs w:val="18"/>
                <w14:textFill>
                  <w14:solidFill>
                    <w14:schemeClr w14:val="tx1"/>
                  </w14:solidFill>
                </w14:textFill>
              </w:rPr>
              <w:t>7</w:t>
            </w:r>
          </w:p>
        </w:tc>
        <w:tc>
          <w:tcPr>
            <w:tcW w:w="415" w:type="pct"/>
            <w:vMerge w:val="continue"/>
            <w:tcBorders>
              <w:top w:val="nil"/>
              <w:left w:val="single" w:color="auto" w:sz="4" w:space="0"/>
              <w:bottom w:val="single" w:color="auto" w:sz="4" w:space="0"/>
              <w:right w:val="single" w:color="auto" w:sz="4" w:space="0"/>
            </w:tcBorders>
            <w:vAlign w:val="center"/>
          </w:tcPr>
          <w:p w14:paraId="0F4B7C52">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5568CA55">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浪涌（冲击）抗扰度</w:t>
            </w:r>
          </w:p>
        </w:tc>
        <w:tc>
          <w:tcPr>
            <w:tcW w:w="860" w:type="pct"/>
            <w:tcBorders>
              <w:top w:val="nil"/>
              <w:left w:val="nil"/>
              <w:bottom w:val="single" w:color="auto" w:sz="4" w:space="0"/>
              <w:right w:val="single" w:color="auto" w:sz="4" w:space="0"/>
            </w:tcBorders>
            <w:vAlign w:val="center"/>
          </w:tcPr>
          <w:p w14:paraId="19F59B5A">
            <w:pPr>
              <w:widowControl/>
              <w:jc w:val="center"/>
              <w:rPr>
                <w:rFonts w:hint="eastAsia" w:hAnsi="宋体" w:cs="宋体"/>
                <w:color w:val="000000" w:themeColor="text1"/>
                <w:sz w:val="18"/>
                <w:szCs w:val="18"/>
                <w14:textFill>
                  <w14:solidFill>
                    <w14:schemeClr w14:val="tx1"/>
                  </w14:solidFill>
                </w14:textFill>
              </w:rPr>
            </w:pPr>
          </w:p>
        </w:tc>
        <w:tc>
          <w:tcPr>
            <w:tcW w:w="1954" w:type="pct"/>
            <w:tcBorders>
              <w:top w:val="nil"/>
              <w:left w:val="nil"/>
              <w:bottom w:val="single" w:color="auto" w:sz="4" w:space="0"/>
              <w:right w:val="single" w:color="auto" w:sz="4" w:space="0"/>
            </w:tcBorders>
            <w:vAlign w:val="center"/>
          </w:tcPr>
          <w:p w14:paraId="1137DF28">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4级</w:t>
            </w:r>
          </w:p>
        </w:tc>
      </w:tr>
      <w:tr w14:paraId="49691595">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4E55F3DD">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w:t>
            </w:r>
            <w:r>
              <w:rPr>
                <w:rFonts w:hAnsi="宋体" w:cs="宋体"/>
                <w:color w:val="000000" w:themeColor="text1"/>
                <w:sz w:val="18"/>
                <w:szCs w:val="18"/>
                <w14:textFill>
                  <w14:solidFill>
                    <w14:schemeClr w14:val="tx1"/>
                  </w14:solidFill>
                </w14:textFill>
              </w:rPr>
              <w:t>8</w:t>
            </w:r>
          </w:p>
        </w:tc>
        <w:tc>
          <w:tcPr>
            <w:tcW w:w="415" w:type="pct"/>
            <w:vMerge w:val="continue"/>
            <w:tcBorders>
              <w:top w:val="nil"/>
              <w:left w:val="single" w:color="auto" w:sz="4" w:space="0"/>
              <w:bottom w:val="single" w:color="auto" w:sz="4" w:space="0"/>
              <w:right w:val="single" w:color="auto" w:sz="4" w:space="0"/>
            </w:tcBorders>
            <w:vAlign w:val="center"/>
          </w:tcPr>
          <w:p w14:paraId="28D40C19">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06CF218B">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射频场感应的传导骚扰抗扰度</w:t>
            </w:r>
          </w:p>
        </w:tc>
        <w:tc>
          <w:tcPr>
            <w:tcW w:w="860" w:type="pct"/>
            <w:tcBorders>
              <w:top w:val="nil"/>
              <w:left w:val="nil"/>
              <w:bottom w:val="single" w:color="auto" w:sz="4" w:space="0"/>
              <w:right w:val="single" w:color="auto" w:sz="4" w:space="0"/>
            </w:tcBorders>
            <w:vAlign w:val="center"/>
          </w:tcPr>
          <w:p w14:paraId="5550498A">
            <w:pPr>
              <w:widowControl/>
              <w:jc w:val="center"/>
              <w:rPr>
                <w:rFonts w:hint="eastAsia" w:hAnsi="宋体" w:cs="宋体"/>
                <w:color w:val="000000" w:themeColor="text1"/>
                <w:sz w:val="18"/>
                <w:szCs w:val="18"/>
                <w14:textFill>
                  <w14:solidFill>
                    <w14:schemeClr w14:val="tx1"/>
                  </w14:solidFill>
                </w14:textFill>
              </w:rPr>
            </w:pPr>
          </w:p>
        </w:tc>
        <w:tc>
          <w:tcPr>
            <w:tcW w:w="1954" w:type="pct"/>
            <w:tcBorders>
              <w:top w:val="nil"/>
              <w:left w:val="nil"/>
              <w:bottom w:val="single" w:color="auto" w:sz="4" w:space="0"/>
              <w:right w:val="single" w:color="auto" w:sz="4" w:space="0"/>
            </w:tcBorders>
            <w:vAlign w:val="center"/>
          </w:tcPr>
          <w:p w14:paraId="5F08A97D">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3级</w:t>
            </w:r>
          </w:p>
        </w:tc>
      </w:tr>
      <w:tr w14:paraId="296F1886">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05D61669">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1</w:t>
            </w:r>
            <w:r>
              <w:rPr>
                <w:rFonts w:hAnsi="宋体" w:cs="宋体"/>
                <w:color w:val="000000" w:themeColor="text1"/>
                <w:sz w:val="18"/>
                <w:szCs w:val="18"/>
                <w14:textFill>
                  <w14:solidFill>
                    <w14:schemeClr w14:val="tx1"/>
                  </w14:solidFill>
                </w14:textFill>
              </w:rPr>
              <w:t>9</w:t>
            </w:r>
          </w:p>
        </w:tc>
        <w:tc>
          <w:tcPr>
            <w:tcW w:w="415" w:type="pct"/>
            <w:vMerge w:val="continue"/>
            <w:tcBorders>
              <w:top w:val="nil"/>
              <w:left w:val="single" w:color="auto" w:sz="4" w:space="0"/>
              <w:bottom w:val="single" w:color="auto" w:sz="4" w:space="0"/>
              <w:right w:val="single" w:color="auto" w:sz="4" w:space="0"/>
            </w:tcBorders>
            <w:vAlign w:val="center"/>
          </w:tcPr>
          <w:p w14:paraId="66A9F2F4">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40036B36">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谐波电流限值要求（THD）</w:t>
            </w:r>
          </w:p>
        </w:tc>
        <w:tc>
          <w:tcPr>
            <w:tcW w:w="860" w:type="pct"/>
            <w:tcBorders>
              <w:top w:val="nil"/>
              <w:left w:val="nil"/>
              <w:bottom w:val="single" w:color="auto" w:sz="4" w:space="0"/>
              <w:right w:val="single" w:color="auto" w:sz="4" w:space="0"/>
            </w:tcBorders>
            <w:vAlign w:val="center"/>
          </w:tcPr>
          <w:p w14:paraId="58FFAC05">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w:t>
            </w:r>
          </w:p>
        </w:tc>
        <w:tc>
          <w:tcPr>
            <w:tcW w:w="1954" w:type="pct"/>
            <w:tcBorders>
              <w:top w:val="nil"/>
              <w:left w:val="nil"/>
              <w:bottom w:val="single" w:color="auto" w:sz="4" w:space="0"/>
              <w:right w:val="single" w:color="auto" w:sz="4" w:space="0"/>
            </w:tcBorders>
            <w:vAlign w:val="center"/>
          </w:tcPr>
          <w:p w14:paraId="1701620A">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w:t>
            </w:r>
            <w:r>
              <w:rPr>
                <w:rFonts w:hAnsi="宋体" w:cs="宋体"/>
                <w:color w:val="000000" w:themeColor="text1"/>
                <w:sz w:val="18"/>
                <w:szCs w:val="18"/>
                <w14:textFill>
                  <w14:solidFill>
                    <w14:schemeClr w14:val="tx1"/>
                  </w14:solidFill>
                </w14:textFill>
              </w:rPr>
              <w:t>5</w:t>
            </w:r>
          </w:p>
        </w:tc>
      </w:tr>
      <w:tr w14:paraId="775EAD8C">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5F6B201C">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2</w:t>
            </w:r>
            <w:r>
              <w:rPr>
                <w:rFonts w:hAnsi="宋体" w:cs="宋体"/>
                <w:color w:val="000000" w:themeColor="text1"/>
                <w:sz w:val="18"/>
                <w:szCs w:val="18"/>
                <w14:textFill>
                  <w14:solidFill>
                    <w14:schemeClr w14:val="tx1"/>
                  </w14:solidFill>
                </w14:textFill>
              </w:rPr>
              <w:t>0</w:t>
            </w:r>
          </w:p>
        </w:tc>
        <w:tc>
          <w:tcPr>
            <w:tcW w:w="415" w:type="pct"/>
            <w:vMerge w:val="continue"/>
            <w:tcBorders>
              <w:top w:val="nil"/>
              <w:left w:val="single" w:color="auto" w:sz="4" w:space="0"/>
              <w:bottom w:val="single" w:color="auto" w:sz="4" w:space="0"/>
              <w:right w:val="single" w:color="auto" w:sz="4" w:space="0"/>
            </w:tcBorders>
            <w:vAlign w:val="center"/>
          </w:tcPr>
          <w:p w14:paraId="6669BDF9">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058F6500">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充电机结构形式</w:t>
            </w:r>
          </w:p>
        </w:tc>
        <w:tc>
          <w:tcPr>
            <w:tcW w:w="860" w:type="pct"/>
            <w:tcBorders>
              <w:top w:val="nil"/>
              <w:left w:val="nil"/>
              <w:bottom w:val="single" w:color="auto" w:sz="4" w:space="0"/>
              <w:right w:val="single" w:color="auto" w:sz="4" w:space="0"/>
            </w:tcBorders>
            <w:vAlign w:val="center"/>
          </w:tcPr>
          <w:p w14:paraId="7DEC0042">
            <w:pPr>
              <w:widowControl/>
              <w:jc w:val="center"/>
              <w:rPr>
                <w:rFonts w:hint="eastAsia" w:hAnsi="宋体" w:cs="宋体"/>
                <w:color w:val="000000" w:themeColor="text1"/>
                <w:sz w:val="18"/>
                <w:szCs w:val="18"/>
                <w14:textFill>
                  <w14:solidFill>
                    <w14:schemeClr w14:val="tx1"/>
                  </w14:solidFill>
                </w14:textFill>
              </w:rPr>
            </w:pPr>
          </w:p>
        </w:tc>
        <w:tc>
          <w:tcPr>
            <w:tcW w:w="1954" w:type="pct"/>
            <w:tcBorders>
              <w:top w:val="nil"/>
              <w:left w:val="nil"/>
              <w:bottom w:val="single" w:color="auto" w:sz="4" w:space="0"/>
              <w:right w:val="single" w:color="auto" w:sz="4" w:space="0"/>
            </w:tcBorders>
            <w:vAlign w:val="center"/>
          </w:tcPr>
          <w:p w14:paraId="7182C16A">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一体式</w:t>
            </w:r>
          </w:p>
        </w:tc>
      </w:tr>
      <w:tr w14:paraId="506700ED">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1E814959">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2</w:t>
            </w:r>
            <w:r>
              <w:rPr>
                <w:rFonts w:hAnsi="宋体" w:cs="宋体"/>
                <w:color w:val="000000" w:themeColor="text1"/>
                <w:sz w:val="18"/>
                <w:szCs w:val="18"/>
                <w14:textFill>
                  <w14:solidFill>
                    <w14:schemeClr w14:val="tx1"/>
                  </w14:solidFill>
                </w14:textFill>
              </w:rPr>
              <w:t>1</w:t>
            </w:r>
          </w:p>
        </w:tc>
        <w:tc>
          <w:tcPr>
            <w:tcW w:w="415" w:type="pct"/>
            <w:vMerge w:val="continue"/>
            <w:tcBorders>
              <w:top w:val="nil"/>
              <w:left w:val="single" w:color="auto" w:sz="4" w:space="0"/>
              <w:bottom w:val="single" w:color="auto" w:sz="4" w:space="0"/>
              <w:right w:val="single" w:color="auto" w:sz="4" w:space="0"/>
            </w:tcBorders>
            <w:vAlign w:val="center"/>
          </w:tcPr>
          <w:p w14:paraId="57B128F3">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223531B8">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有源功率因数校正电路</w:t>
            </w:r>
          </w:p>
        </w:tc>
        <w:tc>
          <w:tcPr>
            <w:tcW w:w="860" w:type="pct"/>
            <w:tcBorders>
              <w:top w:val="nil"/>
              <w:left w:val="nil"/>
              <w:bottom w:val="single" w:color="auto" w:sz="4" w:space="0"/>
              <w:right w:val="single" w:color="auto" w:sz="4" w:space="0"/>
            </w:tcBorders>
            <w:vAlign w:val="center"/>
          </w:tcPr>
          <w:p w14:paraId="0EF038C7">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w:t>
            </w:r>
          </w:p>
        </w:tc>
        <w:tc>
          <w:tcPr>
            <w:tcW w:w="1954" w:type="pct"/>
            <w:tcBorders>
              <w:top w:val="nil"/>
              <w:left w:val="nil"/>
              <w:bottom w:val="single" w:color="auto" w:sz="4" w:space="0"/>
              <w:right w:val="single" w:color="auto" w:sz="4" w:space="0"/>
            </w:tcBorders>
            <w:vAlign w:val="center"/>
          </w:tcPr>
          <w:p w14:paraId="3C9EE8B9">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带</w:t>
            </w:r>
          </w:p>
        </w:tc>
      </w:tr>
      <w:tr w14:paraId="779A0CA6">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3258667F">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Ansi="宋体" w:cs="宋体"/>
                <w:color w:val="000000" w:themeColor="text1"/>
                <w:sz w:val="18"/>
                <w:szCs w:val="18"/>
                <w14:textFill>
                  <w14:solidFill>
                    <w14:schemeClr w14:val="tx1"/>
                  </w14:solidFill>
                </w14:textFill>
              </w:rPr>
              <w:t>22</w:t>
            </w:r>
          </w:p>
        </w:tc>
        <w:tc>
          <w:tcPr>
            <w:tcW w:w="415" w:type="pct"/>
            <w:vMerge w:val="continue"/>
            <w:tcBorders>
              <w:top w:val="nil"/>
              <w:left w:val="single" w:color="auto" w:sz="4" w:space="0"/>
              <w:bottom w:val="single" w:color="auto" w:sz="4" w:space="0"/>
              <w:right w:val="single" w:color="auto" w:sz="4" w:space="0"/>
            </w:tcBorders>
            <w:vAlign w:val="center"/>
          </w:tcPr>
          <w:p w14:paraId="0D7972D1">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438F7892">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直流输出接口</w:t>
            </w:r>
          </w:p>
        </w:tc>
        <w:tc>
          <w:tcPr>
            <w:tcW w:w="860" w:type="pct"/>
            <w:tcBorders>
              <w:top w:val="nil"/>
              <w:left w:val="nil"/>
              <w:bottom w:val="single" w:color="auto" w:sz="4" w:space="0"/>
              <w:right w:val="single" w:color="auto" w:sz="4" w:space="0"/>
            </w:tcBorders>
            <w:vAlign w:val="center"/>
          </w:tcPr>
          <w:p w14:paraId="3D28C8D6">
            <w:pPr>
              <w:widowControl/>
              <w:jc w:val="center"/>
              <w:rPr>
                <w:rFonts w:hint="eastAsia" w:hAnsi="宋体" w:cs="宋体"/>
                <w:color w:val="000000" w:themeColor="text1"/>
                <w:sz w:val="18"/>
                <w:szCs w:val="18"/>
                <w14:textFill>
                  <w14:solidFill>
                    <w14:schemeClr w14:val="tx1"/>
                  </w14:solidFill>
                </w14:textFill>
              </w:rPr>
            </w:pPr>
          </w:p>
        </w:tc>
        <w:tc>
          <w:tcPr>
            <w:tcW w:w="1954" w:type="pct"/>
            <w:tcBorders>
              <w:top w:val="nil"/>
              <w:left w:val="nil"/>
              <w:bottom w:val="single" w:color="auto" w:sz="4" w:space="0"/>
              <w:right w:val="single" w:color="auto" w:sz="4" w:space="0"/>
            </w:tcBorders>
            <w:vAlign w:val="center"/>
          </w:tcPr>
          <w:p w14:paraId="53C27E8F">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GB／T20234.3-2015</w:t>
            </w:r>
          </w:p>
        </w:tc>
      </w:tr>
      <w:tr w14:paraId="11EC296A">
        <w:tblPrEx>
          <w:tblCellMar>
            <w:top w:w="0" w:type="dxa"/>
            <w:left w:w="108" w:type="dxa"/>
            <w:bottom w:w="0" w:type="dxa"/>
            <w:right w:w="108" w:type="dxa"/>
          </w:tblCellMar>
        </w:tblPrEx>
        <w:tc>
          <w:tcPr>
            <w:tcW w:w="362" w:type="pct"/>
            <w:tcBorders>
              <w:top w:val="nil"/>
              <w:left w:val="single" w:color="auto" w:sz="4" w:space="0"/>
              <w:bottom w:val="single" w:color="auto" w:sz="4" w:space="0"/>
              <w:right w:val="single" w:color="auto" w:sz="4" w:space="0"/>
            </w:tcBorders>
            <w:shd w:val="clear" w:color="auto" w:fill="auto"/>
            <w:vAlign w:val="center"/>
          </w:tcPr>
          <w:p w14:paraId="168BF03B">
            <w:pPr>
              <w:widowControl/>
              <w:jc w:val="center"/>
              <w:rPr>
                <w:rFonts w:hint="eastAsia" w:hAnsi="宋体" w:cs="宋体" w:asciiTheme="minorHAnsi" w:eastAsiaTheme="minorEastAsia"/>
                <w:color w:val="000000" w:themeColor="text1"/>
                <w:kern w:val="2"/>
                <w:sz w:val="18"/>
                <w:szCs w:val="18"/>
                <w:lang w:val="en-US" w:eastAsia="zh-CN" w:bidi="ar-SA"/>
                <w14:textFill>
                  <w14:solidFill>
                    <w14:schemeClr w14:val="tx1"/>
                  </w14:solidFill>
                </w14:textFill>
                <w14:ligatures w14:val="standardContextual"/>
              </w:rPr>
            </w:pPr>
            <w:r>
              <w:rPr>
                <w:rFonts w:hint="eastAsia" w:hAnsi="宋体" w:cs="宋体"/>
                <w:color w:val="000000" w:themeColor="text1"/>
                <w:sz w:val="18"/>
                <w:szCs w:val="18"/>
                <w14:textFill>
                  <w14:solidFill>
                    <w14:schemeClr w14:val="tx1"/>
                  </w14:solidFill>
                </w14:textFill>
              </w:rPr>
              <w:t>2</w:t>
            </w:r>
            <w:r>
              <w:rPr>
                <w:rFonts w:hAnsi="宋体" w:cs="宋体"/>
                <w:color w:val="000000" w:themeColor="text1"/>
                <w:sz w:val="18"/>
                <w:szCs w:val="18"/>
                <w14:textFill>
                  <w14:solidFill>
                    <w14:schemeClr w14:val="tx1"/>
                  </w14:solidFill>
                </w14:textFill>
              </w:rPr>
              <w:t>3</w:t>
            </w:r>
          </w:p>
        </w:tc>
        <w:tc>
          <w:tcPr>
            <w:tcW w:w="415" w:type="pct"/>
            <w:vMerge w:val="continue"/>
            <w:tcBorders>
              <w:top w:val="nil"/>
              <w:left w:val="single" w:color="auto" w:sz="4" w:space="0"/>
              <w:bottom w:val="single" w:color="auto" w:sz="4" w:space="0"/>
              <w:right w:val="single" w:color="auto" w:sz="4" w:space="0"/>
            </w:tcBorders>
            <w:vAlign w:val="center"/>
          </w:tcPr>
          <w:p w14:paraId="4E05A5C1">
            <w:pPr>
              <w:widowControl/>
              <w:rPr>
                <w:rFonts w:hint="eastAsia" w:hAnsi="宋体" w:cs="宋体"/>
                <w:color w:val="000000" w:themeColor="text1"/>
                <w:sz w:val="18"/>
                <w:szCs w:val="18"/>
                <w14:textFill>
                  <w14:solidFill>
                    <w14:schemeClr w14:val="tx1"/>
                  </w14:solidFill>
                </w14:textFill>
              </w:rPr>
            </w:pPr>
          </w:p>
        </w:tc>
        <w:tc>
          <w:tcPr>
            <w:tcW w:w="1406" w:type="pct"/>
            <w:tcBorders>
              <w:top w:val="nil"/>
              <w:left w:val="nil"/>
              <w:bottom w:val="single" w:color="auto" w:sz="4" w:space="0"/>
              <w:right w:val="single" w:color="auto" w:sz="4" w:space="0"/>
            </w:tcBorders>
            <w:vAlign w:val="center"/>
          </w:tcPr>
          <w:p w14:paraId="7FEC15C2">
            <w:pPr>
              <w:widowControl/>
              <w:jc w:val="center"/>
              <w:rPr>
                <w:rFonts w:hint="eastAsia" w:hAnsi="宋体" w:cs="宋体"/>
                <w:color w:val="000000" w:themeColor="text1"/>
                <w:sz w:val="18"/>
                <w:szCs w:val="18"/>
                <w14:textFill>
                  <w14:solidFill>
                    <w14:schemeClr w14:val="tx1"/>
                  </w14:solidFill>
                </w14:textFill>
              </w:rPr>
            </w:pPr>
            <w:r>
              <w:rPr>
                <w:rFonts w:hAnsi="宋体" w:cs="宋体"/>
                <w:color w:val="000000" w:themeColor="text1"/>
                <w:sz w:val="18"/>
                <w:szCs w:val="18"/>
                <w14:textFill>
                  <w14:solidFill>
                    <w14:schemeClr w14:val="tx1"/>
                  </w14:solidFill>
                </w14:textFill>
              </w:rPr>
              <w:t>平均无故障</w:t>
            </w:r>
            <w:r>
              <w:rPr>
                <w:rFonts w:hint="eastAsia" w:hAnsi="宋体" w:cs="宋体"/>
                <w:color w:val="000000" w:themeColor="text1"/>
                <w:sz w:val="18"/>
                <w:szCs w:val="18"/>
                <w14:textFill>
                  <w14:solidFill>
                    <w14:schemeClr w14:val="tx1"/>
                  </w14:solidFill>
                </w14:textFill>
              </w:rPr>
              <w:t>时间</w:t>
            </w:r>
          </w:p>
        </w:tc>
        <w:tc>
          <w:tcPr>
            <w:tcW w:w="860" w:type="pct"/>
            <w:tcBorders>
              <w:top w:val="nil"/>
              <w:left w:val="nil"/>
              <w:bottom w:val="single" w:color="auto" w:sz="4" w:space="0"/>
              <w:right w:val="single" w:color="auto" w:sz="4" w:space="0"/>
            </w:tcBorders>
            <w:vAlign w:val="center"/>
          </w:tcPr>
          <w:p w14:paraId="5781646C">
            <w:pPr>
              <w:widowControl/>
              <w:jc w:val="center"/>
              <w:rPr>
                <w:rFonts w:hint="eastAsia" w:hAnsi="宋体" w:cs="宋体"/>
                <w:color w:val="000000" w:themeColor="text1"/>
                <w:sz w:val="18"/>
                <w:szCs w:val="18"/>
                <w14:textFill>
                  <w14:solidFill>
                    <w14:schemeClr w14:val="tx1"/>
                  </w14:solidFill>
                </w14:textFill>
              </w:rPr>
            </w:pPr>
            <w:r>
              <w:rPr>
                <w:rFonts w:hAnsi="宋体" w:cs="宋体"/>
                <w:color w:val="000000" w:themeColor="text1"/>
                <w:sz w:val="18"/>
                <w:szCs w:val="18"/>
                <w14:textFill>
                  <w14:solidFill>
                    <w14:schemeClr w14:val="tx1"/>
                  </w14:solidFill>
                </w14:textFill>
              </w:rPr>
              <w:t>h</w:t>
            </w:r>
          </w:p>
        </w:tc>
        <w:tc>
          <w:tcPr>
            <w:tcW w:w="1954" w:type="pct"/>
            <w:tcBorders>
              <w:top w:val="nil"/>
              <w:left w:val="nil"/>
              <w:bottom w:val="single" w:color="auto" w:sz="4" w:space="0"/>
              <w:right w:val="single" w:color="auto" w:sz="4" w:space="0"/>
            </w:tcBorders>
            <w:vAlign w:val="center"/>
          </w:tcPr>
          <w:p w14:paraId="33490FFE">
            <w:pPr>
              <w:widowControl/>
              <w:jc w:val="center"/>
              <w:rPr>
                <w:rFonts w:hint="eastAsia" w:hAnsi="宋体" w:cs="宋体"/>
                <w:color w:val="000000" w:themeColor="text1"/>
                <w:sz w:val="18"/>
                <w:szCs w:val="18"/>
                <w14:textFill>
                  <w14:solidFill>
                    <w14:schemeClr w14:val="tx1"/>
                  </w14:solidFill>
                </w14:textFill>
              </w:rPr>
            </w:pPr>
            <w:r>
              <w:rPr>
                <w:rFonts w:hint="eastAsia" w:hAnsi="宋体" w:cs="宋体"/>
                <w:color w:val="000000" w:themeColor="text1"/>
                <w:sz w:val="18"/>
                <w:szCs w:val="18"/>
                <w14:textFill>
                  <w14:solidFill>
                    <w14:schemeClr w14:val="tx1"/>
                  </w14:solidFill>
                </w14:textFill>
              </w:rPr>
              <w:t>≥</w:t>
            </w:r>
            <w:r>
              <w:rPr>
                <w:rFonts w:hAnsi="宋体" w:cs="宋体"/>
                <w:color w:val="000000" w:themeColor="text1"/>
                <w:sz w:val="18"/>
                <w:szCs w:val="18"/>
                <w14:textFill>
                  <w14:solidFill>
                    <w14:schemeClr w14:val="tx1"/>
                  </w14:solidFill>
                </w14:textFill>
              </w:rPr>
              <w:t>26280</w:t>
            </w:r>
            <w:r>
              <w:rPr>
                <w:rFonts w:hint="eastAsia" w:hAnsi="宋体" w:cs="宋体"/>
                <w:color w:val="000000" w:themeColor="text1"/>
                <w:sz w:val="18"/>
                <w:szCs w:val="18"/>
                <w14:textFill>
                  <w14:solidFill>
                    <w14:schemeClr w14:val="tx1"/>
                  </w14:solidFill>
                </w14:textFill>
              </w:rPr>
              <w:t>h</w:t>
            </w:r>
          </w:p>
        </w:tc>
      </w:tr>
      <w:bookmarkEnd w:id="9"/>
    </w:tbl>
    <w:p w14:paraId="456FCA93">
      <w:pPr>
        <w:pStyle w:val="4"/>
        <w:numPr>
          <w:ilvl w:val="0"/>
          <w:numId w:val="0"/>
        </w:numPr>
        <w:ind w:left="0" w:leftChars="0" w:firstLine="0" w:firstLineChars="0"/>
        <w:rPr>
          <w:color w:val="000000" w:themeColor="text1"/>
          <w14:textFill>
            <w14:solidFill>
              <w14:schemeClr w14:val="tx1"/>
            </w14:solidFill>
          </w14:textFill>
        </w:rPr>
      </w:pPr>
      <w:r>
        <w:rPr>
          <w:rFonts w:hint="eastAsia" w:asciiTheme="minorHAnsi" w:hAnsiTheme="minorHAnsi" w:eastAsiaTheme="minorEastAsia" w:cstheme="minorBidi"/>
          <w:b/>
          <w:bCs/>
          <w:color w:val="000000" w:themeColor="text1"/>
          <w:kern w:val="2"/>
          <w:sz w:val="28"/>
          <w:szCs w:val="32"/>
          <w:lang w:val="en-US" w:eastAsia="zh-CN" w:bidi="ar-SA"/>
          <w14:textFill>
            <w14:solidFill>
              <w14:schemeClr w14:val="tx1"/>
            </w14:solidFill>
          </w14:textFill>
          <w14:ligatures w14:val="standardContextual"/>
        </w:rPr>
        <w:t>3.12</w:t>
      </w:r>
      <w:r>
        <w:rPr>
          <w:rFonts w:hint="eastAsia"/>
          <w:color w:val="000000" w:themeColor="text1"/>
          <w14:textFill>
            <w14:solidFill>
              <w14:schemeClr w14:val="tx1"/>
            </w14:solidFill>
          </w14:textFill>
        </w:rPr>
        <w:t>充电机要求</w:t>
      </w:r>
    </w:p>
    <w:p w14:paraId="34E6C2DA">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要求充电枪在非</w:t>
      </w:r>
      <w:r>
        <w:rPr>
          <w:color w:val="000000" w:themeColor="text1"/>
          <w14:textFill>
            <w14:solidFill>
              <w14:schemeClr w14:val="tx1"/>
            </w14:solidFill>
          </w14:textFill>
        </w:rPr>
        <w:t>充电状态下</w:t>
      </w:r>
      <w:r>
        <w:rPr>
          <w:rFonts w:hint="eastAsia"/>
          <w:color w:val="000000" w:themeColor="text1"/>
          <w14:textFill>
            <w14:solidFill>
              <w14:schemeClr w14:val="tx1"/>
            </w14:solidFill>
          </w14:textFill>
        </w:rPr>
        <w:t>，整体不带电</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拔下充电枪，就地充电装置没有任何电源，插入充电枪、认证信息后通电，无安全隐患</w:t>
      </w:r>
      <w:r>
        <w:rPr>
          <w:color w:val="000000" w:themeColor="text1"/>
          <w14:textFill>
            <w14:solidFill>
              <w14:schemeClr w14:val="tx1"/>
            </w14:solidFill>
          </w14:textFill>
        </w:rPr>
        <w:t>。</w:t>
      </w:r>
    </w:p>
    <w:p w14:paraId="38F1EA2A">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1）充电机应外观线条流畅、整体紧凑、简洁时尚，与安装地点</w:t>
      </w:r>
      <w:r>
        <w:rPr>
          <w:color w:val="000000" w:themeColor="text1"/>
          <w14:textFill>
            <w14:solidFill>
              <w14:schemeClr w14:val="tx1"/>
            </w14:solidFill>
          </w14:textFill>
        </w:rPr>
        <w:t>周边</w:t>
      </w:r>
      <w:r>
        <w:rPr>
          <w:rFonts w:hint="eastAsia"/>
          <w:color w:val="000000" w:themeColor="text1"/>
          <w14:textFill>
            <w14:solidFill>
              <w14:schemeClr w14:val="tx1"/>
            </w14:solidFill>
          </w14:textFill>
        </w:rPr>
        <w:t>环境相协调。</w:t>
      </w:r>
    </w:p>
    <w:p w14:paraId="0B499B43">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2）充电机内部线束，应</w:t>
      </w:r>
      <w:r>
        <w:rPr>
          <w:color w:val="000000" w:themeColor="text1"/>
          <w14:textFill>
            <w14:solidFill>
              <w14:schemeClr w14:val="tx1"/>
            </w14:solidFill>
          </w14:textFill>
        </w:rPr>
        <w:t>排布整齐、</w:t>
      </w:r>
      <w:r>
        <w:rPr>
          <w:rFonts w:hint="eastAsia"/>
          <w:color w:val="000000" w:themeColor="text1"/>
          <w14:textFill>
            <w14:solidFill>
              <w14:schemeClr w14:val="tx1"/>
            </w14:solidFill>
          </w14:textFill>
        </w:rPr>
        <w:t>规整</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标识</w:t>
      </w:r>
      <w:r>
        <w:rPr>
          <w:color w:val="000000" w:themeColor="text1"/>
          <w14:textFill>
            <w14:solidFill>
              <w14:schemeClr w14:val="tx1"/>
            </w14:solidFill>
          </w14:textFill>
        </w:rPr>
        <w:t>清楚</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捆扎牢固。</w:t>
      </w:r>
    </w:p>
    <w:p w14:paraId="11AA1BF8">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14:textFill>
            <w14:solidFill>
              <w14:schemeClr w14:val="tx1"/>
            </w14:solidFill>
          </w14:textFill>
        </w:rPr>
        <w:t>）充电机内元器件应</w:t>
      </w:r>
      <w:r>
        <w:rPr>
          <w:color w:val="000000" w:themeColor="text1"/>
          <w14:textFill>
            <w14:solidFill>
              <w14:schemeClr w14:val="tx1"/>
            </w14:solidFill>
          </w14:textFill>
        </w:rPr>
        <w:t>布局</w:t>
      </w:r>
      <w:r>
        <w:rPr>
          <w:rFonts w:hint="eastAsia"/>
          <w:color w:val="000000" w:themeColor="text1"/>
          <w14:textFill>
            <w14:solidFill>
              <w14:schemeClr w14:val="tx1"/>
            </w14:solidFill>
          </w14:textFill>
        </w:rPr>
        <w:t>合理，易耗</w:t>
      </w:r>
      <w:r>
        <w:rPr>
          <w:color w:val="000000" w:themeColor="text1"/>
          <w14:textFill>
            <w14:solidFill>
              <w14:schemeClr w14:val="tx1"/>
            </w14:solidFill>
          </w14:textFill>
        </w:rPr>
        <w:t>易损元件</w:t>
      </w:r>
      <w:r>
        <w:rPr>
          <w:rFonts w:hint="eastAsia"/>
          <w:color w:val="000000" w:themeColor="text1"/>
          <w14:textFill>
            <w14:solidFill>
              <w14:schemeClr w14:val="tx1"/>
            </w14:solidFill>
          </w14:textFill>
        </w:rPr>
        <w:t>方便</w:t>
      </w:r>
      <w:r>
        <w:rPr>
          <w:color w:val="000000" w:themeColor="text1"/>
          <w14:textFill>
            <w14:solidFill>
              <w14:schemeClr w14:val="tx1"/>
            </w14:solidFill>
          </w14:textFill>
        </w:rPr>
        <w:t>更换。</w:t>
      </w:r>
    </w:p>
    <w:p w14:paraId="76EA1F3F">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4</w:t>
      </w:r>
      <w:r>
        <w:rPr>
          <w:rFonts w:hint="eastAsia"/>
          <w:color w:val="000000" w:themeColor="text1"/>
          <w14:textFill>
            <w14:solidFill>
              <w14:schemeClr w14:val="tx1"/>
            </w14:solidFill>
          </w14:textFill>
        </w:rPr>
        <w:t>）充电机安装</w:t>
      </w:r>
      <w:r>
        <w:rPr>
          <w:color w:val="000000" w:themeColor="text1"/>
          <w14:textFill>
            <w14:solidFill>
              <w14:schemeClr w14:val="tx1"/>
            </w14:solidFill>
          </w14:textFill>
        </w:rPr>
        <w:t>于户外时，应</w:t>
      </w:r>
      <w:r>
        <w:rPr>
          <w:rFonts w:hint="eastAsia"/>
          <w:color w:val="000000" w:themeColor="text1"/>
          <w14:textFill>
            <w14:solidFill>
              <w14:schemeClr w14:val="tx1"/>
            </w14:solidFill>
          </w14:textFill>
        </w:rPr>
        <w:t>便于特殊</w:t>
      </w:r>
      <w:r>
        <w:rPr>
          <w:color w:val="000000" w:themeColor="text1"/>
          <w14:textFill>
            <w14:solidFill>
              <w14:schemeClr w14:val="tx1"/>
            </w14:solidFill>
          </w14:textFill>
        </w:rPr>
        <w:t>天气条件下的</w:t>
      </w:r>
      <w:r>
        <w:rPr>
          <w:rFonts w:hint="eastAsia"/>
          <w:color w:val="000000" w:themeColor="text1"/>
          <w14:textFill>
            <w14:solidFill>
              <w14:schemeClr w14:val="tx1"/>
            </w14:solidFill>
          </w14:textFill>
        </w:rPr>
        <w:t>日常</w:t>
      </w:r>
      <w:r>
        <w:rPr>
          <w:color w:val="000000" w:themeColor="text1"/>
          <w14:textFill>
            <w14:solidFill>
              <w14:schemeClr w14:val="tx1"/>
            </w14:solidFill>
          </w14:textFill>
        </w:rPr>
        <w:t>维护。</w:t>
      </w:r>
    </w:p>
    <w:p w14:paraId="0B0A9216">
      <w:pPr>
        <w:pStyle w:val="11"/>
        <w:spacing w:line="360" w:lineRule="auto"/>
        <w:ind w:firstLine="440"/>
        <w:rPr>
          <w:rFonts w:hint="eastAsia"/>
          <w:color w:val="000000" w:themeColor="text1"/>
          <w14:textFill>
            <w14:solidFill>
              <w14:schemeClr w14:val="tx1"/>
            </w14:solidFill>
          </w14:textFill>
        </w:rPr>
      </w:pPr>
      <w:r>
        <w:rPr>
          <w:color w:val="000000" w:themeColor="text1"/>
          <w14:textFill>
            <w14:solidFill>
              <w14:schemeClr w14:val="tx1"/>
            </w14:solidFill>
          </w14:textFill>
        </w:rPr>
        <w:t>5</w:t>
      </w:r>
      <w:r>
        <w:rPr>
          <w:rFonts w:hint="eastAsia"/>
          <w:color w:val="000000" w:themeColor="text1"/>
          <w14:textFill>
            <w14:solidFill>
              <w14:schemeClr w14:val="tx1"/>
            </w14:solidFill>
          </w14:textFill>
        </w:rPr>
        <w:t>）充电机应采用抗冲击力强、抗老化的材质。</w:t>
      </w:r>
    </w:p>
    <w:p w14:paraId="3777C193">
      <w:pPr>
        <w:pStyle w:val="11"/>
        <w:spacing w:line="360" w:lineRule="auto"/>
        <w:ind w:firstLine="44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6）充电机表面涂覆色泽层应均匀光洁，不起泡、不龟裂、不脱落。</w:t>
      </w:r>
    </w:p>
    <w:p w14:paraId="3A735F87">
      <w:pPr>
        <w:pStyle w:val="11"/>
        <w:spacing w:line="360" w:lineRule="auto"/>
        <w:ind w:firstLine="440"/>
        <w:rPr>
          <w:rFonts w:hint="eastAsia" w:ascii="仿宋_GB2312" w:hAnsi="宋体" w:eastAsia="仿宋_GB2312"/>
          <w:color w:val="000000" w:themeColor="text1"/>
          <w:sz w:val="28"/>
          <w:szCs w:val="28"/>
          <w:highlight w:val="none"/>
          <w:lang w:val="en-US" w:eastAsia="zh-CN"/>
          <w14:textFill>
            <w14:solidFill>
              <w14:schemeClr w14:val="tx1"/>
            </w14:solidFill>
          </w14:textFill>
        </w:rPr>
      </w:pPr>
      <w:r>
        <w:rPr>
          <w:color w:val="000000" w:themeColor="text1"/>
          <w14:textFill>
            <w14:solidFill>
              <w14:schemeClr w14:val="tx1"/>
            </w14:solidFill>
          </w14:textFill>
        </w:rPr>
        <w:t>7</w:t>
      </w:r>
      <w:r>
        <w:rPr>
          <w:rFonts w:hint="eastAsia"/>
          <w:color w:val="000000" w:themeColor="text1"/>
          <w14:textFill>
            <w14:solidFill>
              <w14:schemeClr w14:val="tx1"/>
            </w14:solidFill>
          </w14:textFill>
        </w:rPr>
        <w:t>）非绝缘材料外壳应可靠接地，结构上应防止操作人员触及带电部件。</w:t>
      </w:r>
    </w:p>
    <w:p w14:paraId="3C8D78B0">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 xml:space="preserve">六、联系方式 </w:t>
      </w:r>
    </w:p>
    <w:p w14:paraId="1A5BCB8F">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w:t>
      </w:r>
      <w:r>
        <w:rPr>
          <w:rFonts w:ascii="仿宋_GB2312" w:hAnsi="宋体" w:eastAsia="仿宋_GB2312"/>
          <w:sz w:val="28"/>
          <w:szCs w:val="21"/>
          <w:highlight w:val="none"/>
        </w:rPr>
        <w:t xml:space="preserve"> </w:t>
      </w:r>
      <w:r>
        <w:rPr>
          <w:rFonts w:hint="eastAsia" w:ascii="仿宋_GB2312" w:hAnsi="宋体" w:eastAsia="仿宋_GB2312"/>
          <w:sz w:val="28"/>
          <w:szCs w:val="21"/>
          <w:highlight w:val="none"/>
          <w:lang w:eastAsia="zh-CN"/>
        </w:rPr>
        <w:t>山东泛海光能科技有限公司</w:t>
      </w:r>
    </w:p>
    <w:p w14:paraId="4E9CFBB3">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采购人地址：</w:t>
      </w:r>
      <w:r>
        <w:rPr>
          <w:rFonts w:hint="eastAsia" w:ascii="仿宋_GB2312" w:hAnsi="宋体" w:eastAsia="仿宋_GB2312"/>
          <w:sz w:val="28"/>
          <w:szCs w:val="21"/>
          <w:highlight w:val="none"/>
          <w:lang w:eastAsia="zh-CN"/>
        </w:rPr>
        <w:t>山东省威海市乳山市胜利街兴农巷13号</w:t>
      </w:r>
    </w:p>
    <w:p w14:paraId="7770D831">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联系人：</w:t>
      </w:r>
      <w:r>
        <w:rPr>
          <w:rFonts w:hint="eastAsia" w:ascii="仿宋_GB2312" w:hAnsi="宋体" w:eastAsia="仿宋_GB2312"/>
          <w:sz w:val="28"/>
          <w:szCs w:val="21"/>
          <w:highlight w:val="none"/>
          <w:lang w:eastAsia="zh-CN"/>
        </w:rPr>
        <w:t>宋燕</w:t>
      </w:r>
    </w:p>
    <w:p w14:paraId="3F22CBA8">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联系电话：</w:t>
      </w:r>
      <w:r>
        <w:rPr>
          <w:rFonts w:hint="eastAsia" w:ascii="仿宋_GB2312" w:hAnsi="宋体" w:eastAsia="仿宋_GB2312"/>
          <w:sz w:val="28"/>
          <w:szCs w:val="21"/>
          <w:highlight w:val="none"/>
          <w:lang w:eastAsia="zh-CN"/>
        </w:rPr>
        <w:t>18263124793</w:t>
      </w:r>
    </w:p>
    <w:p w14:paraId="34EBCF9D">
      <w:pPr>
        <w:spacing w:line="560" w:lineRule="exact"/>
        <w:ind w:firstLine="560" w:firstLineChars="200"/>
        <w:rPr>
          <w:rFonts w:ascii="仿宋_GB2312" w:hAnsi="宋体" w:eastAsia="仿宋_GB2312"/>
          <w:sz w:val="28"/>
          <w:szCs w:val="21"/>
        </w:rPr>
      </w:pPr>
    </w:p>
    <w:p w14:paraId="55887CDF">
      <w:pPr>
        <w:sectPr>
          <w:pgSz w:w="11906" w:h="16838"/>
          <w:pgMar w:top="1440" w:right="1077" w:bottom="1440" w:left="1077" w:header="851" w:footer="992" w:gutter="0"/>
          <w:cols w:space="720" w:num="1"/>
          <w:docGrid w:type="lines" w:linePitch="312" w:charSpace="0"/>
        </w:sectPr>
      </w:pPr>
    </w:p>
    <w:p w14:paraId="702B51BF">
      <w:pPr>
        <w:pStyle w:val="28"/>
        <w:spacing w:before="100" w:beforeAutospacing="1" w:after="100" w:afterAutospacing="1" w:line="415" w:lineRule="auto"/>
        <w:rPr>
          <w:rFonts w:ascii="宋体" w:hAnsi="宋体" w:cs="宋体"/>
          <w:sz w:val="44"/>
          <w:szCs w:val="44"/>
        </w:rPr>
      </w:pPr>
      <w:r>
        <w:rPr>
          <w:rFonts w:hint="eastAsia" w:ascii="宋体" w:hAnsi="宋体" w:cs="宋体"/>
          <w:sz w:val="44"/>
          <w:szCs w:val="44"/>
        </w:rPr>
        <w:t xml:space="preserve">第四章 </w:t>
      </w:r>
      <w:r>
        <w:rPr>
          <w:rFonts w:hint="eastAsia" w:ascii="楷体_GB2312" w:hAnsi="宋体" w:eastAsia="楷体_GB2312" w:cs="宋体"/>
          <w:sz w:val="44"/>
          <w:szCs w:val="44"/>
        </w:rPr>
        <w:t>评标原则、程序与方法</w:t>
      </w:r>
    </w:p>
    <w:p w14:paraId="48EC0B51">
      <w:pPr>
        <w:spacing w:line="720" w:lineRule="auto"/>
        <w:ind w:firstLine="562" w:firstLineChars="200"/>
        <w:rPr>
          <w:rFonts w:ascii="楷体_GB2312" w:eastAsia="楷体_GB2312"/>
          <w:b/>
          <w:sz w:val="28"/>
          <w:szCs w:val="28"/>
        </w:rPr>
      </w:pPr>
      <w:r>
        <w:rPr>
          <w:rFonts w:hint="eastAsia" w:ascii="楷体_GB2312" w:eastAsia="楷体_GB2312"/>
          <w:b/>
          <w:sz w:val="28"/>
          <w:szCs w:val="28"/>
        </w:rPr>
        <w:t>一、评审原则</w:t>
      </w:r>
      <w:r>
        <w:rPr>
          <w:rFonts w:ascii="楷体_GB2312" w:eastAsia="楷体_GB2312"/>
          <w:b/>
          <w:sz w:val="28"/>
          <w:szCs w:val="28"/>
        </w:rPr>
        <w:t xml:space="preserve"> </w:t>
      </w:r>
    </w:p>
    <w:p w14:paraId="227AF0E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14:paraId="6177A20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58FF2E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14:paraId="3E65AA1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14:paraId="5D3BBE20">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14:paraId="57F9B62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14:paraId="21CED369">
      <w:pPr>
        <w:spacing w:line="720" w:lineRule="auto"/>
        <w:ind w:firstLine="562" w:firstLineChars="200"/>
        <w:rPr>
          <w:rFonts w:ascii="楷体_GB2312" w:eastAsia="楷体_GB2312"/>
          <w:b/>
          <w:sz w:val="28"/>
          <w:szCs w:val="28"/>
        </w:rPr>
      </w:pPr>
      <w:r>
        <w:rPr>
          <w:rFonts w:hint="eastAsia" w:ascii="楷体_GB2312" w:eastAsia="楷体_GB2312"/>
          <w:b/>
          <w:sz w:val="28"/>
          <w:szCs w:val="28"/>
        </w:rPr>
        <w:t>二、评标程序</w:t>
      </w:r>
    </w:p>
    <w:p w14:paraId="16912EA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1．宣布评标纪律；</w:t>
      </w:r>
    </w:p>
    <w:p w14:paraId="5AB859E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14:paraId="6D5E799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14:paraId="5C6C75C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4．核对评审专家身份和采购人代表授权函。</w:t>
      </w:r>
    </w:p>
    <w:p w14:paraId="47EFCD0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14:paraId="55996F0A">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14:paraId="7A45C93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14:paraId="62463DF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14:paraId="3BC4230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6E812F9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9.澄清、说明或者补正</w:t>
      </w:r>
    </w:p>
    <w:p w14:paraId="6D0AADF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4DC0799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14:paraId="6C04FA0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10.比较与评价</w:t>
      </w:r>
    </w:p>
    <w:p w14:paraId="15F9DC6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2D88414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11.出现下列情况之一的，均予以废标</w:t>
      </w:r>
    </w:p>
    <w:p w14:paraId="5F3D9BB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(1)合格的投标人或参加投标的企业不足三家的；</w:t>
      </w:r>
    </w:p>
    <w:p w14:paraId="598C4BB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(2)出现影响采购公正的违法、违规行为的；</w:t>
      </w:r>
    </w:p>
    <w:p w14:paraId="7640C1A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14:paraId="2D531E22">
      <w:pPr>
        <w:spacing w:line="520" w:lineRule="exact"/>
        <w:ind w:firstLine="560" w:firstLineChars="200"/>
        <w:rPr>
          <w:rFonts w:ascii="宋体" w:hAnsi="宋体"/>
          <w:sz w:val="24"/>
          <w:szCs w:val="21"/>
        </w:rPr>
      </w:pPr>
      <w:r>
        <w:rPr>
          <w:rFonts w:hint="eastAsia" w:ascii="仿宋_GB2312" w:hAnsi="宋体" w:eastAsia="仿宋_GB2312"/>
          <w:sz w:val="28"/>
          <w:szCs w:val="21"/>
        </w:rPr>
        <w:t>(4)因重大变故，采购任务取消的。</w:t>
      </w:r>
    </w:p>
    <w:p w14:paraId="68B7C3CF">
      <w:pPr>
        <w:spacing w:line="720" w:lineRule="auto"/>
        <w:ind w:firstLine="562" w:firstLineChars="200"/>
        <w:rPr>
          <w:rFonts w:ascii="楷体_GB2312" w:eastAsia="楷体_GB2312"/>
          <w:b/>
          <w:sz w:val="28"/>
          <w:szCs w:val="28"/>
        </w:rPr>
      </w:pPr>
      <w:r>
        <w:rPr>
          <w:rFonts w:hint="eastAsia" w:ascii="楷体_GB2312" w:eastAsia="楷体_GB2312"/>
          <w:b/>
          <w:sz w:val="28"/>
          <w:szCs w:val="28"/>
        </w:rPr>
        <w:t>三、评标方法</w:t>
      </w:r>
    </w:p>
    <w:p w14:paraId="6CDFC4A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5F87F61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0"/>
        <w:tblW w:w="975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773"/>
        <w:gridCol w:w="1665"/>
        <w:gridCol w:w="4688"/>
        <w:gridCol w:w="1026"/>
        <w:gridCol w:w="773"/>
      </w:tblGrid>
      <w:tr w14:paraId="03FA2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58EBE69">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402B9A30">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3C6E752">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8"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0A5245B">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A70A2A8">
            <w:pPr>
              <w:pStyle w:val="11"/>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0E1CDA94">
            <w:pPr>
              <w:pStyle w:val="11"/>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5BFBF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2ECC0026">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1</w:t>
            </w:r>
          </w:p>
        </w:tc>
        <w:tc>
          <w:tcPr>
            <w:tcW w:w="773" w:type="dxa"/>
            <w:tcBorders>
              <w:top w:val="single" w:color="000000" w:sz="4" w:space="0"/>
              <w:left w:val="single" w:color="000000" w:sz="4" w:space="0"/>
              <w:bottom w:val="single" w:color="000000" w:sz="4" w:space="0"/>
              <w:right w:val="single" w:color="000000" w:sz="4" w:space="0"/>
            </w:tcBorders>
            <w:vAlign w:val="center"/>
          </w:tcPr>
          <w:p w14:paraId="632E86EC">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价格</w:t>
            </w:r>
          </w:p>
        </w:tc>
        <w:tc>
          <w:tcPr>
            <w:tcW w:w="1665" w:type="dxa"/>
            <w:tcBorders>
              <w:top w:val="single" w:color="000000" w:sz="4" w:space="0"/>
              <w:left w:val="single" w:color="000000" w:sz="4" w:space="0"/>
              <w:bottom w:val="single" w:color="000000" w:sz="4" w:space="0"/>
              <w:right w:val="single" w:color="000000" w:sz="4" w:space="0"/>
            </w:tcBorders>
            <w:vAlign w:val="center"/>
          </w:tcPr>
          <w:p w14:paraId="0AFAF2C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报价</w:t>
            </w:r>
          </w:p>
        </w:tc>
        <w:tc>
          <w:tcPr>
            <w:tcW w:w="4688" w:type="dxa"/>
            <w:tcBorders>
              <w:top w:val="single" w:color="000000" w:sz="4" w:space="0"/>
              <w:left w:val="single" w:color="000000" w:sz="4" w:space="0"/>
              <w:bottom w:val="single" w:color="000000" w:sz="4" w:space="0"/>
              <w:right w:val="single" w:color="000000" w:sz="4" w:space="0"/>
            </w:tcBorders>
            <w:vAlign w:val="center"/>
          </w:tcPr>
          <w:p w14:paraId="583FF35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报价采用低价优先法计算，满足采购文件要求且最终报价最低的报价单位的价格为评审基准价，其价格分为满分。其他报价单位的价格分统一按照下列公式计算：报价得分=（评审基准价/最终报价）×30分</w:t>
            </w:r>
          </w:p>
        </w:tc>
        <w:tc>
          <w:tcPr>
            <w:tcW w:w="1026" w:type="dxa"/>
            <w:tcBorders>
              <w:top w:val="single" w:color="000000" w:sz="4" w:space="0"/>
              <w:left w:val="single" w:color="000000" w:sz="4" w:space="0"/>
              <w:bottom w:val="single" w:color="000000" w:sz="4" w:space="0"/>
              <w:right w:val="single" w:color="000000" w:sz="4" w:space="0"/>
            </w:tcBorders>
            <w:vAlign w:val="center"/>
          </w:tcPr>
          <w:p w14:paraId="2866210D">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系统分</w:t>
            </w:r>
          </w:p>
        </w:tc>
        <w:tc>
          <w:tcPr>
            <w:tcW w:w="773" w:type="dxa"/>
            <w:tcBorders>
              <w:top w:val="single" w:color="000000" w:sz="4" w:space="0"/>
              <w:left w:val="single" w:color="000000" w:sz="4" w:space="0"/>
              <w:bottom w:val="single" w:color="000000" w:sz="4" w:space="0"/>
              <w:right w:val="single" w:color="000000" w:sz="4" w:space="0"/>
            </w:tcBorders>
            <w:vAlign w:val="center"/>
          </w:tcPr>
          <w:p w14:paraId="710EB328">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30</w:t>
            </w:r>
          </w:p>
        </w:tc>
      </w:tr>
      <w:tr w14:paraId="4B4A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3D52D3F4">
            <w:pPr>
              <w:pStyle w:val="11"/>
              <w:ind w:firstLine="0"/>
              <w:jc w:val="center"/>
              <w:rPr>
                <w:rFonts w:hint="eastAsia"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w:t>
            </w:r>
          </w:p>
        </w:tc>
        <w:tc>
          <w:tcPr>
            <w:tcW w:w="773" w:type="dxa"/>
            <w:tcBorders>
              <w:top w:val="single" w:color="000000" w:sz="4" w:space="0"/>
              <w:left w:val="single" w:color="000000" w:sz="4" w:space="0"/>
              <w:bottom w:val="single" w:color="000000" w:sz="4" w:space="0"/>
              <w:right w:val="single" w:color="000000" w:sz="4" w:space="0"/>
            </w:tcBorders>
            <w:vAlign w:val="center"/>
          </w:tcPr>
          <w:p w14:paraId="2D9A096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商务</w:t>
            </w:r>
          </w:p>
        </w:tc>
        <w:tc>
          <w:tcPr>
            <w:tcW w:w="1665" w:type="dxa"/>
            <w:tcBorders>
              <w:top w:val="single" w:color="000000" w:sz="4" w:space="0"/>
              <w:left w:val="single" w:color="000000" w:sz="4" w:space="0"/>
              <w:bottom w:val="single" w:color="000000" w:sz="4" w:space="0"/>
              <w:right w:val="single" w:color="000000" w:sz="4" w:space="0"/>
            </w:tcBorders>
            <w:vAlign w:val="center"/>
          </w:tcPr>
          <w:p w14:paraId="0966FB5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业绩</w:t>
            </w:r>
          </w:p>
        </w:tc>
        <w:tc>
          <w:tcPr>
            <w:tcW w:w="4688" w:type="dxa"/>
            <w:tcBorders>
              <w:top w:val="single" w:color="000000" w:sz="4" w:space="0"/>
              <w:left w:val="single" w:color="000000" w:sz="4" w:space="0"/>
              <w:bottom w:val="single" w:color="000000" w:sz="4" w:space="0"/>
              <w:right w:val="single" w:color="000000" w:sz="4" w:space="0"/>
            </w:tcBorders>
            <w:vAlign w:val="center"/>
          </w:tcPr>
          <w:p w14:paraId="151B101B">
            <w:pPr>
              <w:pStyle w:val="11"/>
              <w:ind w:firstLine="240" w:firstLineChars="100"/>
              <w:rPr>
                <w:rFonts w:ascii="仿宋_GB2312" w:hAnsi="宋体" w:eastAsia="仿宋_GB2312" w:cs="宋体"/>
                <w:sz w:val="24"/>
                <w:szCs w:val="24"/>
                <w:highlight w:val="none"/>
              </w:rPr>
            </w:pPr>
            <w:r>
              <w:rPr>
                <w:rFonts w:hint="eastAsia" w:ascii="仿宋_GB2312" w:hAnsi="宋体" w:eastAsia="仿宋_GB2312" w:cs="宋体"/>
                <w:sz w:val="24"/>
                <w:szCs w:val="24"/>
                <w:highlight w:val="none"/>
              </w:rPr>
              <w:t>投标人近3年（指从开标日向前推算，精确到日，以此类推，以合同签订时间为准）完成的类似业绩，每有1项得</w:t>
            </w:r>
            <w:r>
              <w:rPr>
                <w:rFonts w:hint="eastAsia" w:ascii="仿宋_GB2312" w:hAnsi="宋体" w:eastAsia="仿宋_GB2312" w:cs="宋体"/>
                <w:sz w:val="24"/>
                <w:szCs w:val="24"/>
                <w:highlight w:val="none"/>
                <w:lang w:val="en-US" w:eastAsia="zh-CN"/>
              </w:rPr>
              <w:t>1</w:t>
            </w:r>
            <w:r>
              <w:rPr>
                <w:rFonts w:hint="eastAsia" w:ascii="仿宋_GB2312" w:hAnsi="宋体" w:eastAsia="仿宋_GB2312" w:cs="宋体"/>
                <w:sz w:val="24"/>
                <w:szCs w:val="24"/>
                <w:highlight w:val="none"/>
              </w:rPr>
              <w:t>分，最高得</w:t>
            </w:r>
            <w:r>
              <w:rPr>
                <w:rFonts w:ascii="仿宋_GB2312" w:hAnsi="宋体" w:eastAsia="仿宋_GB2312" w:cs="宋体"/>
                <w:sz w:val="24"/>
                <w:szCs w:val="24"/>
                <w:highlight w:val="none"/>
              </w:rPr>
              <w:t>4</w:t>
            </w:r>
            <w:r>
              <w:rPr>
                <w:rFonts w:hint="eastAsia" w:ascii="仿宋_GB2312" w:hAnsi="宋体" w:eastAsia="仿宋_GB2312" w:cs="宋体"/>
                <w:sz w:val="24"/>
                <w:szCs w:val="24"/>
                <w:highlight w:val="none"/>
              </w:rPr>
              <w:t>分。</w:t>
            </w:r>
          </w:p>
          <w:p w14:paraId="4EC46941">
            <w:pPr>
              <w:pStyle w:val="11"/>
              <w:ind w:firstLine="240" w:firstLineChars="100"/>
              <w:rPr>
                <w:rFonts w:ascii="仿宋_GB2312" w:hAnsi="宋体" w:eastAsia="仿宋_GB2312"/>
                <w:sz w:val="24"/>
                <w:szCs w:val="24"/>
                <w:highlight w:val="none"/>
              </w:rPr>
            </w:pPr>
            <w:r>
              <w:rPr>
                <w:rFonts w:hint="eastAsia" w:ascii="仿宋_GB2312" w:hAnsi="宋体" w:eastAsia="仿宋_GB2312" w:cs="宋体"/>
                <w:sz w:val="24"/>
                <w:szCs w:val="24"/>
                <w:highlight w:val="none"/>
              </w:rPr>
              <w:t>【投标文件附中标通知书、合同扫描件】</w:t>
            </w:r>
          </w:p>
        </w:tc>
        <w:tc>
          <w:tcPr>
            <w:tcW w:w="1026" w:type="dxa"/>
            <w:tcBorders>
              <w:top w:val="single" w:color="000000" w:sz="4" w:space="0"/>
              <w:left w:val="single" w:color="000000" w:sz="4" w:space="0"/>
              <w:bottom w:val="single" w:color="000000" w:sz="4" w:space="0"/>
              <w:right w:val="single" w:color="000000" w:sz="4" w:space="0"/>
            </w:tcBorders>
            <w:vAlign w:val="center"/>
          </w:tcPr>
          <w:p w14:paraId="6006D51A">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012A3545">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4</w:t>
            </w:r>
          </w:p>
        </w:tc>
      </w:tr>
      <w:tr w14:paraId="3B9FC9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A523C8F">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CBE43">
            <w:pPr>
              <w:pStyle w:val="11"/>
              <w:ind w:firstLine="0" w:firstLineChars="0"/>
              <w:jc w:val="center"/>
              <w:rPr>
                <w:rFonts w:hint="eastAsia"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商务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63B62">
            <w:pPr>
              <w:pStyle w:val="11"/>
              <w:ind w:firstLine="0" w:firstLineChars="0"/>
              <w:jc w:val="center"/>
              <w:rPr>
                <w:rFonts w:hint="eastAsia"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产品选型</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95361">
            <w:pPr>
              <w:pStyle w:val="11"/>
              <w:ind w:firstLine="240" w:firstLineChars="100"/>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eastAsia="zh-CN"/>
              </w:rPr>
              <w:tab/>
            </w:r>
            <w:r>
              <w:rPr>
                <w:rFonts w:hint="eastAsia" w:ascii="仿宋_GB2312" w:hAnsi="宋体" w:eastAsia="仿宋_GB2312"/>
                <w:sz w:val="24"/>
                <w:szCs w:val="24"/>
                <w:highlight w:val="none"/>
                <w:lang w:eastAsia="zh-CN"/>
              </w:rPr>
              <w:t>评审专家根据供应商所报产品的品牌、型号、产品检测报告、用户清单和生产厂家所获资信、荣誉、产品认证等证明文件的扫描件，对产品的市场认知度、专业优势等各方面情况以</w:t>
            </w:r>
            <w:r>
              <w:rPr>
                <w:rFonts w:hint="eastAsia" w:ascii="仿宋_GB2312" w:hAnsi="宋体" w:eastAsia="仿宋_GB2312"/>
                <w:sz w:val="24"/>
                <w:szCs w:val="24"/>
                <w:highlight w:val="none"/>
                <w:lang w:val="en-US" w:eastAsia="zh-CN"/>
              </w:rPr>
              <w:t>0.</w:t>
            </w:r>
            <w:r>
              <w:rPr>
                <w:rFonts w:hint="eastAsia" w:ascii="仿宋_GB2312" w:hAnsi="宋体" w:eastAsia="仿宋_GB2312"/>
                <w:sz w:val="24"/>
                <w:szCs w:val="24"/>
                <w:highlight w:val="none"/>
                <w:lang w:eastAsia="zh-CN"/>
              </w:rPr>
              <w:t>1分为单位进行综合</w:t>
            </w:r>
            <w:r>
              <w:rPr>
                <w:rFonts w:hint="eastAsia" w:ascii="仿宋_GB2312" w:hAnsi="宋体" w:eastAsia="仿宋_GB2312"/>
                <w:sz w:val="24"/>
                <w:szCs w:val="24"/>
                <w:highlight w:val="none"/>
                <w:lang w:val="en-US" w:eastAsia="zh-CN"/>
              </w:rPr>
              <w:t>打分</w:t>
            </w:r>
            <w:r>
              <w:rPr>
                <w:rFonts w:hint="eastAsia" w:ascii="仿宋_GB2312" w:hAnsi="宋体" w:eastAsia="仿宋_GB2312"/>
                <w:sz w:val="24"/>
                <w:szCs w:val="24"/>
                <w:highlight w:val="none"/>
                <w:lang w:eastAsia="zh-CN"/>
              </w:rPr>
              <w:t>。</w:t>
            </w:r>
          </w:p>
          <w:p w14:paraId="2AB0A25B">
            <w:pPr>
              <w:pStyle w:val="11"/>
              <w:ind w:firstLine="240" w:firstLineChars="100"/>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eastAsia="zh-CN"/>
              </w:rPr>
              <w:t>【13</w:t>
            </w:r>
            <w:r>
              <w:rPr>
                <w:rFonts w:hint="eastAsia" w:ascii="仿宋_GB2312" w:hAnsi="宋体" w:eastAsia="仿宋_GB2312"/>
                <w:sz w:val="24"/>
                <w:szCs w:val="24"/>
                <w:highlight w:val="none"/>
                <w:lang w:val="en-US" w:eastAsia="zh-CN"/>
              </w:rPr>
              <w:t>-</w:t>
            </w:r>
            <w:r>
              <w:rPr>
                <w:rFonts w:hint="eastAsia" w:ascii="仿宋_GB2312" w:hAnsi="宋体" w:eastAsia="仿宋_GB2312"/>
                <w:sz w:val="24"/>
                <w:szCs w:val="24"/>
                <w:highlight w:val="none"/>
                <w:lang w:eastAsia="zh-CN"/>
              </w:rPr>
              <w:t>20分】产品的市场认知度和品牌声誉度高、专业优势强、厂家资信好；</w:t>
            </w:r>
          </w:p>
          <w:p w14:paraId="5551491C">
            <w:pPr>
              <w:pStyle w:val="11"/>
              <w:ind w:firstLine="240" w:firstLineChars="100"/>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eastAsia="zh-CN"/>
              </w:rPr>
              <w:t>【7</w:t>
            </w:r>
            <w:r>
              <w:rPr>
                <w:rFonts w:hint="eastAsia" w:ascii="仿宋_GB2312" w:hAnsi="宋体" w:eastAsia="仿宋_GB2312"/>
                <w:sz w:val="24"/>
                <w:szCs w:val="24"/>
                <w:highlight w:val="none"/>
                <w:lang w:val="en-US" w:eastAsia="zh-CN"/>
              </w:rPr>
              <w:t>-</w:t>
            </w:r>
            <w:r>
              <w:rPr>
                <w:rFonts w:hint="eastAsia" w:ascii="仿宋_GB2312" w:hAnsi="宋体" w:eastAsia="仿宋_GB2312"/>
                <w:sz w:val="24"/>
                <w:szCs w:val="24"/>
                <w:highlight w:val="none"/>
                <w:lang w:eastAsia="zh-CN"/>
              </w:rPr>
              <w:t>12分】产品的市场认知度和品牌声誉度比较好、专业优势较强、厂家资信较好；</w:t>
            </w:r>
          </w:p>
          <w:p w14:paraId="499A8B63">
            <w:pPr>
              <w:pStyle w:val="11"/>
              <w:ind w:firstLine="240" w:firstLineChars="100"/>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eastAsia="zh-CN"/>
              </w:rPr>
              <w:t>【0</w:t>
            </w:r>
            <w:r>
              <w:rPr>
                <w:rFonts w:hint="eastAsia" w:ascii="仿宋_GB2312" w:hAnsi="宋体" w:eastAsia="仿宋_GB2312"/>
                <w:sz w:val="24"/>
                <w:szCs w:val="24"/>
                <w:highlight w:val="none"/>
                <w:lang w:val="en-US" w:eastAsia="zh-CN"/>
              </w:rPr>
              <w:t>-</w:t>
            </w:r>
            <w:r>
              <w:rPr>
                <w:rFonts w:hint="eastAsia" w:ascii="仿宋_GB2312" w:hAnsi="宋体" w:eastAsia="仿宋_GB2312"/>
                <w:sz w:val="24"/>
                <w:szCs w:val="24"/>
                <w:highlight w:val="none"/>
                <w:lang w:eastAsia="zh-CN"/>
              </w:rPr>
              <w:t>6分】产品的市场认知度和品牌声誉度一般、专业优势一般、厂家资信一般。</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9D95E">
            <w:pPr>
              <w:pStyle w:val="11"/>
              <w:ind w:firstLine="0" w:firstLineChars="0"/>
              <w:jc w:val="center"/>
              <w:rPr>
                <w:rFonts w:hint="eastAsia"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7EB17DD2">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20</w:t>
            </w:r>
          </w:p>
        </w:tc>
      </w:tr>
      <w:tr w14:paraId="4C4D1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B7271B3">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DEA9">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AABF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供货方案</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4B7E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评委根据供货方案以0.1分为单位进行打分：</w:t>
            </w:r>
          </w:p>
          <w:p w14:paraId="711F1103">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lang w:val="en-US" w:eastAsia="zh-CN"/>
              </w:rPr>
              <w:t>11-15</w:t>
            </w:r>
            <w:r>
              <w:rPr>
                <w:rFonts w:hint="eastAsia" w:ascii="仿宋_GB2312" w:hAnsi="宋体" w:eastAsia="仿宋_GB2312"/>
                <w:sz w:val="24"/>
                <w:szCs w:val="24"/>
                <w:highlight w:val="none"/>
              </w:rPr>
              <w:t>分</w:t>
            </w: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供货计划完整、方案详细、按期供货等措施及人员配备完美，能够很好的满足采购需求,</w:t>
            </w: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 xml:space="preserve"> </w:t>
            </w:r>
          </w:p>
          <w:p w14:paraId="13F131D1">
            <w:pPr>
              <w:pStyle w:val="11"/>
              <w:ind w:firstLine="240" w:firstLineChars="100"/>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lang w:val="en-US" w:eastAsia="zh-CN"/>
              </w:rPr>
              <w:t>6-10</w:t>
            </w:r>
            <w:r>
              <w:rPr>
                <w:rFonts w:hint="eastAsia" w:ascii="仿宋_GB2312" w:hAnsi="宋体" w:eastAsia="仿宋_GB2312"/>
                <w:sz w:val="24"/>
                <w:szCs w:val="24"/>
                <w:highlight w:val="none"/>
              </w:rPr>
              <w:t xml:space="preserve">分 </w:t>
            </w: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供货计划较完整、方案详细、按期供货等措施及人员配备良好，能够较好的满足采购需求,</w:t>
            </w:r>
            <w:r>
              <w:rPr>
                <w:rFonts w:hint="eastAsia" w:ascii="仿宋_GB2312" w:hAnsi="宋体" w:eastAsia="仿宋_GB2312"/>
                <w:sz w:val="24"/>
                <w:szCs w:val="24"/>
                <w:highlight w:val="none"/>
                <w:lang w:eastAsia="zh-CN"/>
              </w:rPr>
              <w:t>；</w:t>
            </w:r>
          </w:p>
          <w:p w14:paraId="4099022B">
            <w:pPr>
              <w:pStyle w:val="11"/>
              <w:ind w:firstLine="240" w:firstLineChars="100"/>
              <w:rPr>
                <w:rFonts w:hint="eastAsia"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0-</w:t>
            </w:r>
            <w:r>
              <w:rPr>
                <w:rFonts w:hint="eastAsia" w:ascii="仿宋_GB2312" w:hAnsi="宋体" w:eastAsia="仿宋_GB2312"/>
                <w:sz w:val="24"/>
                <w:szCs w:val="24"/>
                <w:highlight w:val="none"/>
                <w:lang w:val="en-US" w:eastAsia="zh-CN"/>
              </w:rPr>
              <w:t>5</w:t>
            </w:r>
            <w:r>
              <w:rPr>
                <w:rFonts w:hint="eastAsia" w:ascii="仿宋_GB2312" w:hAnsi="宋体" w:eastAsia="仿宋_GB2312"/>
                <w:sz w:val="24"/>
                <w:szCs w:val="24"/>
                <w:highlight w:val="none"/>
              </w:rPr>
              <w:t>分</w:t>
            </w: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供货计划一般、方案一般、只有基本的供货措施及人员，仅能基本满足采购需求</w:t>
            </w:r>
            <w:r>
              <w:rPr>
                <w:rFonts w:hint="eastAsia" w:ascii="仿宋_GB2312" w:hAnsi="宋体" w:eastAsia="仿宋_GB2312"/>
                <w:sz w:val="24"/>
                <w:szCs w:val="24"/>
                <w:highlight w:val="none"/>
                <w:lang w:eastAsia="zh-CN"/>
              </w:rPr>
              <w:t>。</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8A09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815182C">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15</w:t>
            </w:r>
          </w:p>
        </w:tc>
      </w:tr>
      <w:tr w14:paraId="1B7B6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7"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43A9DF19">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08FDB">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BB33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E8817">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评委根据质量保证措施以0.1分为单位进行打分：</w:t>
            </w:r>
          </w:p>
          <w:p w14:paraId="6F6021BD">
            <w:pPr>
              <w:pStyle w:val="11"/>
              <w:ind w:firstLine="240" w:firstLineChars="100"/>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lang w:val="en-US" w:eastAsia="zh-CN"/>
              </w:rPr>
              <w:t>11-15</w:t>
            </w:r>
            <w:r>
              <w:rPr>
                <w:rFonts w:hint="eastAsia" w:ascii="仿宋_GB2312" w:hAnsi="宋体" w:eastAsia="仿宋_GB2312"/>
                <w:sz w:val="24"/>
                <w:szCs w:val="24"/>
                <w:highlight w:val="none"/>
              </w:rPr>
              <w:t>分</w:t>
            </w: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质量保证措施内容完善，针对性强，先进可行，能够很好的满足采购需求</w:t>
            </w:r>
            <w:r>
              <w:rPr>
                <w:rFonts w:hint="eastAsia" w:ascii="仿宋_GB2312" w:hAnsi="宋体" w:eastAsia="仿宋_GB2312"/>
                <w:sz w:val="24"/>
                <w:szCs w:val="24"/>
                <w:highlight w:val="none"/>
                <w:lang w:eastAsia="zh-CN"/>
              </w:rPr>
              <w:t>；</w:t>
            </w:r>
          </w:p>
          <w:p w14:paraId="1E706889">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lang w:val="en-US" w:eastAsia="zh-CN"/>
              </w:rPr>
              <w:t>【6-10分】</w:t>
            </w:r>
            <w:r>
              <w:rPr>
                <w:rFonts w:hint="eastAsia" w:ascii="仿宋_GB2312" w:hAnsi="宋体" w:eastAsia="仿宋_GB2312"/>
                <w:sz w:val="24"/>
                <w:szCs w:val="24"/>
                <w:highlight w:val="none"/>
              </w:rPr>
              <w:t>质量保证措施内容较完善，有针对性，有可行性，能够较好的满足采购需求</w:t>
            </w:r>
            <w:r>
              <w:rPr>
                <w:rFonts w:hint="eastAsia" w:ascii="仿宋_GB2312" w:hAnsi="宋体" w:eastAsia="仿宋_GB2312"/>
                <w:sz w:val="24"/>
                <w:szCs w:val="24"/>
                <w:highlight w:val="none"/>
                <w:lang w:eastAsia="zh-CN"/>
              </w:rPr>
              <w:t>；</w:t>
            </w:r>
          </w:p>
          <w:p w14:paraId="1BD50257">
            <w:pPr>
              <w:pStyle w:val="11"/>
              <w:ind w:firstLine="240" w:firstLineChars="100"/>
              <w:rPr>
                <w:rFonts w:hint="eastAsia"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lang w:val="en-US" w:eastAsia="zh-CN"/>
              </w:rPr>
              <w:t>【0-5分】</w:t>
            </w:r>
            <w:r>
              <w:rPr>
                <w:rFonts w:hint="eastAsia" w:ascii="仿宋_GB2312" w:hAnsi="宋体" w:eastAsia="仿宋_GB2312"/>
                <w:sz w:val="24"/>
                <w:szCs w:val="24"/>
                <w:highlight w:val="none"/>
              </w:rPr>
              <w:t>质量保证措施简陋或存在部分缺陷，可行性差，仅能基本满足采购需求</w:t>
            </w:r>
            <w:r>
              <w:rPr>
                <w:rFonts w:hint="eastAsia" w:ascii="仿宋_GB2312" w:hAnsi="宋体" w:eastAsia="仿宋_GB2312"/>
                <w:sz w:val="24"/>
                <w:szCs w:val="24"/>
                <w:highlight w:val="none"/>
                <w:lang w:eastAsia="zh-CN"/>
              </w:rPr>
              <w:t>；</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1296C">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79F0B26">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15</w:t>
            </w:r>
          </w:p>
        </w:tc>
      </w:tr>
      <w:tr w14:paraId="5F8CF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946FE5E">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948A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4BC62">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售后服务承诺</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AD5B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评委根据售后服务措施及承诺以0.1分为单位进行打分：</w:t>
            </w:r>
          </w:p>
          <w:p w14:paraId="61B156A4">
            <w:pPr>
              <w:pStyle w:val="11"/>
              <w:ind w:firstLine="240" w:firstLineChars="100"/>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1</w:t>
            </w:r>
            <w:r>
              <w:rPr>
                <w:rFonts w:hint="eastAsia" w:ascii="仿宋_GB2312" w:hAnsi="宋体" w:eastAsia="仿宋_GB2312"/>
                <w:sz w:val="24"/>
                <w:szCs w:val="24"/>
                <w:highlight w:val="none"/>
                <w:lang w:val="en-US" w:eastAsia="zh-CN"/>
              </w:rPr>
              <w:t>1</w:t>
            </w:r>
            <w:r>
              <w:rPr>
                <w:rFonts w:hint="eastAsia" w:ascii="仿宋_GB2312" w:hAnsi="宋体" w:eastAsia="仿宋_GB2312"/>
                <w:sz w:val="24"/>
                <w:szCs w:val="24"/>
                <w:highlight w:val="none"/>
              </w:rPr>
              <w:t>-</w:t>
            </w:r>
            <w:r>
              <w:rPr>
                <w:rFonts w:hint="eastAsia" w:ascii="仿宋_GB2312" w:hAnsi="宋体" w:eastAsia="仿宋_GB2312"/>
                <w:sz w:val="24"/>
                <w:szCs w:val="24"/>
                <w:highlight w:val="none"/>
                <w:lang w:val="en-US" w:eastAsia="zh-CN"/>
              </w:rPr>
              <w:t>16</w:t>
            </w:r>
            <w:r>
              <w:rPr>
                <w:rFonts w:hint="eastAsia" w:ascii="仿宋_GB2312" w:hAnsi="宋体" w:eastAsia="仿宋_GB2312"/>
                <w:sz w:val="24"/>
                <w:szCs w:val="24"/>
                <w:highlight w:val="none"/>
              </w:rPr>
              <w:t>分</w:t>
            </w: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售后服务内容全面、措施完善，故障、技术支持响应时间快，有专职驻点售后服务技术人员、经验丰富，能够很好的满足用户需求，有突出的售后服务优势</w:t>
            </w:r>
            <w:r>
              <w:rPr>
                <w:rFonts w:hint="eastAsia" w:ascii="仿宋_GB2312" w:hAnsi="宋体" w:eastAsia="仿宋_GB2312"/>
                <w:sz w:val="24"/>
                <w:szCs w:val="24"/>
                <w:highlight w:val="none"/>
                <w:lang w:eastAsia="zh-CN"/>
              </w:rPr>
              <w:t>；</w:t>
            </w:r>
          </w:p>
          <w:p w14:paraId="6766AED0">
            <w:pPr>
              <w:pStyle w:val="11"/>
              <w:ind w:firstLine="240" w:firstLineChars="100"/>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lang w:val="en-US" w:eastAsia="zh-CN"/>
              </w:rPr>
              <w:t>6</w:t>
            </w:r>
            <w:r>
              <w:rPr>
                <w:rFonts w:hint="eastAsia" w:ascii="仿宋_GB2312" w:hAnsi="宋体" w:eastAsia="仿宋_GB2312"/>
                <w:sz w:val="24"/>
                <w:szCs w:val="24"/>
                <w:highlight w:val="none"/>
              </w:rPr>
              <w:t>-1</w:t>
            </w:r>
            <w:r>
              <w:rPr>
                <w:rFonts w:hint="eastAsia" w:ascii="仿宋_GB2312" w:hAnsi="宋体" w:eastAsia="仿宋_GB2312"/>
                <w:sz w:val="24"/>
                <w:szCs w:val="24"/>
                <w:highlight w:val="none"/>
                <w:lang w:val="en-US" w:eastAsia="zh-CN"/>
              </w:rPr>
              <w:t>0</w:t>
            </w:r>
            <w:r>
              <w:rPr>
                <w:rFonts w:hint="eastAsia" w:ascii="仿宋_GB2312" w:hAnsi="宋体" w:eastAsia="仿宋_GB2312"/>
                <w:sz w:val="24"/>
                <w:szCs w:val="24"/>
                <w:highlight w:val="none"/>
              </w:rPr>
              <w:t>分</w:t>
            </w: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售后服务内容比较全面、服务措施比较完善，故障、技术支持响应时间略长，能够满足用户实际使用要求</w:t>
            </w:r>
            <w:r>
              <w:rPr>
                <w:rFonts w:hint="eastAsia" w:ascii="仿宋_GB2312" w:hAnsi="宋体" w:eastAsia="仿宋_GB2312"/>
                <w:sz w:val="24"/>
                <w:szCs w:val="24"/>
                <w:highlight w:val="none"/>
                <w:lang w:eastAsia="zh-CN"/>
              </w:rPr>
              <w:t>；</w:t>
            </w:r>
          </w:p>
          <w:p w14:paraId="186B538A">
            <w:pPr>
              <w:pStyle w:val="11"/>
              <w:ind w:firstLine="240" w:firstLineChars="100"/>
              <w:rPr>
                <w:rFonts w:hint="eastAsia"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0-</w:t>
            </w:r>
            <w:r>
              <w:rPr>
                <w:rFonts w:hint="eastAsia" w:ascii="仿宋_GB2312" w:hAnsi="宋体" w:eastAsia="仿宋_GB2312"/>
                <w:sz w:val="24"/>
                <w:szCs w:val="24"/>
                <w:highlight w:val="none"/>
                <w:lang w:val="en-US" w:eastAsia="zh-CN"/>
              </w:rPr>
              <w:t>5</w:t>
            </w:r>
            <w:r>
              <w:rPr>
                <w:rFonts w:hint="eastAsia" w:ascii="仿宋_GB2312" w:hAnsi="宋体" w:eastAsia="仿宋_GB2312"/>
                <w:sz w:val="24"/>
                <w:szCs w:val="24"/>
                <w:highlight w:val="none"/>
              </w:rPr>
              <w:t>分</w:t>
            </w:r>
            <w:r>
              <w:rPr>
                <w:rFonts w:hint="eastAsia" w:ascii="仿宋_GB2312" w:hAnsi="宋体" w:eastAsia="仿宋_GB2312"/>
                <w:sz w:val="24"/>
                <w:szCs w:val="24"/>
                <w:highlight w:val="none"/>
                <w:lang w:eastAsia="zh-CN"/>
              </w:rPr>
              <w:t>】</w:t>
            </w:r>
            <w:r>
              <w:rPr>
                <w:rFonts w:hint="eastAsia" w:ascii="仿宋_GB2312" w:hAnsi="宋体" w:eastAsia="仿宋_GB2312"/>
                <w:sz w:val="24"/>
                <w:szCs w:val="24"/>
                <w:highlight w:val="none"/>
              </w:rPr>
              <w:t>售后服务内容比较简陋或存在部分缺陷，承诺的服务水平相对较低，仅能基本满足用户实际使用要求</w:t>
            </w:r>
            <w:r>
              <w:rPr>
                <w:rFonts w:hint="eastAsia" w:ascii="仿宋_GB2312" w:hAnsi="宋体" w:eastAsia="仿宋_GB2312"/>
                <w:sz w:val="24"/>
                <w:szCs w:val="24"/>
                <w:highlight w:val="none"/>
                <w:lang w:eastAsia="zh-CN"/>
              </w:rPr>
              <w:t>；</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6C47D">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52ECBFF5">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16</w:t>
            </w:r>
          </w:p>
        </w:tc>
      </w:tr>
    </w:tbl>
    <w:p w14:paraId="6EF54A7C">
      <w:pPr>
        <w:spacing w:line="520" w:lineRule="exact"/>
        <w:ind w:firstLine="420" w:firstLineChars="200"/>
        <w:rPr>
          <w:rFonts w:ascii="仿宋_GB2312" w:hAnsi="宋体" w:eastAsia="仿宋_GB2312"/>
          <w:szCs w:val="21"/>
        </w:rPr>
        <w:sectPr>
          <w:headerReference r:id="rId17" w:type="first"/>
          <w:footerReference r:id="rId18" w:type="default"/>
          <w:headerReference r:id="rId16" w:type="even"/>
          <w:pgSz w:w="11906" w:h="16838"/>
          <w:pgMar w:top="1440" w:right="1080" w:bottom="1440" w:left="1080" w:header="851" w:footer="992" w:gutter="0"/>
          <w:cols w:space="720" w:num="1"/>
          <w:docGrid w:type="lines" w:linePitch="312" w:charSpace="0"/>
        </w:sectPr>
      </w:pPr>
    </w:p>
    <w:p w14:paraId="388CB16C">
      <w:pPr>
        <w:spacing w:before="100" w:beforeAutospacing="1" w:after="100" w:afterAutospacing="1" w:line="415" w:lineRule="auto"/>
        <w:ind w:left="2410"/>
        <w:outlineLvl w:val="0"/>
        <w:rPr>
          <w:rFonts w:ascii="楷体_GB2312" w:hAnsi="宋体" w:eastAsia="楷体_GB2312" w:cs="宋体"/>
          <w:b/>
          <w:bCs/>
          <w:sz w:val="44"/>
          <w:szCs w:val="44"/>
        </w:rPr>
        <w:sectPr>
          <w:headerReference r:id="rId19" w:type="default"/>
          <w:footerReference r:id="rId20" w:type="default"/>
          <w:pgSz w:w="11906" w:h="16838"/>
          <w:pgMar w:top="1440" w:right="1077" w:bottom="1440" w:left="1077" w:header="851" w:footer="992" w:gutter="0"/>
          <w:cols w:space="720" w:num="1"/>
          <w:docGrid w:linePitch="312" w:charSpace="0"/>
        </w:sectPr>
      </w:pPr>
      <w:r>
        <w:rPr>
          <w:rFonts w:hint="eastAsia" w:ascii="楷体_GB2312" w:hAnsi="宋体" w:eastAsia="楷体_GB2312" w:cs="宋体"/>
          <w:b/>
          <w:bCs/>
          <w:sz w:val="44"/>
          <w:szCs w:val="44"/>
        </w:rPr>
        <w:t>第五章 投标（响应）文件格式</w:t>
      </w:r>
    </w:p>
    <w:p w14:paraId="087F5015">
      <w:pPr>
        <w:spacing w:line="460" w:lineRule="exact"/>
        <w:jc w:val="left"/>
        <w:rPr>
          <w:b/>
          <w:kern w:val="0"/>
          <w:sz w:val="24"/>
        </w:rPr>
      </w:pPr>
    </w:p>
    <w:p w14:paraId="172FF2EC">
      <w:pPr>
        <w:ind w:right="2080"/>
        <w:rPr>
          <w:rFonts w:ascii="仿宋" w:hAnsi="仿宋" w:eastAsia="仿宋"/>
          <w:sz w:val="52"/>
        </w:rPr>
      </w:pPr>
    </w:p>
    <w:p w14:paraId="2587118A">
      <w:pPr>
        <w:ind w:right="2080"/>
        <w:rPr>
          <w:rFonts w:ascii="仿宋" w:hAnsi="仿宋" w:eastAsia="仿宋"/>
          <w:sz w:val="52"/>
        </w:rPr>
      </w:pPr>
    </w:p>
    <w:p w14:paraId="49B8B1C0">
      <w:pPr>
        <w:rPr>
          <w:rFonts w:ascii="方正小标宋简体" w:hAnsi="仿宋" w:eastAsia="方正小标宋简体"/>
          <w:bCs/>
          <w:sz w:val="84"/>
        </w:rPr>
      </w:pPr>
    </w:p>
    <w:p w14:paraId="4D87EBB0">
      <w:pPr>
        <w:jc w:val="center"/>
        <w:rPr>
          <w:rFonts w:ascii="方正小标宋简体" w:hAnsi="仿宋" w:eastAsia="方正小标宋简体"/>
          <w:bCs/>
          <w:sz w:val="84"/>
        </w:rPr>
      </w:pPr>
      <w:r>
        <w:rPr>
          <w:rFonts w:hint="eastAsia" w:ascii="方正小标宋简体" w:hAnsi="仿宋" w:eastAsia="方正小标宋简体"/>
          <w:bCs/>
          <w:sz w:val="84"/>
        </w:rPr>
        <w:t>投 标 文 件</w:t>
      </w:r>
    </w:p>
    <w:p w14:paraId="7269B014">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5B94D3BE">
      <w:pPr>
        <w:jc w:val="center"/>
        <w:rPr>
          <w:rFonts w:ascii="仿宋" w:hAnsi="仿宋" w:eastAsia="仿宋"/>
          <w:sz w:val="72"/>
        </w:rPr>
      </w:pPr>
    </w:p>
    <w:p w14:paraId="778C1030">
      <w:pPr>
        <w:jc w:val="center"/>
        <w:rPr>
          <w:rFonts w:ascii="仿宋" w:hAnsi="仿宋" w:eastAsia="仿宋"/>
          <w:sz w:val="72"/>
        </w:rPr>
      </w:pPr>
    </w:p>
    <w:p w14:paraId="5355FE6B">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采购项目：</w:t>
      </w:r>
      <w:r>
        <w:rPr>
          <w:rFonts w:hint="eastAsia" w:ascii="仿宋_GB2312" w:hAnsi="宋体" w:eastAsia="仿宋_GB2312"/>
          <w:bCs/>
          <w:kern w:val="0"/>
          <w:sz w:val="36"/>
          <w:szCs w:val="36"/>
          <w:lang w:eastAsia="zh-CN"/>
        </w:rPr>
        <w:t>400KW充电桩采购项目</w:t>
      </w:r>
    </w:p>
    <w:p w14:paraId="250E27D0">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采购编号：</w:t>
      </w:r>
      <w:r>
        <w:rPr>
          <w:rFonts w:hint="eastAsia" w:ascii="仿宋_GB2312" w:hAnsi="宋体" w:eastAsia="仿宋_GB2312"/>
          <w:sz w:val="36"/>
          <w:szCs w:val="36"/>
          <w:lang w:eastAsia="zh-CN"/>
        </w:rPr>
        <w:t>WHJX-ZB-2026-025</w:t>
      </w:r>
    </w:p>
    <w:p w14:paraId="2B1A2158">
      <w:pPr>
        <w:jc w:val="left"/>
        <w:rPr>
          <w:rFonts w:ascii="仿宋_GB2312" w:hAnsi="宋体" w:eastAsia="仿宋_GB2312"/>
          <w:bCs/>
          <w:sz w:val="36"/>
          <w:szCs w:val="36"/>
        </w:rPr>
      </w:pPr>
      <w:r>
        <w:rPr>
          <w:rFonts w:hint="eastAsia" w:ascii="仿宋_GB2312" w:hAnsi="宋体" w:eastAsia="仿宋_GB2312"/>
          <w:bCs/>
          <w:sz w:val="36"/>
          <w:szCs w:val="36"/>
        </w:rPr>
        <w:t>所投包段：A包</w:t>
      </w:r>
    </w:p>
    <w:p w14:paraId="247DEB16">
      <w:pPr>
        <w:jc w:val="left"/>
        <w:rPr>
          <w:rFonts w:ascii="仿宋" w:hAnsi="仿宋" w:eastAsia="仿宋"/>
          <w:sz w:val="44"/>
        </w:rPr>
      </w:pPr>
    </w:p>
    <w:p w14:paraId="0DB074BA">
      <w:pPr>
        <w:jc w:val="left"/>
        <w:rPr>
          <w:rFonts w:ascii="仿宋" w:hAnsi="仿宋" w:eastAsia="仿宋"/>
          <w:sz w:val="36"/>
        </w:rPr>
      </w:pPr>
    </w:p>
    <w:p w14:paraId="457AACDB">
      <w:pPr>
        <w:tabs>
          <w:tab w:val="left" w:pos="580"/>
        </w:tabs>
        <w:ind w:left="185" w:leftChars="88" w:firstLine="1800" w:firstLineChars="500"/>
        <w:rPr>
          <w:rFonts w:ascii="仿宋" w:hAnsi="仿宋" w:eastAsia="仿宋"/>
          <w:kern w:val="0"/>
          <w:sz w:val="36"/>
          <w:szCs w:val="21"/>
        </w:rPr>
      </w:pPr>
    </w:p>
    <w:p w14:paraId="0E462A9F">
      <w:pPr>
        <w:tabs>
          <w:tab w:val="left" w:pos="580"/>
        </w:tabs>
        <w:ind w:left="185" w:leftChars="88" w:firstLine="1800" w:firstLineChars="500"/>
        <w:rPr>
          <w:rFonts w:ascii="仿宋_GB2312" w:hAnsi="仿宋" w:eastAsia="仿宋_GB2312"/>
          <w:kern w:val="0"/>
          <w:sz w:val="36"/>
          <w:szCs w:val="36"/>
        </w:rPr>
      </w:pPr>
    </w:p>
    <w:p w14:paraId="34DDE02B">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投标人名称：***有限公司</w:t>
      </w:r>
    </w:p>
    <w:p w14:paraId="3EED9342">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日      期：   年  月  日</w:t>
      </w:r>
    </w:p>
    <w:p w14:paraId="3B372950">
      <w:pPr>
        <w:tabs>
          <w:tab w:val="left" w:pos="580"/>
        </w:tabs>
        <w:ind w:firstLine="1800" w:firstLineChars="500"/>
        <w:rPr>
          <w:rFonts w:ascii="仿宋_GB2312" w:hAnsi="仿宋" w:eastAsia="仿宋_GB2312"/>
          <w:kern w:val="0"/>
          <w:sz w:val="36"/>
          <w:szCs w:val="36"/>
        </w:rPr>
      </w:pPr>
    </w:p>
    <w:p w14:paraId="4E38AFD6"/>
    <w:p w14:paraId="6FBE9369">
      <w:pPr>
        <w:widowControl/>
        <w:jc w:val="right"/>
        <w:rPr>
          <w:rFonts w:ascii="仿宋_GB2312" w:hAnsi="宋体" w:eastAsia="仿宋_GB2312"/>
          <w:b/>
          <w:bCs/>
          <w:sz w:val="30"/>
          <w:szCs w:val="30"/>
        </w:rPr>
        <w:sectPr>
          <w:headerReference r:id="rId21" w:type="default"/>
          <w:pgSz w:w="11906" w:h="16838"/>
          <w:pgMar w:top="1440" w:right="1077" w:bottom="1440" w:left="1077" w:header="851" w:footer="992" w:gutter="0"/>
          <w:cols w:space="720" w:num="1"/>
          <w:docGrid w:linePitch="312" w:charSpace="0"/>
        </w:sectPr>
      </w:pPr>
    </w:p>
    <w:p w14:paraId="7D2A07D8">
      <w:pPr>
        <w:jc w:val="center"/>
        <w:rPr>
          <w:rFonts w:ascii="黑体" w:hAnsi="黑体" w:eastAsia="黑体"/>
          <w:sz w:val="44"/>
          <w:szCs w:val="44"/>
        </w:rPr>
      </w:pPr>
      <w:r>
        <w:rPr>
          <w:rFonts w:hint="eastAsia" w:ascii="黑体" w:hAnsi="黑体" w:eastAsia="黑体"/>
          <w:sz w:val="44"/>
          <w:szCs w:val="44"/>
        </w:rPr>
        <w:t>目录</w:t>
      </w:r>
    </w:p>
    <w:p w14:paraId="507BEE77">
      <w:pPr>
        <w:jc w:val="center"/>
        <w:rPr>
          <w:rFonts w:ascii="仿宋_GB2312" w:hAnsi="宋体" w:eastAsia="仿宋_GB2312"/>
          <w:b/>
          <w:bCs/>
          <w:sz w:val="30"/>
          <w:szCs w:val="30"/>
        </w:rPr>
      </w:pPr>
      <w:r>
        <w:rPr>
          <w:rFonts w:hint="eastAsia" w:ascii="仿宋_GB2312" w:hAnsi="宋体" w:eastAsia="仿宋_GB2312"/>
          <w:b/>
          <w:bCs/>
          <w:sz w:val="30"/>
          <w:szCs w:val="30"/>
        </w:rPr>
        <w:t>（由投标人自行编制）</w:t>
      </w:r>
    </w:p>
    <w:p w14:paraId="3D7834F4">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14:paraId="479459CB">
      <w:pPr>
        <w:spacing w:line="560" w:lineRule="exact"/>
        <w:rPr>
          <w:rFonts w:ascii="仿宋_GB2312" w:hAnsi="仿宋" w:eastAsia="仿宋_GB2312"/>
          <w:color w:val="C00000"/>
          <w:kern w:val="0"/>
          <w:sz w:val="30"/>
          <w:szCs w:val="30"/>
        </w:rPr>
      </w:pP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2145A2D4">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hint="eastAsia" w:ascii="仿宋_GB2312" w:hAnsi="宋体" w:eastAsia="仿宋_GB2312" w:cs="宋体"/>
          <w:kern w:val="0"/>
          <w:sz w:val="30"/>
          <w:szCs w:val="30"/>
          <w:lang w:eastAsia="zh-CN"/>
        </w:rPr>
        <w:t>WHJX-ZB-2026-025</w:t>
      </w:r>
      <w:r>
        <w:rPr>
          <w:rFonts w:hint="eastAsia" w:ascii="仿宋_GB2312" w:hAnsi="宋体" w:eastAsia="仿宋_GB2312" w:cs="宋体"/>
          <w:kern w:val="0"/>
          <w:sz w:val="30"/>
          <w:szCs w:val="30"/>
        </w:rPr>
        <w:t>名称</w:t>
      </w:r>
      <w:r>
        <w:rPr>
          <w:rFonts w:hint="eastAsia" w:ascii="仿宋_GB2312" w:hAnsi="宋体" w:eastAsia="仿宋_GB2312" w:cs="宋体"/>
          <w:kern w:val="0"/>
          <w:sz w:val="30"/>
          <w:szCs w:val="30"/>
          <w:lang w:eastAsia="zh-CN"/>
        </w:rPr>
        <w:t>400KW充电桩采购项目</w:t>
      </w:r>
      <w:r>
        <w:rPr>
          <w:rFonts w:hint="eastAsia" w:ascii="仿宋_GB2312" w:hAnsi="宋体" w:eastAsia="仿宋_GB2312" w:cs="宋体"/>
          <w:kern w:val="0"/>
          <w:sz w:val="30"/>
          <w:szCs w:val="30"/>
        </w:rPr>
        <w:t>的</w:t>
      </w:r>
      <w:r>
        <w:rPr>
          <w:rFonts w:hint="eastAsia" w:ascii="仿宋_GB2312" w:hAnsi="仿宋" w:eastAsia="仿宋_GB2312"/>
          <w:kern w:val="0"/>
          <w:sz w:val="30"/>
          <w:szCs w:val="30"/>
        </w:rPr>
        <w:t>招标文件的要求，经详细研究决定参加投标。</w:t>
      </w:r>
    </w:p>
    <w:p w14:paraId="07846FF1">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7EC72A9E">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90天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14:paraId="39BAE6D6">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3.</w:t>
      </w:r>
      <w:r>
        <w:rPr>
          <w:rFonts w:hint="eastAsia" w:ascii="仿宋_GB2312" w:hAnsi="仿宋" w:eastAsia="仿宋_GB2312"/>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523667E6">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4.我方同意最低价是中标的主要选择标准，但不是唯一的选择标准。</w:t>
      </w:r>
    </w:p>
    <w:p w14:paraId="0C3CB953">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5.如果我方中标：</w:t>
      </w:r>
    </w:p>
    <w:p w14:paraId="109E65AB">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（1）我方承诺在中标通知书发出后，在规定期限内与招标人签订合同；（2）我方承诺在合同约定的期限内，按期、保质、保量完成服务任务;</w:t>
      </w:r>
    </w:p>
    <w:p w14:paraId="27AF13A9">
      <w:pPr>
        <w:spacing w:line="560" w:lineRule="exact"/>
        <w:ind w:firstLine="450" w:firstLineChars="15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（3）我方承诺将按照招标文件的规定交纳代理服务费。</w:t>
      </w:r>
    </w:p>
    <w:p w14:paraId="0291F943">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14:paraId="3514420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单    位：                     邮政编码：</w:t>
      </w:r>
    </w:p>
    <w:p w14:paraId="6535D358">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地    址：                     联 系 人：</w:t>
      </w:r>
    </w:p>
    <w:p w14:paraId="5CF9CEC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电    话：                     传    真：</w:t>
      </w:r>
    </w:p>
    <w:p w14:paraId="767E932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开户名称：</w:t>
      </w:r>
    </w:p>
    <w:p w14:paraId="70DFA6AA">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开户银行：</w:t>
      </w:r>
    </w:p>
    <w:p w14:paraId="4F09B8D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开户账号：</w:t>
      </w:r>
    </w:p>
    <w:p w14:paraId="4304543D">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投标人（盖章）： </w:t>
      </w:r>
    </w:p>
    <w:p w14:paraId="18207CFB">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法定代表人或被授权人（签字或盖章）：</w:t>
      </w:r>
    </w:p>
    <w:p w14:paraId="3167745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14:paraId="68E6E832">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    </w:t>
      </w:r>
    </w:p>
    <w:p w14:paraId="7D66C803">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14:paraId="6B1412F9">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14:paraId="7C28CC45"/>
    <w:p w14:paraId="37A17581">
      <w:pPr>
        <w:keepNext/>
        <w:keepLines/>
        <w:spacing w:before="120" w:after="120" w:line="560" w:lineRule="exact"/>
        <w:jc w:val="center"/>
        <w:outlineLvl w:val="2"/>
      </w:pPr>
      <w:r>
        <w:rPr>
          <w:rFonts w:eastAsia="黑体"/>
          <w:bCs/>
          <w:sz w:val="32"/>
          <w:szCs w:val="32"/>
        </w:rPr>
        <w:br w:type="page"/>
      </w:r>
    </w:p>
    <w:p w14:paraId="4825ABBB">
      <w:pPr>
        <w:keepNext/>
        <w:keepLines/>
        <w:spacing w:line="560" w:lineRule="exact"/>
        <w:jc w:val="center"/>
        <w:outlineLvl w:val="2"/>
        <w:rPr>
          <w:rFonts w:eastAsia="黑体"/>
          <w:bCs/>
          <w:sz w:val="32"/>
          <w:szCs w:val="32"/>
        </w:rPr>
      </w:pPr>
      <w:r>
        <w:rPr>
          <w:rFonts w:hint="eastAsia" w:eastAsia="黑体"/>
          <w:bCs/>
          <w:sz w:val="32"/>
          <w:szCs w:val="32"/>
        </w:rPr>
        <w:t>法定代表人（依法登记的负责人）身份证明书</w:t>
      </w:r>
    </w:p>
    <w:p w14:paraId="683A04EA">
      <w:pPr>
        <w:ind w:right="840"/>
        <w:jc w:val="center"/>
        <w:rPr>
          <w:rFonts w:hAnsi="宋体"/>
        </w:rPr>
      </w:pPr>
    </w:p>
    <w:p w14:paraId="14DB7900">
      <w:pPr>
        <w:spacing w:line="560" w:lineRule="exact"/>
        <w:rPr>
          <w:rFonts w:ascii="仿宋_GB2312" w:hAnsi="仿宋" w:eastAsia="仿宋_GB2312"/>
          <w:color w:val="C00000"/>
          <w:kern w:val="0"/>
          <w:sz w:val="30"/>
          <w:szCs w:val="30"/>
        </w:rPr>
      </w:pPr>
      <w:r>
        <w:rPr>
          <w:rFonts w:hint="eastAsia" w:ascii="仿宋_GB2312" w:hAnsi="仿宋" w:eastAsia="仿宋_GB2312"/>
          <w:sz w:val="32"/>
          <w:szCs w:val="32"/>
        </w:rPr>
        <w:t>致</w:t>
      </w: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42BDAF5F">
      <w:pPr>
        <w:tabs>
          <w:tab w:val="left" w:pos="5580"/>
        </w:tabs>
        <w:spacing w:line="600" w:lineRule="exact"/>
        <w:ind w:left="1100" w:leftChars="-29" w:hanging="1161"/>
        <w:rPr>
          <w:rFonts w:ascii="仿宋_GB2312" w:hAnsi="仿宋" w:eastAsia="仿宋_GB2312"/>
          <w:sz w:val="32"/>
          <w:szCs w:val="32"/>
        </w:rPr>
      </w:pPr>
    </w:p>
    <w:p w14:paraId="01FD9619">
      <w:pPr>
        <w:tabs>
          <w:tab w:val="left" w:pos="5580"/>
        </w:tabs>
        <w:spacing w:line="600" w:lineRule="exact"/>
        <w:ind w:left="-113" w:leftChars="-54" w:firstLine="640" w:firstLineChars="200"/>
        <w:rPr>
          <w:rFonts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（董事长、总经理等）职务，是我单位的法定代表人/（依法登记的负责人）。</w:t>
      </w:r>
    </w:p>
    <w:p w14:paraId="7873F49A">
      <w:pPr>
        <w:tabs>
          <w:tab w:val="left" w:pos="5580"/>
        </w:tabs>
        <w:spacing w:line="600" w:lineRule="exact"/>
        <w:rPr>
          <w:rFonts w:ascii="仿宋_GB2312" w:hAnsi="仿宋" w:eastAsia="仿宋_GB2312"/>
          <w:sz w:val="32"/>
          <w:szCs w:val="32"/>
        </w:rPr>
      </w:pPr>
    </w:p>
    <w:p w14:paraId="137BA8A5">
      <w:pPr>
        <w:tabs>
          <w:tab w:val="left" w:pos="5580"/>
        </w:tabs>
        <w:spacing w:line="600" w:lineRule="exact"/>
        <w:ind w:left="1080" w:leftChars="257" w:hanging="540"/>
        <w:rPr>
          <w:rFonts w:ascii="仿宋_GB2312" w:hAnsi="仿宋" w:eastAsia="仿宋_GB2312"/>
          <w:sz w:val="32"/>
          <w:szCs w:val="32"/>
        </w:rPr>
      </w:pPr>
      <w:r>
        <w:rPr>
          <w:rFonts w:hint="eastAsia" w:ascii="仿宋_GB2312" w:hAnsi="仿宋" w:eastAsia="仿宋_GB2312"/>
          <w:sz w:val="32"/>
          <w:szCs w:val="32"/>
        </w:rPr>
        <w:t>特此证明。</w:t>
      </w:r>
    </w:p>
    <w:p w14:paraId="0A016D54">
      <w:pPr>
        <w:spacing w:line="600" w:lineRule="exact"/>
        <w:rPr>
          <w:rFonts w:ascii="仿宋_GB2312" w:hAnsi="仿宋" w:eastAsia="仿宋_GB2312"/>
          <w:sz w:val="32"/>
          <w:szCs w:val="32"/>
        </w:rPr>
      </w:pPr>
    </w:p>
    <w:p w14:paraId="73CBE982">
      <w:pPr>
        <w:tabs>
          <w:tab w:val="left" w:pos="5580"/>
        </w:tabs>
        <w:spacing w:line="600" w:lineRule="exact"/>
        <w:ind w:left="-540" w:leftChars="-257" w:right="960" w:firstLine="1200" w:firstLineChars="375"/>
        <w:jc w:val="right"/>
        <w:rPr>
          <w:rFonts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p>
    <w:p w14:paraId="70CA10B1">
      <w:pPr>
        <w:keepNext/>
        <w:keepLines/>
        <w:spacing w:line="560" w:lineRule="exact"/>
        <w:jc w:val="center"/>
        <w:outlineLvl w:val="2"/>
        <w:rPr>
          <w:rFonts w:eastAsia="黑体"/>
          <w:bCs/>
          <w:sz w:val="44"/>
          <w:szCs w:val="32"/>
        </w:rPr>
      </w:pPr>
      <w:r>
        <w:br w:type="page"/>
      </w:r>
      <w:r>
        <w:rPr>
          <w:rFonts w:hint="eastAsia" w:eastAsia="黑体"/>
          <w:bCs/>
          <w:sz w:val="32"/>
          <w:szCs w:val="32"/>
        </w:rPr>
        <w:t>授权委托书</w:t>
      </w:r>
    </w:p>
    <w:p w14:paraId="12EF48DF">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（法人代表/负责人姓名、职务）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w:t>
      </w:r>
      <w:r>
        <w:rPr>
          <w:rFonts w:hint="eastAsia" w:ascii="仿宋_GB2312" w:hAnsi="仿宋" w:eastAsia="仿宋_GB2312"/>
          <w:sz w:val="32"/>
          <w:szCs w:val="32"/>
          <w:lang w:eastAsia="zh-CN"/>
        </w:rPr>
        <w:t>WHJX-ZB-2026-025</w:t>
      </w:r>
      <w:r>
        <w:rPr>
          <w:rFonts w:hint="eastAsia" w:ascii="仿宋_GB2312" w:hAnsi="仿宋" w:eastAsia="仿宋_GB2312"/>
          <w:sz w:val="32"/>
          <w:szCs w:val="32"/>
        </w:rPr>
        <w:t>号的公开招标采购活动，以本公司名义处理一切与之有关的事宜。</w:t>
      </w:r>
    </w:p>
    <w:p w14:paraId="00CB3C27">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14:paraId="0FCF4CE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日法定代表人签字或盖章并由被授权人签字、单位盖章生效，特此声明。</w:t>
      </w:r>
    </w:p>
    <w:p w14:paraId="1EC7191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被授权人无转委托权。</w:t>
      </w:r>
    </w:p>
    <w:p w14:paraId="571B138F">
      <w:pPr>
        <w:spacing w:line="480" w:lineRule="exact"/>
        <w:ind w:firstLine="640" w:firstLineChars="200"/>
        <w:jc w:val="left"/>
        <w:rPr>
          <w:rFonts w:ascii="仿宋_GB2312" w:hAnsi="仿宋" w:eastAsia="仿宋_GB2312"/>
          <w:kern w:val="0"/>
          <w:sz w:val="32"/>
          <w:szCs w:val="32"/>
        </w:rPr>
      </w:pPr>
      <w:r>
        <w:rPr>
          <w:rFonts w:hint="eastAsia" w:ascii="仿宋_GB2312" w:hAnsi="仿宋" w:eastAsia="仿宋_GB2312"/>
          <w:kern w:val="0"/>
          <w:sz w:val="32"/>
          <w:szCs w:val="32"/>
        </w:rPr>
        <w:t>法定代表人签字或盖章：</w:t>
      </w:r>
    </w:p>
    <w:p w14:paraId="44CA48FA">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被授权人签字：</w:t>
      </w:r>
    </w:p>
    <w:p w14:paraId="1F5E6FE5">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投标人（公章）:</w:t>
      </w:r>
    </w:p>
    <w:p w14:paraId="04F76C34">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详细通讯地址：</w:t>
      </w:r>
    </w:p>
    <w:p w14:paraId="22FEA95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邮 政 编 码 ：</w:t>
      </w:r>
    </w:p>
    <w:p w14:paraId="1EB3F72E">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14:paraId="791E617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14:paraId="1D8F3169">
      <w:pPr>
        <w:spacing w:line="560" w:lineRule="exact"/>
        <w:ind w:firstLine="640" w:firstLineChars="200"/>
        <w:jc w:val="left"/>
        <w:rPr>
          <w:rFonts w:ascii="仿宋_GB2312" w:hAnsi="仿宋" w:eastAsia="仿宋_GB2312"/>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3D5A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19674EC1">
            <w:pPr>
              <w:widowControl/>
              <w:spacing w:beforeAutospacing="1" w:afterAutospacing="1" w:line="360" w:lineRule="auto"/>
              <w:jc w:val="center"/>
              <w:rPr>
                <w:rFonts w:ascii="仿宋_GB2312" w:hAnsi="仿宋" w:eastAsia="仿宋_GB2312" w:cs="宋体"/>
                <w:kern w:val="0"/>
                <w:sz w:val="32"/>
                <w:szCs w:val="32"/>
              </w:rPr>
            </w:pPr>
            <w:r>
              <w:rPr>
                <w:rFonts w:hint="eastAsia" w:ascii="仿宋_GB2312" w:hAnsi="仿宋" w:eastAsia="仿宋_GB2312" w:cs="宋体"/>
                <w:sz w:val="32"/>
                <w:szCs w:val="32"/>
              </w:rPr>
              <w:t>被授权人身份证扫描件正面</w:t>
            </w:r>
          </w:p>
        </w:tc>
        <w:tc>
          <w:tcPr>
            <w:tcW w:w="4503" w:type="dxa"/>
            <w:vAlign w:val="center"/>
          </w:tcPr>
          <w:p w14:paraId="2B451223">
            <w:pPr>
              <w:widowControl/>
              <w:spacing w:beforeAutospacing="1" w:afterAutospacing="1" w:line="360" w:lineRule="auto"/>
              <w:jc w:val="center"/>
              <w:rPr>
                <w:rFonts w:ascii="仿宋_GB2312" w:hAnsi="仿宋" w:eastAsia="仿宋_GB2312" w:cs="宋体"/>
                <w:sz w:val="32"/>
                <w:szCs w:val="32"/>
              </w:rPr>
            </w:pPr>
            <w:r>
              <w:rPr>
                <w:rFonts w:hint="eastAsia" w:ascii="仿宋_GB2312" w:hAnsi="仿宋" w:eastAsia="仿宋_GB2312" w:cs="宋体"/>
                <w:sz w:val="32"/>
                <w:szCs w:val="32"/>
              </w:rPr>
              <w:t>被授权人身份证扫描件反面</w:t>
            </w:r>
          </w:p>
        </w:tc>
      </w:tr>
    </w:tbl>
    <w:p w14:paraId="05BE73C7">
      <w:pPr>
        <w:rPr>
          <w:vanish/>
        </w:rPr>
      </w:pPr>
    </w:p>
    <w:p w14:paraId="766C5CCD">
      <w:pPr>
        <w:spacing w:line="520" w:lineRule="exact"/>
        <w:rPr>
          <w:rFonts w:ascii="仿宋_GB2312" w:hAnsi="仿宋" w:eastAsia="仿宋_GB2312"/>
          <w:b/>
          <w:kern w:val="0"/>
          <w:sz w:val="36"/>
          <w:szCs w:val="21"/>
        </w:rPr>
      </w:pPr>
    </w:p>
    <w:p w14:paraId="36311790">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14:paraId="569243E3">
      <w:pPr>
        <w:jc w:val="center"/>
        <w:rPr>
          <w:rFonts w:hint="eastAsia" w:ascii="仿宋_GB2312" w:eastAsia="仿宋_GB2312"/>
          <w:sz w:val="28"/>
          <w:szCs w:val="28"/>
        </w:rPr>
      </w:pPr>
      <w:r>
        <w:rPr>
          <w:rFonts w:hint="eastAsia" w:ascii="仿宋_GB2312" w:eastAsia="仿宋_GB2312"/>
          <w:sz w:val="28"/>
          <w:szCs w:val="28"/>
        </w:rPr>
        <w:t>（格式自拟，加盖投标人公章）</w:t>
      </w:r>
    </w:p>
    <w:p w14:paraId="1461C928">
      <w:pPr>
        <w:rPr>
          <w:rFonts w:hint="eastAsia" w:ascii="仿宋_GB2312" w:eastAsia="仿宋_GB2312"/>
          <w:sz w:val="28"/>
          <w:szCs w:val="28"/>
        </w:rPr>
      </w:pPr>
      <w:r>
        <w:rPr>
          <w:rFonts w:hint="eastAsia" w:ascii="仿宋_GB2312" w:eastAsia="仿宋_GB2312"/>
          <w:sz w:val="28"/>
          <w:szCs w:val="28"/>
        </w:rPr>
        <w:br w:type="page"/>
      </w:r>
    </w:p>
    <w:p w14:paraId="0D3B45DD">
      <w:pPr>
        <w:keepNext/>
        <w:keepLines/>
        <w:spacing w:line="560" w:lineRule="exact"/>
        <w:jc w:val="center"/>
        <w:outlineLvl w:val="2"/>
        <w:rPr>
          <w:rFonts w:eastAsia="黑体"/>
          <w:bCs/>
          <w:color w:val="auto"/>
          <w:sz w:val="44"/>
          <w:szCs w:val="32"/>
          <w:highlight w:val="none"/>
        </w:rPr>
      </w:pPr>
      <w:r>
        <w:rPr>
          <w:rFonts w:hint="eastAsia" w:eastAsia="黑体"/>
          <w:bCs/>
          <w:color w:val="auto"/>
          <w:sz w:val="32"/>
          <w:szCs w:val="32"/>
          <w:highlight w:val="none"/>
        </w:rPr>
        <w:t>投标人近期的完税凭证及缴纳社保资金凭证扫描件</w:t>
      </w:r>
    </w:p>
    <w:p w14:paraId="414BF106">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69BB02C">
      <w:pPr>
        <w:jc w:val="center"/>
        <w:rPr>
          <w:rFonts w:hint="eastAsia" w:ascii="仿宋_GB2312" w:eastAsia="仿宋_GB2312"/>
          <w:sz w:val="28"/>
          <w:szCs w:val="28"/>
        </w:rPr>
      </w:pPr>
    </w:p>
    <w:p w14:paraId="5F36477E">
      <w:r>
        <w:t xml:space="preserve"> </w:t>
      </w:r>
    </w:p>
    <w:p w14:paraId="4061A15D">
      <w:pPr>
        <w:jc w:val="center"/>
        <w:rPr>
          <w:rFonts w:ascii="仿宋_GB2312" w:eastAsia="仿宋_GB2312"/>
          <w:sz w:val="28"/>
          <w:szCs w:val="28"/>
        </w:rPr>
      </w:pPr>
    </w:p>
    <w:p w14:paraId="7C783889">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14:paraId="2B1DD21D">
      <w:pPr>
        <w:tabs>
          <w:tab w:val="left" w:pos="5580"/>
        </w:tabs>
        <w:spacing w:line="360" w:lineRule="auto"/>
        <w:rPr>
          <w:rFonts w:ascii="仿宋_GB2312" w:hAnsi="仿宋" w:eastAsia="仿宋_GB2312"/>
          <w:bCs/>
          <w:sz w:val="28"/>
          <w:szCs w:val="28"/>
        </w:rPr>
      </w:pPr>
    </w:p>
    <w:p w14:paraId="32125D35">
      <w:pPr>
        <w:spacing w:line="480" w:lineRule="auto"/>
        <w:rPr>
          <w:rFonts w:ascii="仿宋_GB2312" w:hAnsi="仿宋" w:eastAsia="仿宋_GB2312"/>
          <w:bCs/>
          <w:sz w:val="28"/>
          <w:szCs w:val="28"/>
        </w:rPr>
      </w:pPr>
      <w:r>
        <w:rPr>
          <w:rFonts w:hint="eastAsia" w:ascii="仿宋_GB2312" w:hAnsi="仿宋" w:eastAsia="仿宋_GB2312"/>
          <w:bCs/>
          <w:sz w:val="28"/>
          <w:szCs w:val="28"/>
        </w:rPr>
        <w:t>本单位郑重声明：</w:t>
      </w:r>
    </w:p>
    <w:p w14:paraId="058E765A">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14:paraId="455F01BC">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14:paraId="68D2551F">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14:paraId="68187F92">
      <w:pPr>
        <w:spacing w:line="600" w:lineRule="exact"/>
        <w:ind w:firstLine="560" w:firstLineChars="200"/>
        <w:rPr>
          <w:rFonts w:ascii="仿宋_GB2312" w:hAnsi="仿宋" w:eastAsia="仿宋_GB2312"/>
          <w:bCs/>
          <w:sz w:val="28"/>
          <w:szCs w:val="28"/>
        </w:rPr>
      </w:pPr>
      <w:r>
        <w:rPr>
          <w:rFonts w:hint="eastAsia" w:ascii="仿宋_GB2312" w:hAnsi="仿宋" w:eastAsia="仿宋_GB2312"/>
          <w:bCs/>
          <w:sz w:val="28"/>
          <w:szCs w:val="28"/>
        </w:rPr>
        <w:t>特此声明！</w:t>
      </w:r>
    </w:p>
    <w:p w14:paraId="0EE2E0CE">
      <w:pPr>
        <w:tabs>
          <w:tab w:val="left" w:pos="5580"/>
        </w:tabs>
        <w:spacing w:line="360" w:lineRule="auto"/>
        <w:ind w:firstLine="4132" w:firstLineChars="1476"/>
        <w:rPr>
          <w:rFonts w:ascii="仿宋_GB2312" w:hAnsi="仿宋" w:eastAsia="仿宋_GB2312"/>
          <w:bCs/>
          <w:sz w:val="28"/>
          <w:szCs w:val="28"/>
        </w:rPr>
      </w:pPr>
    </w:p>
    <w:p w14:paraId="30D6ED5E">
      <w:pPr>
        <w:tabs>
          <w:tab w:val="left" w:pos="5580"/>
        </w:tabs>
        <w:spacing w:line="360" w:lineRule="auto"/>
        <w:ind w:firstLine="4132" w:firstLineChars="1476"/>
        <w:rPr>
          <w:rFonts w:ascii="仿宋_GB2312" w:hAnsi="仿宋" w:eastAsia="仿宋_GB2312"/>
          <w:bCs/>
          <w:sz w:val="28"/>
          <w:szCs w:val="28"/>
        </w:rPr>
      </w:pPr>
    </w:p>
    <w:p w14:paraId="405D0145">
      <w:pPr>
        <w:tabs>
          <w:tab w:val="left" w:pos="5580"/>
        </w:tabs>
        <w:spacing w:line="360" w:lineRule="auto"/>
        <w:ind w:firstLine="4132" w:firstLineChars="1476"/>
        <w:rPr>
          <w:rFonts w:ascii="仿宋_GB2312" w:hAnsi="仿宋" w:eastAsia="仿宋_GB2312"/>
          <w:bCs/>
          <w:sz w:val="28"/>
          <w:szCs w:val="28"/>
        </w:rPr>
      </w:pPr>
    </w:p>
    <w:p w14:paraId="4B0690E7">
      <w:pPr>
        <w:tabs>
          <w:tab w:val="left" w:pos="5580"/>
        </w:tabs>
        <w:wordWrap w:val="0"/>
        <w:spacing w:line="360" w:lineRule="auto"/>
        <w:ind w:firstLine="4132" w:firstLineChars="1476"/>
        <w:jc w:val="right"/>
        <w:rPr>
          <w:rFonts w:hint="eastAsia" w:ascii="仿宋_GB2312" w:eastAsia="仿宋_GB2312"/>
          <w:kern w:val="0"/>
          <w:sz w:val="28"/>
          <w:szCs w:val="28"/>
        </w:rPr>
      </w:pPr>
    </w:p>
    <w:p w14:paraId="55F1C9C7">
      <w:pPr>
        <w:tabs>
          <w:tab w:val="left" w:pos="5580"/>
        </w:tabs>
        <w:wordWrap w:val="0"/>
        <w:spacing w:line="360" w:lineRule="auto"/>
        <w:ind w:firstLine="4132" w:firstLineChars="1476"/>
        <w:jc w:val="right"/>
        <w:rPr>
          <w:rFonts w:hint="eastAsia" w:ascii="仿宋_GB2312" w:eastAsia="仿宋_GB2312"/>
          <w:kern w:val="0"/>
          <w:sz w:val="28"/>
          <w:szCs w:val="28"/>
        </w:rPr>
      </w:pPr>
      <w:r>
        <w:rPr>
          <w:rFonts w:hint="eastAsia" w:ascii="仿宋_GB2312" w:eastAsia="仿宋_GB2312"/>
          <w:kern w:val="0"/>
          <w:sz w:val="28"/>
          <w:szCs w:val="28"/>
        </w:rPr>
        <w:t xml:space="preserve">投标人全称（公章）：          </w:t>
      </w:r>
    </w:p>
    <w:p w14:paraId="37D6CBA8">
      <w:pPr>
        <w:tabs>
          <w:tab w:val="left" w:pos="5580"/>
        </w:tabs>
        <w:wordWrap w:val="0"/>
        <w:spacing w:line="360" w:lineRule="auto"/>
        <w:ind w:firstLine="4132" w:firstLineChars="1476"/>
        <w:jc w:val="right"/>
        <w:rPr>
          <w:rFonts w:ascii="仿宋_GB2312" w:eastAsia="仿宋_GB2312"/>
          <w:kern w:val="0"/>
          <w:sz w:val="28"/>
          <w:szCs w:val="28"/>
        </w:rPr>
      </w:pPr>
      <w:r>
        <w:rPr>
          <w:rFonts w:hint="eastAsia" w:ascii="仿宋_GB2312" w:eastAsia="仿宋_GB2312"/>
          <w:kern w:val="0"/>
          <w:sz w:val="28"/>
          <w:szCs w:val="28"/>
        </w:rPr>
        <w:t xml:space="preserve">法定代表人或授权代表（签字或盖章）：          </w:t>
      </w:r>
    </w:p>
    <w:p w14:paraId="464FC93E">
      <w:pPr>
        <w:tabs>
          <w:tab w:val="left" w:pos="5580"/>
        </w:tabs>
        <w:spacing w:line="360" w:lineRule="auto"/>
        <w:ind w:firstLine="4132" w:firstLineChars="1476"/>
        <w:rPr>
          <w:rFonts w:ascii="仿宋_GB2312" w:eastAsia="仿宋_GB2312"/>
          <w:kern w:val="0"/>
          <w:sz w:val="28"/>
          <w:szCs w:val="28"/>
        </w:rPr>
      </w:pPr>
    </w:p>
    <w:p w14:paraId="7DE827DC">
      <w:pPr>
        <w:widowControl/>
        <w:wordWrap w:val="0"/>
        <w:ind w:firstLine="4200" w:firstLineChars="1500"/>
        <w:jc w:val="right"/>
        <w:rPr>
          <w:rFonts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14:paraId="4E4E290B">
      <w:pPr>
        <w:keepNext/>
        <w:keepLines/>
        <w:spacing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投标人具有履行合同所必需的设备和专业技术能力承诺函</w:t>
      </w:r>
    </w:p>
    <w:p w14:paraId="27896A3B">
      <w:pPr>
        <w:jc w:val="center"/>
        <w:rPr>
          <w:rFonts w:ascii="仿宋_GB2312" w:eastAsia="仿宋_GB2312"/>
          <w:sz w:val="28"/>
          <w:szCs w:val="28"/>
        </w:rPr>
      </w:pPr>
      <w:r>
        <w:rPr>
          <w:rFonts w:hint="eastAsia" w:ascii="仿宋_GB2312" w:eastAsia="仿宋_GB2312"/>
          <w:sz w:val="28"/>
          <w:szCs w:val="28"/>
        </w:rPr>
        <w:t>（</w:t>
      </w:r>
      <w:bookmarkStart w:id="10" w:name="OLE_LINK1"/>
      <w:r>
        <w:rPr>
          <w:rFonts w:hint="eastAsia" w:ascii="仿宋_GB2312" w:eastAsia="仿宋_GB2312"/>
          <w:sz w:val="28"/>
          <w:szCs w:val="28"/>
        </w:rPr>
        <w:t>格式自拟</w:t>
      </w:r>
      <w:bookmarkEnd w:id="10"/>
      <w:r>
        <w:rPr>
          <w:rFonts w:hint="eastAsia" w:ascii="仿宋_GB2312" w:eastAsia="仿宋_GB2312"/>
          <w:sz w:val="28"/>
          <w:szCs w:val="28"/>
        </w:rPr>
        <w:t>，加盖投标人公章）</w:t>
      </w:r>
    </w:p>
    <w:p w14:paraId="5DBD2E1A">
      <w:pPr>
        <w:jc w:val="center"/>
        <w:rPr>
          <w:rFonts w:ascii="仿宋_GB2312" w:eastAsia="仿宋_GB2312"/>
          <w:sz w:val="28"/>
          <w:szCs w:val="28"/>
        </w:rPr>
      </w:pPr>
    </w:p>
    <w:p w14:paraId="1DD37F72">
      <w:pPr>
        <w:keepNext/>
        <w:keepLines/>
        <w:spacing w:line="560" w:lineRule="exact"/>
        <w:jc w:val="center"/>
        <w:outlineLvl w:val="2"/>
        <w:rPr>
          <w:rFonts w:eastAsia="黑体"/>
          <w:bCs/>
          <w:color w:val="auto"/>
          <w:sz w:val="44"/>
          <w:szCs w:val="32"/>
          <w:highlight w:val="none"/>
        </w:rPr>
      </w:pPr>
      <w:r>
        <w:rPr>
          <w:rFonts w:ascii="仿宋_GB2312" w:eastAsia="仿宋_GB2312"/>
          <w:sz w:val="28"/>
          <w:szCs w:val="28"/>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0594984E">
      <w:pPr>
        <w:jc w:val="center"/>
        <w:rPr>
          <w:rFonts w:ascii="仿宋_GB2312" w:eastAsia="仿宋_GB2312"/>
          <w:sz w:val="28"/>
          <w:szCs w:val="28"/>
        </w:rPr>
      </w:pPr>
    </w:p>
    <w:p w14:paraId="220E4DFB">
      <w:pPr>
        <w:jc w:val="center"/>
        <w:rPr>
          <w:rFonts w:ascii="仿宋_GB2312" w:eastAsia="仿宋_GB2312"/>
          <w:sz w:val="28"/>
          <w:szCs w:val="28"/>
        </w:rPr>
      </w:pPr>
    </w:p>
    <w:p w14:paraId="19D24863">
      <w:pPr>
        <w:keepNext/>
        <w:keepLines/>
        <w:spacing w:line="560" w:lineRule="exact"/>
        <w:jc w:val="center"/>
        <w:outlineLvl w:val="2"/>
        <w:rPr>
          <w:rFonts w:eastAsia="黑体"/>
          <w:bCs/>
          <w:sz w:val="32"/>
          <w:szCs w:val="32"/>
        </w:rPr>
      </w:pPr>
      <w:r>
        <w:rPr>
          <w:rFonts w:ascii="仿宋_GB2312" w:eastAsia="仿宋_GB2312"/>
          <w:sz w:val="28"/>
          <w:szCs w:val="28"/>
        </w:rPr>
        <w:br w:type="page"/>
      </w:r>
      <w:r>
        <w:rPr>
          <w:rFonts w:hint="eastAsia" w:eastAsia="黑体"/>
          <w:bCs/>
          <w:sz w:val="32"/>
          <w:szCs w:val="32"/>
        </w:rPr>
        <w:t>投标人失信查询</w:t>
      </w:r>
    </w:p>
    <w:p w14:paraId="332FCC44">
      <w:pPr>
        <w:jc w:val="center"/>
        <w:rPr>
          <w:rFonts w:ascii="仿宋_GB2312" w:eastAsia="仿宋_GB2312"/>
          <w:sz w:val="28"/>
          <w:szCs w:val="28"/>
        </w:rPr>
      </w:pPr>
      <w:r>
        <w:rPr>
          <w:rFonts w:hint="eastAsia" w:ascii="仿宋_GB2312" w:eastAsia="仿宋_GB2312"/>
          <w:sz w:val="28"/>
          <w:szCs w:val="28"/>
        </w:rPr>
        <w:t>（加盖投标人公章）</w:t>
      </w:r>
    </w:p>
    <w:p w14:paraId="4BBC1F6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投标人在工商行政管理机关全国企业信用信息公示系统中未被列入严重违法失信企业名单截图或报告（</w:t>
      </w:r>
      <w:r>
        <w:rPr>
          <w:rFonts w:hint="eastAsia" w:ascii="仿宋_GB2312" w:hAnsi="宋体" w:eastAsia="仿宋_GB2312"/>
          <w:sz w:val="28"/>
          <w:szCs w:val="28"/>
          <w:lang w:val="zh-CN"/>
        </w:rPr>
        <w:t>网址</w:t>
      </w:r>
      <w:r>
        <w:fldChar w:fldCharType="begin"/>
      </w:r>
      <w:r>
        <w:instrText xml:space="preserve"> HYPERLINK "http://www.gsxt.gov.cn/index.html" </w:instrText>
      </w:r>
      <w:r>
        <w:fldChar w:fldCharType="separate"/>
      </w:r>
      <w:r>
        <w:rPr>
          <w:rStyle w:val="36"/>
          <w:rFonts w:ascii="仿宋_GB2312" w:hAnsi="宋体" w:eastAsia="仿宋_GB2312"/>
          <w:sz w:val="28"/>
          <w:szCs w:val="28"/>
        </w:rPr>
        <w:t>http://www.gsxt.gov.cn/index.html</w:t>
      </w:r>
      <w:r>
        <w:rPr>
          <w:rStyle w:val="36"/>
          <w:rFonts w:ascii="仿宋_GB2312" w:hAnsi="宋体" w:eastAsia="仿宋_GB2312"/>
          <w:sz w:val="28"/>
          <w:szCs w:val="28"/>
        </w:rPr>
        <w:fldChar w:fldCharType="end"/>
      </w:r>
      <w:r>
        <w:rPr>
          <w:rFonts w:hint="eastAsia" w:ascii="仿宋_GB2312" w:hAnsi="宋体" w:eastAsia="仿宋_GB2312"/>
          <w:sz w:val="28"/>
          <w:szCs w:val="28"/>
        </w:rPr>
        <w:t>）；</w:t>
      </w:r>
    </w:p>
    <w:p w14:paraId="0B0E6075">
      <w:pPr>
        <w:jc w:val="center"/>
        <w:rPr>
          <w:rFonts w:ascii="黑体" w:hAnsi="黑体" w:eastAsia="黑体"/>
          <w:sz w:val="32"/>
          <w:szCs w:val="32"/>
        </w:rPr>
      </w:pPr>
      <w:r>
        <w:rPr>
          <w:rFonts w:ascii="仿宋_GB2312" w:hAnsi="宋体" w:eastAsia="仿宋_GB2312"/>
          <w:color w:val="FF0000"/>
          <w:sz w:val="28"/>
          <w:szCs w:val="28"/>
        </w:rPr>
        <w:br w:type="page"/>
      </w:r>
      <w:r>
        <w:rPr>
          <w:rFonts w:hint="eastAsia" w:ascii="仿宋_GB2312" w:hAnsi="宋体" w:eastAsia="仿宋_GB2312"/>
          <w:sz w:val="28"/>
          <w:szCs w:val="28"/>
        </w:rPr>
        <w:t>投标人、法定代表人(授权委托人)未被最高院列入失信被执行人截图（</w:t>
      </w:r>
      <w:r>
        <w:rPr>
          <w:rFonts w:hint="eastAsia" w:ascii="仿宋_GB2312" w:hAnsi="宋体" w:eastAsia="仿宋_GB2312"/>
          <w:sz w:val="28"/>
          <w:szCs w:val="28"/>
          <w:lang w:val="zh-CN"/>
        </w:rPr>
        <w:t>网址</w:t>
      </w:r>
      <w:r>
        <w:fldChar w:fldCharType="begin"/>
      </w:r>
      <w:r>
        <w:instrText xml:space="preserve"> HYPERLINK "http://zxgk.court.gov.cn/shixin%20/" </w:instrText>
      </w:r>
      <w:r>
        <w:fldChar w:fldCharType="separate"/>
      </w:r>
      <w:r>
        <w:rPr>
          <w:rStyle w:val="36"/>
          <w:rFonts w:hint="eastAsia" w:ascii="仿宋_GB2312" w:hAnsi="宋体" w:eastAsia="仿宋_GB2312"/>
          <w:sz w:val="28"/>
          <w:szCs w:val="28"/>
          <w:lang w:eastAsia="zh-CN"/>
        </w:rPr>
        <w:t>http://zxgk.court.gov.cn/shixin/</w:t>
      </w:r>
      <w:r>
        <w:rPr>
          <w:rStyle w:val="36"/>
          <w:rFonts w:hint="eastAsia" w:ascii="仿宋_GB2312" w:hAnsi="宋体" w:eastAsia="仿宋_GB2312"/>
          <w:sz w:val="28"/>
          <w:szCs w:val="28"/>
        </w:rPr>
        <w:fldChar w:fldCharType="end"/>
      </w:r>
      <w:r>
        <w:rPr>
          <w:rFonts w:hint="eastAsia" w:ascii="仿宋_GB2312" w:hAnsi="宋体" w:eastAsia="仿宋_GB2312"/>
          <w:sz w:val="28"/>
          <w:szCs w:val="28"/>
        </w:rPr>
        <w:t>）</w:t>
      </w:r>
    </w:p>
    <w:p w14:paraId="41972366">
      <w:pPr>
        <w:jc w:val="center"/>
        <w:rPr>
          <w:rFonts w:ascii="仿宋_GB2312" w:eastAsia="仿宋_GB2312"/>
          <w:sz w:val="28"/>
          <w:szCs w:val="28"/>
        </w:rPr>
      </w:pPr>
    </w:p>
    <w:p w14:paraId="5E35D10D">
      <w:pPr>
        <w:jc w:val="center"/>
        <w:rPr>
          <w:rFonts w:ascii="黑体" w:hAnsi="黑体" w:eastAsia="黑体"/>
          <w:sz w:val="32"/>
          <w:szCs w:val="32"/>
        </w:rPr>
      </w:pPr>
      <w:r>
        <w:br w:type="page"/>
      </w:r>
      <w:r>
        <w:rPr>
          <w:rFonts w:hint="eastAsia" w:ascii="黑体" w:hAnsi="黑体" w:eastAsia="黑体"/>
          <w:sz w:val="32"/>
          <w:szCs w:val="32"/>
        </w:rPr>
        <w:t>其他资质资格文件</w:t>
      </w:r>
    </w:p>
    <w:p w14:paraId="51A1C71F"/>
    <w:p w14:paraId="4660E394">
      <w:pPr>
        <w:jc w:val="center"/>
        <w:rPr>
          <w:rFonts w:ascii="黑体" w:hAnsi="黑体" w:eastAsia="黑体"/>
          <w:sz w:val="40"/>
          <w:szCs w:val="44"/>
        </w:rPr>
      </w:pPr>
      <w:r>
        <w:br w:type="page"/>
      </w:r>
      <w:r>
        <w:rPr>
          <w:rFonts w:hint="eastAsia" w:ascii="黑体" w:hAnsi="黑体" w:eastAsia="黑体"/>
          <w:sz w:val="40"/>
          <w:szCs w:val="44"/>
        </w:rPr>
        <w:t>投标人基本情况表</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38DF0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076D2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14:paraId="4DF3101D">
            <w:pPr>
              <w:spacing w:line="440" w:lineRule="exact"/>
              <w:jc w:val="center"/>
              <w:rPr>
                <w:rFonts w:ascii="仿宋_GB2312" w:hAnsi="仿宋" w:eastAsia="仿宋_GB2312"/>
                <w:sz w:val="28"/>
                <w:szCs w:val="28"/>
              </w:rPr>
            </w:pPr>
          </w:p>
        </w:tc>
        <w:tc>
          <w:tcPr>
            <w:tcW w:w="2106" w:type="dxa"/>
            <w:gridSpan w:val="3"/>
            <w:vAlign w:val="center"/>
          </w:tcPr>
          <w:p w14:paraId="00BE030D">
            <w:pPr>
              <w:spacing w:line="440" w:lineRule="exact"/>
              <w:jc w:val="center"/>
              <w:rPr>
                <w:rFonts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14:paraId="1487CD63">
            <w:pPr>
              <w:spacing w:line="440" w:lineRule="exact"/>
              <w:jc w:val="center"/>
              <w:rPr>
                <w:rFonts w:ascii="仿宋_GB2312" w:hAnsi="仿宋" w:eastAsia="仿宋_GB2312"/>
                <w:sz w:val="28"/>
                <w:szCs w:val="28"/>
              </w:rPr>
            </w:pPr>
          </w:p>
        </w:tc>
      </w:tr>
      <w:tr w14:paraId="7AE65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8D24CD">
            <w:pPr>
              <w:spacing w:line="440" w:lineRule="exact"/>
              <w:jc w:val="center"/>
              <w:rPr>
                <w:rFonts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14:paraId="67C9AD94">
            <w:pPr>
              <w:spacing w:line="440" w:lineRule="exact"/>
              <w:jc w:val="center"/>
              <w:rPr>
                <w:rFonts w:ascii="仿宋_GB2312" w:hAnsi="仿宋" w:eastAsia="仿宋_GB2312"/>
                <w:sz w:val="28"/>
                <w:szCs w:val="28"/>
              </w:rPr>
            </w:pPr>
          </w:p>
        </w:tc>
        <w:tc>
          <w:tcPr>
            <w:tcW w:w="2106" w:type="dxa"/>
            <w:gridSpan w:val="3"/>
            <w:vAlign w:val="center"/>
          </w:tcPr>
          <w:p w14:paraId="3F14F031">
            <w:pPr>
              <w:spacing w:line="440" w:lineRule="exact"/>
              <w:jc w:val="center"/>
              <w:rPr>
                <w:rFonts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14:paraId="214F5115">
            <w:pPr>
              <w:spacing w:line="440" w:lineRule="exact"/>
              <w:jc w:val="center"/>
              <w:rPr>
                <w:rFonts w:ascii="仿宋_GB2312" w:hAnsi="仿宋" w:eastAsia="仿宋_GB2312"/>
                <w:sz w:val="28"/>
                <w:szCs w:val="28"/>
              </w:rPr>
            </w:pPr>
          </w:p>
        </w:tc>
      </w:tr>
      <w:tr w14:paraId="70121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2D0E0CD">
            <w:pPr>
              <w:spacing w:line="440" w:lineRule="exact"/>
              <w:jc w:val="center"/>
              <w:rPr>
                <w:rFonts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14:paraId="524D06FE">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14:paraId="60DE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0C0E762">
            <w:pPr>
              <w:spacing w:line="440" w:lineRule="exact"/>
              <w:jc w:val="center"/>
              <w:rPr>
                <w:rFonts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14:paraId="0379592C">
            <w:pPr>
              <w:spacing w:line="440" w:lineRule="exact"/>
              <w:jc w:val="center"/>
              <w:rPr>
                <w:rFonts w:ascii="仿宋_GB2312" w:hAnsi="仿宋" w:eastAsia="仿宋_GB2312"/>
                <w:sz w:val="28"/>
                <w:szCs w:val="28"/>
              </w:rPr>
            </w:pPr>
          </w:p>
        </w:tc>
        <w:tc>
          <w:tcPr>
            <w:tcW w:w="2827" w:type="dxa"/>
            <w:gridSpan w:val="4"/>
            <w:vAlign w:val="center"/>
          </w:tcPr>
          <w:p w14:paraId="615E93CC">
            <w:pPr>
              <w:spacing w:line="440" w:lineRule="exact"/>
              <w:jc w:val="center"/>
              <w:rPr>
                <w:rFonts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14:paraId="0458E1E5">
            <w:pPr>
              <w:spacing w:line="440" w:lineRule="exact"/>
              <w:jc w:val="center"/>
              <w:rPr>
                <w:rFonts w:ascii="仿宋_GB2312" w:hAnsi="仿宋" w:eastAsia="仿宋_GB2312"/>
                <w:sz w:val="28"/>
                <w:szCs w:val="28"/>
              </w:rPr>
            </w:pPr>
          </w:p>
        </w:tc>
      </w:tr>
      <w:tr w14:paraId="3BE8B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5E989932">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14:paraId="1F39EEE1">
            <w:pPr>
              <w:spacing w:line="440" w:lineRule="exact"/>
              <w:jc w:val="center"/>
              <w:rPr>
                <w:rFonts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14:paraId="0C8DEDCE">
            <w:pPr>
              <w:spacing w:line="440" w:lineRule="exact"/>
              <w:jc w:val="center"/>
              <w:rPr>
                <w:rFonts w:ascii="仿宋_GB2312" w:hAnsi="仿宋" w:eastAsia="仿宋_GB2312"/>
                <w:sz w:val="28"/>
                <w:szCs w:val="28"/>
              </w:rPr>
            </w:pPr>
          </w:p>
        </w:tc>
      </w:tr>
      <w:tr w14:paraId="3B97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BE79B0">
            <w:pPr>
              <w:spacing w:line="440" w:lineRule="exact"/>
              <w:jc w:val="center"/>
              <w:rPr>
                <w:rFonts w:ascii="仿宋_GB2312" w:hAnsi="仿宋" w:eastAsia="仿宋_GB2312"/>
                <w:sz w:val="28"/>
                <w:szCs w:val="28"/>
              </w:rPr>
            </w:pPr>
          </w:p>
        </w:tc>
        <w:tc>
          <w:tcPr>
            <w:tcW w:w="2214" w:type="dxa"/>
            <w:gridSpan w:val="2"/>
            <w:vAlign w:val="center"/>
          </w:tcPr>
          <w:p w14:paraId="4B4F3BBD">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14:paraId="39B3A398">
            <w:pPr>
              <w:spacing w:line="440" w:lineRule="exact"/>
              <w:jc w:val="center"/>
              <w:rPr>
                <w:rFonts w:ascii="仿宋_GB2312" w:hAnsi="仿宋" w:eastAsia="仿宋_GB2312"/>
                <w:sz w:val="28"/>
                <w:szCs w:val="28"/>
              </w:rPr>
            </w:pPr>
          </w:p>
        </w:tc>
      </w:tr>
      <w:tr w14:paraId="6D4B2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7DBD091">
            <w:pPr>
              <w:spacing w:line="440" w:lineRule="exact"/>
              <w:jc w:val="center"/>
              <w:rPr>
                <w:rFonts w:ascii="仿宋_GB2312" w:hAnsi="仿宋" w:eastAsia="仿宋_GB2312"/>
                <w:sz w:val="28"/>
                <w:szCs w:val="28"/>
              </w:rPr>
            </w:pPr>
          </w:p>
        </w:tc>
        <w:tc>
          <w:tcPr>
            <w:tcW w:w="2214" w:type="dxa"/>
            <w:gridSpan w:val="2"/>
            <w:vAlign w:val="center"/>
          </w:tcPr>
          <w:p w14:paraId="56DD1AFF">
            <w:pPr>
              <w:spacing w:line="440" w:lineRule="exact"/>
              <w:jc w:val="center"/>
              <w:rPr>
                <w:rFonts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14:paraId="7B619E0C">
            <w:pPr>
              <w:spacing w:line="440" w:lineRule="exact"/>
              <w:jc w:val="center"/>
              <w:rPr>
                <w:rFonts w:ascii="仿宋_GB2312" w:hAnsi="仿宋" w:eastAsia="仿宋_GB2312"/>
                <w:sz w:val="28"/>
                <w:szCs w:val="28"/>
              </w:rPr>
            </w:pPr>
          </w:p>
        </w:tc>
        <w:tc>
          <w:tcPr>
            <w:tcW w:w="2214" w:type="dxa"/>
            <w:gridSpan w:val="2"/>
            <w:vAlign w:val="center"/>
          </w:tcPr>
          <w:p w14:paraId="6AF9246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14:paraId="72F64893">
            <w:pPr>
              <w:spacing w:line="440" w:lineRule="exact"/>
              <w:jc w:val="center"/>
              <w:rPr>
                <w:rFonts w:ascii="仿宋_GB2312" w:hAnsi="仿宋" w:eastAsia="仿宋_GB2312"/>
                <w:sz w:val="28"/>
                <w:szCs w:val="28"/>
              </w:rPr>
            </w:pPr>
          </w:p>
        </w:tc>
      </w:tr>
      <w:tr w14:paraId="626EE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67435D0">
            <w:pPr>
              <w:spacing w:line="440" w:lineRule="exact"/>
              <w:jc w:val="center"/>
              <w:rPr>
                <w:rFonts w:ascii="仿宋_GB2312" w:hAnsi="仿宋" w:eastAsia="仿宋_GB2312"/>
                <w:sz w:val="28"/>
                <w:szCs w:val="28"/>
              </w:rPr>
            </w:pPr>
          </w:p>
        </w:tc>
        <w:tc>
          <w:tcPr>
            <w:tcW w:w="2214" w:type="dxa"/>
            <w:gridSpan w:val="2"/>
            <w:vAlign w:val="center"/>
          </w:tcPr>
          <w:p w14:paraId="63416FC3">
            <w:pPr>
              <w:spacing w:line="440" w:lineRule="exact"/>
              <w:jc w:val="center"/>
              <w:rPr>
                <w:rFonts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14:paraId="606967C6">
            <w:pPr>
              <w:spacing w:line="440" w:lineRule="exact"/>
              <w:jc w:val="center"/>
              <w:rPr>
                <w:rFonts w:ascii="仿宋_GB2312" w:hAnsi="仿宋" w:eastAsia="仿宋_GB2312"/>
                <w:sz w:val="28"/>
                <w:szCs w:val="28"/>
              </w:rPr>
            </w:pPr>
          </w:p>
        </w:tc>
        <w:tc>
          <w:tcPr>
            <w:tcW w:w="2214" w:type="dxa"/>
            <w:gridSpan w:val="2"/>
            <w:vAlign w:val="center"/>
          </w:tcPr>
          <w:p w14:paraId="46BF1243">
            <w:pPr>
              <w:spacing w:line="440" w:lineRule="exact"/>
              <w:jc w:val="center"/>
              <w:rPr>
                <w:rFonts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14:paraId="2B2C6D6E">
            <w:pPr>
              <w:spacing w:line="440" w:lineRule="exact"/>
              <w:jc w:val="center"/>
              <w:rPr>
                <w:rFonts w:ascii="仿宋_GB2312" w:hAnsi="仿宋" w:eastAsia="仿宋_GB2312"/>
                <w:sz w:val="28"/>
                <w:szCs w:val="28"/>
              </w:rPr>
            </w:pPr>
          </w:p>
        </w:tc>
      </w:tr>
      <w:tr w14:paraId="33AD2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4A0E215">
            <w:pPr>
              <w:spacing w:line="440" w:lineRule="exact"/>
              <w:jc w:val="center"/>
              <w:rPr>
                <w:rFonts w:ascii="仿宋_GB2312" w:hAnsi="仿宋" w:eastAsia="仿宋_GB2312"/>
                <w:sz w:val="28"/>
                <w:szCs w:val="28"/>
              </w:rPr>
            </w:pPr>
          </w:p>
        </w:tc>
        <w:tc>
          <w:tcPr>
            <w:tcW w:w="2214" w:type="dxa"/>
            <w:gridSpan w:val="2"/>
            <w:vAlign w:val="center"/>
          </w:tcPr>
          <w:p w14:paraId="3B0E3079">
            <w:pPr>
              <w:spacing w:line="440" w:lineRule="exact"/>
              <w:jc w:val="center"/>
              <w:rPr>
                <w:rFonts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14:paraId="2A665A90">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p>
        </w:tc>
      </w:tr>
      <w:tr w14:paraId="20F8A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13C5A932">
            <w:pPr>
              <w:spacing w:line="440" w:lineRule="exact"/>
              <w:jc w:val="center"/>
              <w:rPr>
                <w:rFonts w:ascii="仿宋_GB2312" w:hAnsi="仿宋" w:eastAsia="仿宋_GB2312"/>
                <w:sz w:val="28"/>
                <w:szCs w:val="28"/>
              </w:rPr>
            </w:pPr>
            <w:r>
              <w:rPr>
                <w:rFonts w:hint="eastAsia" w:ascii="仿宋_GB2312" w:hAnsi="仿宋" w:eastAsia="仿宋_GB2312"/>
                <w:sz w:val="28"/>
                <w:szCs w:val="28"/>
              </w:rPr>
              <w:t>投标人情况简介</w:t>
            </w:r>
          </w:p>
        </w:tc>
      </w:tr>
      <w:tr w14:paraId="5A1F7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7E4FE55F">
            <w:pPr>
              <w:spacing w:line="440" w:lineRule="exact"/>
              <w:rPr>
                <w:rFonts w:ascii="仿宋_GB2312" w:hAnsi="仿宋" w:eastAsia="仿宋_GB2312"/>
                <w:sz w:val="28"/>
                <w:szCs w:val="28"/>
              </w:rPr>
            </w:pPr>
          </w:p>
        </w:tc>
      </w:tr>
    </w:tbl>
    <w:p w14:paraId="03C0ABA5">
      <w:pPr>
        <w:jc w:val="center"/>
        <w:rPr>
          <w:rFonts w:ascii="仿宋_GB2312" w:hAnsi="仿宋" w:eastAsia="仿宋_GB2312"/>
          <w:b/>
          <w:sz w:val="44"/>
          <w:szCs w:val="44"/>
        </w:rPr>
      </w:pPr>
    </w:p>
    <w:p w14:paraId="11859CD4">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4DDE3A38">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法定代表人或授权代表（签字或盖章）：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616C61F0">
      <w:pPr>
        <w:jc w:val="center"/>
        <w:rPr>
          <w:rFonts w:ascii="黑体" w:hAnsi="黑体" w:eastAsia="黑体"/>
          <w:sz w:val="32"/>
          <w:szCs w:val="32"/>
        </w:rPr>
      </w:pPr>
      <w:r>
        <w:rPr>
          <w:rFonts w:hAnsi="仿宋"/>
          <w:sz w:val="32"/>
          <w:szCs w:val="32"/>
        </w:rPr>
        <w:br w:type="page"/>
      </w:r>
    </w:p>
    <w:p w14:paraId="61FF1421">
      <w:pPr>
        <w:snapToGrid w:val="0"/>
        <w:spacing w:line="560" w:lineRule="exact"/>
        <w:ind w:firstLine="643" w:firstLineChars="201"/>
        <w:jc w:val="center"/>
        <w:rPr>
          <w:rFonts w:ascii="黑体" w:hAnsi="黑体" w:eastAsia="黑体"/>
          <w:sz w:val="32"/>
          <w:szCs w:val="32"/>
        </w:rPr>
      </w:pPr>
      <w:r>
        <w:rPr>
          <w:rFonts w:hint="eastAsia" w:ascii="黑体" w:hAnsi="黑体" w:eastAsia="黑体"/>
          <w:sz w:val="32"/>
          <w:szCs w:val="32"/>
        </w:rPr>
        <w:t>技术部分</w:t>
      </w:r>
    </w:p>
    <w:p w14:paraId="3AC54C5B">
      <w:pPr>
        <w:pStyle w:val="38"/>
      </w:pPr>
    </w:p>
    <w:p w14:paraId="616F416D">
      <w:pPr>
        <w:pStyle w:val="38"/>
      </w:pPr>
    </w:p>
    <w:p w14:paraId="7044659A">
      <w:pPr>
        <w:pStyle w:val="38"/>
      </w:pPr>
    </w:p>
    <w:p w14:paraId="4E7BD661">
      <w:pPr>
        <w:pStyle w:val="38"/>
      </w:pPr>
    </w:p>
    <w:p w14:paraId="2A05FAF9">
      <w:pPr>
        <w:pStyle w:val="38"/>
      </w:pPr>
    </w:p>
    <w:p w14:paraId="5AAE99DA">
      <w:pPr>
        <w:pStyle w:val="38"/>
      </w:pPr>
    </w:p>
    <w:p w14:paraId="7FAB028E">
      <w:pPr>
        <w:pStyle w:val="38"/>
      </w:pPr>
    </w:p>
    <w:p w14:paraId="095A6EF6">
      <w:pPr>
        <w:pStyle w:val="38"/>
      </w:pPr>
    </w:p>
    <w:p w14:paraId="040A068D">
      <w:pPr>
        <w:pStyle w:val="38"/>
      </w:pPr>
    </w:p>
    <w:p w14:paraId="080E2083">
      <w:pPr>
        <w:pStyle w:val="38"/>
      </w:pPr>
    </w:p>
    <w:p w14:paraId="65F7BE41">
      <w:pPr>
        <w:pStyle w:val="38"/>
      </w:pPr>
    </w:p>
    <w:p w14:paraId="0ACE4008">
      <w:pPr>
        <w:pStyle w:val="38"/>
      </w:pPr>
    </w:p>
    <w:p w14:paraId="035C2E2C">
      <w:pPr>
        <w:pStyle w:val="38"/>
      </w:pPr>
    </w:p>
    <w:p w14:paraId="4EA7BF6C">
      <w:pPr>
        <w:pStyle w:val="38"/>
      </w:pPr>
    </w:p>
    <w:p w14:paraId="5F6D74C8">
      <w:pPr>
        <w:pStyle w:val="38"/>
      </w:pPr>
    </w:p>
    <w:p w14:paraId="1F007A32">
      <w:pPr>
        <w:pStyle w:val="38"/>
      </w:pPr>
    </w:p>
    <w:p w14:paraId="2A6F0284">
      <w:pPr>
        <w:pStyle w:val="38"/>
      </w:pPr>
    </w:p>
    <w:p w14:paraId="0F552607">
      <w:pPr>
        <w:pStyle w:val="38"/>
      </w:pPr>
    </w:p>
    <w:p w14:paraId="3BF0966B">
      <w:pPr>
        <w:pStyle w:val="38"/>
      </w:pPr>
    </w:p>
    <w:p w14:paraId="55BC4476">
      <w:pPr>
        <w:pStyle w:val="38"/>
      </w:pPr>
    </w:p>
    <w:p w14:paraId="0B6B9B4A">
      <w:pPr>
        <w:pStyle w:val="38"/>
      </w:pPr>
    </w:p>
    <w:p w14:paraId="068488AB">
      <w:pPr>
        <w:pStyle w:val="38"/>
      </w:pPr>
    </w:p>
    <w:p w14:paraId="192313E0">
      <w:pPr>
        <w:pStyle w:val="38"/>
      </w:pPr>
    </w:p>
    <w:p w14:paraId="281256F4">
      <w:pPr>
        <w:pStyle w:val="38"/>
      </w:pPr>
    </w:p>
    <w:p w14:paraId="7B284E8F">
      <w:pPr>
        <w:pStyle w:val="38"/>
      </w:pPr>
    </w:p>
    <w:p w14:paraId="39F89458">
      <w:pPr>
        <w:pStyle w:val="38"/>
      </w:pPr>
    </w:p>
    <w:p w14:paraId="47AC2142">
      <w:pPr>
        <w:pStyle w:val="38"/>
      </w:pPr>
    </w:p>
    <w:p w14:paraId="4B225F8E">
      <w:pPr>
        <w:pStyle w:val="38"/>
      </w:pPr>
    </w:p>
    <w:p w14:paraId="48070A12">
      <w:pPr>
        <w:pStyle w:val="38"/>
      </w:pPr>
    </w:p>
    <w:p w14:paraId="72BA5029">
      <w:pPr>
        <w:pStyle w:val="38"/>
      </w:pPr>
    </w:p>
    <w:p w14:paraId="155845D2">
      <w:pPr>
        <w:pStyle w:val="38"/>
      </w:pPr>
    </w:p>
    <w:p w14:paraId="72E22556">
      <w:pPr>
        <w:pStyle w:val="38"/>
      </w:pPr>
    </w:p>
    <w:p w14:paraId="0BDB9069">
      <w:pPr>
        <w:pStyle w:val="38"/>
      </w:pPr>
    </w:p>
    <w:p w14:paraId="06452153">
      <w:pPr>
        <w:pStyle w:val="38"/>
      </w:pPr>
    </w:p>
    <w:p w14:paraId="4392785B">
      <w:pPr>
        <w:pStyle w:val="38"/>
      </w:pPr>
    </w:p>
    <w:p w14:paraId="19770CA5">
      <w:pPr>
        <w:pStyle w:val="38"/>
      </w:pPr>
    </w:p>
    <w:p w14:paraId="6070AEEA">
      <w:pPr>
        <w:pStyle w:val="38"/>
      </w:pPr>
    </w:p>
    <w:p w14:paraId="56AF8EEE">
      <w:pPr>
        <w:pStyle w:val="38"/>
      </w:pPr>
    </w:p>
    <w:p w14:paraId="2F9CBAF7">
      <w:pPr>
        <w:pStyle w:val="38"/>
      </w:pPr>
    </w:p>
    <w:p w14:paraId="3B808606">
      <w:pPr>
        <w:pStyle w:val="38"/>
      </w:pPr>
    </w:p>
    <w:p w14:paraId="0AAEF22B">
      <w:pPr>
        <w:pStyle w:val="38"/>
      </w:pPr>
    </w:p>
    <w:p w14:paraId="650CE6C8">
      <w:pPr>
        <w:pStyle w:val="38"/>
      </w:pPr>
    </w:p>
    <w:p w14:paraId="04D50299">
      <w:pPr>
        <w:jc w:val="right"/>
        <w:rPr>
          <w:rFonts w:ascii="仿宋_GB2312" w:eastAsia="仿宋_GB2312"/>
          <w:sz w:val="24"/>
          <w:highlight w:val="none"/>
        </w:rPr>
      </w:pPr>
      <w:r>
        <w:rPr>
          <w:rFonts w:hint="eastAsia" w:ascii="仿宋_GB2312" w:eastAsia="仿宋_GB2312"/>
          <w:sz w:val="24"/>
          <w:highlight w:val="none"/>
        </w:rPr>
        <w:t>如中标（成交），随中标（成交）公告公示</w:t>
      </w:r>
    </w:p>
    <w:p w14:paraId="7AD15F8D">
      <w:pPr>
        <w:pStyle w:val="2"/>
        <w:jc w:val="center"/>
        <w:rPr>
          <w:highlight w:val="none"/>
        </w:rPr>
      </w:pPr>
      <w:bookmarkStart w:id="11" w:name="_Toc193291800"/>
      <w:r>
        <w:rPr>
          <w:rFonts w:hint="eastAsia"/>
          <w:highlight w:val="none"/>
        </w:rPr>
        <w:t>国内同类项目业绩表</w:t>
      </w:r>
      <w:bookmarkEnd w:id="11"/>
    </w:p>
    <w:tbl>
      <w:tblPr>
        <w:tblStyle w:val="30"/>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eastAsia="仿宋_GB2312"/>
                <w:sz w:val="30"/>
                <w:szCs w:val="30"/>
                <w:highlight w:val="none"/>
              </w:rPr>
            </w:pPr>
            <w:r>
              <w:rPr>
                <w:rFonts w:hint="eastAsia" w:ascii="仿宋_GB2312" w:eastAsia="仿宋_GB2312"/>
                <w:sz w:val="30"/>
                <w:szCs w:val="30"/>
                <w:highlight w:val="none"/>
              </w:rPr>
              <w:t>序号</w:t>
            </w:r>
          </w:p>
        </w:tc>
        <w:tc>
          <w:tcPr>
            <w:tcW w:w="1244" w:type="dxa"/>
            <w:vAlign w:val="center"/>
          </w:tcPr>
          <w:p w14:paraId="6820F03D">
            <w:pPr>
              <w:rPr>
                <w:rFonts w:ascii="仿宋_GB2312" w:eastAsia="仿宋_GB2312"/>
                <w:sz w:val="30"/>
                <w:szCs w:val="30"/>
                <w:highlight w:val="none"/>
              </w:rPr>
            </w:pPr>
            <w:r>
              <w:rPr>
                <w:rFonts w:hint="eastAsia" w:ascii="仿宋_GB2312" w:eastAsia="仿宋_GB2312"/>
                <w:sz w:val="30"/>
                <w:szCs w:val="30"/>
                <w:highlight w:val="none"/>
              </w:rPr>
              <w:t>用户名称</w:t>
            </w:r>
          </w:p>
        </w:tc>
        <w:tc>
          <w:tcPr>
            <w:tcW w:w="1985" w:type="dxa"/>
            <w:vAlign w:val="center"/>
          </w:tcPr>
          <w:p w14:paraId="52AD46CD">
            <w:pPr>
              <w:rPr>
                <w:rFonts w:ascii="仿宋_GB2312" w:eastAsia="仿宋_GB2312"/>
                <w:sz w:val="30"/>
                <w:szCs w:val="30"/>
                <w:highlight w:val="none"/>
              </w:rPr>
            </w:pPr>
            <w:r>
              <w:rPr>
                <w:rFonts w:hint="eastAsia" w:ascii="仿宋_GB2312" w:eastAsia="仿宋_GB2312"/>
                <w:sz w:val="30"/>
                <w:szCs w:val="30"/>
                <w:highlight w:val="none"/>
              </w:rPr>
              <w:t>项目名称</w:t>
            </w:r>
          </w:p>
        </w:tc>
        <w:tc>
          <w:tcPr>
            <w:tcW w:w="1374" w:type="dxa"/>
            <w:vAlign w:val="center"/>
          </w:tcPr>
          <w:p w14:paraId="5C81FCDD">
            <w:pPr>
              <w:rPr>
                <w:rFonts w:ascii="仿宋_GB2312" w:eastAsia="仿宋_GB2312"/>
                <w:sz w:val="30"/>
                <w:szCs w:val="30"/>
                <w:highlight w:val="none"/>
              </w:rPr>
            </w:pPr>
            <w:r>
              <w:rPr>
                <w:rFonts w:hint="eastAsia" w:ascii="仿宋_GB2312" w:eastAsia="仿宋_GB2312"/>
                <w:sz w:val="30"/>
                <w:szCs w:val="30"/>
                <w:highlight w:val="none"/>
              </w:rPr>
              <w:t>合同额</w:t>
            </w:r>
          </w:p>
        </w:tc>
        <w:tc>
          <w:tcPr>
            <w:tcW w:w="1417" w:type="dxa"/>
            <w:vAlign w:val="center"/>
          </w:tcPr>
          <w:p w14:paraId="01CE94B0">
            <w:pPr>
              <w:rPr>
                <w:rFonts w:ascii="仿宋_GB2312" w:eastAsia="仿宋_GB2312"/>
                <w:sz w:val="30"/>
                <w:szCs w:val="30"/>
                <w:highlight w:val="none"/>
              </w:rPr>
            </w:pPr>
            <w:r>
              <w:rPr>
                <w:rFonts w:hint="eastAsia" w:ascii="仿宋_GB2312" w:eastAsia="仿宋_GB2312"/>
                <w:sz w:val="30"/>
                <w:szCs w:val="30"/>
                <w:highlight w:val="none"/>
              </w:rPr>
              <w:t>签订时间</w:t>
            </w:r>
          </w:p>
        </w:tc>
        <w:tc>
          <w:tcPr>
            <w:tcW w:w="1276" w:type="dxa"/>
            <w:vAlign w:val="center"/>
          </w:tcPr>
          <w:p w14:paraId="6D2AD4B7">
            <w:pPr>
              <w:rPr>
                <w:rFonts w:ascii="仿宋_GB2312" w:eastAsia="仿宋_GB2312"/>
                <w:sz w:val="30"/>
                <w:szCs w:val="30"/>
                <w:highlight w:val="none"/>
              </w:rPr>
            </w:pPr>
            <w:r>
              <w:rPr>
                <w:rFonts w:hint="eastAsia" w:ascii="仿宋_GB2312" w:eastAsia="仿宋_GB2312"/>
                <w:sz w:val="30"/>
                <w:szCs w:val="30"/>
                <w:highlight w:val="none"/>
              </w:rPr>
              <w:t>电话/联系人</w:t>
            </w:r>
          </w:p>
        </w:tc>
        <w:tc>
          <w:tcPr>
            <w:tcW w:w="1210" w:type="dxa"/>
            <w:vAlign w:val="center"/>
          </w:tcPr>
          <w:p w14:paraId="1F2F53D7">
            <w:pPr>
              <w:rPr>
                <w:rFonts w:ascii="仿宋_GB2312" w:eastAsia="仿宋_GB2312"/>
                <w:sz w:val="30"/>
                <w:szCs w:val="30"/>
                <w:highlight w:val="none"/>
              </w:rPr>
            </w:pPr>
            <w:r>
              <w:rPr>
                <w:rFonts w:hint="eastAsia" w:ascii="仿宋_GB2312" w:eastAsia="仿宋_GB2312"/>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eastAsia="仿宋_GB2312"/>
                <w:sz w:val="30"/>
                <w:szCs w:val="30"/>
                <w:highlight w:val="none"/>
              </w:rPr>
            </w:pPr>
          </w:p>
        </w:tc>
        <w:tc>
          <w:tcPr>
            <w:tcW w:w="1244" w:type="dxa"/>
            <w:vAlign w:val="center"/>
          </w:tcPr>
          <w:p w14:paraId="4D52EF47">
            <w:pPr>
              <w:rPr>
                <w:rFonts w:ascii="仿宋_GB2312" w:eastAsia="仿宋_GB2312"/>
                <w:sz w:val="30"/>
                <w:szCs w:val="30"/>
                <w:highlight w:val="none"/>
              </w:rPr>
            </w:pPr>
          </w:p>
        </w:tc>
        <w:tc>
          <w:tcPr>
            <w:tcW w:w="1985" w:type="dxa"/>
            <w:vAlign w:val="center"/>
          </w:tcPr>
          <w:p w14:paraId="01B24FF7">
            <w:pPr>
              <w:rPr>
                <w:rFonts w:ascii="仿宋_GB2312" w:eastAsia="仿宋_GB2312"/>
                <w:sz w:val="30"/>
                <w:szCs w:val="30"/>
                <w:highlight w:val="none"/>
              </w:rPr>
            </w:pPr>
          </w:p>
        </w:tc>
        <w:tc>
          <w:tcPr>
            <w:tcW w:w="1374" w:type="dxa"/>
            <w:vAlign w:val="center"/>
          </w:tcPr>
          <w:p w14:paraId="30B25527">
            <w:pPr>
              <w:rPr>
                <w:rFonts w:ascii="仿宋_GB2312" w:eastAsia="仿宋_GB2312"/>
                <w:sz w:val="30"/>
                <w:szCs w:val="30"/>
                <w:highlight w:val="none"/>
              </w:rPr>
            </w:pPr>
          </w:p>
        </w:tc>
        <w:tc>
          <w:tcPr>
            <w:tcW w:w="1417" w:type="dxa"/>
            <w:vAlign w:val="center"/>
          </w:tcPr>
          <w:p w14:paraId="44798945">
            <w:pPr>
              <w:rPr>
                <w:rFonts w:ascii="仿宋_GB2312" w:eastAsia="仿宋_GB2312"/>
                <w:sz w:val="30"/>
                <w:szCs w:val="30"/>
                <w:highlight w:val="none"/>
              </w:rPr>
            </w:pPr>
          </w:p>
        </w:tc>
        <w:tc>
          <w:tcPr>
            <w:tcW w:w="1276" w:type="dxa"/>
            <w:vAlign w:val="center"/>
          </w:tcPr>
          <w:p w14:paraId="0593ED38">
            <w:pPr>
              <w:rPr>
                <w:rFonts w:ascii="仿宋_GB2312" w:eastAsia="仿宋_GB2312"/>
                <w:sz w:val="30"/>
                <w:szCs w:val="30"/>
                <w:highlight w:val="none"/>
              </w:rPr>
            </w:pPr>
          </w:p>
        </w:tc>
        <w:tc>
          <w:tcPr>
            <w:tcW w:w="1210" w:type="dxa"/>
            <w:vAlign w:val="center"/>
          </w:tcPr>
          <w:p w14:paraId="170025F5">
            <w:pPr>
              <w:rPr>
                <w:rFonts w:ascii="仿宋_GB2312" w:eastAsia="仿宋_GB2312"/>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eastAsia="仿宋_GB2312"/>
                <w:sz w:val="30"/>
                <w:szCs w:val="30"/>
              </w:rPr>
            </w:pPr>
          </w:p>
        </w:tc>
        <w:tc>
          <w:tcPr>
            <w:tcW w:w="1244" w:type="dxa"/>
            <w:vAlign w:val="center"/>
          </w:tcPr>
          <w:p w14:paraId="262ED24D">
            <w:pPr>
              <w:rPr>
                <w:rFonts w:ascii="仿宋_GB2312" w:eastAsia="仿宋_GB2312"/>
                <w:sz w:val="30"/>
                <w:szCs w:val="30"/>
              </w:rPr>
            </w:pPr>
          </w:p>
        </w:tc>
        <w:tc>
          <w:tcPr>
            <w:tcW w:w="1985" w:type="dxa"/>
            <w:vAlign w:val="center"/>
          </w:tcPr>
          <w:p w14:paraId="6D46ABA3">
            <w:pPr>
              <w:rPr>
                <w:rFonts w:ascii="仿宋_GB2312" w:eastAsia="仿宋_GB2312"/>
                <w:sz w:val="30"/>
                <w:szCs w:val="30"/>
              </w:rPr>
            </w:pPr>
          </w:p>
        </w:tc>
        <w:tc>
          <w:tcPr>
            <w:tcW w:w="1374" w:type="dxa"/>
            <w:vAlign w:val="center"/>
          </w:tcPr>
          <w:p w14:paraId="4B3379FC">
            <w:pPr>
              <w:rPr>
                <w:rFonts w:ascii="仿宋_GB2312" w:eastAsia="仿宋_GB2312"/>
                <w:sz w:val="30"/>
                <w:szCs w:val="30"/>
              </w:rPr>
            </w:pPr>
          </w:p>
        </w:tc>
        <w:tc>
          <w:tcPr>
            <w:tcW w:w="1417" w:type="dxa"/>
            <w:vAlign w:val="center"/>
          </w:tcPr>
          <w:p w14:paraId="10DB966F">
            <w:pPr>
              <w:rPr>
                <w:rFonts w:ascii="仿宋_GB2312" w:eastAsia="仿宋_GB2312"/>
                <w:sz w:val="30"/>
                <w:szCs w:val="30"/>
              </w:rPr>
            </w:pPr>
          </w:p>
        </w:tc>
        <w:tc>
          <w:tcPr>
            <w:tcW w:w="1276" w:type="dxa"/>
            <w:vAlign w:val="center"/>
          </w:tcPr>
          <w:p w14:paraId="5326EAA7">
            <w:pPr>
              <w:rPr>
                <w:rFonts w:ascii="仿宋_GB2312" w:eastAsia="仿宋_GB2312"/>
                <w:sz w:val="30"/>
                <w:szCs w:val="30"/>
              </w:rPr>
            </w:pPr>
          </w:p>
        </w:tc>
        <w:tc>
          <w:tcPr>
            <w:tcW w:w="1210" w:type="dxa"/>
            <w:vAlign w:val="center"/>
          </w:tcPr>
          <w:p w14:paraId="1704E9B4">
            <w:pPr>
              <w:rPr>
                <w:rFonts w:ascii="仿宋_GB2312" w:eastAsia="仿宋_GB2312"/>
                <w:sz w:val="30"/>
                <w:szCs w:val="30"/>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4A1472">
            <w:pPr>
              <w:rPr>
                <w:rFonts w:ascii="仿宋_GB2312" w:eastAsia="仿宋_GB2312"/>
                <w:sz w:val="30"/>
                <w:szCs w:val="30"/>
              </w:rPr>
            </w:pPr>
          </w:p>
        </w:tc>
        <w:tc>
          <w:tcPr>
            <w:tcW w:w="1244" w:type="dxa"/>
            <w:vAlign w:val="center"/>
          </w:tcPr>
          <w:p w14:paraId="1FFF4B9B">
            <w:pPr>
              <w:rPr>
                <w:rFonts w:ascii="仿宋_GB2312" w:eastAsia="仿宋_GB2312"/>
                <w:sz w:val="30"/>
                <w:szCs w:val="30"/>
              </w:rPr>
            </w:pPr>
          </w:p>
        </w:tc>
        <w:tc>
          <w:tcPr>
            <w:tcW w:w="1985" w:type="dxa"/>
            <w:vAlign w:val="center"/>
          </w:tcPr>
          <w:p w14:paraId="20044C42">
            <w:pPr>
              <w:rPr>
                <w:rFonts w:ascii="仿宋_GB2312" w:eastAsia="仿宋_GB2312"/>
                <w:sz w:val="30"/>
                <w:szCs w:val="30"/>
              </w:rPr>
            </w:pPr>
          </w:p>
        </w:tc>
        <w:tc>
          <w:tcPr>
            <w:tcW w:w="1374" w:type="dxa"/>
            <w:vAlign w:val="center"/>
          </w:tcPr>
          <w:p w14:paraId="5FEE365F">
            <w:pPr>
              <w:rPr>
                <w:rFonts w:ascii="仿宋_GB2312" w:eastAsia="仿宋_GB2312"/>
                <w:sz w:val="30"/>
                <w:szCs w:val="30"/>
              </w:rPr>
            </w:pPr>
          </w:p>
        </w:tc>
        <w:tc>
          <w:tcPr>
            <w:tcW w:w="1417" w:type="dxa"/>
            <w:vAlign w:val="center"/>
          </w:tcPr>
          <w:p w14:paraId="50A8D5C5">
            <w:pPr>
              <w:rPr>
                <w:rFonts w:ascii="仿宋_GB2312" w:eastAsia="仿宋_GB2312"/>
                <w:sz w:val="30"/>
                <w:szCs w:val="30"/>
              </w:rPr>
            </w:pPr>
          </w:p>
        </w:tc>
        <w:tc>
          <w:tcPr>
            <w:tcW w:w="1276" w:type="dxa"/>
            <w:vAlign w:val="center"/>
          </w:tcPr>
          <w:p w14:paraId="781DB8AF">
            <w:pPr>
              <w:rPr>
                <w:rFonts w:ascii="仿宋_GB2312" w:eastAsia="仿宋_GB2312"/>
                <w:sz w:val="30"/>
                <w:szCs w:val="30"/>
              </w:rPr>
            </w:pPr>
          </w:p>
        </w:tc>
        <w:tc>
          <w:tcPr>
            <w:tcW w:w="1210" w:type="dxa"/>
            <w:vAlign w:val="center"/>
          </w:tcPr>
          <w:p w14:paraId="274314C7">
            <w:pPr>
              <w:rPr>
                <w:rFonts w:ascii="仿宋_GB2312" w:eastAsia="仿宋_GB2312"/>
                <w:sz w:val="30"/>
                <w:szCs w:val="30"/>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eastAsia="仿宋_GB2312"/>
                <w:sz w:val="30"/>
                <w:szCs w:val="30"/>
              </w:rPr>
            </w:pPr>
          </w:p>
        </w:tc>
        <w:tc>
          <w:tcPr>
            <w:tcW w:w="1244" w:type="dxa"/>
            <w:vAlign w:val="center"/>
          </w:tcPr>
          <w:p w14:paraId="6D97FE7C">
            <w:pPr>
              <w:rPr>
                <w:rFonts w:ascii="仿宋_GB2312" w:eastAsia="仿宋_GB2312"/>
                <w:sz w:val="30"/>
                <w:szCs w:val="30"/>
              </w:rPr>
            </w:pPr>
          </w:p>
        </w:tc>
        <w:tc>
          <w:tcPr>
            <w:tcW w:w="1985" w:type="dxa"/>
            <w:vAlign w:val="center"/>
          </w:tcPr>
          <w:p w14:paraId="7B0ADA1F">
            <w:pPr>
              <w:rPr>
                <w:rFonts w:ascii="仿宋_GB2312" w:eastAsia="仿宋_GB2312"/>
                <w:sz w:val="30"/>
                <w:szCs w:val="30"/>
              </w:rPr>
            </w:pPr>
          </w:p>
        </w:tc>
        <w:tc>
          <w:tcPr>
            <w:tcW w:w="1374" w:type="dxa"/>
            <w:vAlign w:val="center"/>
          </w:tcPr>
          <w:p w14:paraId="6A5ED9DC">
            <w:pPr>
              <w:rPr>
                <w:rFonts w:ascii="仿宋_GB2312" w:eastAsia="仿宋_GB2312"/>
                <w:sz w:val="30"/>
                <w:szCs w:val="30"/>
              </w:rPr>
            </w:pPr>
          </w:p>
        </w:tc>
        <w:tc>
          <w:tcPr>
            <w:tcW w:w="1417" w:type="dxa"/>
            <w:vAlign w:val="center"/>
          </w:tcPr>
          <w:p w14:paraId="53D8BDD7">
            <w:pPr>
              <w:rPr>
                <w:rFonts w:ascii="仿宋_GB2312" w:eastAsia="仿宋_GB2312"/>
                <w:sz w:val="30"/>
                <w:szCs w:val="30"/>
              </w:rPr>
            </w:pPr>
          </w:p>
        </w:tc>
        <w:tc>
          <w:tcPr>
            <w:tcW w:w="1276" w:type="dxa"/>
            <w:vAlign w:val="center"/>
          </w:tcPr>
          <w:p w14:paraId="3CF7B0AE">
            <w:pPr>
              <w:rPr>
                <w:rFonts w:ascii="仿宋_GB2312" w:eastAsia="仿宋_GB2312"/>
                <w:sz w:val="30"/>
                <w:szCs w:val="30"/>
              </w:rPr>
            </w:pPr>
          </w:p>
        </w:tc>
        <w:tc>
          <w:tcPr>
            <w:tcW w:w="1210" w:type="dxa"/>
            <w:vAlign w:val="center"/>
          </w:tcPr>
          <w:p w14:paraId="0541D94F">
            <w:pPr>
              <w:rPr>
                <w:rFonts w:ascii="仿宋_GB2312" w:eastAsia="仿宋_GB2312"/>
                <w:sz w:val="30"/>
                <w:szCs w:val="30"/>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eastAsia="仿宋_GB2312"/>
                <w:sz w:val="30"/>
                <w:szCs w:val="30"/>
              </w:rPr>
            </w:pPr>
          </w:p>
        </w:tc>
        <w:tc>
          <w:tcPr>
            <w:tcW w:w="1244" w:type="dxa"/>
            <w:vAlign w:val="center"/>
          </w:tcPr>
          <w:p w14:paraId="0DF80AB8">
            <w:pPr>
              <w:rPr>
                <w:rFonts w:ascii="仿宋_GB2312" w:eastAsia="仿宋_GB2312"/>
                <w:sz w:val="30"/>
                <w:szCs w:val="30"/>
              </w:rPr>
            </w:pPr>
          </w:p>
        </w:tc>
        <w:tc>
          <w:tcPr>
            <w:tcW w:w="1985" w:type="dxa"/>
            <w:vAlign w:val="center"/>
          </w:tcPr>
          <w:p w14:paraId="7FBFF0DC">
            <w:pPr>
              <w:rPr>
                <w:rFonts w:ascii="仿宋_GB2312" w:eastAsia="仿宋_GB2312"/>
                <w:sz w:val="30"/>
                <w:szCs w:val="30"/>
              </w:rPr>
            </w:pPr>
          </w:p>
        </w:tc>
        <w:tc>
          <w:tcPr>
            <w:tcW w:w="1374" w:type="dxa"/>
            <w:vAlign w:val="center"/>
          </w:tcPr>
          <w:p w14:paraId="018814B9">
            <w:pPr>
              <w:rPr>
                <w:rFonts w:ascii="仿宋_GB2312" w:eastAsia="仿宋_GB2312"/>
                <w:sz w:val="30"/>
                <w:szCs w:val="30"/>
              </w:rPr>
            </w:pPr>
          </w:p>
        </w:tc>
        <w:tc>
          <w:tcPr>
            <w:tcW w:w="1417" w:type="dxa"/>
            <w:vAlign w:val="center"/>
          </w:tcPr>
          <w:p w14:paraId="5C8FA6CA">
            <w:pPr>
              <w:rPr>
                <w:rFonts w:ascii="仿宋_GB2312" w:eastAsia="仿宋_GB2312"/>
                <w:sz w:val="30"/>
                <w:szCs w:val="30"/>
              </w:rPr>
            </w:pPr>
          </w:p>
        </w:tc>
        <w:tc>
          <w:tcPr>
            <w:tcW w:w="1276" w:type="dxa"/>
            <w:vAlign w:val="center"/>
          </w:tcPr>
          <w:p w14:paraId="0DFE8C52">
            <w:pPr>
              <w:rPr>
                <w:rFonts w:ascii="仿宋_GB2312" w:eastAsia="仿宋_GB2312"/>
                <w:sz w:val="30"/>
                <w:szCs w:val="30"/>
              </w:rPr>
            </w:pPr>
          </w:p>
        </w:tc>
        <w:tc>
          <w:tcPr>
            <w:tcW w:w="1210" w:type="dxa"/>
            <w:vAlign w:val="center"/>
          </w:tcPr>
          <w:p w14:paraId="7959EB2B">
            <w:pPr>
              <w:rPr>
                <w:rFonts w:ascii="仿宋_GB2312" w:eastAsia="仿宋_GB2312"/>
                <w:sz w:val="30"/>
                <w:szCs w:val="30"/>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eastAsia="仿宋_GB2312"/>
                <w:sz w:val="30"/>
                <w:szCs w:val="30"/>
              </w:rPr>
            </w:pPr>
          </w:p>
        </w:tc>
        <w:tc>
          <w:tcPr>
            <w:tcW w:w="1244" w:type="dxa"/>
            <w:vAlign w:val="center"/>
          </w:tcPr>
          <w:p w14:paraId="3DF95A43">
            <w:pPr>
              <w:rPr>
                <w:rFonts w:ascii="仿宋_GB2312" w:eastAsia="仿宋_GB2312"/>
                <w:sz w:val="30"/>
                <w:szCs w:val="30"/>
              </w:rPr>
            </w:pPr>
          </w:p>
        </w:tc>
        <w:tc>
          <w:tcPr>
            <w:tcW w:w="1985" w:type="dxa"/>
            <w:vAlign w:val="center"/>
          </w:tcPr>
          <w:p w14:paraId="2208864C">
            <w:pPr>
              <w:rPr>
                <w:rFonts w:ascii="仿宋_GB2312" w:eastAsia="仿宋_GB2312"/>
                <w:sz w:val="30"/>
                <w:szCs w:val="30"/>
              </w:rPr>
            </w:pPr>
          </w:p>
        </w:tc>
        <w:tc>
          <w:tcPr>
            <w:tcW w:w="1374" w:type="dxa"/>
            <w:vAlign w:val="center"/>
          </w:tcPr>
          <w:p w14:paraId="3C14CFCD">
            <w:pPr>
              <w:rPr>
                <w:rFonts w:ascii="仿宋_GB2312" w:eastAsia="仿宋_GB2312"/>
                <w:sz w:val="30"/>
                <w:szCs w:val="30"/>
              </w:rPr>
            </w:pPr>
          </w:p>
        </w:tc>
        <w:tc>
          <w:tcPr>
            <w:tcW w:w="1417" w:type="dxa"/>
            <w:vAlign w:val="center"/>
          </w:tcPr>
          <w:p w14:paraId="0574BC2D">
            <w:pPr>
              <w:rPr>
                <w:rFonts w:ascii="仿宋_GB2312" w:eastAsia="仿宋_GB2312"/>
                <w:sz w:val="30"/>
                <w:szCs w:val="30"/>
              </w:rPr>
            </w:pPr>
          </w:p>
        </w:tc>
        <w:tc>
          <w:tcPr>
            <w:tcW w:w="1276" w:type="dxa"/>
            <w:vAlign w:val="center"/>
          </w:tcPr>
          <w:p w14:paraId="6A63AF83">
            <w:pPr>
              <w:rPr>
                <w:rFonts w:ascii="仿宋_GB2312" w:eastAsia="仿宋_GB2312"/>
                <w:sz w:val="30"/>
                <w:szCs w:val="30"/>
              </w:rPr>
            </w:pPr>
          </w:p>
        </w:tc>
        <w:tc>
          <w:tcPr>
            <w:tcW w:w="1210" w:type="dxa"/>
            <w:vAlign w:val="center"/>
          </w:tcPr>
          <w:p w14:paraId="0D511207">
            <w:pPr>
              <w:rPr>
                <w:rFonts w:ascii="仿宋_GB2312" w:eastAsia="仿宋_GB2312"/>
                <w:sz w:val="30"/>
                <w:szCs w:val="30"/>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eastAsia="仿宋_GB2312"/>
                <w:sz w:val="30"/>
                <w:szCs w:val="30"/>
              </w:rPr>
            </w:pPr>
          </w:p>
        </w:tc>
        <w:tc>
          <w:tcPr>
            <w:tcW w:w="1244" w:type="dxa"/>
            <w:vAlign w:val="center"/>
          </w:tcPr>
          <w:p w14:paraId="17017D8F">
            <w:pPr>
              <w:rPr>
                <w:rFonts w:ascii="仿宋_GB2312" w:eastAsia="仿宋_GB2312"/>
                <w:sz w:val="30"/>
                <w:szCs w:val="30"/>
              </w:rPr>
            </w:pPr>
          </w:p>
        </w:tc>
        <w:tc>
          <w:tcPr>
            <w:tcW w:w="1985" w:type="dxa"/>
            <w:vAlign w:val="center"/>
          </w:tcPr>
          <w:p w14:paraId="2F3A9A16">
            <w:pPr>
              <w:rPr>
                <w:rFonts w:ascii="仿宋_GB2312" w:eastAsia="仿宋_GB2312"/>
                <w:sz w:val="30"/>
                <w:szCs w:val="30"/>
              </w:rPr>
            </w:pPr>
          </w:p>
        </w:tc>
        <w:tc>
          <w:tcPr>
            <w:tcW w:w="1374" w:type="dxa"/>
            <w:vAlign w:val="center"/>
          </w:tcPr>
          <w:p w14:paraId="76360E3D">
            <w:pPr>
              <w:rPr>
                <w:rFonts w:ascii="仿宋_GB2312" w:eastAsia="仿宋_GB2312"/>
                <w:sz w:val="30"/>
                <w:szCs w:val="30"/>
              </w:rPr>
            </w:pPr>
          </w:p>
        </w:tc>
        <w:tc>
          <w:tcPr>
            <w:tcW w:w="1417" w:type="dxa"/>
            <w:vAlign w:val="center"/>
          </w:tcPr>
          <w:p w14:paraId="12CD289C">
            <w:pPr>
              <w:rPr>
                <w:rFonts w:ascii="仿宋_GB2312" w:eastAsia="仿宋_GB2312"/>
                <w:sz w:val="30"/>
                <w:szCs w:val="30"/>
              </w:rPr>
            </w:pPr>
          </w:p>
        </w:tc>
        <w:tc>
          <w:tcPr>
            <w:tcW w:w="1276" w:type="dxa"/>
            <w:vAlign w:val="center"/>
          </w:tcPr>
          <w:p w14:paraId="639B9241">
            <w:pPr>
              <w:rPr>
                <w:rFonts w:ascii="仿宋_GB2312" w:eastAsia="仿宋_GB2312"/>
                <w:sz w:val="30"/>
                <w:szCs w:val="30"/>
              </w:rPr>
            </w:pPr>
          </w:p>
        </w:tc>
        <w:tc>
          <w:tcPr>
            <w:tcW w:w="1210" w:type="dxa"/>
            <w:vAlign w:val="center"/>
          </w:tcPr>
          <w:p w14:paraId="6246C08C">
            <w:pPr>
              <w:rPr>
                <w:rFonts w:ascii="仿宋_GB2312" w:eastAsia="仿宋_GB2312"/>
                <w:sz w:val="30"/>
                <w:szCs w:val="30"/>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eastAsia="仿宋_GB2312"/>
                <w:sz w:val="30"/>
                <w:szCs w:val="30"/>
              </w:rPr>
            </w:pPr>
          </w:p>
        </w:tc>
        <w:tc>
          <w:tcPr>
            <w:tcW w:w="1244" w:type="dxa"/>
            <w:vAlign w:val="center"/>
          </w:tcPr>
          <w:p w14:paraId="4B030703">
            <w:pPr>
              <w:rPr>
                <w:rFonts w:ascii="仿宋_GB2312" w:eastAsia="仿宋_GB2312"/>
                <w:sz w:val="30"/>
                <w:szCs w:val="30"/>
              </w:rPr>
            </w:pPr>
          </w:p>
        </w:tc>
        <w:tc>
          <w:tcPr>
            <w:tcW w:w="1985" w:type="dxa"/>
            <w:vAlign w:val="center"/>
          </w:tcPr>
          <w:p w14:paraId="4E30EC89">
            <w:pPr>
              <w:rPr>
                <w:rFonts w:ascii="仿宋_GB2312" w:eastAsia="仿宋_GB2312"/>
                <w:sz w:val="30"/>
                <w:szCs w:val="30"/>
              </w:rPr>
            </w:pPr>
          </w:p>
        </w:tc>
        <w:tc>
          <w:tcPr>
            <w:tcW w:w="1374" w:type="dxa"/>
            <w:vAlign w:val="center"/>
          </w:tcPr>
          <w:p w14:paraId="45EF1391">
            <w:pPr>
              <w:rPr>
                <w:rFonts w:ascii="仿宋_GB2312" w:eastAsia="仿宋_GB2312"/>
                <w:sz w:val="30"/>
                <w:szCs w:val="30"/>
              </w:rPr>
            </w:pPr>
          </w:p>
        </w:tc>
        <w:tc>
          <w:tcPr>
            <w:tcW w:w="1417" w:type="dxa"/>
            <w:vAlign w:val="center"/>
          </w:tcPr>
          <w:p w14:paraId="7FCE8CAB">
            <w:pPr>
              <w:rPr>
                <w:rFonts w:ascii="仿宋_GB2312" w:eastAsia="仿宋_GB2312"/>
                <w:sz w:val="30"/>
                <w:szCs w:val="30"/>
              </w:rPr>
            </w:pPr>
          </w:p>
        </w:tc>
        <w:tc>
          <w:tcPr>
            <w:tcW w:w="1276" w:type="dxa"/>
            <w:vAlign w:val="center"/>
          </w:tcPr>
          <w:p w14:paraId="31F78B03">
            <w:pPr>
              <w:rPr>
                <w:rFonts w:ascii="仿宋_GB2312" w:eastAsia="仿宋_GB2312"/>
                <w:sz w:val="30"/>
                <w:szCs w:val="30"/>
              </w:rPr>
            </w:pPr>
          </w:p>
        </w:tc>
        <w:tc>
          <w:tcPr>
            <w:tcW w:w="1210" w:type="dxa"/>
            <w:vAlign w:val="center"/>
          </w:tcPr>
          <w:p w14:paraId="009CB48E">
            <w:pPr>
              <w:rPr>
                <w:rFonts w:ascii="仿宋_GB2312" w:eastAsia="仿宋_GB2312"/>
                <w:sz w:val="30"/>
                <w:szCs w:val="30"/>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eastAsia="仿宋_GB2312"/>
                <w:sz w:val="30"/>
                <w:szCs w:val="30"/>
              </w:rPr>
            </w:pPr>
          </w:p>
        </w:tc>
        <w:tc>
          <w:tcPr>
            <w:tcW w:w="1244" w:type="dxa"/>
            <w:vAlign w:val="center"/>
          </w:tcPr>
          <w:p w14:paraId="10B7737D">
            <w:pPr>
              <w:rPr>
                <w:rFonts w:ascii="仿宋_GB2312" w:eastAsia="仿宋_GB2312"/>
                <w:sz w:val="30"/>
                <w:szCs w:val="30"/>
              </w:rPr>
            </w:pPr>
          </w:p>
        </w:tc>
        <w:tc>
          <w:tcPr>
            <w:tcW w:w="1985" w:type="dxa"/>
            <w:vAlign w:val="center"/>
          </w:tcPr>
          <w:p w14:paraId="68D64F0F">
            <w:pPr>
              <w:rPr>
                <w:rFonts w:ascii="仿宋_GB2312" w:eastAsia="仿宋_GB2312"/>
                <w:sz w:val="30"/>
                <w:szCs w:val="30"/>
              </w:rPr>
            </w:pPr>
          </w:p>
        </w:tc>
        <w:tc>
          <w:tcPr>
            <w:tcW w:w="1374" w:type="dxa"/>
            <w:vAlign w:val="center"/>
          </w:tcPr>
          <w:p w14:paraId="00A3EBB0">
            <w:pPr>
              <w:rPr>
                <w:rFonts w:ascii="仿宋_GB2312" w:eastAsia="仿宋_GB2312"/>
                <w:sz w:val="30"/>
                <w:szCs w:val="30"/>
              </w:rPr>
            </w:pPr>
          </w:p>
        </w:tc>
        <w:tc>
          <w:tcPr>
            <w:tcW w:w="1417" w:type="dxa"/>
            <w:vAlign w:val="center"/>
          </w:tcPr>
          <w:p w14:paraId="2B956E5E">
            <w:pPr>
              <w:rPr>
                <w:rFonts w:ascii="仿宋_GB2312" w:eastAsia="仿宋_GB2312"/>
                <w:sz w:val="30"/>
                <w:szCs w:val="30"/>
              </w:rPr>
            </w:pPr>
          </w:p>
        </w:tc>
        <w:tc>
          <w:tcPr>
            <w:tcW w:w="1276" w:type="dxa"/>
            <w:vAlign w:val="center"/>
          </w:tcPr>
          <w:p w14:paraId="1EB7E52B">
            <w:pPr>
              <w:rPr>
                <w:rFonts w:ascii="仿宋_GB2312" w:eastAsia="仿宋_GB2312"/>
                <w:sz w:val="30"/>
                <w:szCs w:val="30"/>
              </w:rPr>
            </w:pPr>
          </w:p>
        </w:tc>
        <w:tc>
          <w:tcPr>
            <w:tcW w:w="1210" w:type="dxa"/>
            <w:vAlign w:val="center"/>
          </w:tcPr>
          <w:p w14:paraId="0FDF5982">
            <w:pPr>
              <w:rPr>
                <w:rFonts w:ascii="仿宋_GB2312" w:eastAsia="仿宋_GB2312"/>
                <w:sz w:val="30"/>
                <w:szCs w:val="30"/>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eastAsia="仿宋_GB2312"/>
                <w:sz w:val="30"/>
                <w:szCs w:val="30"/>
              </w:rPr>
            </w:pPr>
          </w:p>
        </w:tc>
        <w:tc>
          <w:tcPr>
            <w:tcW w:w="1244" w:type="dxa"/>
            <w:vAlign w:val="center"/>
          </w:tcPr>
          <w:p w14:paraId="1978B351">
            <w:pPr>
              <w:rPr>
                <w:rFonts w:ascii="仿宋_GB2312" w:eastAsia="仿宋_GB2312"/>
                <w:sz w:val="30"/>
                <w:szCs w:val="30"/>
              </w:rPr>
            </w:pPr>
          </w:p>
        </w:tc>
        <w:tc>
          <w:tcPr>
            <w:tcW w:w="1985" w:type="dxa"/>
            <w:vAlign w:val="center"/>
          </w:tcPr>
          <w:p w14:paraId="4683EF66">
            <w:pPr>
              <w:rPr>
                <w:rFonts w:ascii="仿宋_GB2312" w:eastAsia="仿宋_GB2312"/>
                <w:sz w:val="30"/>
                <w:szCs w:val="30"/>
              </w:rPr>
            </w:pPr>
          </w:p>
        </w:tc>
        <w:tc>
          <w:tcPr>
            <w:tcW w:w="1374" w:type="dxa"/>
            <w:vAlign w:val="center"/>
          </w:tcPr>
          <w:p w14:paraId="4E840165">
            <w:pPr>
              <w:rPr>
                <w:rFonts w:ascii="仿宋_GB2312" w:eastAsia="仿宋_GB2312"/>
                <w:sz w:val="30"/>
                <w:szCs w:val="30"/>
              </w:rPr>
            </w:pPr>
          </w:p>
        </w:tc>
        <w:tc>
          <w:tcPr>
            <w:tcW w:w="1417" w:type="dxa"/>
            <w:vAlign w:val="center"/>
          </w:tcPr>
          <w:p w14:paraId="3936600D">
            <w:pPr>
              <w:rPr>
                <w:rFonts w:ascii="仿宋_GB2312" w:eastAsia="仿宋_GB2312"/>
                <w:sz w:val="30"/>
                <w:szCs w:val="30"/>
              </w:rPr>
            </w:pPr>
          </w:p>
        </w:tc>
        <w:tc>
          <w:tcPr>
            <w:tcW w:w="1276" w:type="dxa"/>
            <w:vAlign w:val="center"/>
          </w:tcPr>
          <w:p w14:paraId="760F9CD3">
            <w:pPr>
              <w:rPr>
                <w:rFonts w:ascii="仿宋_GB2312" w:eastAsia="仿宋_GB2312"/>
                <w:sz w:val="30"/>
                <w:szCs w:val="30"/>
              </w:rPr>
            </w:pPr>
          </w:p>
        </w:tc>
        <w:tc>
          <w:tcPr>
            <w:tcW w:w="1210" w:type="dxa"/>
            <w:vAlign w:val="center"/>
          </w:tcPr>
          <w:p w14:paraId="50003D24">
            <w:pPr>
              <w:rPr>
                <w:rFonts w:ascii="仿宋_GB2312" w:eastAsia="仿宋_GB2312"/>
                <w:sz w:val="30"/>
                <w:szCs w:val="30"/>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eastAsia="仿宋_GB2312"/>
                <w:sz w:val="30"/>
                <w:szCs w:val="30"/>
              </w:rPr>
            </w:pPr>
          </w:p>
        </w:tc>
        <w:tc>
          <w:tcPr>
            <w:tcW w:w="1244" w:type="dxa"/>
            <w:vAlign w:val="center"/>
          </w:tcPr>
          <w:p w14:paraId="3B9D74C6">
            <w:pPr>
              <w:rPr>
                <w:rFonts w:ascii="仿宋_GB2312" w:eastAsia="仿宋_GB2312"/>
                <w:sz w:val="30"/>
                <w:szCs w:val="30"/>
              </w:rPr>
            </w:pPr>
          </w:p>
        </w:tc>
        <w:tc>
          <w:tcPr>
            <w:tcW w:w="1985" w:type="dxa"/>
            <w:vAlign w:val="center"/>
          </w:tcPr>
          <w:p w14:paraId="229593F7">
            <w:pPr>
              <w:rPr>
                <w:rFonts w:ascii="仿宋_GB2312" w:eastAsia="仿宋_GB2312"/>
                <w:sz w:val="30"/>
                <w:szCs w:val="30"/>
              </w:rPr>
            </w:pPr>
          </w:p>
        </w:tc>
        <w:tc>
          <w:tcPr>
            <w:tcW w:w="1374" w:type="dxa"/>
            <w:vAlign w:val="center"/>
          </w:tcPr>
          <w:p w14:paraId="5F5A41DF">
            <w:pPr>
              <w:rPr>
                <w:rFonts w:ascii="仿宋_GB2312" w:eastAsia="仿宋_GB2312"/>
                <w:sz w:val="30"/>
                <w:szCs w:val="30"/>
              </w:rPr>
            </w:pPr>
          </w:p>
        </w:tc>
        <w:tc>
          <w:tcPr>
            <w:tcW w:w="1417" w:type="dxa"/>
            <w:vAlign w:val="center"/>
          </w:tcPr>
          <w:p w14:paraId="249DEB5E">
            <w:pPr>
              <w:rPr>
                <w:rFonts w:ascii="仿宋_GB2312" w:eastAsia="仿宋_GB2312"/>
                <w:sz w:val="30"/>
                <w:szCs w:val="30"/>
              </w:rPr>
            </w:pPr>
          </w:p>
        </w:tc>
        <w:tc>
          <w:tcPr>
            <w:tcW w:w="1276" w:type="dxa"/>
            <w:vAlign w:val="center"/>
          </w:tcPr>
          <w:p w14:paraId="595B4971">
            <w:pPr>
              <w:rPr>
                <w:rFonts w:ascii="仿宋_GB2312" w:eastAsia="仿宋_GB2312"/>
                <w:sz w:val="30"/>
                <w:szCs w:val="30"/>
              </w:rPr>
            </w:pPr>
          </w:p>
        </w:tc>
        <w:tc>
          <w:tcPr>
            <w:tcW w:w="1210" w:type="dxa"/>
            <w:vAlign w:val="center"/>
          </w:tcPr>
          <w:p w14:paraId="1E1D5B28">
            <w:pPr>
              <w:rPr>
                <w:rFonts w:ascii="仿宋_GB2312" w:eastAsia="仿宋_GB2312"/>
                <w:sz w:val="30"/>
                <w:szCs w:val="30"/>
              </w:rPr>
            </w:pPr>
          </w:p>
        </w:tc>
      </w:tr>
    </w:tbl>
    <w:p w14:paraId="6D233F89">
      <w:pPr>
        <w:rPr>
          <w:rFonts w:ascii="仿宋_GB2312" w:eastAsia="仿宋_GB2312"/>
          <w:sz w:val="30"/>
          <w:szCs w:val="30"/>
        </w:rPr>
      </w:pPr>
      <w:r>
        <w:rPr>
          <w:rFonts w:hint="eastAsia" w:ascii="仿宋_GB2312" w:eastAsia="仿宋_GB2312"/>
          <w:sz w:val="30"/>
          <w:szCs w:val="30"/>
        </w:rPr>
        <w:t>备注：此表应认真填写，不得提供虚假业绩。</w:t>
      </w:r>
    </w:p>
    <w:p w14:paraId="7C4954F1">
      <w:pPr>
        <w:rPr>
          <w:rFonts w:ascii="仿宋_GB2312" w:eastAsia="仿宋_GB2312"/>
          <w:sz w:val="30"/>
          <w:szCs w:val="30"/>
        </w:rPr>
      </w:pPr>
      <w:r>
        <w:rPr>
          <w:rFonts w:hint="eastAsia" w:ascii="仿宋_GB2312" w:eastAsia="仿宋_GB2312"/>
          <w:sz w:val="30"/>
          <w:szCs w:val="30"/>
        </w:rPr>
        <w:t>后附合同</w:t>
      </w:r>
      <w:r>
        <w:rPr>
          <w:rFonts w:hint="eastAsia" w:ascii="仿宋_GB2312" w:eastAsia="仿宋_GB2312"/>
          <w:sz w:val="30"/>
          <w:szCs w:val="30"/>
          <w:lang w:eastAsia="zh-CN"/>
        </w:rPr>
        <w:t>、</w:t>
      </w:r>
      <w:r>
        <w:rPr>
          <w:rFonts w:hint="eastAsia" w:ascii="仿宋_GB2312" w:eastAsia="仿宋_GB2312"/>
          <w:sz w:val="30"/>
          <w:szCs w:val="30"/>
          <w:lang w:val="en-US" w:eastAsia="zh-CN"/>
        </w:rPr>
        <w:t>中标通知书</w:t>
      </w:r>
      <w:r>
        <w:rPr>
          <w:rFonts w:hint="eastAsia" w:ascii="仿宋_GB2312" w:eastAsia="仿宋_GB2312"/>
          <w:sz w:val="30"/>
          <w:szCs w:val="30"/>
        </w:rPr>
        <w:t>的扫描件；</w:t>
      </w:r>
    </w:p>
    <w:p w14:paraId="244C8A3A">
      <w:pPr>
        <w:rPr>
          <w:rFonts w:ascii="仿宋_GB2312" w:eastAsia="仿宋_GB2312"/>
          <w:sz w:val="30"/>
          <w:szCs w:val="30"/>
        </w:rPr>
      </w:pPr>
      <w:r>
        <w:rPr>
          <w:rFonts w:hint="eastAsia" w:ascii="仿宋_GB2312" w:eastAsia="仿宋_GB2312"/>
          <w:sz w:val="30"/>
          <w:szCs w:val="30"/>
        </w:rPr>
        <w:t>界定日期以合同签订时间为准。</w:t>
      </w:r>
    </w:p>
    <w:p w14:paraId="275FA378">
      <w:pPr>
        <w:rPr>
          <w:rFonts w:ascii="仿宋_GB2312" w:eastAsia="仿宋_GB2312"/>
          <w:sz w:val="30"/>
          <w:szCs w:val="30"/>
        </w:rPr>
      </w:pPr>
    </w:p>
    <w:p w14:paraId="1B0F089D">
      <w:pPr>
        <w:jc w:val="right"/>
        <w:rPr>
          <w:rFonts w:ascii="仿宋_GB2312" w:eastAsia="仿宋_GB2312"/>
          <w:sz w:val="30"/>
          <w:szCs w:val="30"/>
        </w:rPr>
      </w:pPr>
      <w:r>
        <w:rPr>
          <w:rFonts w:hint="eastAsia" w:ascii="仿宋_GB2312" w:eastAsia="仿宋_GB2312"/>
          <w:sz w:val="30"/>
          <w:szCs w:val="30"/>
        </w:rPr>
        <w:t>投标人名称(盖章):</w:t>
      </w:r>
    </w:p>
    <w:p w14:paraId="446E2293">
      <w:pPr>
        <w:jc w:val="right"/>
        <w:rPr>
          <w:rFonts w:ascii="仿宋" w:hAnsi="仿宋" w:eastAsia="仿宋"/>
          <w:sz w:val="30"/>
          <w:szCs w:val="30"/>
        </w:rPr>
      </w:pPr>
      <w:r>
        <w:rPr>
          <w:rFonts w:hint="eastAsia" w:ascii="仿宋_GB2312" w:eastAsia="仿宋_GB2312"/>
          <w:sz w:val="30"/>
          <w:szCs w:val="30"/>
        </w:rPr>
        <w:t>法定代表人或授权代表（</w:t>
      </w:r>
      <w:r>
        <w:rPr>
          <w:rFonts w:hint="eastAsia" w:ascii="仿宋_GB2312" w:hAnsi="仿宋" w:eastAsia="仿宋_GB2312"/>
          <w:sz w:val="32"/>
          <w:szCs w:val="32"/>
        </w:rPr>
        <w:t>签字或盖章</w:t>
      </w:r>
      <w:r>
        <w:rPr>
          <w:rFonts w:hint="eastAsia" w:ascii="仿宋_GB2312" w:eastAsia="仿宋_GB2312"/>
          <w:sz w:val="30"/>
          <w:szCs w:val="30"/>
        </w:rPr>
        <w:t>）:</w:t>
      </w:r>
      <w:r>
        <w:rPr>
          <w:rFonts w:ascii="仿宋_GB2312" w:hAnsi="仿宋" w:eastAsia="仿宋_GB2312"/>
          <w:bCs/>
          <w:sz w:val="30"/>
          <w:szCs w:val="30"/>
        </w:rPr>
        <w:br w:type="page"/>
      </w:r>
    </w:p>
    <w:p w14:paraId="512FF4FB">
      <w:pPr>
        <w:jc w:val="center"/>
        <w:rPr>
          <w:rFonts w:ascii="黑体" w:hAnsi="黑体" w:eastAsia="黑体"/>
          <w:sz w:val="44"/>
          <w:szCs w:val="44"/>
        </w:rPr>
      </w:pPr>
      <w:r>
        <w:rPr>
          <w:rFonts w:hint="eastAsia" w:ascii="黑体" w:hAnsi="黑体" w:eastAsia="黑体"/>
          <w:sz w:val="44"/>
          <w:szCs w:val="44"/>
        </w:rPr>
        <w:t>需要采购人提供的配合</w:t>
      </w:r>
    </w:p>
    <w:p w14:paraId="37D61315">
      <w:pPr>
        <w:sectPr>
          <w:footerReference r:id="rId22" w:type="default"/>
          <w:pgSz w:w="11906" w:h="16838"/>
          <w:pgMar w:top="1440" w:right="1080" w:bottom="1440" w:left="1080" w:header="851" w:footer="992" w:gutter="0"/>
          <w:cols w:space="720" w:num="1"/>
          <w:docGrid w:type="lines" w:linePitch="312" w:charSpace="0"/>
        </w:sectPr>
      </w:pPr>
    </w:p>
    <w:p w14:paraId="2AA6D490">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第六章</w:t>
      </w:r>
      <w:r>
        <w:rPr>
          <w:rFonts w:hint="eastAsia" w:ascii="宋体" w:hAnsi="宋体" w:cs="宋体"/>
          <w:sz w:val="44"/>
          <w:szCs w:val="44"/>
        </w:rPr>
        <w:t xml:space="preserve"> </w:t>
      </w:r>
      <w:r>
        <w:rPr>
          <w:rFonts w:hint="eastAsia" w:ascii="楷体_GB2312" w:hAnsi="宋体" w:eastAsia="楷体_GB2312" w:cs="宋体"/>
          <w:sz w:val="44"/>
          <w:szCs w:val="44"/>
        </w:rPr>
        <w:t>采购合同（范本）</w:t>
      </w:r>
    </w:p>
    <w:p w14:paraId="5D355A2C"/>
    <w:p w14:paraId="62D13D39">
      <w:p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6719DBC5">
      <w:pPr>
        <w:rPr>
          <w:rFonts w:hint="eastAsia" w:ascii="仿宋_GB2312" w:hAnsi="仿宋" w:eastAsia="仿宋_GB2312" w:cs="宋体"/>
          <w:b/>
          <w:bCs/>
          <w:color w:val="000000"/>
          <w:sz w:val="32"/>
          <w:szCs w:val="32"/>
          <w:shd w:val="solid" w:color="EEECE1" w:fill="FFFFFF"/>
        </w:rPr>
      </w:pPr>
      <w:r>
        <w:rPr>
          <w:rFonts w:hint="eastAsia" w:ascii="仿宋_GB2312" w:hAnsi="仿宋" w:eastAsia="仿宋_GB2312" w:cs="宋体"/>
          <w:b/>
          <w:bCs/>
          <w:color w:val="000000"/>
          <w:sz w:val="32"/>
          <w:szCs w:val="32"/>
          <w:shd w:val="solid" w:color="EEECE1" w:fill="FFFFFF"/>
        </w:rPr>
        <w:br w:type="page"/>
      </w:r>
    </w:p>
    <w:p w14:paraId="10269B7C">
      <w:pPr>
        <w:pStyle w:val="16"/>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sz w:val="32"/>
          <w:szCs w:val="32"/>
          <w:lang w:eastAsia="zh-CN"/>
        </w:rPr>
      </w:pPr>
      <w:r>
        <w:rPr>
          <w:rFonts w:hint="eastAsia" w:ascii="仿宋_GB2312" w:hAnsi="仿宋" w:eastAsia="仿宋_GB2312" w:cs="宋体"/>
          <w:b/>
          <w:bCs/>
          <w:color w:val="000000"/>
          <w:sz w:val="32"/>
          <w:szCs w:val="32"/>
          <w:shd w:val="solid" w:color="EEECE1" w:fill="FFFFFF"/>
        </w:rPr>
        <w:t>合同编号：</w:t>
      </w:r>
      <w:r>
        <w:rPr>
          <w:rFonts w:hint="eastAsia" w:ascii="仿宋_GB2312" w:hAnsi="仿宋" w:eastAsia="仿宋_GB2312" w:cs="宋体"/>
          <w:b/>
          <w:bCs/>
          <w:color w:val="000000"/>
          <w:sz w:val="32"/>
          <w:szCs w:val="32"/>
          <w:shd w:val="solid" w:color="EEECE1" w:fill="FFFFFF"/>
          <w:lang w:eastAsia="zh-CN"/>
        </w:rPr>
        <w:t>WHJX-ZB-2026-025</w:t>
      </w:r>
    </w:p>
    <w:p w14:paraId="3427AD7A">
      <w:pPr>
        <w:jc w:val="center"/>
        <w:rPr>
          <w:rFonts w:ascii="仿宋_GB2312" w:hAnsi="仿宋" w:eastAsia="仿宋_GB2312"/>
          <w:b/>
          <w:sz w:val="44"/>
          <w:szCs w:val="44"/>
        </w:rPr>
      </w:pPr>
    </w:p>
    <w:p w14:paraId="7136FB75">
      <w:pPr>
        <w:pStyle w:val="29"/>
        <w:ind w:firstLine="880"/>
        <w:rPr>
          <w:rFonts w:ascii="仿宋_GB2312" w:hAnsi="仿宋" w:eastAsia="仿宋_GB2312"/>
          <w:sz w:val="44"/>
          <w:szCs w:val="44"/>
        </w:rPr>
      </w:pPr>
    </w:p>
    <w:p w14:paraId="6559A50C">
      <w:pPr>
        <w:pStyle w:val="29"/>
        <w:ind w:firstLine="880"/>
        <w:rPr>
          <w:rFonts w:ascii="仿宋_GB2312" w:hAnsi="仿宋" w:eastAsia="仿宋_GB2312"/>
          <w:sz w:val="44"/>
          <w:szCs w:val="44"/>
        </w:rPr>
      </w:pPr>
    </w:p>
    <w:p w14:paraId="3B1DACC7">
      <w:pPr>
        <w:pStyle w:val="29"/>
        <w:ind w:left="0" w:leftChars="0" w:firstLine="880"/>
        <w:rPr>
          <w:rFonts w:ascii="仿宋_GB2312" w:hAnsi="仿宋" w:eastAsia="仿宋_GB2312"/>
          <w:sz w:val="44"/>
          <w:szCs w:val="44"/>
        </w:rPr>
      </w:pPr>
    </w:p>
    <w:p w14:paraId="75F50B6D">
      <w:pPr>
        <w:ind w:firstLine="883" w:firstLineChars="200"/>
        <w:rPr>
          <w:rFonts w:ascii="仿宋_GB2312" w:hAnsi="仿宋" w:eastAsia="仿宋_GB2312"/>
          <w:b/>
          <w:sz w:val="44"/>
          <w:szCs w:val="44"/>
        </w:rPr>
      </w:pPr>
    </w:p>
    <w:p w14:paraId="54C44211">
      <w:pPr>
        <w:jc w:val="center"/>
        <w:rPr>
          <w:rFonts w:ascii="仿宋_GB2312" w:hAnsi="仿宋" w:eastAsia="仿宋_GB2312"/>
          <w:b/>
          <w:sz w:val="44"/>
          <w:szCs w:val="44"/>
        </w:rPr>
      </w:pPr>
      <w:r>
        <w:rPr>
          <w:rFonts w:hint="eastAsia" w:ascii="仿宋_GB2312" w:hAnsi="仿宋" w:eastAsia="仿宋_GB2312"/>
          <w:b/>
          <w:sz w:val="44"/>
          <w:szCs w:val="44"/>
          <w:lang w:eastAsia="zh-CN"/>
        </w:rPr>
        <w:t>400KW充电桩采购项目</w:t>
      </w:r>
      <w:r>
        <w:rPr>
          <w:rFonts w:hint="eastAsia" w:ascii="仿宋_GB2312" w:hAnsi="仿宋" w:eastAsia="仿宋_GB2312"/>
          <w:b/>
          <w:sz w:val="44"/>
          <w:szCs w:val="44"/>
        </w:rPr>
        <w:t>合同</w:t>
      </w:r>
    </w:p>
    <w:p w14:paraId="08276E8E">
      <w:pPr>
        <w:ind w:firstLine="3080" w:firstLineChars="700"/>
        <w:rPr>
          <w:rFonts w:ascii="仿宋_GB2312" w:hAnsi="仿宋" w:eastAsia="仿宋_GB2312"/>
          <w:sz w:val="44"/>
          <w:szCs w:val="44"/>
        </w:rPr>
      </w:pPr>
    </w:p>
    <w:p w14:paraId="6BC8F209">
      <w:pPr>
        <w:pStyle w:val="29"/>
        <w:ind w:left="0" w:leftChars="0" w:firstLine="880"/>
        <w:rPr>
          <w:rFonts w:ascii="仿宋_GB2312" w:hAnsi="仿宋" w:eastAsia="仿宋_GB2312"/>
          <w:sz w:val="44"/>
          <w:szCs w:val="44"/>
        </w:rPr>
      </w:pPr>
    </w:p>
    <w:p w14:paraId="16FA22CE">
      <w:pPr>
        <w:pStyle w:val="29"/>
        <w:ind w:left="0" w:leftChars="0" w:firstLine="880"/>
        <w:rPr>
          <w:rFonts w:ascii="仿宋_GB2312" w:hAnsi="仿宋" w:eastAsia="仿宋_GB2312"/>
          <w:sz w:val="44"/>
          <w:szCs w:val="44"/>
        </w:rPr>
      </w:pPr>
    </w:p>
    <w:p w14:paraId="15160318">
      <w:pPr>
        <w:pStyle w:val="29"/>
        <w:ind w:left="0" w:leftChars="0" w:firstLine="880"/>
        <w:rPr>
          <w:rFonts w:ascii="仿宋_GB2312" w:hAnsi="仿宋" w:eastAsia="仿宋_GB2312"/>
          <w:sz w:val="44"/>
          <w:szCs w:val="44"/>
        </w:rPr>
      </w:pPr>
    </w:p>
    <w:p w14:paraId="0881636C">
      <w:pPr>
        <w:pStyle w:val="29"/>
        <w:ind w:left="0" w:leftChars="0" w:firstLine="880"/>
        <w:rPr>
          <w:rFonts w:ascii="仿宋_GB2312" w:hAnsi="仿宋" w:eastAsia="仿宋_GB2312"/>
          <w:sz w:val="44"/>
          <w:szCs w:val="44"/>
        </w:rPr>
      </w:pPr>
    </w:p>
    <w:p w14:paraId="66CFE672">
      <w:pPr>
        <w:ind w:firstLine="2080" w:firstLineChars="650"/>
        <w:rPr>
          <w:rFonts w:hint="eastAsia" w:ascii="仿宋_GB2312" w:hAnsi="仿宋" w:eastAsia="仿宋_GB2312"/>
          <w:sz w:val="32"/>
          <w:szCs w:val="32"/>
          <w:lang w:eastAsia="zh-CN"/>
        </w:rPr>
      </w:pPr>
      <w:r>
        <w:rPr>
          <w:rFonts w:hint="eastAsia" w:ascii="仿宋_GB2312" w:hAnsi="仿宋" w:eastAsia="仿宋_GB2312"/>
          <w:sz w:val="32"/>
          <w:szCs w:val="32"/>
        </w:rPr>
        <w:t xml:space="preserve">甲    方: </w:t>
      </w:r>
      <w:r>
        <w:rPr>
          <w:rFonts w:hint="eastAsia" w:ascii="仿宋_GB2312" w:hAnsi="仿宋" w:eastAsia="仿宋_GB2312"/>
          <w:sz w:val="32"/>
          <w:szCs w:val="32"/>
          <w:lang w:eastAsia="zh-CN"/>
        </w:rPr>
        <w:t>山东泛海光能科技有限公司</w:t>
      </w:r>
    </w:p>
    <w:p w14:paraId="50C896CE">
      <w:pPr>
        <w:ind w:firstLine="2080" w:firstLineChars="650"/>
        <w:rPr>
          <w:rFonts w:ascii="仿宋_GB2312" w:hAnsi="仿宋" w:eastAsia="仿宋_GB2312"/>
          <w:sz w:val="32"/>
          <w:szCs w:val="32"/>
        </w:rPr>
      </w:pPr>
    </w:p>
    <w:p w14:paraId="3A4E2C30">
      <w:pPr>
        <w:ind w:firstLine="2080" w:firstLineChars="650"/>
        <w:rPr>
          <w:rFonts w:ascii="仿宋_GB2312" w:hAnsi="仿宋" w:eastAsia="仿宋_GB2312"/>
          <w:sz w:val="32"/>
          <w:szCs w:val="32"/>
        </w:rPr>
      </w:pPr>
      <w:r>
        <w:rPr>
          <w:rFonts w:hint="eastAsia" w:ascii="仿宋_GB2312" w:hAnsi="仿宋" w:eastAsia="仿宋_GB2312"/>
          <w:sz w:val="32"/>
          <w:szCs w:val="32"/>
        </w:rPr>
        <w:t xml:space="preserve">乙    方: </w:t>
      </w:r>
    </w:p>
    <w:p w14:paraId="6401EEA0">
      <w:pPr>
        <w:pStyle w:val="18"/>
        <w:ind w:firstLine="2728" w:firstLineChars="620"/>
        <w:rPr>
          <w:rFonts w:ascii="仿宋_GB2312" w:hAnsi="仿宋" w:eastAsia="仿宋_GB2312"/>
          <w:sz w:val="44"/>
          <w:szCs w:val="44"/>
        </w:rPr>
      </w:pPr>
    </w:p>
    <w:p w14:paraId="392C4B04">
      <w:pPr>
        <w:pStyle w:val="18"/>
        <w:ind w:firstLine="1984" w:firstLineChars="620"/>
        <w:rPr>
          <w:rFonts w:ascii="仿宋_GB2312" w:hAnsi="仿宋" w:eastAsia="仿宋_GB2312"/>
          <w:sz w:val="32"/>
          <w:szCs w:val="32"/>
        </w:rPr>
      </w:pPr>
      <w:r>
        <w:rPr>
          <w:rFonts w:hint="eastAsia" w:ascii="仿宋_GB2312" w:hAnsi="仿宋" w:eastAsia="仿宋_GB2312"/>
          <w:sz w:val="32"/>
          <w:szCs w:val="32"/>
        </w:rPr>
        <w:t>签订日期:    年   月  日</w:t>
      </w:r>
    </w:p>
    <w:p w14:paraId="73469897">
      <w:pPr>
        <w:spacing w:line="360" w:lineRule="auto"/>
        <w:ind w:firstLine="883" w:firstLineChars="200"/>
        <w:rPr>
          <w:rFonts w:ascii="仿宋_GB2312" w:hAnsi="仿宋" w:eastAsia="仿宋_GB2312"/>
          <w:color w:val="000000"/>
          <w:sz w:val="30"/>
          <w:szCs w:val="30"/>
        </w:rPr>
      </w:pPr>
      <w:r>
        <w:rPr>
          <w:rFonts w:ascii="宋体" w:hAnsi="宋体"/>
          <w:b/>
          <w:bCs/>
          <w:sz w:val="44"/>
          <w:szCs w:val="44"/>
        </w:rPr>
        <w:br w:type="page"/>
      </w:r>
      <w:r>
        <w:rPr>
          <w:rFonts w:hint="eastAsia" w:ascii="仿宋_GB2312" w:hAnsi="仿宋" w:eastAsia="仿宋_GB2312"/>
          <w:color w:val="000000"/>
          <w:sz w:val="30"/>
          <w:szCs w:val="30"/>
        </w:rPr>
        <w:t>本合同于</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年</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月</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日由甲、乙两方共同签订。甲方为用户单位</w:t>
      </w:r>
      <w:r>
        <w:rPr>
          <w:rFonts w:hint="eastAsia" w:ascii="仿宋_GB2312" w:hAnsi="仿宋" w:eastAsia="仿宋_GB2312"/>
          <w:bCs/>
          <w:color w:val="000000"/>
          <w:sz w:val="30"/>
          <w:szCs w:val="30"/>
        </w:rPr>
        <w:t xml:space="preserve"> </w:t>
      </w:r>
      <w:r>
        <w:rPr>
          <w:rFonts w:hint="eastAsia" w:ascii="仿宋_GB2312" w:hAnsi="仿宋" w:eastAsia="仿宋_GB2312"/>
          <w:color w:val="000000"/>
          <w:sz w:val="30"/>
          <w:szCs w:val="30"/>
        </w:rPr>
        <w:t>、乙方为成交供应商。合同各方必须遵守《中华人民共和国民法典》，并各自履行应负的全部责任。本合同书共四份。</w:t>
      </w:r>
    </w:p>
    <w:p w14:paraId="7658C546">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一、合同的组成部分</w:t>
      </w:r>
    </w:p>
    <w:p w14:paraId="4695085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1、中标通知书</w:t>
      </w:r>
    </w:p>
    <w:p w14:paraId="5E6DB976">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2、本合同书</w:t>
      </w:r>
    </w:p>
    <w:p w14:paraId="3270C52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3、乙方在评审过程中补充、修改或澄清的文件</w:t>
      </w:r>
    </w:p>
    <w:p w14:paraId="2B472DA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4、</w:t>
      </w:r>
      <w:r>
        <w:rPr>
          <w:rFonts w:hint="eastAsia" w:ascii="仿宋_GB2312" w:hAnsi="仿宋" w:eastAsia="仿宋_GB2312" w:cs="宋体"/>
          <w:spacing w:val="6"/>
          <w:sz w:val="30"/>
          <w:szCs w:val="30"/>
          <w:lang w:eastAsia="zh-CN"/>
        </w:rPr>
        <w:t>WHJX-ZB-2026-025</w:t>
      </w:r>
      <w:r>
        <w:rPr>
          <w:rFonts w:hint="eastAsia" w:ascii="仿宋_GB2312" w:hAnsi="仿宋" w:eastAsia="仿宋_GB2312" w:cs="宋体"/>
          <w:spacing w:val="6"/>
          <w:sz w:val="30"/>
          <w:szCs w:val="30"/>
        </w:rPr>
        <w:t>公开招标文件</w:t>
      </w:r>
    </w:p>
    <w:p w14:paraId="64AE1429">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5、乙方的投标文件</w:t>
      </w:r>
    </w:p>
    <w:p w14:paraId="05485C3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6、本合同附件</w:t>
      </w:r>
    </w:p>
    <w:p w14:paraId="44064BFF">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上述文件将相互补充，合同各方必须予以遵守执行。若有不明确或不一致之处，以上列次序在先者为准。</w:t>
      </w:r>
    </w:p>
    <w:p w14:paraId="409E614F">
      <w:pPr>
        <w:pStyle w:val="18"/>
        <w:spacing w:line="360" w:lineRule="auto"/>
        <w:ind w:firstLine="560"/>
        <w:rPr>
          <w:rFonts w:hint="default" w:ascii="仿宋_GB2312" w:hAnsi="仿宋" w:eastAsia="仿宋_GB2312" w:cs="宋体"/>
          <w:b/>
          <w:spacing w:val="6"/>
          <w:sz w:val="30"/>
          <w:szCs w:val="30"/>
          <w:lang w:val="en-US" w:eastAsia="zh-CN"/>
        </w:rPr>
      </w:pPr>
      <w:r>
        <w:rPr>
          <w:rFonts w:hint="eastAsia" w:ascii="仿宋_GB2312" w:hAnsi="仿宋" w:eastAsia="仿宋_GB2312" w:cs="宋体"/>
          <w:b/>
          <w:spacing w:val="6"/>
          <w:sz w:val="30"/>
          <w:szCs w:val="30"/>
        </w:rPr>
        <w:t>二、标的物及数量：</w:t>
      </w:r>
      <w:r>
        <w:rPr>
          <w:rFonts w:hint="eastAsia" w:ascii="仿宋_GB2312" w:hAnsi="仿宋" w:eastAsia="仿宋_GB2312" w:cs="宋体"/>
          <w:spacing w:val="6"/>
          <w:sz w:val="30"/>
          <w:szCs w:val="30"/>
          <w:lang w:val="en-US" w:eastAsia="zh-CN"/>
        </w:rPr>
        <w:t>详见附件</w:t>
      </w:r>
    </w:p>
    <w:p w14:paraId="1707EE37">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三、价款：</w:t>
      </w:r>
    </w:p>
    <w:p w14:paraId="264A77A5">
      <w:pPr>
        <w:pStyle w:val="18"/>
        <w:spacing w:line="360" w:lineRule="auto"/>
        <w:ind w:firstLine="560"/>
        <w:rPr>
          <w:rFonts w:ascii="仿宋_GB2312" w:hAnsi="仿宋" w:eastAsia="仿宋_GB2312"/>
          <w:bCs/>
          <w:sz w:val="30"/>
          <w:szCs w:val="30"/>
        </w:rPr>
      </w:pPr>
      <w:r>
        <w:rPr>
          <w:rFonts w:hint="eastAsia" w:ascii="仿宋_GB2312" w:hAnsi="仿宋" w:eastAsia="仿宋_GB2312"/>
          <w:bCs/>
          <w:sz w:val="30"/>
          <w:szCs w:val="30"/>
        </w:rPr>
        <w:t>本合同总价款为人民币</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元整（￥</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w:t>
      </w:r>
    </w:p>
    <w:p w14:paraId="11DCA93F">
      <w:pPr>
        <w:spacing w:line="360" w:lineRule="auto"/>
        <w:ind w:firstLine="600" w:firstLineChars="200"/>
        <w:rPr>
          <w:rFonts w:ascii="仿宋_GB2312" w:hAnsi="仿宋" w:eastAsia="仿宋_GB2312"/>
          <w:b/>
          <w:bCs/>
          <w:sz w:val="30"/>
          <w:szCs w:val="30"/>
        </w:rPr>
      </w:pPr>
      <w:r>
        <w:rPr>
          <w:rFonts w:hint="eastAsia" w:ascii="仿宋_GB2312" w:hAnsi="仿宋" w:eastAsia="仿宋_GB2312"/>
          <w:sz w:val="30"/>
          <w:szCs w:val="30"/>
        </w:rPr>
        <w:t>四、质量及专利权</w:t>
      </w:r>
    </w:p>
    <w:p w14:paraId="5955811E">
      <w:pPr>
        <w:spacing w:line="360" w:lineRule="auto"/>
        <w:ind w:firstLine="600" w:firstLineChars="200"/>
        <w:rPr>
          <w:rFonts w:ascii="仿宋_GB2312" w:hAnsi="仿宋" w:eastAsia="仿宋_GB2312"/>
          <w:sz w:val="30"/>
          <w:szCs w:val="30"/>
        </w:rPr>
      </w:pPr>
      <w:r>
        <w:rPr>
          <w:rFonts w:hint="eastAsia" w:ascii="仿宋_GB2312" w:hAnsi="仿宋" w:eastAsia="仿宋_GB2312"/>
          <w:sz w:val="30"/>
          <w:szCs w:val="30"/>
        </w:rPr>
        <w:t>１.乙方提供的标的物的技术参数必须符合该项目的采购文件的要求、乙方投标文件的承诺及乙方在评审过程中做出的澄清、说明或者补正内容。</w:t>
      </w:r>
    </w:p>
    <w:p w14:paraId="404754AF">
      <w:pPr>
        <w:widowControl/>
        <w:tabs>
          <w:tab w:val="left" w:pos="1080"/>
          <w:tab w:val="left" w:pos="1260"/>
        </w:tabs>
        <w:spacing w:line="360" w:lineRule="auto"/>
        <w:ind w:firstLine="600" w:firstLineChars="200"/>
        <w:jc w:val="left"/>
        <w:rPr>
          <w:rFonts w:ascii="仿宋_GB2312" w:hAnsi="仿宋" w:eastAsia="仿宋_GB2312"/>
          <w:kern w:val="0"/>
          <w:sz w:val="30"/>
          <w:szCs w:val="30"/>
        </w:rPr>
      </w:pPr>
      <w:r>
        <w:rPr>
          <w:rFonts w:hint="eastAsia" w:ascii="仿宋_GB2312" w:hAnsi="仿宋" w:eastAsia="仿宋_GB2312"/>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0B888FED">
      <w:pPr>
        <w:spacing w:line="360" w:lineRule="auto"/>
        <w:ind w:left="56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五、服务地点及联系人：</w:t>
      </w:r>
    </w:p>
    <w:p w14:paraId="11061C1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服务地点：甲方指定地点。</w:t>
      </w:r>
    </w:p>
    <w:p w14:paraId="3271540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联系人：</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40B1AC6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7B2F7156">
      <w:pPr>
        <w:spacing w:line="360" w:lineRule="auto"/>
        <w:ind w:firstLine="525"/>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六、交付期：</w:t>
      </w:r>
    </w:p>
    <w:p w14:paraId="661BD77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服务期限 。</w:t>
      </w:r>
    </w:p>
    <w:p w14:paraId="5526E24D">
      <w:pPr>
        <w:spacing w:line="360" w:lineRule="auto"/>
        <w:ind w:firstLine="525"/>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七、验收</w:t>
      </w:r>
    </w:p>
    <w:p w14:paraId="1C986503">
      <w:pPr>
        <w:spacing w:line="360" w:lineRule="auto"/>
        <w:ind w:firstLine="600" w:firstLineChars="200"/>
        <w:rPr>
          <w:rFonts w:hint="eastAsia" w:ascii="仿宋_GB2312" w:hAnsi="仿宋" w:eastAsia="仿宋_GB2312" w:cs="宋体"/>
          <w:color w:val="000000"/>
          <w:sz w:val="30"/>
          <w:szCs w:val="30"/>
        </w:rPr>
      </w:pPr>
      <w:r>
        <w:rPr>
          <w:rFonts w:hint="eastAsia" w:ascii="仿宋_GB2312" w:hAnsi="仿宋" w:eastAsia="仿宋_GB2312" w:cs="宋体"/>
          <w:color w:val="000000"/>
          <w:sz w:val="30"/>
          <w:szCs w:val="30"/>
        </w:rPr>
        <w:t>1、</w:t>
      </w:r>
      <w:r>
        <w:rPr>
          <w:rFonts w:hint="eastAsia" w:ascii="仿宋_GB2312" w:hAnsi="仿宋" w:eastAsia="仿宋_GB2312" w:cs="宋体"/>
          <w:color w:val="000000"/>
          <w:sz w:val="30"/>
          <w:szCs w:val="30"/>
          <w:lang w:val="en-US" w:eastAsia="zh-CN"/>
        </w:rPr>
        <w:t>乙</w:t>
      </w:r>
      <w:r>
        <w:rPr>
          <w:rFonts w:hint="eastAsia" w:ascii="仿宋_GB2312" w:hAnsi="仿宋" w:eastAsia="仿宋_GB2312" w:cs="宋体"/>
          <w:color w:val="000000"/>
          <w:sz w:val="30"/>
          <w:szCs w:val="30"/>
        </w:rPr>
        <w:t>方负责将合同设备运送到</w:t>
      </w:r>
      <w:r>
        <w:rPr>
          <w:rFonts w:hint="eastAsia" w:ascii="仿宋_GB2312" w:hAnsi="仿宋" w:eastAsia="仿宋_GB2312" w:cs="宋体"/>
          <w:color w:val="000000"/>
          <w:sz w:val="30"/>
          <w:szCs w:val="30"/>
          <w:lang w:val="en-US" w:eastAsia="zh-CN"/>
        </w:rPr>
        <w:t>甲方</w:t>
      </w:r>
      <w:r>
        <w:rPr>
          <w:rFonts w:hint="eastAsia" w:ascii="仿宋_GB2312" w:hAnsi="仿宋" w:eastAsia="仿宋_GB2312" w:cs="宋体"/>
          <w:color w:val="000000"/>
          <w:sz w:val="30"/>
          <w:szCs w:val="30"/>
        </w:rPr>
        <w:t>指定的安装、调试地点，由此产生的费用由投标方承担。</w:t>
      </w:r>
    </w:p>
    <w:p w14:paraId="1923EAE0">
      <w:pPr>
        <w:pStyle w:val="11"/>
        <w:spacing w:line="360" w:lineRule="auto"/>
        <w:ind w:firstLine="440"/>
        <w:rPr>
          <w:rFonts w:hint="eastAsia" w:ascii="仿宋_GB2312" w:hAnsi="仿宋" w:eastAsia="仿宋_GB2312" w:cs="宋体"/>
          <w:color w:val="000000"/>
          <w:kern w:val="2"/>
          <w:sz w:val="30"/>
          <w:szCs w:val="30"/>
          <w:lang w:val="en-US" w:eastAsia="zh-CN" w:bidi="ar-SA"/>
        </w:rPr>
      </w:pPr>
      <w:r>
        <w:rPr>
          <w:rFonts w:hint="eastAsia" w:ascii="仿宋_GB2312" w:hAnsi="仿宋" w:eastAsia="仿宋_GB2312" w:cs="宋体"/>
          <w:color w:val="000000"/>
          <w:kern w:val="2"/>
          <w:sz w:val="30"/>
          <w:szCs w:val="30"/>
          <w:lang w:val="en-US" w:eastAsia="zh-CN" w:bidi="ar-SA"/>
        </w:rPr>
        <w:t>2、甲方按投标文件中的承诺对全部设备的型号、规格、数量、外形、外观、包装及资料、文件（包括装箱单、保修单、随箱介质等）等进行验收。</w:t>
      </w:r>
    </w:p>
    <w:p w14:paraId="13A15DD3">
      <w:pPr>
        <w:pStyle w:val="11"/>
        <w:spacing w:line="360" w:lineRule="auto"/>
        <w:ind w:firstLine="440"/>
        <w:rPr>
          <w:rFonts w:hint="eastAsia" w:ascii="仿宋_GB2312" w:hAnsi="仿宋" w:eastAsia="仿宋_GB2312" w:cs="宋体"/>
          <w:color w:val="000000"/>
          <w:kern w:val="2"/>
          <w:sz w:val="30"/>
          <w:szCs w:val="30"/>
          <w:lang w:val="en-US" w:eastAsia="zh-CN" w:bidi="ar-SA"/>
        </w:rPr>
      </w:pPr>
      <w:r>
        <w:rPr>
          <w:rFonts w:hint="eastAsia" w:ascii="仿宋_GB2312" w:hAnsi="仿宋" w:eastAsia="仿宋_GB2312" w:cs="宋体"/>
          <w:color w:val="000000"/>
          <w:kern w:val="2"/>
          <w:sz w:val="30"/>
          <w:szCs w:val="30"/>
          <w:lang w:val="en-US" w:eastAsia="zh-CN" w:bidi="ar-SA"/>
        </w:rPr>
        <w:t>3、甲乙双方对设备到货后共同配合进行开箱检查，出现损坏、数量不全或产品不对等问题时，由乙方负责解决。在甲方指定的地点和环境下，乙方负责对合同设备进行调试（所有部件模块的功能能够正常运行和使用），加电实现正常运行，并达到乙方在投标文件中承诺的技术指标和性能。设备到货验收及加电验收中出现性能指标或功能上不符合甲方在乙方文件中的承诺、产品质量问题以及合同要求时，甲方有拒收的权利并取消合同并追究经济、法律赔偿。</w:t>
      </w:r>
    </w:p>
    <w:p w14:paraId="4FC48288">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lang w:val="en-US" w:eastAsia="zh-CN"/>
        </w:rPr>
        <w:t>4、</w:t>
      </w:r>
      <w:r>
        <w:rPr>
          <w:rFonts w:hint="eastAsia" w:ascii="仿宋_GB2312" w:hAnsi="仿宋" w:eastAsia="仿宋_GB2312" w:cs="宋体"/>
          <w:color w:val="000000"/>
          <w:sz w:val="30"/>
          <w:szCs w:val="30"/>
        </w:rPr>
        <w:t>乙方提供的服务标的物必须符合国家、省、市有关部门的相关规定，且满足本项目相关需求。</w:t>
      </w:r>
    </w:p>
    <w:p w14:paraId="40D07E16">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lang w:val="en-US" w:eastAsia="zh-CN"/>
        </w:rPr>
        <w:t>5</w:t>
      </w:r>
      <w:r>
        <w:rPr>
          <w:rFonts w:hint="eastAsia" w:ascii="仿宋_GB2312" w:hAnsi="仿宋" w:eastAsia="仿宋_GB2312" w:cs="宋体"/>
          <w:color w:val="000000"/>
          <w:sz w:val="30"/>
          <w:szCs w:val="30"/>
        </w:rPr>
        <w:t>、服务期内，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1981F44D">
      <w:pPr>
        <w:pStyle w:val="18"/>
        <w:tabs>
          <w:tab w:val="left" w:pos="720"/>
          <w:tab w:val="left" w:pos="900"/>
        </w:tabs>
        <w:spacing w:line="360" w:lineRule="auto"/>
        <w:ind w:left="50" w:leftChars="24" w:firstLine="590" w:firstLineChars="196"/>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八、付款：</w:t>
      </w:r>
    </w:p>
    <w:p w14:paraId="2985ED70">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（1）本合同以人民币付款。</w:t>
      </w:r>
    </w:p>
    <w:p w14:paraId="11F2B5C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 xml:space="preserve">（2）付款方式： </w:t>
      </w:r>
      <w:r>
        <w:rPr>
          <w:rFonts w:hint="eastAsia" w:ascii="仿宋_GB2312" w:hAnsi="宋体" w:eastAsia="仿宋_GB2312"/>
          <w:sz w:val="28"/>
          <w:szCs w:val="28"/>
          <w:highlight w:val="none"/>
          <w:lang w:eastAsia="zh-CN"/>
        </w:rPr>
        <w:t>甲方支付30%预付款 ，到货验收合格后支付至合同金额的60%，安装完成经甲方验收设备完备并可正常使用后支付至合同金额的97%，预留3%质保金,。货物使用一年后无质量问题一次性付清质保金（不包含利息）。</w:t>
      </w:r>
    </w:p>
    <w:p w14:paraId="2733A5AD">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（3）甲方支付上述款项前，乙方应按照甲方的要求提供合法有效的发票，否则甲方有权拒付合同款。</w:t>
      </w:r>
    </w:p>
    <w:p w14:paraId="03679B4B">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r>
        <w:rPr>
          <w:rFonts w:ascii="仿宋_GB2312" w:hAnsi="仿宋" w:eastAsia="仿宋_GB2312" w:cs="宋体"/>
          <w:color w:val="000000"/>
          <w:sz w:val="30"/>
          <w:szCs w:val="30"/>
        </w:rPr>
        <w:t>4</w:t>
      </w:r>
      <w:r>
        <w:rPr>
          <w:rFonts w:hint="eastAsia" w:ascii="仿宋_GB2312" w:hAnsi="仿宋" w:eastAsia="仿宋_GB2312" w:cs="宋体"/>
          <w:color w:val="000000"/>
          <w:sz w:val="30"/>
          <w:szCs w:val="30"/>
        </w:rPr>
        <w:t>）付款按以下资信办理</w:t>
      </w:r>
    </w:p>
    <w:p w14:paraId="38BD3DA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收 款 人：</w:t>
      </w:r>
    </w:p>
    <w:p w14:paraId="4EF1F18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开户银行：</w:t>
      </w:r>
    </w:p>
    <w:p w14:paraId="32CA9531">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银行账号：</w:t>
      </w:r>
    </w:p>
    <w:p w14:paraId="20CA3C8A">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 系 人：</w:t>
      </w:r>
    </w:p>
    <w:p w14:paraId="09813568">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p>
    <w:p w14:paraId="3CEA7DE5">
      <w:pPr>
        <w:pStyle w:val="18"/>
        <w:spacing w:line="360" w:lineRule="auto"/>
        <w:ind w:left="50" w:firstLine="64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九、服务要求：</w:t>
      </w:r>
    </w:p>
    <w:p w14:paraId="0AEC8CFE">
      <w:pPr>
        <w:widowControl/>
        <w:spacing w:line="360" w:lineRule="auto"/>
        <w:ind w:firstLine="420" w:firstLineChars="200"/>
        <w:jc w:val="left"/>
        <w:rPr>
          <w:rFonts w:ascii="仿宋_GB2312" w:hAnsi="宋体" w:eastAsia="仿宋_GB2312"/>
          <w:szCs w:val="28"/>
        </w:rPr>
      </w:pPr>
    </w:p>
    <w:p w14:paraId="2FE994BC">
      <w:pPr>
        <w:spacing w:line="360" w:lineRule="auto"/>
        <w:ind w:left="-10" w:firstLine="561"/>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十、变更与修改</w:t>
      </w:r>
    </w:p>
    <w:p w14:paraId="2EFBCD6F">
      <w:pPr>
        <w:pStyle w:val="18"/>
        <w:spacing w:line="360" w:lineRule="auto"/>
        <w:ind w:left="50" w:firstLine="638"/>
        <w:rPr>
          <w:rFonts w:ascii="仿宋_GB2312" w:hAnsi="仿宋" w:eastAsia="仿宋_GB2312" w:cs="宋体"/>
          <w:color w:val="000000"/>
          <w:sz w:val="30"/>
          <w:szCs w:val="30"/>
        </w:rPr>
      </w:pPr>
      <w:r>
        <w:rPr>
          <w:rFonts w:hint="eastAsia" w:ascii="仿宋_GB2312" w:hAnsi="仿宋" w:eastAsia="仿宋_GB2312" w:cs="宋体"/>
          <w:color w:val="000000"/>
          <w:sz w:val="30"/>
          <w:szCs w:val="30"/>
        </w:rPr>
        <w:t>乙方应严格按合同要求提供服务，未经甲方书面同意，乙方不得擅自就合同标的物的数量、质量、服务起始时间或服务期限、技术规格以及其他的合同条款进行变更、修改。</w:t>
      </w:r>
    </w:p>
    <w:p w14:paraId="0D04ECB3">
      <w:pPr>
        <w:spacing w:line="360" w:lineRule="auto"/>
        <w:ind w:firstLine="602" w:firstLineChars="200"/>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十一、</w:t>
      </w:r>
      <w:r>
        <w:rPr>
          <w:rFonts w:hint="eastAsia" w:ascii="仿宋_GB2312" w:hAnsi="仿宋" w:eastAsia="仿宋_GB2312" w:cs="宋体"/>
          <w:b/>
          <w:bCs/>
          <w:color w:val="000000"/>
          <w:sz w:val="30"/>
          <w:szCs w:val="30"/>
        </w:rPr>
        <w:t>合同解除：</w:t>
      </w:r>
    </w:p>
    <w:p w14:paraId="10F94C8C">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有下列情况之一的，招标公司经甲方书面同意，可向乙方发出书面通知，解除本合同。</w:t>
      </w:r>
    </w:p>
    <w:p w14:paraId="46FA4F3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（1）乙方未能在合同约定的限期内履行合同义务的；</w:t>
      </w:r>
    </w:p>
    <w:p w14:paraId="0BBD6E8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（2）乙方没有按照合同约定的要求交付标的物，或标的物验收不合格的；</w:t>
      </w:r>
    </w:p>
    <w:p w14:paraId="7D454B4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（3）乙方未经书面同意部分转让或全部转让其应履行的合同义务；</w:t>
      </w:r>
    </w:p>
    <w:p w14:paraId="66663C75">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十二、违约赔偿：</w:t>
      </w:r>
    </w:p>
    <w:p w14:paraId="7B2A47F7">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1、除“不可抗力”外，乙方延期履行合同或验收不合格而造成的损失由乙方承担。“不可抗力”仅限于战争、严重火灾、洪水、台风、地震及甲方认可的其他事件。</w:t>
      </w:r>
    </w:p>
    <w:p w14:paraId="2017CB6A">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2、乙方逾期履行合同的，除甲方书面同意的原因外，每逾期一日按照逾期部分合同价款的3‰向甲方交纳违约金，不足一日，按一日计算（下同）。</w:t>
      </w:r>
    </w:p>
    <w:p w14:paraId="4BE35E93">
      <w:pPr>
        <w:spacing w:line="360" w:lineRule="auto"/>
        <w:ind w:firstLine="534"/>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十三、争议解决：</w:t>
      </w:r>
    </w:p>
    <w:p w14:paraId="6CB008AA">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1、合同双方应通过友好协商，解决执行本合同中所发生的或与本合同有关的一切争议，如协商不成，可向乳山市人民法院提起诉讼；</w:t>
      </w:r>
    </w:p>
    <w:p w14:paraId="384944BD">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2、在诉讼期间，本合同无争议的部分应继续执行。</w:t>
      </w:r>
    </w:p>
    <w:p w14:paraId="6DDEDE8C">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十四、合同生效：</w:t>
      </w:r>
    </w:p>
    <w:p w14:paraId="1A0CA38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本合同由双方代表签字或加盖双方公章或合同章后生效。</w:t>
      </w:r>
    </w:p>
    <w:p w14:paraId="71EA9037">
      <w:pPr>
        <w:widowControl/>
        <w:spacing w:line="360" w:lineRule="auto"/>
        <w:ind w:firstLine="605" w:firstLineChars="201"/>
        <w:jc w:val="left"/>
        <w:rPr>
          <w:rFonts w:ascii="仿宋_GB2312" w:hAnsi="仿宋" w:eastAsia="仿宋_GB2312" w:cs="宋体"/>
          <w:color w:val="000000"/>
          <w:sz w:val="30"/>
          <w:szCs w:val="30"/>
          <w:shd w:val="pct10" w:color="auto" w:fill="FFFFFF"/>
        </w:rPr>
      </w:pPr>
      <w:r>
        <w:rPr>
          <w:rFonts w:hint="eastAsia" w:ascii="仿宋_GB2312" w:hAnsi="仿宋" w:eastAsia="仿宋_GB2312" w:cs="宋体"/>
          <w:b/>
          <w:bCs/>
          <w:color w:val="000000"/>
          <w:sz w:val="30"/>
          <w:szCs w:val="30"/>
        </w:rPr>
        <w:t>十五、签约地点：</w:t>
      </w:r>
      <w:r>
        <w:rPr>
          <w:rFonts w:hint="eastAsia" w:ascii="仿宋_GB2312" w:hAnsi="仿宋" w:eastAsia="仿宋_GB2312" w:cs="宋体"/>
          <w:color w:val="000000"/>
          <w:sz w:val="30"/>
          <w:szCs w:val="30"/>
        </w:rPr>
        <w:t>山东省乳山市。</w:t>
      </w:r>
    </w:p>
    <w:p w14:paraId="4EAB78D4">
      <w:pPr>
        <w:spacing w:line="360" w:lineRule="auto"/>
        <w:ind w:firstLine="605" w:firstLineChars="201"/>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十六、通知与送达</w:t>
      </w:r>
    </w:p>
    <w:p w14:paraId="234737C2">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7E32BFAD">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双方地址与联系方式如下：</w:t>
      </w:r>
    </w:p>
    <w:p w14:paraId="7BF04482">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如致甲方：</w:t>
      </w:r>
    </w:p>
    <w:p w14:paraId="4B812863">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34F72CDE">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0980FE6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34AC0F9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7DE850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如致乙方：</w:t>
      </w:r>
    </w:p>
    <w:p w14:paraId="3EA1EC01">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64E7BE6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297F44D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127FB489">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83D9E7F">
      <w:pPr>
        <w:spacing w:line="360" w:lineRule="auto"/>
        <w:rPr>
          <w:rFonts w:ascii="仿宋_GB2312" w:hAnsi="仿宋" w:eastAsia="仿宋_GB2312" w:cs="宋体"/>
          <w:color w:val="000000"/>
          <w:sz w:val="30"/>
          <w:szCs w:val="30"/>
        </w:rPr>
      </w:pPr>
    </w:p>
    <w:tbl>
      <w:tblPr>
        <w:tblStyle w:val="30"/>
        <w:tblW w:w="0" w:type="auto"/>
        <w:tblInd w:w="0" w:type="dxa"/>
        <w:tblLayout w:type="autofit"/>
        <w:tblCellMar>
          <w:top w:w="0" w:type="dxa"/>
          <w:left w:w="108" w:type="dxa"/>
          <w:bottom w:w="0" w:type="dxa"/>
          <w:right w:w="108" w:type="dxa"/>
        </w:tblCellMar>
      </w:tblPr>
      <w:tblGrid>
        <w:gridCol w:w="4984"/>
        <w:gridCol w:w="4984"/>
      </w:tblGrid>
      <w:tr w14:paraId="77BC6DE0">
        <w:tblPrEx>
          <w:tblCellMar>
            <w:top w:w="0" w:type="dxa"/>
            <w:left w:w="108" w:type="dxa"/>
            <w:bottom w:w="0" w:type="dxa"/>
            <w:right w:w="108" w:type="dxa"/>
          </w:tblCellMar>
        </w:tblPrEx>
        <w:trPr>
          <w:trHeight w:val="1064" w:hRule="atLeast"/>
        </w:trPr>
        <w:tc>
          <w:tcPr>
            <w:tcW w:w="5035" w:type="dxa"/>
          </w:tcPr>
          <w:p w14:paraId="7EF646D9">
            <w:pPr>
              <w:pStyle w:val="18"/>
              <w:rPr>
                <w:rFonts w:hint="eastAsia" w:ascii="仿宋_GB2312" w:hAnsi="仿宋" w:eastAsia="仿宋_GB2312" w:cs="宋体"/>
                <w:color w:val="000000"/>
                <w:sz w:val="30"/>
                <w:szCs w:val="30"/>
                <w:lang w:eastAsia="zh-CN"/>
              </w:rPr>
            </w:pPr>
            <w:r>
              <w:rPr>
                <w:rFonts w:hint="eastAsia" w:ascii="仿宋_GB2312" w:hAnsi="仿宋" w:eastAsia="仿宋_GB2312"/>
                <w:bCs/>
                <w:sz w:val="30"/>
                <w:szCs w:val="30"/>
              </w:rPr>
              <w:t>甲方:</w:t>
            </w:r>
            <w:r>
              <w:rPr>
                <w:rFonts w:hint="eastAsia" w:ascii="仿宋_GB2312" w:hAnsi="仿宋" w:eastAsia="仿宋_GB2312"/>
                <w:bCs/>
                <w:sz w:val="30"/>
                <w:szCs w:val="30"/>
                <w:lang w:eastAsia="zh-CN"/>
              </w:rPr>
              <w:t>山东泛海光能科技有限公司</w:t>
            </w:r>
          </w:p>
        </w:tc>
        <w:tc>
          <w:tcPr>
            <w:tcW w:w="5035" w:type="dxa"/>
          </w:tcPr>
          <w:p w14:paraId="4908F56F">
            <w:pPr>
              <w:pStyle w:val="18"/>
              <w:rPr>
                <w:rFonts w:ascii="仿宋_GB2312" w:hAnsi="仿宋" w:eastAsia="仿宋_GB2312" w:cs="宋体"/>
                <w:color w:val="000000"/>
                <w:sz w:val="30"/>
                <w:szCs w:val="30"/>
              </w:rPr>
            </w:pPr>
            <w:r>
              <w:rPr>
                <w:rFonts w:hint="eastAsia" w:ascii="仿宋_GB2312" w:hAnsi="仿宋" w:eastAsia="仿宋_GB2312"/>
                <w:bCs/>
                <w:sz w:val="30"/>
                <w:szCs w:val="30"/>
              </w:rPr>
              <w:t>乙方:</w:t>
            </w:r>
          </w:p>
        </w:tc>
      </w:tr>
      <w:tr w14:paraId="6F7853CB">
        <w:tblPrEx>
          <w:tblCellMar>
            <w:top w:w="0" w:type="dxa"/>
            <w:left w:w="108" w:type="dxa"/>
            <w:bottom w:w="0" w:type="dxa"/>
            <w:right w:w="108" w:type="dxa"/>
          </w:tblCellMar>
        </w:tblPrEx>
        <w:trPr>
          <w:trHeight w:val="1681" w:hRule="atLeast"/>
        </w:trPr>
        <w:tc>
          <w:tcPr>
            <w:tcW w:w="5035" w:type="dxa"/>
          </w:tcPr>
          <w:p w14:paraId="12D02051">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c>
          <w:tcPr>
            <w:tcW w:w="5035" w:type="dxa"/>
          </w:tcPr>
          <w:p w14:paraId="5574734E">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r>
      <w:tr w14:paraId="7A7AD085">
        <w:tblPrEx>
          <w:tblCellMar>
            <w:top w:w="0" w:type="dxa"/>
            <w:left w:w="108" w:type="dxa"/>
            <w:bottom w:w="0" w:type="dxa"/>
            <w:right w:w="108" w:type="dxa"/>
          </w:tblCellMar>
        </w:tblPrEx>
        <w:trPr>
          <w:trHeight w:val="1713" w:hRule="atLeast"/>
        </w:trPr>
        <w:tc>
          <w:tcPr>
            <w:tcW w:w="5035" w:type="dxa"/>
          </w:tcPr>
          <w:p w14:paraId="7633987D">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c>
          <w:tcPr>
            <w:tcW w:w="5035" w:type="dxa"/>
          </w:tcPr>
          <w:p w14:paraId="346DFC74">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r>
    </w:tbl>
    <w:p w14:paraId="514F314C">
      <w:pPr>
        <w:sectPr>
          <w:footerReference r:id="rId26" w:type="default"/>
          <w:type w:val="continuous"/>
          <w:pgSz w:w="11906" w:h="16838"/>
          <w:pgMar w:top="1440" w:right="1077" w:bottom="1440" w:left="1077" w:header="851" w:footer="992" w:gutter="0"/>
          <w:cols w:space="720" w:num="1"/>
          <w:docGrid w:type="lines" w:linePitch="312" w:charSpace="0"/>
        </w:sectPr>
      </w:pPr>
    </w:p>
    <w:p w14:paraId="0701B625">
      <w:pPr>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附表如下：</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16"/>
        <w:gridCol w:w="1233"/>
        <w:gridCol w:w="1460"/>
        <w:gridCol w:w="4215"/>
        <w:gridCol w:w="2231"/>
        <w:gridCol w:w="1338"/>
        <w:gridCol w:w="1474"/>
        <w:gridCol w:w="1407"/>
      </w:tblGrid>
      <w:tr w14:paraId="7562C8A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tcBorders>
              <w:top w:val="single" w:color="auto" w:sz="4" w:space="0"/>
            </w:tcBorders>
            <w:vAlign w:val="center"/>
          </w:tcPr>
          <w:p w14:paraId="67B56528">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序号</w:t>
            </w:r>
          </w:p>
        </w:tc>
        <w:tc>
          <w:tcPr>
            <w:tcW w:w="435" w:type="pct"/>
            <w:tcBorders>
              <w:top w:val="single" w:color="auto" w:sz="4" w:space="0"/>
            </w:tcBorders>
            <w:vAlign w:val="center"/>
          </w:tcPr>
          <w:p w14:paraId="34F6A6D1">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货物内容</w:t>
            </w:r>
          </w:p>
        </w:tc>
        <w:tc>
          <w:tcPr>
            <w:tcW w:w="515" w:type="pct"/>
            <w:tcBorders>
              <w:top w:val="single" w:color="auto" w:sz="4" w:space="0"/>
              <w:right w:val="single" w:color="auto" w:sz="4" w:space="0"/>
            </w:tcBorders>
            <w:vAlign w:val="center"/>
          </w:tcPr>
          <w:p w14:paraId="756A805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品牌型号</w:t>
            </w:r>
          </w:p>
        </w:tc>
        <w:tc>
          <w:tcPr>
            <w:tcW w:w="1487" w:type="pct"/>
            <w:tcBorders>
              <w:top w:val="single" w:color="auto" w:sz="4" w:space="0"/>
            </w:tcBorders>
            <w:vAlign w:val="center"/>
          </w:tcPr>
          <w:p w14:paraId="11CB1A7F">
            <w:pPr>
              <w:spacing w:line="560" w:lineRule="exact"/>
              <w:jc w:val="center"/>
              <w:rPr>
                <w:rFonts w:ascii="仿宋_GB2312" w:hAnsi="宋体" w:eastAsia="仿宋_GB2312"/>
                <w:color w:val="auto"/>
                <w:sz w:val="24"/>
                <w:szCs w:val="24"/>
              </w:rPr>
            </w:pPr>
            <w:r>
              <w:rPr>
                <w:rFonts w:hint="eastAsia" w:ascii="仿宋_GB2312" w:hAnsi="宋体" w:eastAsia="仿宋_GB2312"/>
                <w:color w:val="auto"/>
                <w:sz w:val="24"/>
                <w:szCs w:val="24"/>
              </w:rPr>
              <w:t>详细配置</w:t>
            </w:r>
          </w:p>
        </w:tc>
        <w:tc>
          <w:tcPr>
            <w:tcW w:w="787" w:type="pct"/>
            <w:tcBorders>
              <w:top w:val="single" w:color="auto" w:sz="4" w:space="0"/>
            </w:tcBorders>
            <w:vAlign w:val="center"/>
          </w:tcPr>
          <w:p w14:paraId="37C4424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生产厂家</w:t>
            </w:r>
          </w:p>
        </w:tc>
        <w:tc>
          <w:tcPr>
            <w:tcW w:w="472" w:type="pct"/>
            <w:tcBorders>
              <w:top w:val="single" w:color="auto" w:sz="4" w:space="0"/>
              <w:right w:val="single" w:color="auto" w:sz="4" w:space="0"/>
            </w:tcBorders>
            <w:vAlign w:val="center"/>
          </w:tcPr>
          <w:p w14:paraId="7F300E02">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数量</w:t>
            </w:r>
          </w:p>
        </w:tc>
        <w:tc>
          <w:tcPr>
            <w:tcW w:w="520" w:type="pct"/>
            <w:tcBorders>
              <w:top w:val="single" w:color="auto" w:sz="4" w:space="0"/>
              <w:left w:val="single" w:color="auto" w:sz="4" w:space="0"/>
              <w:right w:val="single" w:color="auto" w:sz="4" w:space="0"/>
            </w:tcBorders>
            <w:vAlign w:val="center"/>
          </w:tcPr>
          <w:p w14:paraId="71966FF7">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单价（元）</w:t>
            </w:r>
          </w:p>
        </w:tc>
        <w:tc>
          <w:tcPr>
            <w:tcW w:w="496" w:type="pct"/>
            <w:tcBorders>
              <w:top w:val="single" w:color="auto" w:sz="4" w:space="0"/>
              <w:left w:val="single" w:color="auto" w:sz="4" w:space="0"/>
            </w:tcBorders>
            <w:vAlign w:val="center"/>
          </w:tcPr>
          <w:p w14:paraId="33523FB5">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总价（元）</w:t>
            </w:r>
          </w:p>
        </w:tc>
      </w:tr>
      <w:tr w14:paraId="3A2F648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vAlign w:val="center"/>
          </w:tcPr>
          <w:p w14:paraId="69B8E74A">
            <w:pPr>
              <w:rPr>
                <w:rFonts w:ascii="仿宋_GB2312" w:hAnsi="宋体" w:eastAsia="仿宋_GB2312"/>
                <w:color w:val="auto"/>
                <w:sz w:val="24"/>
                <w:szCs w:val="24"/>
              </w:rPr>
            </w:pPr>
            <w:r>
              <w:rPr>
                <w:rFonts w:hint="eastAsia" w:ascii="仿宋_GB2312" w:hAnsi="宋体" w:eastAsia="仿宋_GB2312"/>
                <w:bCs/>
                <w:color w:val="auto"/>
                <w:sz w:val="24"/>
                <w:szCs w:val="24"/>
              </w:rPr>
              <w:t>0</w:t>
            </w:r>
          </w:p>
        </w:tc>
        <w:tc>
          <w:tcPr>
            <w:tcW w:w="435" w:type="pct"/>
            <w:vAlign w:val="center"/>
          </w:tcPr>
          <w:p w14:paraId="758DF14C">
            <w:pPr>
              <w:rPr>
                <w:rFonts w:ascii="仿宋_GB2312" w:hAnsi="宋体" w:eastAsia="仿宋_GB2312"/>
                <w:color w:val="auto"/>
                <w:sz w:val="24"/>
                <w:szCs w:val="24"/>
              </w:rPr>
            </w:pPr>
          </w:p>
        </w:tc>
        <w:tc>
          <w:tcPr>
            <w:tcW w:w="515" w:type="pct"/>
            <w:tcBorders>
              <w:right w:val="single" w:color="auto" w:sz="4" w:space="0"/>
            </w:tcBorders>
            <w:vAlign w:val="center"/>
          </w:tcPr>
          <w:p w14:paraId="616EF4A2">
            <w:pPr>
              <w:rPr>
                <w:rFonts w:ascii="仿宋_GB2312" w:hAnsi="宋体" w:eastAsia="仿宋_GB2312"/>
                <w:color w:val="auto"/>
                <w:sz w:val="24"/>
                <w:szCs w:val="24"/>
              </w:rPr>
            </w:pPr>
          </w:p>
        </w:tc>
        <w:tc>
          <w:tcPr>
            <w:tcW w:w="1487" w:type="pct"/>
            <w:vAlign w:val="center"/>
          </w:tcPr>
          <w:p w14:paraId="78ABC6C9">
            <w:pPr>
              <w:jc w:val="center"/>
              <w:rPr>
                <w:rFonts w:ascii="仿宋_GB2312" w:hAnsi="宋体" w:eastAsia="仿宋_GB2312"/>
                <w:bCs/>
                <w:color w:val="auto"/>
                <w:sz w:val="24"/>
                <w:szCs w:val="24"/>
              </w:rPr>
            </w:pPr>
          </w:p>
        </w:tc>
        <w:tc>
          <w:tcPr>
            <w:tcW w:w="787" w:type="pct"/>
            <w:vAlign w:val="center"/>
          </w:tcPr>
          <w:p w14:paraId="70F60859">
            <w:pPr>
              <w:rPr>
                <w:rFonts w:ascii="仿宋_GB2312" w:hAnsi="宋体" w:eastAsia="仿宋_GB2312"/>
                <w:color w:val="auto"/>
                <w:sz w:val="24"/>
                <w:szCs w:val="24"/>
              </w:rPr>
            </w:pPr>
          </w:p>
        </w:tc>
        <w:tc>
          <w:tcPr>
            <w:tcW w:w="472" w:type="pct"/>
            <w:tcBorders>
              <w:right w:val="single" w:color="auto" w:sz="4" w:space="0"/>
            </w:tcBorders>
            <w:vAlign w:val="center"/>
          </w:tcPr>
          <w:p w14:paraId="29AB3DF0">
            <w:pPr>
              <w:rPr>
                <w:rFonts w:ascii="仿宋_GB2312" w:hAnsi="宋体" w:eastAsia="仿宋_GB2312"/>
                <w:color w:val="auto"/>
                <w:sz w:val="24"/>
                <w:szCs w:val="24"/>
              </w:rPr>
            </w:pPr>
          </w:p>
        </w:tc>
        <w:tc>
          <w:tcPr>
            <w:tcW w:w="520" w:type="pct"/>
            <w:tcBorders>
              <w:left w:val="single" w:color="auto" w:sz="4" w:space="0"/>
              <w:right w:val="single" w:color="auto" w:sz="4" w:space="0"/>
            </w:tcBorders>
            <w:vAlign w:val="center"/>
          </w:tcPr>
          <w:p w14:paraId="2973E08D">
            <w:pPr>
              <w:rPr>
                <w:rFonts w:ascii="仿宋_GB2312" w:hAnsi="宋体" w:eastAsia="仿宋_GB2312"/>
                <w:color w:val="auto"/>
                <w:sz w:val="24"/>
                <w:szCs w:val="24"/>
              </w:rPr>
            </w:pPr>
          </w:p>
        </w:tc>
        <w:tc>
          <w:tcPr>
            <w:tcW w:w="496" w:type="pct"/>
            <w:tcBorders>
              <w:left w:val="single" w:color="auto" w:sz="4" w:space="0"/>
            </w:tcBorders>
            <w:vAlign w:val="center"/>
          </w:tcPr>
          <w:p w14:paraId="5D7A5C2F">
            <w:pPr>
              <w:rPr>
                <w:rFonts w:ascii="仿宋_GB2312" w:hAnsi="宋体" w:eastAsia="仿宋_GB2312"/>
                <w:color w:val="auto"/>
                <w:sz w:val="24"/>
                <w:szCs w:val="24"/>
              </w:rPr>
            </w:pPr>
          </w:p>
        </w:tc>
      </w:tr>
      <w:tr w14:paraId="7948B54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4504" w:type="pct"/>
            <w:gridSpan w:val="7"/>
            <w:vAlign w:val="center"/>
          </w:tcPr>
          <w:p w14:paraId="473110CC">
            <w:pPr>
              <w:rPr>
                <w:rFonts w:ascii="仿宋_GB2312" w:hAnsi="宋体" w:eastAsia="仿宋_GB2312"/>
                <w:color w:val="auto"/>
                <w:sz w:val="24"/>
                <w:szCs w:val="24"/>
              </w:rPr>
            </w:pPr>
            <w:r>
              <w:rPr>
                <w:rFonts w:hint="eastAsia" w:ascii="仿宋_GB2312" w:hAnsi="宋体" w:eastAsia="仿宋_GB2312"/>
                <w:b/>
                <w:bCs/>
                <w:color w:val="auto"/>
                <w:sz w:val="24"/>
                <w:szCs w:val="24"/>
              </w:rPr>
              <w:t>本表总计</w:t>
            </w:r>
          </w:p>
        </w:tc>
        <w:tc>
          <w:tcPr>
            <w:tcW w:w="496" w:type="pct"/>
            <w:tcBorders>
              <w:left w:val="single" w:color="auto" w:sz="4" w:space="0"/>
            </w:tcBorders>
            <w:vAlign w:val="center"/>
          </w:tcPr>
          <w:p w14:paraId="405E35F4">
            <w:pPr>
              <w:rPr>
                <w:rFonts w:ascii="仿宋_GB2312" w:hAnsi="宋体" w:eastAsia="仿宋_GB2312"/>
                <w:color w:val="auto"/>
                <w:sz w:val="24"/>
                <w:szCs w:val="24"/>
              </w:rPr>
            </w:pPr>
            <w:r>
              <w:rPr>
                <w:rFonts w:hint="eastAsia" w:ascii="仿宋_GB2312" w:hAnsi="宋体" w:eastAsia="仿宋_GB2312"/>
                <w:b/>
                <w:bCs/>
                <w:color w:val="auto"/>
                <w:sz w:val="24"/>
                <w:szCs w:val="24"/>
              </w:rPr>
              <w:t>0</w:t>
            </w:r>
          </w:p>
        </w:tc>
      </w:tr>
    </w:tbl>
    <w:p w14:paraId="06C996FE"/>
    <w:sectPr>
      <w:pgSz w:w="16838" w:h="11906" w:orient="landscape"/>
      <w:pgMar w:top="1077" w:right="1440" w:bottom="1077"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9972DCF-5BB8-4C64-9B23-8CAFE0260020}"/>
  </w:font>
  <w:font w:name="黑体">
    <w:panose1 w:val="02010609060101010101"/>
    <w:charset w:val="86"/>
    <w:family w:val="auto"/>
    <w:pitch w:val="default"/>
    <w:sig w:usb0="800002BF" w:usb1="38CF7CFA" w:usb2="00000016" w:usb3="00000000" w:csb0="00040001" w:csb1="00000000"/>
    <w:embedRegular r:id="rId2" w:fontKey="{340F6CEC-DBC3-473E-834F-C88980D67F6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361B5424-2B9F-425D-BDBA-9AFABA70E6E2}"/>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script"/>
    <w:pitch w:val="default"/>
    <w:sig w:usb0="00000001" w:usb1="08000000" w:usb2="00000000" w:usb3="00000000" w:csb0="00040000" w:csb1="00000000"/>
    <w:embedRegular r:id="rId4" w:fontKey="{FD247A04-19B3-42D6-996E-AB4F5B6E77B4}"/>
  </w:font>
  <w:font w:name="仿宋_GB2312">
    <w:panose1 w:val="02010609030101010101"/>
    <w:charset w:val="86"/>
    <w:family w:val="modern"/>
    <w:pitch w:val="default"/>
    <w:sig w:usb0="00000001" w:usb1="080E0000" w:usb2="00000000" w:usb3="00000000" w:csb0="00040000" w:csb1="00000000"/>
    <w:embedRegular r:id="rId5" w:fontKey="{F6E1E268-0D82-44B1-906F-A53262E0D298}"/>
  </w:font>
  <w:font w:name="仿宋">
    <w:panose1 w:val="02010609060101010101"/>
    <w:charset w:val="86"/>
    <w:family w:val="modern"/>
    <w:pitch w:val="default"/>
    <w:sig w:usb0="800002BF" w:usb1="38CF7CFA" w:usb2="00000016" w:usb3="00000000" w:csb0="00040001" w:csb1="00000000"/>
    <w:embedRegular r:id="rId6" w:fontKey="{8908099A-A7D3-4EB3-A426-02A961B15540}"/>
  </w:font>
  <w:font w:name="方正楷体简体">
    <w:panose1 w:val="02000000000000000000"/>
    <w:charset w:val="86"/>
    <w:family w:val="auto"/>
    <w:pitch w:val="default"/>
    <w:sig w:usb0="A00002BF" w:usb1="184F6CFA" w:usb2="00000012" w:usb3="00000000" w:csb0="00040001" w:csb1="00000000"/>
    <w:embedRegular r:id="rId7" w:fontKey="{E71674DE-FD40-4426-ADA5-E78D44972ABD}"/>
  </w:font>
  <w:font w:name="楷体_GB2312">
    <w:panose1 w:val="02010609030101010101"/>
    <w:charset w:val="86"/>
    <w:family w:val="modern"/>
    <w:pitch w:val="default"/>
    <w:sig w:usb0="00000001" w:usb1="080E0000" w:usb2="00000000" w:usb3="00000000" w:csb0="00040000" w:csb1="00000000"/>
    <w:embedRegular r:id="rId8" w:fontKey="{66183710-59B1-4D68-8B1E-246E08916C4F}"/>
  </w:font>
  <w:font w:name="微软雅黑">
    <w:panose1 w:val="020B0503020204020204"/>
    <w:charset w:val="86"/>
    <w:family w:val="swiss"/>
    <w:pitch w:val="default"/>
    <w:sig w:usb0="80000287" w:usb1="2ACF3C50" w:usb2="00000016" w:usb3="00000000" w:csb0="0004001F" w:csb1="00000000"/>
    <w:embedRegular r:id="rId9" w:fontKey="{8842528F-9084-417C-8EE9-13D7B98BD482}"/>
  </w:font>
  <w:font w:name="等线 Light">
    <w:panose1 w:val="02010600030101010101"/>
    <w:charset w:val="86"/>
    <w:family w:val="auto"/>
    <w:pitch w:val="default"/>
    <w:sig w:usb0="A00002BF" w:usb1="38CF7CFA" w:usb2="00000016" w:usb3="00000000" w:csb0="0004000F" w:csb1="00000000"/>
    <w:embedRegular r:id="rId10" w:fontKey="{B8B984BA-DDD5-49FF-AE79-DD976C7AC1E6}"/>
  </w:font>
  <w:font w:name="等线">
    <w:panose1 w:val="02010600030101010101"/>
    <w:charset w:val="86"/>
    <w:family w:val="auto"/>
    <w:pitch w:val="default"/>
    <w:sig w:usb0="A00002BF" w:usb1="38CF7CFA" w:usb2="00000016" w:usb3="00000000" w:csb0="0004000F" w:csb1="00000000"/>
    <w:embedRegular r:id="rId11" w:fontKey="{904D9591-6D39-49CA-BE7C-25D67235DD7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2A643A">
    <w:pPr>
      <w:pStyle w:val="20"/>
      <w:jc w:val="center"/>
    </w:pPr>
    <w:r>
      <w:fldChar w:fldCharType="begin"/>
    </w:r>
    <w:r>
      <w:instrText xml:space="preserve">PAGE   \* MERGEFORMAT</w:instrText>
    </w:r>
    <w:r>
      <w:fldChar w:fldCharType="separate"/>
    </w:r>
    <w:r>
      <w:rPr>
        <w:lang w:val="zh-CN"/>
      </w:rPr>
      <w:t>1</w:t>
    </w:r>
    <w:r>
      <w:fldChar w:fldCharType="end"/>
    </w:r>
  </w:p>
  <w:p w14:paraId="3C53FAA2">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44C39">
    <w:pPr>
      <w:jc w:val="center"/>
    </w:pPr>
    <w:r>
      <w:fldChar w:fldCharType="begin"/>
    </w:r>
    <w:r>
      <w:instrText xml:space="preserve"> PAGE   \* MERGEFORMAT </w:instrText>
    </w:r>
    <w:r>
      <w:fldChar w:fldCharType="separate"/>
    </w:r>
    <w:r>
      <w:t>75</w:t>
    </w:r>
    <w:r>
      <w:rPr>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6F34A">
    <w:pPr>
      <w:pStyle w:val="20"/>
      <w:jc w:val="center"/>
    </w:pPr>
    <w:r>
      <w:fldChar w:fldCharType="begin"/>
    </w:r>
    <w:r>
      <w:instrText xml:space="preserve">PAGE   \* MERGEFORMAT</w:instrText>
    </w:r>
    <w:r>
      <w:fldChar w:fldCharType="separate"/>
    </w:r>
    <w:r>
      <w:rPr>
        <w:lang w:val="zh-CN"/>
      </w:rPr>
      <w:t>79</w:t>
    </w:r>
    <w:r>
      <w:rPr>
        <w:lang w:val="zh-CN"/>
      </w:rPr>
      <w:fldChar w:fldCharType="end"/>
    </w:r>
  </w:p>
  <w:p w14:paraId="06605852">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2190E">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113E4">
    <w:pPr>
      <w:jc w:val="center"/>
    </w:pPr>
    <w:r>
      <w:fldChar w:fldCharType="begin"/>
    </w:r>
    <w:r>
      <w:instrText xml:space="preserve"> PAGE   \* MERGEFORMAT </w:instrText>
    </w:r>
    <w:r>
      <w:fldChar w:fldCharType="separate"/>
    </w:r>
    <w:r>
      <w:rPr>
        <w:lang w:val="zh-CN"/>
      </w:rPr>
      <w:t>7</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83F93">
    <w:pPr>
      <w:pStyle w:val="20"/>
      <w:jc w:val="center"/>
    </w:pPr>
    <w:r>
      <w:rPr>
        <w:lang w:val="zh-CN"/>
      </w:rPr>
      <w:fldChar w:fldCharType="begin"/>
    </w:r>
    <w:r>
      <w:rPr>
        <w:lang w:val="zh-CN"/>
      </w:rPr>
      <w:instrText xml:space="preserve"> PAGE   \* MERGEFORMAT </w:instrText>
    </w:r>
    <w:r>
      <w:rPr>
        <w:lang w:val="zh-CN"/>
      </w:rPr>
      <w:fldChar w:fldCharType="separate"/>
    </w:r>
    <w:r>
      <w:rPr>
        <w:lang w:val="zh-CN"/>
      </w:rPr>
      <w:t>17</w:t>
    </w:r>
    <w:r>
      <w:rPr>
        <w:lang w:val="zh-CN"/>
      </w:rPr>
      <w:fldChar w:fldCharType="end"/>
    </w:r>
  </w:p>
  <w:p w14:paraId="32ABB6D5">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EBE0">
    <w:pPr>
      <w:jc w:val="center"/>
    </w:pPr>
    <w:r>
      <w:fldChar w:fldCharType="begin"/>
    </w:r>
    <w:r>
      <w:instrText xml:space="preserve"> PAGE   \* MERGEFORMAT </w:instrText>
    </w:r>
    <w:r>
      <w:fldChar w:fldCharType="separate"/>
    </w:r>
    <w:r>
      <w:t>47</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4BD0D">
    <w:pPr>
      <w:pStyle w:val="20"/>
      <w:jc w:val="center"/>
    </w:pPr>
    <w:r>
      <w:fldChar w:fldCharType="begin"/>
    </w:r>
    <w:r>
      <w:instrText xml:space="preserve">PAGE   \* MERGEFORMAT</w:instrText>
    </w:r>
    <w:r>
      <w:fldChar w:fldCharType="separate"/>
    </w:r>
    <w:r>
      <w:rPr>
        <w:lang w:val="zh-CN"/>
      </w:rPr>
      <w:t>51</w:t>
    </w:r>
    <w:r>
      <w:fldChar w:fldCharType="end"/>
    </w:r>
  </w:p>
  <w:p w14:paraId="17B55EC9">
    <w:pPr>
      <w:pStyle w:val="20"/>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67917">
    <w:pPr>
      <w:jc w:val="center"/>
    </w:pPr>
    <w:r>
      <w:fldChar w:fldCharType="begin"/>
    </w:r>
    <w:r>
      <w:instrText xml:space="preserve"> PAGE   \* MERGEFORMAT </w:instrText>
    </w:r>
    <w:r>
      <w:fldChar w:fldCharType="separate"/>
    </w:r>
    <w:r>
      <w:t>55</w:t>
    </w:r>
    <w:r>
      <w:rPr>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E8C80">
    <w:pPr>
      <w:pStyle w:val="20"/>
    </w:pPr>
  </w:p>
  <w:p w14:paraId="65D0BCED">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336C9">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F823B">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A5172">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A77DB1">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D0747">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0269A">
    <w:pPr>
      <w:pStyle w:val="2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0A0A6">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35B1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53785">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95D1F">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153DB">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0EB7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B6C2C">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C545B">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54B6BB"/>
    <w:multiLevelType w:val="singleLevel"/>
    <w:tmpl w:val="C754B6BB"/>
    <w:lvl w:ilvl="0" w:tentative="0">
      <w:start w:val="1"/>
      <w:numFmt w:val="decimal"/>
      <w:suff w:val="nothing"/>
      <w:lvlText w:val="%1、"/>
      <w:lvlJc w:val="left"/>
      <w:pPr>
        <w:ind w:left="0" w:firstLine="0"/>
      </w:pPr>
    </w:lvl>
  </w:abstractNum>
  <w:abstractNum w:abstractNumId="1">
    <w:nsid w:val="440A7B14"/>
    <w:multiLevelType w:val="multilevel"/>
    <w:tmpl w:val="440A7B14"/>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47584AD8"/>
    <w:multiLevelType w:val="multilevel"/>
    <w:tmpl w:val="47584AD8"/>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646260FA"/>
    <w:multiLevelType w:val="multilevel"/>
    <w:tmpl w:val="646260FA"/>
    <w:lvl w:ilvl="0" w:tentative="0">
      <w:start w:val="1"/>
      <w:numFmt w:val="decimal"/>
      <w:pStyle w:val="119"/>
      <w:suff w:val="nothing"/>
      <w:lvlText w:val="表%1　"/>
      <w:lvlJc w:val="left"/>
      <w:pPr>
        <w:ind w:left="0" w:firstLine="0"/>
      </w:pPr>
      <w:rPr>
        <w:rFonts w:hint="eastAsia" w:ascii="黑体" w:hAnsi="Times New Roman" w:eastAsia="黑体"/>
        <w:b w:val="0"/>
        <w:i w:val="0"/>
        <w:color w:val="000000"/>
        <w:sz w:val="21"/>
        <w:lang w:val="en-US"/>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3"/>
  </w:num>
  <w:num w:numId="2">
    <w:abstractNumId w:val="0"/>
    <w:lvlOverride w:ilvl="0">
      <w:startOverride w:val="1"/>
    </w:lvlOverride>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025"/>
    <w:rsid w:val="00081DC3"/>
    <w:rsid w:val="00085306"/>
    <w:rsid w:val="000B0976"/>
    <w:rsid w:val="000D1B06"/>
    <w:rsid w:val="00157287"/>
    <w:rsid w:val="0016523F"/>
    <w:rsid w:val="001724C5"/>
    <w:rsid w:val="001814D3"/>
    <w:rsid w:val="00182FAF"/>
    <w:rsid w:val="00192646"/>
    <w:rsid w:val="001F58B0"/>
    <w:rsid w:val="00201637"/>
    <w:rsid w:val="00210F47"/>
    <w:rsid w:val="002B6015"/>
    <w:rsid w:val="002D7182"/>
    <w:rsid w:val="002F4D59"/>
    <w:rsid w:val="0034588C"/>
    <w:rsid w:val="00357A30"/>
    <w:rsid w:val="003A525A"/>
    <w:rsid w:val="0041532C"/>
    <w:rsid w:val="00426EC3"/>
    <w:rsid w:val="004624FD"/>
    <w:rsid w:val="004652FC"/>
    <w:rsid w:val="004A7EAB"/>
    <w:rsid w:val="004C0BC9"/>
    <w:rsid w:val="005605F4"/>
    <w:rsid w:val="00574FA4"/>
    <w:rsid w:val="005C50F5"/>
    <w:rsid w:val="005C5B8D"/>
    <w:rsid w:val="005E216C"/>
    <w:rsid w:val="006251FC"/>
    <w:rsid w:val="00635480"/>
    <w:rsid w:val="00684C8A"/>
    <w:rsid w:val="00686D87"/>
    <w:rsid w:val="006D15C5"/>
    <w:rsid w:val="00715160"/>
    <w:rsid w:val="0071519A"/>
    <w:rsid w:val="007318A6"/>
    <w:rsid w:val="007522FC"/>
    <w:rsid w:val="00753A17"/>
    <w:rsid w:val="00753F50"/>
    <w:rsid w:val="00796B7B"/>
    <w:rsid w:val="00826846"/>
    <w:rsid w:val="00842025"/>
    <w:rsid w:val="008A00E5"/>
    <w:rsid w:val="008C52F9"/>
    <w:rsid w:val="00966C69"/>
    <w:rsid w:val="00A111F3"/>
    <w:rsid w:val="00A31784"/>
    <w:rsid w:val="00A54CFD"/>
    <w:rsid w:val="00A752D1"/>
    <w:rsid w:val="00A85D75"/>
    <w:rsid w:val="00A87E4D"/>
    <w:rsid w:val="00A91B96"/>
    <w:rsid w:val="00B107A7"/>
    <w:rsid w:val="00B66CF2"/>
    <w:rsid w:val="00B77255"/>
    <w:rsid w:val="00BB3354"/>
    <w:rsid w:val="00BD7792"/>
    <w:rsid w:val="00C148AC"/>
    <w:rsid w:val="00C24E95"/>
    <w:rsid w:val="00C30B5D"/>
    <w:rsid w:val="00C96135"/>
    <w:rsid w:val="00CA237A"/>
    <w:rsid w:val="00CC77D6"/>
    <w:rsid w:val="00D107FF"/>
    <w:rsid w:val="00D54B2A"/>
    <w:rsid w:val="00DE6C1B"/>
    <w:rsid w:val="00E006CA"/>
    <w:rsid w:val="00E920DC"/>
    <w:rsid w:val="00EA07A6"/>
    <w:rsid w:val="00EC27C2"/>
    <w:rsid w:val="00EC31B3"/>
    <w:rsid w:val="00ED58FB"/>
    <w:rsid w:val="00F00356"/>
    <w:rsid w:val="00F32236"/>
    <w:rsid w:val="00F63943"/>
    <w:rsid w:val="00FD4331"/>
    <w:rsid w:val="0279226B"/>
    <w:rsid w:val="028D7304"/>
    <w:rsid w:val="02CE1C0A"/>
    <w:rsid w:val="05943B66"/>
    <w:rsid w:val="07D258D6"/>
    <w:rsid w:val="0A774410"/>
    <w:rsid w:val="0ADD6413"/>
    <w:rsid w:val="0EB14497"/>
    <w:rsid w:val="0FBF4992"/>
    <w:rsid w:val="13313DF9"/>
    <w:rsid w:val="13EA2503"/>
    <w:rsid w:val="14DF2FDF"/>
    <w:rsid w:val="16353C00"/>
    <w:rsid w:val="19AC5F87"/>
    <w:rsid w:val="19B80DD0"/>
    <w:rsid w:val="1C4A5F2B"/>
    <w:rsid w:val="1F38054B"/>
    <w:rsid w:val="26355556"/>
    <w:rsid w:val="26D05281"/>
    <w:rsid w:val="27D33279"/>
    <w:rsid w:val="27D56FF1"/>
    <w:rsid w:val="29D84B76"/>
    <w:rsid w:val="2A475858"/>
    <w:rsid w:val="2B011EAB"/>
    <w:rsid w:val="2B626DED"/>
    <w:rsid w:val="2C680433"/>
    <w:rsid w:val="2E894691"/>
    <w:rsid w:val="306609DE"/>
    <w:rsid w:val="30B654E5"/>
    <w:rsid w:val="30DF309C"/>
    <w:rsid w:val="3242086A"/>
    <w:rsid w:val="32A91F0D"/>
    <w:rsid w:val="365E2204"/>
    <w:rsid w:val="366E1051"/>
    <w:rsid w:val="36B9114A"/>
    <w:rsid w:val="399A1761"/>
    <w:rsid w:val="3B343BD6"/>
    <w:rsid w:val="3B663C83"/>
    <w:rsid w:val="3C8D359E"/>
    <w:rsid w:val="3E2B7513"/>
    <w:rsid w:val="3F486637"/>
    <w:rsid w:val="407E7DCE"/>
    <w:rsid w:val="439A3224"/>
    <w:rsid w:val="43A044FF"/>
    <w:rsid w:val="47B95B8F"/>
    <w:rsid w:val="493B3E24"/>
    <w:rsid w:val="4C995CF6"/>
    <w:rsid w:val="50B769E4"/>
    <w:rsid w:val="53052442"/>
    <w:rsid w:val="53C5766A"/>
    <w:rsid w:val="55980885"/>
    <w:rsid w:val="57A15528"/>
    <w:rsid w:val="58BE59AA"/>
    <w:rsid w:val="598853C1"/>
    <w:rsid w:val="5C3B2BBF"/>
    <w:rsid w:val="5E23390B"/>
    <w:rsid w:val="5F246EF0"/>
    <w:rsid w:val="61534507"/>
    <w:rsid w:val="6334702A"/>
    <w:rsid w:val="65471AC5"/>
    <w:rsid w:val="65475E1C"/>
    <w:rsid w:val="68BB7FEA"/>
    <w:rsid w:val="6AEB3A02"/>
    <w:rsid w:val="6BFD3031"/>
    <w:rsid w:val="6C164AAF"/>
    <w:rsid w:val="723E1D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link w:val="51"/>
    <w:qFormat/>
    <w:uiPriority w:val="0"/>
    <w:pPr>
      <w:spacing w:line="420" w:lineRule="auto"/>
    </w:pPr>
    <w:rPr>
      <w:kern w:val="0"/>
      <w:sz w:val="24"/>
      <w:szCs w:val="24"/>
    </w:rPr>
  </w:style>
  <w:style w:type="paragraph" w:styleId="16">
    <w:name w:val="Body Text Indent"/>
    <w:basedOn w:val="1"/>
    <w:link w:val="52"/>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0"/>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0"/>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99"/>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正文表标题"/>
    <w:next w:val="120"/>
    <w:qFormat/>
    <w:uiPriority w:val="0"/>
    <w:pPr>
      <w:numPr>
        <w:ilvl w:val="0"/>
        <w:numId w:val="1"/>
      </w:numPr>
      <w:spacing w:before="156" w:beforeLines="50" w:after="156" w:afterLines="50"/>
      <w:jc w:val="center"/>
    </w:pPr>
    <w:rPr>
      <w:rFonts w:ascii="黑体" w:hAnsi="Times New Roman" w:eastAsia="黑体" w:cs="Times New Roman"/>
      <w:sz w:val="21"/>
      <w:lang w:val="en-US" w:eastAsia="zh-CN" w:bidi="ar-SA"/>
    </w:rPr>
  </w:style>
  <w:style w:type="paragraph" w:customStyle="1" w:styleId="120">
    <w:name w:val="段"/>
    <w:qFormat/>
    <w:uiPriority w:val="0"/>
    <w:pPr>
      <w:ind w:firstLine="200" w:firstLineChars="200"/>
      <w:jc w:val="both"/>
    </w:pPr>
    <w:rPr>
      <w:rFonts w:ascii="Times New Roman"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96</Pages>
  <Words>36038</Words>
  <Characters>39624</Characters>
  <Lines>232</Lines>
  <Paragraphs>65</Paragraphs>
  <TotalTime>41</TotalTime>
  <ScaleCrop>false</ScaleCrop>
  <LinksUpToDate>false</LinksUpToDate>
  <CharactersWithSpaces>40165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2025-03-11T02:28:00Z</dcterms:created>
  <dc:creator>耀辉</dc:creator>
  <cp:lastModifiedBy>旗开得胜</cp:lastModifiedBy>
  <dcterms:modified xsi:type="dcterms:W3CDTF">2026-03-30T09:45:22Z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72FAE4F6E4804464A32A06D161942590_13</vt:lpwstr>
  </property>
  <property fmtid="{D5CDD505-2E9C-101B-9397-08002B2CF9AE}" pid="4" name="KSOTemplateDocerSaveRecord">
    <vt:lpwstr>eyJoZGlkIjoiMzY2MzJmNjNjYWU5YzY5NTkwNzBiM2ViYzk5YjEzNDIiLCJ1c2VySWQiOiI0OTUxNjUwNjgifQ==</vt:lpwstr>
  </property>
</Properties>
</file>