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1CE907">
      <w:pPr>
        <w:widowControl/>
        <w:adjustRightInd w:val="0"/>
        <w:spacing w:line="240" w:lineRule="atLeast"/>
        <w:jc w:val="center"/>
        <w:rPr>
          <w:rFonts w:eastAsia="方正小标宋简体" w:cs="宋体"/>
          <w:color w:val="000000" w:themeColor="text1"/>
          <w:sz w:val="36"/>
          <w:szCs w:val="36"/>
          <w14:textFill>
            <w14:solidFill>
              <w14:schemeClr w14:val="tx1"/>
            </w14:solidFill>
          </w14:textFill>
        </w:rPr>
      </w:pPr>
    </w:p>
    <w:p w14:paraId="79248037">
      <w:pPr>
        <w:spacing w:line="360" w:lineRule="exact"/>
        <w:rPr>
          <w:rFonts w:ascii="宋体" w:hAnsi="宋体"/>
          <w:color w:val="000000" w:themeColor="text1"/>
          <w:szCs w:val="21"/>
          <w:highlight w:val="white"/>
          <w14:textFill>
            <w14:solidFill>
              <w14:schemeClr w14:val="tx1"/>
            </w14:solidFill>
          </w14:textFill>
        </w:rPr>
      </w:pPr>
    </w:p>
    <w:p w14:paraId="0857B38C">
      <w:pPr>
        <w:spacing w:line="360" w:lineRule="exact"/>
        <w:rPr>
          <w:rFonts w:ascii="宋体" w:hAnsi="宋体"/>
          <w:color w:val="000000" w:themeColor="text1"/>
          <w:szCs w:val="21"/>
          <w:highlight w:val="white"/>
          <w14:textFill>
            <w14:solidFill>
              <w14:schemeClr w14:val="tx1"/>
            </w14:solidFill>
          </w14:textFill>
        </w:rPr>
      </w:pPr>
    </w:p>
    <w:p w14:paraId="278FB530">
      <w:pPr>
        <w:spacing w:line="360" w:lineRule="auto"/>
        <w:ind w:firstLine="565" w:firstLineChars="201"/>
        <w:jc w:val="center"/>
        <w:rPr>
          <w:rFonts w:ascii="宋体" w:hAnsi="宋体"/>
          <w:b/>
          <w:bCs/>
          <w:color w:val="000000" w:themeColor="text1"/>
          <w:kern w:val="0"/>
          <w:sz w:val="28"/>
          <w:szCs w:val="28"/>
          <w14:textFill>
            <w14:solidFill>
              <w14:schemeClr w14:val="tx1"/>
            </w14:solidFill>
          </w14:textFill>
        </w:rPr>
      </w:pPr>
    </w:p>
    <w:p w14:paraId="4F26B62C">
      <w:pPr>
        <w:snapToGrid w:val="0"/>
        <w:jc w:val="center"/>
        <w:rPr>
          <w:rFonts w:ascii="方正小标宋简体" w:hAnsi="黑体" w:eastAsia="方正小标宋简体" w:cs="方正小标宋简体"/>
          <w:color w:val="000000" w:themeColor="text1"/>
          <w:kern w:val="0"/>
          <w:sz w:val="56"/>
          <w:szCs w:val="52"/>
          <w14:textFill>
            <w14:solidFill>
              <w14:schemeClr w14:val="tx1"/>
            </w14:solidFill>
          </w14:textFill>
        </w:rPr>
      </w:pPr>
      <w:r>
        <w:rPr>
          <w:rFonts w:ascii="方正小标宋简体" w:hAnsi="黑体" w:eastAsia="方正小标宋简体" w:cs="方正小标宋简体"/>
          <w:color w:val="000000" w:themeColor="text1"/>
          <w:kern w:val="0"/>
          <w:sz w:val="56"/>
          <w:szCs w:val="52"/>
          <w14:textFill>
            <w14:solidFill>
              <w14:schemeClr w14:val="tx1"/>
            </w14:solidFill>
          </w14:textFill>
        </w:rPr>
        <w:t>乳山市水务集团有限公司</w:t>
      </w:r>
    </w:p>
    <w:p w14:paraId="1B27979E">
      <w:pPr>
        <w:spacing w:before="624" w:beforeLines="200" w:line="360" w:lineRule="auto"/>
        <w:jc w:val="center"/>
        <w:rPr>
          <w:rFonts w:ascii="方正小标宋简体" w:hAnsi="黑体" w:eastAsia="方正小标宋简体"/>
          <w:color w:val="000000" w:themeColor="text1"/>
          <w:kern w:val="0"/>
          <w:sz w:val="72"/>
          <w:szCs w:val="52"/>
          <w14:textFill>
            <w14:solidFill>
              <w14:schemeClr w14:val="tx1"/>
            </w14:solidFill>
          </w14:textFill>
        </w:rPr>
      </w:pPr>
      <w:r>
        <w:rPr>
          <w:rFonts w:hint="eastAsia" w:ascii="方正小标宋简体" w:hAnsi="黑体" w:eastAsia="方正小标宋简体" w:cs="方正小标宋简体"/>
          <w:color w:val="000000" w:themeColor="text1"/>
          <w:kern w:val="0"/>
          <w:sz w:val="72"/>
          <w:szCs w:val="52"/>
          <w14:textFill>
            <w14:solidFill>
              <w14:schemeClr w14:val="tx1"/>
            </w14:solidFill>
          </w14:textFill>
        </w:rPr>
        <w:t>竞争谈判文件</w:t>
      </w:r>
    </w:p>
    <w:p w14:paraId="58F055E0">
      <w:pPr>
        <w:spacing w:line="360" w:lineRule="auto"/>
        <w:ind w:firstLine="723" w:firstLineChars="201"/>
        <w:jc w:val="left"/>
        <w:rPr>
          <w:rFonts w:ascii="宋体" w:hAnsi="宋体"/>
          <w:color w:val="000000" w:themeColor="text1"/>
          <w:sz w:val="36"/>
          <w:szCs w:val="36"/>
          <w14:textFill>
            <w14:solidFill>
              <w14:schemeClr w14:val="tx1"/>
            </w14:solidFill>
          </w14:textFill>
        </w:rPr>
      </w:pPr>
    </w:p>
    <w:p w14:paraId="171B452C">
      <w:pPr>
        <w:spacing w:line="360" w:lineRule="auto"/>
        <w:jc w:val="left"/>
        <w:rPr>
          <w:rFonts w:ascii="宋体" w:hAnsi="宋体"/>
          <w:color w:val="000000" w:themeColor="text1"/>
          <w:sz w:val="36"/>
          <w:szCs w:val="36"/>
          <w14:textFill>
            <w14:solidFill>
              <w14:schemeClr w14:val="tx1"/>
            </w14:solidFill>
          </w14:textFill>
        </w:rPr>
      </w:pPr>
      <w:r>
        <w:rPr>
          <w:rFonts w:hint="eastAsia" w:ascii="宋体" w:hAnsi="宋体"/>
          <w:color w:val="000000" w:themeColor="text1"/>
          <w:sz w:val="36"/>
          <w:szCs w:val="36"/>
          <w14:textFill>
            <w14:solidFill>
              <w14:schemeClr w14:val="tx1"/>
            </w14:solidFill>
          </w14:textFill>
        </w:rPr>
        <w:t xml:space="preserve">    </w:t>
      </w:r>
    </w:p>
    <w:p w14:paraId="0C3977D0">
      <w:pPr>
        <w:spacing w:after="156" w:afterLines="50" w:line="360" w:lineRule="auto"/>
        <w:ind w:firstLine="726" w:firstLineChars="201"/>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项目名称：</w:t>
      </w:r>
      <w:r>
        <w:rPr>
          <w:rFonts w:ascii="仿宋_GB2312" w:hAnsi="仿宋" w:eastAsia="仿宋_GB2312" w:cs="方正楷体简体"/>
          <w:color w:val="000000" w:themeColor="text1"/>
          <w:sz w:val="36"/>
          <w:szCs w:val="36"/>
          <w14:textFill>
            <w14:solidFill>
              <w14:schemeClr w14:val="tx1"/>
            </w14:solidFill>
          </w14:textFill>
        </w:rPr>
        <w:t>乳山市建设大厦10KV配电改造工程</w:t>
      </w:r>
    </w:p>
    <w:p w14:paraId="13B61D57">
      <w:pPr>
        <w:spacing w:after="156" w:afterLines="50" w:line="360" w:lineRule="auto"/>
        <w:ind w:firstLine="726" w:firstLineChars="201"/>
        <w:jc w:val="left"/>
        <w:rPr>
          <w:rFonts w:hint="eastAsia" w:ascii="仿宋_GB2312" w:hAnsi="仿宋" w:eastAsia="仿宋_GB2312" w:cs="方正楷体简体"/>
          <w:b/>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项目编号：</w:t>
      </w:r>
      <w:r>
        <w:rPr>
          <w:rFonts w:hint="eastAsia" w:ascii="仿宋_GB2312" w:hAnsi="仿宋" w:eastAsia="仿宋_GB2312" w:cs="方正楷体简体"/>
          <w:color w:val="000000" w:themeColor="text1"/>
          <w:sz w:val="36"/>
          <w:szCs w:val="36"/>
          <w:lang w:eastAsia="zh-CN"/>
          <w14:textFill>
            <w14:solidFill>
              <w14:schemeClr w14:val="tx1"/>
            </w14:solidFill>
          </w14:textFill>
        </w:rPr>
        <w:t>WHJX-ZB-2026-039</w:t>
      </w:r>
    </w:p>
    <w:p w14:paraId="4C903D9D">
      <w:pPr>
        <w:spacing w:after="156" w:afterLines="50" w:line="360" w:lineRule="auto"/>
        <w:ind w:firstLine="726" w:firstLineChars="201"/>
        <w:jc w:val="left"/>
        <w:rPr>
          <w:rFonts w:ascii="仿宋_GB2312" w:hAnsi="仿宋" w:eastAsia="仿宋_GB2312" w:cs="方正楷体简体"/>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包段名称：</w:t>
      </w:r>
      <w:r>
        <w:rPr>
          <w:rFonts w:ascii="仿宋_GB2312" w:hAnsi="仿宋" w:eastAsia="仿宋_GB2312" w:cs="方正楷体简体"/>
          <w:color w:val="000000" w:themeColor="text1"/>
          <w:sz w:val="36"/>
          <w:szCs w:val="36"/>
          <w14:textFill>
            <w14:solidFill>
              <w14:schemeClr w14:val="tx1"/>
            </w14:solidFill>
          </w14:textFill>
        </w:rPr>
        <w:t>乳山市建设大厦10KV配电改造工程</w:t>
      </w:r>
    </w:p>
    <w:p w14:paraId="549893EA">
      <w:pPr>
        <w:spacing w:after="156" w:afterLines="50" w:line="360" w:lineRule="auto"/>
        <w:ind w:firstLine="2548" w:firstLineChars="708"/>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color w:val="000000" w:themeColor="text1"/>
          <w:sz w:val="36"/>
          <w:szCs w:val="36"/>
          <w14:textFill>
            <w14:solidFill>
              <w14:schemeClr w14:val="tx1"/>
            </w14:solidFill>
          </w14:textFill>
        </w:rPr>
        <w:t>(第</w:t>
      </w:r>
      <w:r>
        <w:rPr>
          <w:rFonts w:ascii="仿宋_GB2312" w:hAnsi="仿宋" w:eastAsia="仿宋_GB2312" w:cs="方正楷体简体"/>
          <w:color w:val="000000" w:themeColor="text1"/>
          <w:sz w:val="36"/>
          <w:szCs w:val="36"/>
          <w14:textFill>
            <w14:solidFill>
              <w14:schemeClr w14:val="tx1"/>
            </w14:solidFill>
          </w14:textFill>
        </w:rPr>
        <w:t>A</w:t>
      </w:r>
      <w:r>
        <w:rPr>
          <w:rFonts w:hint="eastAsia" w:ascii="仿宋_GB2312" w:hAnsi="仿宋" w:eastAsia="仿宋_GB2312" w:cs="方正楷体简体"/>
          <w:color w:val="000000" w:themeColor="text1"/>
          <w:sz w:val="36"/>
          <w:szCs w:val="36"/>
          <w14:textFill>
            <w14:solidFill>
              <w14:schemeClr w14:val="tx1"/>
            </w14:solidFill>
          </w14:textFill>
        </w:rPr>
        <w:t>包，共</w:t>
      </w:r>
      <w:r>
        <w:rPr>
          <w:rFonts w:ascii="仿宋_GB2312" w:hAnsi="仿宋" w:eastAsia="仿宋_GB2312" w:cs="方正楷体简体"/>
          <w:color w:val="000000" w:themeColor="text1"/>
          <w:sz w:val="36"/>
          <w:szCs w:val="36"/>
          <w14:textFill>
            <w14:solidFill>
              <w14:schemeClr w14:val="tx1"/>
            </w14:solidFill>
          </w14:textFill>
        </w:rPr>
        <w:t>1</w:t>
      </w:r>
      <w:r>
        <w:rPr>
          <w:rFonts w:hint="eastAsia" w:ascii="仿宋_GB2312" w:hAnsi="仿宋" w:eastAsia="仿宋_GB2312" w:cs="方正楷体简体"/>
          <w:color w:val="000000" w:themeColor="text1"/>
          <w:sz w:val="36"/>
          <w:szCs w:val="36"/>
          <w14:textFill>
            <w14:solidFill>
              <w14:schemeClr w14:val="tx1"/>
            </w14:solidFill>
          </w14:textFill>
        </w:rPr>
        <w:t xml:space="preserve">包) </w:t>
      </w:r>
    </w:p>
    <w:p w14:paraId="7C6F56B7">
      <w:pPr>
        <w:spacing w:after="156" w:afterLines="50" w:line="360" w:lineRule="auto"/>
        <w:ind w:firstLine="726" w:firstLineChars="201"/>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采购方式：</w:t>
      </w:r>
      <w:r>
        <w:rPr>
          <w:rFonts w:ascii="仿宋_GB2312" w:hAnsi="仿宋" w:eastAsia="仿宋_GB2312" w:cs="方正楷体简体"/>
          <w:color w:val="000000" w:themeColor="text1"/>
          <w:sz w:val="36"/>
          <w:szCs w:val="36"/>
          <w14:textFill>
            <w14:solidFill>
              <w14:schemeClr w14:val="tx1"/>
            </w14:solidFill>
          </w14:textFill>
        </w:rPr>
        <w:t>竞争谈判</w:t>
      </w:r>
    </w:p>
    <w:p w14:paraId="565E9B19">
      <w:pPr>
        <w:spacing w:line="360" w:lineRule="auto"/>
        <w:rPr>
          <w:rFonts w:ascii="仿宋_GB2312" w:hAnsi="仿宋" w:eastAsia="仿宋_GB2312" w:cs="方正楷体简体"/>
          <w:b/>
          <w:color w:val="000000" w:themeColor="text1"/>
          <w:sz w:val="16"/>
          <w:szCs w:val="36"/>
          <w14:textFill>
            <w14:solidFill>
              <w14:schemeClr w14:val="tx1"/>
            </w14:solidFill>
          </w14:textFill>
        </w:rPr>
      </w:pPr>
    </w:p>
    <w:p w14:paraId="0670E839">
      <w:pPr>
        <w:spacing w:line="360" w:lineRule="auto"/>
        <w:ind w:firstLine="363" w:firstLineChars="201"/>
        <w:jc w:val="center"/>
        <w:rPr>
          <w:rFonts w:ascii="仿宋_GB2312" w:hAnsi="仿宋" w:eastAsia="仿宋_GB2312" w:cs="方正楷体简体"/>
          <w:b/>
          <w:color w:val="000000" w:themeColor="text1"/>
          <w:sz w:val="18"/>
          <w:szCs w:val="36"/>
          <w14:textFill>
            <w14:solidFill>
              <w14:schemeClr w14:val="tx1"/>
            </w14:solidFill>
          </w14:textFill>
        </w:rPr>
      </w:pPr>
    </w:p>
    <w:p w14:paraId="348999E4">
      <w:pPr>
        <w:spacing w:before="156" w:beforeLines="50" w:line="360" w:lineRule="auto"/>
        <w:ind w:firstLine="726" w:firstLineChars="201"/>
        <w:jc w:val="center"/>
        <w:rPr>
          <w:rFonts w:hint="eastAsia" w:ascii="仿宋_GB2312" w:hAnsi="仿宋" w:eastAsia="仿宋_GB2312"/>
          <w:b/>
          <w:bCs/>
          <w:color w:val="000000" w:themeColor="text1"/>
          <w:kern w:val="0"/>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代理机构：</w:t>
      </w:r>
      <w:r>
        <w:rPr>
          <w:rFonts w:hint="eastAsia" w:ascii="仿宋_GB2312" w:hAnsi="仿宋" w:eastAsia="仿宋_GB2312" w:cs="方正楷体简体"/>
          <w:color w:val="000000" w:themeColor="text1"/>
          <w:sz w:val="36"/>
          <w:szCs w:val="36"/>
          <w:lang w:eastAsia="zh-CN"/>
          <w14:textFill>
            <w14:solidFill>
              <w14:schemeClr w14:val="tx1"/>
            </w14:solidFill>
          </w14:textFill>
        </w:rPr>
        <w:t>威海市嘉鑫工程检测鉴定有限公司</w:t>
      </w:r>
    </w:p>
    <w:p w14:paraId="1DE188BC">
      <w:pPr>
        <w:spacing w:before="156" w:beforeLines="50" w:line="360" w:lineRule="auto"/>
        <w:ind w:firstLine="726" w:firstLineChars="201"/>
        <w:jc w:val="center"/>
        <w:rPr>
          <w:rFonts w:hint="eastAsia" w:ascii="仿宋_GB2312" w:hAnsi="仿宋" w:eastAsia="仿宋_GB2312" w:cs="方正楷体简体"/>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编制时间：</w:t>
      </w:r>
      <w:r>
        <w:rPr>
          <w:rFonts w:hint="eastAsia" w:ascii="仿宋_GB2312" w:hAnsi="仿宋" w:eastAsia="仿宋_GB2312" w:cs="方正楷体简体"/>
          <w:color w:val="000000" w:themeColor="text1"/>
          <w:sz w:val="36"/>
          <w:szCs w:val="36"/>
          <w14:textFill>
            <w14:solidFill>
              <w14:schemeClr w14:val="tx1"/>
            </w14:solidFill>
          </w14:textFill>
        </w:rPr>
        <w:t xml:space="preserve"> </w:t>
      </w:r>
      <w:r>
        <w:rPr>
          <w:rFonts w:ascii="仿宋_GB2312" w:hAnsi="仿宋" w:eastAsia="仿宋_GB2312" w:cs="方正楷体简体"/>
          <w:color w:val="000000" w:themeColor="text1"/>
          <w:sz w:val="36"/>
          <w:szCs w:val="36"/>
          <w14:textFill>
            <w14:solidFill>
              <w14:schemeClr w14:val="tx1"/>
            </w14:solidFill>
          </w14:textFill>
        </w:rPr>
        <w:t>2026年</w:t>
      </w:r>
      <w:r>
        <w:rPr>
          <w:rFonts w:hint="eastAsia" w:ascii="仿宋_GB2312" w:hAnsi="仿宋" w:eastAsia="仿宋_GB2312" w:cs="方正楷体简体"/>
          <w:color w:val="000000" w:themeColor="text1"/>
          <w:sz w:val="36"/>
          <w:szCs w:val="36"/>
          <w:lang w:eastAsia="zh-CN"/>
          <w14:textFill>
            <w14:solidFill>
              <w14:schemeClr w14:val="tx1"/>
            </w14:solidFill>
          </w14:textFill>
        </w:rPr>
        <w:t>05月06日</w:t>
      </w:r>
    </w:p>
    <w:p w14:paraId="70476405">
      <w:pPr>
        <w:spacing w:before="156" w:beforeLines="50" w:line="360" w:lineRule="auto"/>
        <w:ind w:firstLine="726" w:firstLineChars="201"/>
        <w:jc w:val="center"/>
        <w:rPr>
          <w:rFonts w:ascii="仿宋_GB2312" w:hAnsi="仿宋" w:eastAsia="仿宋_GB2312" w:cs="方正楷体简体"/>
          <w:b/>
          <w:color w:val="000000" w:themeColor="text1"/>
          <w:sz w:val="36"/>
          <w:szCs w:val="36"/>
          <w14:textFill>
            <w14:solidFill>
              <w14:schemeClr w14:val="tx1"/>
            </w14:solidFill>
          </w14:textFill>
        </w:rPr>
      </w:pPr>
    </w:p>
    <w:p w14:paraId="7DD4F7D8">
      <w:pPr>
        <w:spacing w:line="360" w:lineRule="auto"/>
        <w:ind w:firstLine="1045" w:firstLineChars="201"/>
        <w:jc w:val="center"/>
        <w:rPr>
          <w:rFonts w:ascii="黑体" w:hAnsi="黑体" w:eastAsia="黑体" w:cs="方正小标宋简体"/>
          <w:color w:val="000000" w:themeColor="text1"/>
          <w:kern w:val="0"/>
          <w:sz w:val="52"/>
          <w:szCs w:val="52"/>
          <w14:textFill>
            <w14:solidFill>
              <w14:schemeClr w14:val="tx1"/>
            </w14:solidFill>
          </w14:textFill>
        </w:rPr>
        <w:sectPr>
          <w:headerReference r:id="rId3" w:type="default"/>
          <w:pgSz w:w="11906" w:h="16838"/>
          <w:pgMar w:top="1440" w:right="1080" w:bottom="1440" w:left="1080" w:header="851" w:footer="992" w:gutter="0"/>
          <w:pgNumType w:start="1"/>
          <w:cols w:space="720" w:num="1"/>
          <w:docGrid w:type="lines" w:linePitch="312" w:charSpace="0"/>
        </w:sectPr>
      </w:pPr>
    </w:p>
    <w:p w14:paraId="6E350630">
      <w:pPr>
        <w:spacing w:line="360" w:lineRule="auto"/>
        <w:ind w:firstLine="1045" w:firstLineChars="201"/>
        <w:jc w:val="center"/>
        <w:rPr>
          <w:rFonts w:ascii="黑体" w:hAnsi="黑体" w:eastAsia="黑体"/>
          <w:b/>
          <w:color w:val="000000" w:themeColor="text1"/>
          <w:sz w:val="44"/>
          <w:szCs w:val="44"/>
          <w14:textFill>
            <w14:solidFill>
              <w14:schemeClr w14:val="tx1"/>
            </w14:solidFill>
          </w14:textFill>
        </w:rPr>
      </w:pPr>
      <w:r>
        <w:rPr>
          <w:rFonts w:hint="eastAsia" w:ascii="黑体" w:hAnsi="黑体" w:eastAsia="黑体" w:cs="方正小标宋简体"/>
          <w:color w:val="000000" w:themeColor="text1"/>
          <w:kern w:val="0"/>
          <w:sz w:val="52"/>
          <w:szCs w:val="52"/>
          <w14:textFill>
            <w14:solidFill>
              <w14:schemeClr w14:val="tx1"/>
            </w14:solidFill>
          </w14:textFill>
        </w:rPr>
        <w:t>目  录</w:t>
      </w:r>
    </w:p>
    <w:p w14:paraId="033B4EDC">
      <w:pPr>
        <w:spacing w:line="560" w:lineRule="exact"/>
        <w:ind w:firstLine="562" w:firstLineChars="201"/>
        <w:jc w:val="left"/>
        <w:rPr>
          <w:rFonts w:ascii="宋体" w:hAnsi="宋体" w:cs="方正楷体简体"/>
          <w:color w:val="000000" w:themeColor="text1"/>
          <w:sz w:val="28"/>
          <w:szCs w:val="28"/>
          <w14:textFill>
            <w14:solidFill>
              <w14:schemeClr w14:val="tx1"/>
            </w14:solidFill>
          </w14:textFill>
        </w:rPr>
      </w:pPr>
    </w:p>
    <w:p w14:paraId="154D054C">
      <w:pPr>
        <w:spacing w:line="560" w:lineRule="exact"/>
        <w:ind w:firstLine="565" w:firstLineChars="201"/>
        <w:jc w:val="left"/>
        <w:rPr>
          <w:rFonts w:ascii="仿宋_GB2312" w:hAnsi="宋体" w:eastAsia="仿宋_GB2312" w:cs="宋体"/>
          <w:b/>
          <w:bCs/>
          <w:caps/>
          <w:color w:val="000000" w:themeColor="text1"/>
          <w:sz w:val="28"/>
          <w:szCs w:val="28"/>
          <w14:textFill>
            <w14:solidFill>
              <w14:schemeClr w14:val="tx1"/>
            </w14:solidFill>
          </w14:textFill>
        </w:rPr>
      </w:pPr>
    </w:p>
    <w:p w14:paraId="46D0F101">
      <w:pPr>
        <w:rPr>
          <w:rFonts w:ascii="仿宋_GB2312" w:hAnsi="宋体" w:eastAsia="仿宋_GB2312"/>
          <w:b/>
          <w:color w:val="000000" w:themeColor="text1"/>
          <w14:textFill>
            <w14:solidFill>
              <w14:schemeClr w14:val="tx1"/>
            </w14:solidFill>
          </w14:textFill>
        </w:rPr>
      </w:pPr>
    </w:p>
    <w:p w14:paraId="58BA8D47">
      <w:pPr>
        <w:spacing w:line="560" w:lineRule="exact"/>
        <w:ind w:firstLine="565" w:firstLineChars="201"/>
        <w:jc w:val="left"/>
        <w:rPr>
          <w:rFonts w:ascii="仿宋_GB2312" w:hAnsi="宋体" w:eastAsia="仿宋_GB2312"/>
          <w:b/>
          <w:bCs/>
          <w:caps/>
          <w:color w:val="000000" w:themeColor="text1"/>
          <w:sz w:val="28"/>
          <w:szCs w:val="28"/>
          <w14:textFill>
            <w14:solidFill>
              <w14:schemeClr w14:val="tx1"/>
            </w14:solidFill>
          </w14:textFill>
        </w:rPr>
      </w:pPr>
    </w:p>
    <w:p w14:paraId="07CAB570">
      <w:pPr>
        <w:spacing w:line="560" w:lineRule="exact"/>
        <w:ind w:firstLine="565" w:firstLineChars="201"/>
        <w:jc w:val="left"/>
        <w:rPr>
          <w:rFonts w:ascii="仿宋_GB2312" w:hAnsi="宋体" w:eastAsia="仿宋_GB2312" w:cs="方正楷体简体"/>
          <w:b/>
          <w:color w:val="000000" w:themeColor="text1"/>
          <w:sz w:val="28"/>
          <w:szCs w:val="28"/>
          <w14:textFill>
            <w14:solidFill>
              <w14:schemeClr w14:val="tx1"/>
            </w14:solidFill>
          </w14:textFill>
        </w:rPr>
      </w:pPr>
    </w:p>
    <w:p w14:paraId="069F3899">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 xml:space="preserve">第一章   竞争谈判公告 </w:t>
      </w:r>
    </w:p>
    <w:p w14:paraId="254AEDD2">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第二章   谈判须知</w:t>
      </w:r>
    </w:p>
    <w:p w14:paraId="46925985">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第三章   采购内容与要求</w:t>
      </w:r>
    </w:p>
    <w:p w14:paraId="7781210C">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第四章   谈判原则、程序与方法</w:t>
      </w:r>
    </w:p>
    <w:p w14:paraId="2FDDD27B">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第五章   响应文件格式与要求</w:t>
      </w:r>
    </w:p>
    <w:p w14:paraId="6BE07BBE">
      <w:pPr>
        <w:spacing w:line="720" w:lineRule="exact"/>
        <w:ind w:firstLine="565" w:firstLineChars="201"/>
        <w:jc w:val="left"/>
        <w:rPr>
          <w:rFonts w:ascii="仿宋_GB2312" w:hAnsi="黑体" w:eastAsia="仿宋_GB2312" w:cs="宋体"/>
          <w:b/>
          <w:bCs/>
          <w:caps/>
          <w:color w:val="000000" w:themeColor="text1"/>
          <w:sz w:val="28"/>
          <w:szCs w:val="28"/>
          <w14:textFill>
            <w14:solidFill>
              <w14:schemeClr w14:val="tx1"/>
            </w14:solidFill>
          </w14:textFill>
        </w:rPr>
      </w:pPr>
      <w:r>
        <w:rPr>
          <w:rFonts w:hint="eastAsia" w:ascii="仿宋_GB2312" w:hAnsi="黑体" w:eastAsia="仿宋_GB2312" w:cs="宋体"/>
          <w:b/>
          <w:bCs/>
          <w:caps/>
          <w:color w:val="000000" w:themeColor="text1"/>
          <w:sz w:val="28"/>
          <w:szCs w:val="28"/>
          <w14:textFill>
            <w14:solidFill>
              <w14:schemeClr w14:val="tx1"/>
            </w14:solidFill>
          </w14:textFill>
        </w:rPr>
        <w:t>第六章   采购合同（范本）</w:t>
      </w:r>
    </w:p>
    <w:p w14:paraId="1DF817AB">
      <w:pPr>
        <w:spacing w:line="560" w:lineRule="exact"/>
        <w:ind w:firstLine="424" w:firstLineChars="151"/>
        <w:jc w:val="left"/>
        <w:rPr>
          <w:rFonts w:ascii="仿宋_GB2312" w:hAnsi="宋体" w:eastAsia="仿宋_GB2312" w:cs="宋体"/>
          <w:b/>
          <w:bCs/>
          <w:caps/>
          <w:color w:val="000000" w:themeColor="text1"/>
          <w:sz w:val="28"/>
          <w:szCs w:val="28"/>
          <w14:textFill>
            <w14:solidFill>
              <w14:schemeClr w14:val="tx1"/>
            </w14:solidFill>
          </w14:textFill>
        </w:rPr>
      </w:pPr>
    </w:p>
    <w:p w14:paraId="51B0C779">
      <w:pPr>
        <w:spacing w:line="560" w:lineRule="exact"/>
        <w:ind w:firstLine="424" w:firstLineChars="151"/>
        <w:jc w:val="left"/>
        <w:rPr>
          <w:rFonts w:ascii="仿宋_GB2312" w:hAnsi="宋体" w:eastAsia="仿宋_GB2312"/>
          <w:b/>
          <w:bCs/>
          <w:caps/>
          <w:color w:val="000000" w:themeColor="text1"/>
          <w:sz w:val="28"/>
          <w:szCs w:val="28"/>
          <w14:textFill>
            <w14:solidFill>
              <w14:schemeClr w14:val="tx1"/>
            </w14:solidFill>
          </w14:textFill>
        </w:rPr>
      </w:pPr>
    </w:p>
    <w:p w14:paraId="05E14A52">
      <w:pPr>
        <w:rPr>
          <w:rFonts w:ascii="宋体" w:hAnsi="宋体"/>
          <w:color w:val="000000" w:themeColor="text1"/>
          <w:kern w:val="0"/>
          <w14:textFill>
            <w14:solidFill>
              <w14:schemeClr w14:val="tx1"/>
            </w14:solidFill>
          </w14:textFill>
        </w:rPr>
        <w:sectPr>
          <w:headerReference r:id="rId4" w:type="default"/>
          <w:pgSz w:w="11906" w:h="16838"/>
          <w:pgMar w:top="1440" w:right="1080" w:bottom="1440" w:left="1080" w:header="851" w:footer="992" w:gutter="0"/>
          <w:pgNumType w:start="1"/>
          <w:cols w:space="720" w:num="1"/>
          <w:docGrid w:type="lines" w:linePitch="312" w:charSpace="0"/>
        </w:sectPr>
      </w:pPr>
    </w:p>
    <w:p w14:paraId="2EECEBB4">
      <w:pPr>
        <w:pStyle w:val="26"/>
        <w:numPr>
          <w:ilvl w:val="0"/>
          <w:numId w:val="1"/>
        </w:numPr>
        <w:spacing w:before="100" w:beforeAutospacing="1" w:after="100" w:afterAutospacing="1" w:line="415" w:lineRule="auto"/>
        <w:rPr>
          <w:rFonts w:ascii="宋体" w:hAnsi="宋体" w:cs="宋体"/>
          <w:color w:val="000000" w:themeColor="text1"/>
          <w:sz w:val="2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采购公告</w:t>
      </w:r>
    </w:p>
    <w:p w14:paraId="521B2FE8">
      <w:pPr>
        <w:rPr>
          <w:color w:val="000000" w:themeColor="text1"/>
          <w14:textFill>
            <w14:solidFill>
              <w14:schemeClr w14:val="tx1"/>
            </w14:solidFill>
          </w14:textFill>
        </w:rPr>
      </w:pPr>
    </w:p>
    <w:p w14:paraId="7809B71D">
      <w:pPr>
        <w:rPr>
          <w:color w:val="000000" w:themeColor="text1"/>
          <w14:textFill>
            <w14:solidFill>
              <w14:schemeClr w14:val="tx1"/>
            </w14:solidFill>
          </w14:textFill>
        </w:r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27C2B997">
      <w:pPr>
        <w:spacing w:line="360" w:lineRule="auto"/>
        <w:jc w:val="center"/>
        <w:rPr>
          <w:rFonts w:ascii="方正小标宋简体" w:eastAsia="方正小标宋简体"/>
          <w:b/>
          <w:color w:val="000000" w:themeColor="text1"/>
          <w:sz w:val="30"/>
          <w:szCs w:val="30"/>
          <w14:textFill>
            <w14:solidFill>
              <w14:schemeClr w14:val="tx1"/>
            </w14:solidFill>
          </w14:textFill>
        </w:rPr>
      </w:pPr>
      <w:r>
        <w:rPr>
          <w:rFonts w:ascii="方正小标宋简体" w:eastAsia="方正小标宋简体"/>
          <w:b/>
          <w:color w:val="000000" w:themeColor="text1"/>
          <w:sz w:val="30"/>
          <w:szCs w:val="30"/>
          <w14:textFill>
            <w14:solidFill>
              <w14:schemeClr w14:val="tx1"/>
            </w14:solidFill>
          </w14:textFill>
        </w:rPr>
        <w:t>乳山市建设大厦10KV配电改造工程</w:t>
      </w:r>
      <w:r>
        <w:rPr>
          <w:rFonts w:hint="eastAsia" w:ascii="方正小标宋简体" w:eastAsia="方正小标宋简体"/>
          <w:b/>
          <w:color w:val="000000" w:themeColor="text1"/>
          <w:sz w:val="30"/>
          <w:szCs w:val="30"/>
          <w14:textFill>
            <w14:solidFill>
              <w14:schemeClr w14:val="tx1"/>
            </w14:solidFill>
          </w14:textFill>
        </w:rPr>
        <w:t>竞争谈判公告</w:t>
      </w:r>
    </w:p>
    <w:p w14:paraId="3929B92B">
      <w:pPr>
        <w:pBdr>
          <w:top w:val="single" w:color="auto" w:sz="4" w:space="1"/>
          <w:left w:val="single" w:color="auto" w:sz="4" w:space="4"/>
          <w:bottom w:val="single" w:color="auto" w:sz="4" w:space="1"/>
          <w:right w:val="single" w:color="auto" w:sz="4" w:space="4"/>
        </w:pBdr>
        <w:spacing w:line="360" w:lineRule="auto"/>
        <w:ind w:firstLine="560" w:firstLineChars="200"/>
        <w:rPr>
          <w:rFonts w:ascii="黑体" w:hAnsi="黑体" w:eastAsia="黑体" w:cs="宋体"/>
          <w:color w:val="000000" w:themeColor="text1"/>
          <w:sz w:val="28"/>
          <w:szCs w:val="28"/>
          <w14:textFill>
            <w14:solidFill>
              <w14:schemeClr w14:val="tx1"/>
            </w14:solidFill>
          </w14:textFill>
        </w:rPr>
      </w:pPr>
      <w:r>
        <w:rPr>
          <w:rFonts w:hint="eastAsia" w:ascii="黑体" w:hAnsi="黑体" w:eastAsia="黑体" w:cs="宋体"/>
          <w:color w:val="000000" w:themeColor="text1"/>
          <w:sz w:val="28"/>
          <w:szCs w:val="28"/>
          <w14:textFill>
            <w14:solidFill>
              <w14:schemeClr w14:val="tx1"/>
            </w14:solidFill>
          </w14:textFill>
        </w:rPr>
        <w:t>项目概况</w:t>
      </w:r>
    </w:p>
    <w:p w14:paraId="10B18376">
      <w:pPr>
        <w:widowControl/>
        <w:pBdr>
          <w:top w:val="single" w:color="auto" w:sz="4" w:space="1"/>
          <w:left w:val="single" w:color="auto" w:sz="4" w:space="4"/>
          <w:bottom w:val="single" w:color="auto" w:sz="4" w:space="1"/>
          <w:right w:val="single" w:color="auto" w:sz="4" w:space="4"/>
        </w:pBdr>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ascii="仿宋_GB2312" w:hAnsi="仿宋" w:eastAsia="仿宋_GB2312" w:cs="宋体"/>
          <w:color w:val="000000" w:themeColor="text1"/>
          <w:spacing w:val="8"/>
          <w:sz w:val="28"/>
          <w:szCs w:val="28"/>
          <w14:textFill>
            <w14:solidFill>
              <w14:schemeClr w14:val="tx1"/>
            </w14:solidFill>
          </w14:textFill>
        </w:rPr>
        <w:t>乳山市建设大厦10KV配电改造工程</w:t>
      </w:r>
      <w:r>
        <w:rPr>
          <w:rFonts w:hint="eastAsia" w:ascii="仿宋_GB2312" w:hAnsi="仿宋" w:eastAsia="仿宋_GB2312" w:cs="宋体"/>
          <w:color w:val="000000" w:themeColor="text1"/>
          <w:spacing w:val="8"/>
          <w:sz w:val="28"/>
          <w:szCs w:val="28"/>
          <w14:textFill>
            <w14:solidFill>
              <w14:schemeClr w14:val="tx1"/>
            </w14:solidFill>
          </w14:textFill>
        </w:rPr>
        <w:t>采购项目的潜在供应商应在</w:t>
      </w:r>
      <w:r>
        <w:rPr>
          <w:rFonts w:hint="eastAsia" w:ascii="仿宋_GB2312" w:hAnsi="仿宋" w:eastAsia="仿宋_GB2312" w:cs="宋体"/>
          <w:color w:val="000000" w:themeColor="text1"/>
          <w:spacing w:val="8"/>
          <w:sz w:val="28"/>
          <w:szCs w:val="28"/>
          <w:u w:val="single"/>
          <w14:textFill>
            <w14:solidFill>
              <w14:schemeClr w14:val="tx1"/>
            </w14:solidFill>
          </w14:textFill>
        </w:rPr>
        <w:t xml:space="preserve"> 威海市国有企业阳光采购电子化服务平台威海市公共资源交易网（乳山分中心）右侧“交易服务一网通办系统-（新版）一网通办系统”登录后选择“国企采购”按钮</w:t>
      </w:r>
      <w:r>
        <w:rPr>
          <w:rFonts w:hint="eastAsia" w:ascii="仿宋_GB2312" w:hAnsi="仿宋" w:eastAsia="仿宋_GB2312" w:cs="宋体"/>
          <w:color w:val="000000" w:themeColor="text1"/>
          <w:spacing w:val="8"/>
          <w:sz w:val="28"/>
          <w:szCs w:val="28"/>
          <w14:textFill>
            <w14:solidFill>
              <w14:schemeClr w14:val="tx1"/>
            </w14:solidFill>
          </w14:textFill>
        </w:rPr>
        <w:t>获取采购文件，并于</w:t>
      </w:r>
      <w:r>
        <w:rPr>
          <w:rFonts w:hint="eastAsia" w:ascii="仿宋_GB2312" w:hAnsi="宋体" w:eastAsia="仿宋_GB2312" w:cs="宋体"/>
          <w:color w:val="000000" w:themeColor="text1"/>
          <w:spacing w:val="8"/>
          <w:sz w:val="28"/>
          <w:szCs w:val="28"/>
          <w:u w:val="single"/>
          <w14:textFill>
            <w14:solidFill>
              <w14:schemeClr w14:val="tx1"/>
            </w14:solidFill>
          </w14:textFill>
        </w:rPr>
        <w:t xml:space="preserve"> </w:t>
      </w:r>
      <w:r>
        <w:rPr>
          <w:rFonts w:ascii="仿宋_GB2312" w:hAnsi="仿宋" w:eastAsia="仿宋_GB2312" w:cs="宋体"/>
          <w:color w:val="000000" w:themeColor="text1"/>
          <w:spacing w:val="8"/>
          <w:sz w:val="28"/>
          <w:szCs w:val="28"/>
          <w:u w:val="single"/>
          <w14:textFill>
            <w14:solidFill>
              <w14:schemeClr w14:val="tx1"/>
            </w14:solidFill>
          </w14:textFill>
        </w:rPr>
        <w:t>2026年</w:t>
      </w:r>
      <w:r>
        <w:rPr>
          <w:rFonts w:hint="eastAsia" w:ascii="仿宋_GB2312" w:hAnsi="仿宋" w:eastAsia="仿宋_GB2312" w:cs="宋体"/>
          <w:color w:val="000000" w:themeColor="text1"/>
          <w:spacing w:val="8"/>
          <w:sz w:val="28"/>
          <w:szCs w:val="28"/>
          <w:u w:val="single"/>
          <w:lang w:eastAsia="zh-CN"/>
          <w14:textFill>
            <w14:solidFill>
              <w14:schemeClr w14:val="tx1"/>
            </w14:solidFill>
          </w14:textFill>
        </w:rPr>
        <w:t>05月15日09时00分</w:t>
      </w:r>
      <w:r>
        <w:rPr>
          <w:rFonts w:hint="eastAsia" w:ascii="仿宋_GB2312" w:hAnsi="仿宋" w:eastAsia="仿宋_GB2312" w:cs="宋体"/>
          <w:color w:val="000000" w:themeColor="text1"/>
          <w:spacing w:val="8"/>
          <w:sz w:val="28"/>
          <w:szCs w:val="28"/>
          <w:u w:val="single"/>
          <w14:textFill>
            <w14:solidFill>
              <w14:schemeClr w14:val="tx1"/>
            </w14:solidFill>
          </w14:textFill>
        </w:rPr>
        <w:t>（北京时间）</w:t>
      </w:r>
      <w:r>
        <w:rPr>
          <w:rFonts w:hint="eastAsia" w:ascii="仿宋_GB2312" w:hAnsi="仿宋" w:eastAsia="仿宋_GB2312" w:cs="宋体"/>
          <w:color w:val="000000" w:themeColor="text1"/>
          <w:spacing w:val="8"/>
          <w:sz w:val="28"/>
          <w:szCs w:val="28"/>
          <w14:textFill>
            <w14:solidFill>
              <w14:schemeClr w14:val="tx1"/>
            </w14:solidFill>
          </w14:textFill>
        </w:rPr>
        <w:t>前递交响应文件。</w:t>
      </w:r>
    </w:p>
    <w:p w14:paraId="050CFB5F">
      <w:pPr>
        <w:spacing w:line="360" w:lineRule="auto"/>
        <w:ind w:firstLine="560" w:firstLineChars="200"/>
        <w:outlineLvl w:val="0"/>
        <w:rPr>
          <w:rFonts w:ascii="黑体" w:hAnsi="黑体" w:eastAsia="黑体" w:cs="宋体"/>
          <w:color w:val="000000" w:themeColor="text1"/>
          <w:sz w:val="28"/>
          <w:szCs w:val="28"/>
          <w14:textFill>
            <w14:solidFill>
              <w14:schemeClr w14:val="tx1"/>
            </w14:solidFill>
          </w14:textFill>
        </w:rPr>
      </w:pPr>
      <w:r>
        <w:rPr>
          <w:rFonts w:hint="eastAsia" w:ascii="黑体" w:hAnsi="黑体" w:eastAsia="黑体" w:cs="宋体"/>
          <w:color w:val="000000" w:themeColor="text1"/>
          <w:sz w:val="28"/>
          <w:szCs w:val="28"/>
          <w14:textFill>
            <w14:solidFill>
              <w14:schemeClr w14:val="tx1"/>
            </w14:solidFill>
          </w14:textFill>
        </w:rPr>
        <w:t>一、项目基本情况</w:t>
      </w:r>
    </w:p>
    <w:p w14:paraId="5E141326">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lang w:eastAsia="zh-CN"/>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项目编号：</w:t>
      </w:r>
      <w:r>
        <w:rPr>
          <w:rFonts w:hint="eastAsia" w:ascii="仿宋_GB2312" w:hAnsi="仿宋" w:eastAsia="仿宋_GB2312" w:cs="宋体"/>
          <w:color w:val="000000" w:themeColor="text1"/>
          <w:spacing w:val="8"/>
          <w:sz w:val="28"/>
          <w:szCs w:val="28"/>
          <w:lang w:eastAsia="zh-CN"/>
          <w14:textFill>
            <w14:solidFill>
              <w14:schemeClr w14:val="tx1"/>
            </w14:solidFill>
          </w14:textFill>
        </w:rPr>
        <w:t>WHJX-ZB-2026-039</w:t>
      </w:r>
    </w:p>
    <w:p w14:paraId="432F7604">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项目名称：</w:t>
      </w:r>
      <w:r>
        <w:rPr>
          <w:rFonts w:ascii="仿宋_GB2312" w:hAnsi="仿宋" w:eastAsia="仿宋_GB2312" w:cs="宋体"/>
          <w:color w:val="000000" w:themeColor="text1"/>
          <w:spacing w:val="8"/>
          <w:sz w:val="28"/>
          <w:szCs w:val="28"/>
          <w14:textFill>
            <w14:solidFill>
              <w14:schemeClr w14:val="tx1"/>
            </w14:solidFill>
          </w14:textFill>
        </w:rPr>
        <w:t>乳山市建设大厦10KV配电改造工程</w:t>
      </w:r>
    </w:p>
    <w:p w14:paraId="0ECF4FCC">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采购方式：</w:t>
      </w:r>
      <w:r>
        <w:rPr>
          <w:rFonts w:ascii="仿宋_GB2312" w:hAnsi="仿宋" w:eastAsia="仿宋_GB2312" w:cs="宋体"/>
          <w:color w:val="000000" w:themeColor="text1"/>
          <w:spacing w:val="8"/>
          <w:sz w:val="28"/>
          <w:szCs w:val="28"/>
          <w14:textFill>
            <w14:solidFill>
              <w14:schemeClr w14:val="tx1"/>
            </w14:solidFill>
          </w14:textFill>
        </w:rPr>
        <w:t>竞争谈判</w:t>
      </w:r>
    </w:p>
    <w:p w14:paraId="4234FE8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采购项目分包情况：</w:t>
      </w:r>
    </w:p>
    <w:tbl>
      <w:tblPr>
        <w:tblStyle w:val="28"/>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268"/>
        <w:gridCol w:w="709"/>
        <w:gridCol w:w="1818"/>
        <w:gridCol w:w="1559"/>
        <w:gridCol w:w="1417"/>
        <w:gridCol w:w="1357"/>
      </w:tblGrid>
      <w:tr w14:paraId="0A2F4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061479F3">
            <w:pPr>
              <w:widowControl/>
              <w:adjustRightInd w:val="0"/>
              <w:snapToGrid w:val="0"/>
              <w:jc w:val="center"/>
              <w:rPr>
                <w:rFonts w:ascii="仿宋_GB2312" w:hAnsi="宋体" w:eastAsia="仿宋_GB2312" w:cs="宋体"/>
                <w:b/>
                <w:color w:val="000000" w:themeColor="text1"/>
                <w:sz w:val="28"/>
                <w14:textFill>
                  <w14:solidFill>
                    <w14:schemeClr w14:val="tx1"/>
                  </w14:solidFill>
                </w14:textFill>
              </w:rPr>
            </w:pPr>
            <w:r>
              <w:rPr>
                <w:rFonts w:hint="eastAsia" w:ascii="仿宋_GB2312" w:hAnsi="宋体" w:eastAsia="仿宋_GB2312" w:cs="宋体"/>
                <w:b/>
                <w:color w:val="000000" w:themeColor="text1"/>
                <w:sz w:val="28"/>
                <w14:textFill>
                  <w14:solidFill>
                    <w14:schemeClr w14:val="tx1"/>
                  </w14:solidFill>
                </w14:textFill>
              </w:rPr>
              <w:t>标包</w:t>
            </w:r>
          </w:p>
        </w:tc>
        <w:tc>
          <w:tcPr>
            <w:tcW w:w="2268" w:type="dxa"/>
            <w:vAlign w:val="center"/>
          </w:tcPr>
          <w:p w14:paraId="5A972602">
            <w:pPr>
              <w:widowControl/>
              <w:adjustRightInd w:val="0"/>
              <w:snapToGrid w:val="0"/>
              <w:jc w:val="center"/>
              <w:rPr>
                <w:rFonts w:ascii="仿宋_GB2312" w:hAnsi="宋体" w:eastAsia="仿宋_GB2312" w:cs="宋体"/>
                <w:b/>
                <w:color w:val="000000" w:themeColor="text1"/>
                <w:sz w:val="28"/>
                <w14:textFill>
                  <w14:solidFill>
                    <w14:schemeClr w14:val="tx1"/>
                  </w14:solidFill>
                </w14:textFill>
              </w:rPr>
            </w:pPr>
            <w:r>
              <w:rPr>
                <w:rFonts w:hint="eastAsia" w:ascii="仿宋_GB2312" w:hAnsi="宋体" w:eastAsia="仿宋_GB2312" w:cs="宋体"/>
                <w:b/>
                <w:color w:val="000000" w:themeColor="text1"/>
                <w:sz w:val="28"/>
                <w14:textFill>
                  <w14:solidFill>
                    <w14:schemeClr w14:val="tx1"/>
                  </w14:solidFill>
                </w14:textFill>
              </w:rPr>
              <w:t>名称</w:t>
            </w:r>
          </w:p>
        </w:tc>
        <w:tc>
          <w:tcPr>
            <w:tcW w:w="709" w:type="dxa"/>
            <w:vAlign w:val="center"/>
          </w:tcPr>
          <w:p w14:paraId="739A068C">
            <w:pPr>
              <w:widowControl/>
              <w:adjustRightInd w:val="0"/>
              <w:snapToGrid w:val="0"/>
              <w:jc w:val="center"/>
              <w:rPr>
                <w:rFonts w:ascii="仿宋_GB2312" w:hAnsi="宋体" w:eastAsia="仿宋_GB2312" w:cs="宋体"/>
                <w:b/>
                <w:color w:val="000000" w:themeColor="text1"/>
                <w:sz w:val="28"/>
                <w14:textFill>
                  <w14:solidFill>
                    <w14:schemeClr w14:val="tx1"/>
                  </w14:solidFill>
                </w14:textFill>
              </w:rPr>
            </w:pPr>
            <w:r>
              <w:rPr>
                <w:rFonts w:hint="eastAsia" w:ascii="仿宋_GB2312" w:hAnsi="宋体" w:eastAsia="仿宋_GB2312" w:cs="宋体"/>
                <w:b/>
                <w:color w:val="000000" w:themeColor="text1"/>
                <w:sz w:val="28"/>
                <w14:textFill>
                  <w14:solidFill>
                    <w14:schemeClr w14:val="tx1"/>
                  </w14:solidFill>
                </w14:textFill>
              </w:rPr>
              <w:t>数量</w:t>
            </w:r>
          </w:p>
        </w:tc>
        <w:tc>
          <w:tcPr>
            <w:tcW w:w="1818" w:type="dxa"/>
            <w:tcBorders>
              <w:right w:val="single" w:color="auto" w:sz="4" w:space="0"/>
            </w:tcBorders>
            <w:vAlign w:val="center"/>
          </w:tcPr>
          <w:p w14:paraId="76FA114E">
            <w:pPr>
              <w:widowControl/>
              <w:adjustRightInd w:val="0"/>
              <w:snapToGrid w:val="0"/>
              <w:jc w:val="center"/>
              <w:rPr>
                <w:rFonts w:ascii="仿宋_GB2312" w:hAnsi="宋体" w:eastAsia="仿宋_GB2312" w:cs="宋体"/>
                <w:b/>
                <w:color w:val="000000" w:themeColor="text1"/>
                <w:sz w:val="28"/>
                <w14:textFill>
                  <w14:solidFill>
                    <w14:schemeClr w14:val="tx1"/>
                  </w14:solidFill>
                </w14:textFill>
              </w:rPr>
            </w:pPr>
            <w:r>
              <w:rPr>
                <w:rFonts w:hint="eastAsia" w:ascii="仿宋_GB2312" w:hAnsi="宋体" w:eastAsia="仿宋_GB2312" w:cs="宋体"/>
                <w:b/>
                <w:color w:val="000000" w:themeColor="text1"/>
                <w:sz w:val="28"/>
                <w14:textFill>
                  <w14:solidFill>
                    <w14:schemeClr w14:val="tx1"/>
                  </w14:solidFill>
                </w14:textFill>
              </w:rPr>
              <w:t>包预算金额</w:t>
            </w:r>
          </w:p>
          <w:p w14:paraId="7276E5A1">
            <w:pPr>
              <w:widowControl/>
              <w:adjustRightInd w:val="0"/>
              <w:snapToGrid w:val="0"/>
              <w:jc w:val="center"/>
              <w:rPr>
                <w:rFonts w:ascii="仿宋_GB2312" w:hAnsi="宋体" w:eastAsia="仿宋_GB2312" w:cs="宋体"/>
                <w:b/>
                <w:color w:val="000000" w:themeColor="text1"/>
                <w:sz w:val="28"/>
                <w14:textFill>
                  <w14:solidFill>
                    <w14:schemeClr w14:val="tx1"/>
                  </w14:solidFill>
                </w14:textFill>
              </w:rPr>
            </w:pPr>
            <w:r>
              <w:rPr>
                <w:rFonts w:hint="eastAsia" w:ascii="仿宋_GB2312" w:hAnsi="宋体" w:eastAsia="仿宋_GB2312" w:cs="宋体"/>
                <w:b/>
                <w:color w:val="000000" w:themeColor="text1"/>
                <w:sz w:val="28"/>
                <w14:textFill>
                  <w14:solidFill>
                    <w14:schemeClr w14:val="tx1"/>
                  </w14:solidFill>
                </w14:textFill>
              </w:rPr>
              <w:t>（元）</w:t>
            </w:r>
          </w:p>
        </w:tc>
        <w:tc>
          <w:tcPr>
            <w:tcW w:w="1559" w:type="dxa"/>
            <w:vAlign w:val="center"/>
          </w:tcPr>
          <w:p w14:paraId="56543AE9">
            <w:pPr>
              <w:widowControl/>
              <w:adjustRightInd w:val="0"/>
              <w:snapToGrid w:val="0"/>
              <w:jc w:val="center"/>
              <w:rPr>
                <w:rFonts w:ascii="仿宋_GB2312" w:hAnsi="宋体" w:eastAsia="仿宋_GB2312" w:cs="宋体"/>
                <w:b/>
                <w:color w:val="000000" w:themeColor="text1"/>
                <w:sz w:val="28"/>
                <w14:textFill>
                  <w14:solidFill>
                    <w14:schemeClr w14:val="tx1"/>
                  </w14:solidFill>
                </w14:textFill>
              </w:rPr>
            </w:pPr>
            <w:r>
              <w:rPr>
                <w:rFonts w:hint="eastAsia" w:ascii="仿宋_GB2312" w:hAnsi="宋体" w:eastAsia="仿宋_GB2312" w:cs="宋体"/>
                <w:b/>
                <w:color w:val="000000" w:themeColor="text1"/>
                <w:sz w:val="28"/>
                <w14:textFill>
                  <w14:solidFill>
                    <w14:schemeClr w14:val="tx1"/>
                  </w14:solidFill>
                </w14:textFill>
              </w:rPr>
              <w:t>最高限价（元）</w:t>
            </w:r>
          </w:p>
        </w:tc>
        <w:tc>
          <w:tcPr>
            <w:tcW w:w="1417" w:type="dxa"/>
            <w:tcBorders>
              <w:right w:val="single" w:color="auto" w:sz="4" w:space="0"/>
            </w:tcBorders>
            <w:vAlign w:val="center"/>
          </w:tcPr>
          <w:p w14:paraId="7864EC5C">
            <w:pPr>
              <w:widowControl/>
              <w:adjustRightInd w:val="0"/>
              <w:snapToGrid w:val="0"/>
              <w:jc w:val="center"/>
              <w:rPr>
                <w:rFonts w:ascii="仿宋_GB2312" w:hAnsi="宋体" w:eastAsia="仿宋_GB2312" w:cs="宋体"/>
                <w:b/>
                <w:color w:val="000000" w:themeColor="text1"/>
                <w:sz w:val="28"/>
                <w14:textFill>
                  <w14:solidFill>
                    <w14:schemeClr w14:val="tx1"/>
                  </w14:solidFill>
                </w14:textFill>
              </w:rPr>
            </w:pPr>
            <w:r>
              <w:rPr>
                <w:rFonts w:hint="eastAsia" w:ascii="仿宋_GB2312" w:hAnsi="宋体" w:eastAsia="仿宋_GB2312" w:cs="宋体"/>
                <w:b/>
                <w:color w:val="000000" w:themeColor="text1"/>
                <w:sz w:val="28"/>
                <w14:textFill>
                  <w14:solidFill>
                    <w14:schemeClr w14:val="tx1"/>
                  </w14:solidFill>
                </w14:textFill>
              </w:rPr>
              <w:t>采购需求</w:t>
            </w:r>
          </w:p>
        </w:tc>
        <w:tc>
          <w:tcPr>
            <w:tcW w:w="1357" w:type="dxa"/>
            <w:tcBorders>
              <w:right w:val="single" w:color="auto" w:sz="4" w:space="0"/>
            </w:tcBorders>
            <w:vAlign w:val="center"/>
          </w:tcPr>
          <w:p w14:paraId="52CC7EF4">
            <w:pPr>
              <w:widowControl/>
              <w:adjustRightInd w:val="0"/>
              <w:snapToGrid w:val="0"/>
              <w:jc w:val="center"/>
              <w:rPr>
                <w:rFonts w:ascii="仿宋_GB2312" w:hAnsi="宋体" w:eastAsia="仿宋_GB2312" w:cs="宋体"/>
                <w:b/>
                <w:color w:val="000000" w:themeColor="text1"/>
                <w:sz w:val="28"/>
                <w14:textFill>
                  <w14:solidFill>
                    <w14:schemeClr w14:val="tx1"/>
                  </w14:solidFill>
                </w14:textFill>
              </w:rPr>
            </w:pPr>
            <w:r>
              <w:rPr>
                <w:rFonts w:hint="eastAsia" w:ascii="仿宋_GB2312" w:hAnsi="宋体" w:eastAsia="仿宋_GB2312" w:cs="宋体"/>
                <w:b/>
                <w:color w:val="000000" w:themeColor="text1"/>
                <w:sz w:val="28"/>
                <w14:textFill>
                  <w14:solidFill>
                    <w14:schemeClr w14:val="tx1"/>
                  </w14:solidFill>
                </w14:textFill>
              </w:rPr>
              <w:t>合同履行期限</w:t>
            </w:r>
          </w:p>
        </w:tc>
      </w:tr>
      <w:tr w14:paraId="5A824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52FB86F8">
            <w:pPr>
              <w:widowControl/>
              <w:adjustRightInd w:val="0"/>
              <w:snapToGrid w:val="0"/>
              <w:jc w:val="center"/>
              <w:rPr>
                <w:rFonts w:ascii="仿宋_GB2312" w:hAnsi="宋体" w:eastAsia="仿宋_GB2312" w:cs="宋体"/>
                <w:color w:val="000000" w:themeColor="text1"/>
                <w:sz w:val="28"/>
                <w14:textFill>
                  <w14:solidFill>
                    <w14:schemeClr w14:val="tx1"/>
                  </w14:solidFill>
                </w14:textFill>
              </w:rPr>
            </w:pPr>
            <w:r>
              <w:rPr>
                <w:rFonts w:ascii="仿宋_GB2312" w:hAnsi="宋体" w:eastAsia="仿宋_GB2312" w:cs="宋体"/>
                <w:color w:val="000000" w:themeColor="text1"/>
                <w:sz w:val="28"/>
                <w14:textFill>
                  <w14:solidFill>
                    <w14:schemeClr w14:val="tx1"/>
                  </w14:solidFill>
                </w14:textFill>
              </w:rPr>
              <w:t>A</w:t>
            </w:r>
          </w:p>
        </w:tc>
        <w:tc>
          <w:tcPr>
            <w:tcW w:w="2268" w:type="dxa"/>
            <w:vAlign w:val="center"/>
          </w:tcPr>
          <w:p w14:paraId="1675C977">
            <w:pPr>
              <w:widowControl/>
              <w:adjustRightInd w:val="0"/>
              <w:snapToGrid w:val="0"/>
              <w:jc w:val="center"/>
              <w:rPr>
                <w:rFonts w:ascii="仿宋_GB2312" w:hAnsi="宋体" w:eastAsia="仿宋_GB2312" w:cs="宋体"/>
                <w:color w:val="000000" w:themeColor="text1"/>
                <w:sz w:val="28"/>
                <w14:textFill>
                  <w14:solidFill>
                    <w14:schemeClr w14:val="tx1"/>
                  </w14:solidFill>
                </w14:textFill>
              </w:rPr>
            </w:pPr>
            <w:r>
              <w:rPr>
                <w:rFonts w:hint="eastAsia" w:ascii="仿宋_GB2312" w:hAnsi="宋体" w:eastAsia="仿宋_GB2312" w:cs="宋体"/>
                <w:color w:val="000000" w:themeColor="text1"/>
                <w:sz w:val="28"/>
                <w14:textFill>
                  <w14:solidFill>
                    <w14:schemeClr w14:val="tx1"/>
                  </w14:solidFill>
                </w14:textFill>
              </w:rPr>
              <w:t>乳山市建设大厦</w:t>
            </w:r>
            <w:r>
              <w:rPr>
                <w:rFonts w:ascii="仿宋_GB2312" w:hAnsi="宋体" w:eastAsia="仿宋_GB2312" w:cs="宋体"/>
                <w:color w:val="000000" w:themeColor="text1"/>
                <w:sz w:val="28"/>
                <w14:textFill>
                  <w14:solidFill>
                    <w14:schemeClr w14:val="tx1"/>
                  </w14:solidFill>
                </w14:textFill>
              </w:rPr>
              <w:t>10KV配电改造工程</w:t>
            </w:r>
          </w:p>
        </w:tc>
        <w:tc>
          <w:tcPr>
            <w:tcW w:w="709" w:type="dxa"/>
            <w:vAlign w:val="center"/>
          </w:tcPr>
          <w:p w14:paraId="3FBE86E3">
            <w:pPr>
              <w:widowControl/>
              <w:adjustRightInd w:val="0"/>
              <w:snapToGrid w:val="0"/>
              <w:jc w:val="center"/>
              <w:rPr>
                <w:rFonts w:ascii="仿宋_GB2312" w:hAnsi="宋体" w:eastAsia="仿宋_GB2312" w:cs="宋体"/>
                <w:color w:val="000000" w:themeColor="text1"/>
                <w:sz w:val="28"/>
                <w14:textFill>
                  <w14:solidFill>
                    <w14:schemeClr w14:val="tx1"/>
                  </w14:solidFill>
                </w14:textFill>
              </w:rPr>
            </w:pPr>
            <w:r>
              <w:rPr>
                <w:rFonts w:ascii="仿宋_GB2312" w:hAnsi="宋体" w:eastAsia="仿宋_GB2312" w:cs="宋体"/>
                <w:color w:val="000000" w:themeColor="text1"/>
                <w:sz w:val="28"/>
                <w14:textFill>
                  <w14:solidFill>
                    <w14:schemeClr w14:val="tx1"/>
                  </w14:solidFill>
                </w14:textFill>
              </w:rPr>
              <w:t>1宗</w:t>
            </w:r>
          </w:p>
        </w:tc>
        <w:tc>
          <w:tcPr>
            <w:tcW w:w="1818" w:type="dxa"/>
            <w:tcBorders>
              <w:right w:val="single" w:color="auto" w:sz="4" w:space="0"/>
            </w:tcBorders>
            <w:vAlign w:val="center"/>
          </w:tcPr>
          <w:p w14:paraId="0B499633">
            <w:pPr>
              <w:widowControl/>
              <w:adjustRightInd w:val="0"/>
              <w:snapToGrid w:val="0"/>
              <w:jc w:val="center"/>
              <w:rPr>
                <w:rFonts w:ascii="仿宋_GB2312" w:hAnsi="宋体" w:eastAsia="仿宋_GB2312" w:cs="宋体"/>
                <w:color w:val="000000" w:themeColor="text1"/>
                <w:sz w:val="28"/>
                <w14:textFill>
                  <w14:solidFill>
                    <w14:schemeClr w14:val="tx1"/>
                  </w14:solidFill>
                </w14:textFill>
              </w:rPr>
            </w:pPr>
            <w:r>
              <w:rPr>
                <w:rFonts w:ascii="仿宋_GB2312" w:hAnsi="宋体" w:eastAsia="仿宋_GB2312" w:cs="宋体"/>
                <w:color w:val="000000" w:themeColor="text1"/>
                <w:sz w:val="28"/>
                <w14:textFill>
                  <w14:solidFill>
                    <w14:schemeClr w14:val="tx1"/>
                  </w14:solidFill>
                </w14:textFill>
              </w:rPr>
              <w:t>330000.00</w:t>
            </w:r>
          </w:p>
        </w:tc>
        <w:tc>
          <w:tcPr>
            <w:tcW w:w="1559" w:type="dxa"/>
            <w:vAlign w:val="center"/>
          </w:tcPr>
          <w:p w14:paraId="2113CCF0">
            <w:pPr>
              <w:widowControl/>
              <w:adjustRightInd w:val="0"/>
              <w:snapToGrid w:val="0"/>
              <w:jc w:val="center"/>
              <w:rPr>
                <w:rFonts w:ascii="仿宋_GB2312" w:hAnsi="宋体" w:eastAsia="仿宋_GB2312" w:cs="宋体"/>
                <w:color w:val="000000" w:themeColor="text1"/>
                <w:sz w:val="28"/>
                <w14:textFill>
                  <w14:solidFill>
                    <w14:schemeClr w14:val="tx1"/>
                  </w14:solidFill>
                </w14:textFill>
              </w:rPr>
            </w:pPr>
            <w:r>
              <w:rPr>
                <w:rFonts w:ascii="仿宋_GB2312" w:hAnsi="宋体" w:eastAsia="仿宋_GB2312" w:cs="宋体"/>
                <w:color w:val="000000" w:themeColor="text1"/>
                <w:sz w:val="28"/>
                <w14:textFill>
                  <w14:solidFill>
                    <w14:schemeClr w14:val="tx1"/>
                  </w14:solidFill>
                </w14:textFill>
              </w:rPr>
              <w:t>330000.00</w:t>
            </w:r>
          </w:p>
        </w:tc>
        <w:tc>
          <w:tcPr>
            <w:tcW w:w="1417" w:type="dxa"/>
            <w:tcBorders>
              <w:right w:val="single" w:color="auto" w:sz="4" w:space="0"/>
            </w:tcBorders>
            <w:vAlign w:val="center"/>
          </w:tcPr>
          <w:p w14:paraId="0FA9E5B0">
            <w:pPr>
              <w:widowControl/>
              <w:adjustRightInd w:val="0"/>
              <w:snapToGrid w:val="0"/>
              <w:jc w:val="center"/>
              <w:rPr>
                <w:rFonts w:ascii="仿宋_GB2312" w:hAnsi="宋体" w:eastAsia="仿宋_GB2312" w:cs="宋体"/>
                <w:color w:val="000000" w:themeColor="text1"/>
                <w:sz w:val="28"/>
                <w14:textFill>
                  <w14:solidFill>
                    <w14:schemeClr w14:val="tx1"/>
                  </w14:solidFill>
                </w14:textFill>
              </w:rPr>
            </w:pPr>
            <w:r>
              <w:rPr>
                <w:rFonts w:hint="eastAsia" w:ascii="仿宋_GB2312" w:hAnsi="宋体" w:eastAsia="仿宋_GB2312" w:cs="宋体"/>
                <w:color w:val="000000" w:themeColor="text1"/>
                <w:sz w:val="28"/>
                <w14:textFill>
                  <w14:solidFill>
                    <w14:schemeClr w14:val="tx1"/>
                  </w14:solidFill>
                </w14:textFill>
              </w:rPr>
              <w:t>详见采购文件</w:t>
            </w:r>
          </w:p>
        </w:tc>
        <w:tc>
          <w:tcPr>
            <w:tcW w:w="1357" w:type="dxa"/>
            <w:tcBorders>
              <w:right w:val="single" w:color="auto" w:sz="4" w:space="0"/>
            </w:tcBorders>
            <w:vAlign w:val="center"/>
          </w:tcPr>
          <w:p w14:paraId="03DD43E5">
            <w:pPr>
              <w:widowControl/>
              <w:adjustRightInd w:val="0"/>
              <w:snapToGrid w:val="0"/>
              <w:jc w:val="center"/>
              <w:rPr>
                <w:rFonts w:ascii="仿宋_GB2312" w:hAnsi="宋体" w:eastAsia="仿宋_GB2312" w:cs="宋体"/>
                <w:color w:val="000000" w:themeColor="text1"/>
                <w:sz w:val="28"/>
                <w14:textFill>
                  <w14:solidFill>
                    <w14:schemeClr w14:val="tx1"/>
                  </w14:solidFill>
                </w14:textFill>
              </w:rPr>
            </w:pPr>
            <w:r>
              <w:rPr>
                <w:rFonts w:hint="eastAsia" w:ascii="仿宋_GB2312" w:hAnsi="宋体" w:eastAsia="仿宋_GB2312" w:cs="宋体"/>
                <w:color w:val="000000" w:themeColor="text1"/>
                <w:sz w:val="28"/>
                <w14:textFill>
                  <w14:solidFill>
                    <w14:schemeClr w14:val="tx1"/>
                  </w14:solidFill>
                </w14:textFill>
              </w:rPr>
              <w:t>详见采购文件</w:t>
            </w:r>
          </w:p>
        </w:tc>
      </w:tr>
    </w:tbl>
    <w:p w14:paraId="533AA0DD">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本项目不接受联合体响应</w:t>
      </w:r>
    </w:p>
    <w:p w14:paraId="0B3A3041">
      <w:pPr>
        <w:spacing w:line="360" w:lineRule="auto"/>
        <w:ind w:firstLine="560" w:firstLineChars="200"/>
        <w:outlineLvl w:val="0"/>
        <w:rPr>
          <w:rFonts w:ascii="黑体" w:hAnsi="黑体" w:eastAsia="黑体" w:cs="宋体"/>
          <w:color w:val="000000" w:themeColor="text1"/>
          <w:sz w:val="28"/>
          <w:szCs w:val="28"/>
          <w14:textFill>
            <w14:solidFill>
              <w14:schemeClr w14:val="tx1"/>
            </w14:solidFill>
          </w14:textFill>
        </w:rPr>
      </w:pPr>
      <w:r>
        <w:rPr>
          <w:rFonts w:hint="eastAsia" w:ascii="黑体" w:hAnsi="黑体" w:eastAsia="黑体" w:cs="宋体"/>
          <w:color w:val="000000" w:themeColor="text1"/>
          <w:sz w:val="28"/>
          <w:szCs w:val="28"/>
          <w14:textFill>
            <w14:solidFill>
              <w14:schemeClr w14:val="tx1"/>
            </w14:solidFill>
          </w14:textFill>
        </w:rPr>
        <w:t>二、申请人的资格要求：</w:t>
      </w:r>
    </w:p>
    <w:p w14:paraId="5259EBA7">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ascii="仿宋_GB2312" w:hAnsi="仿宋" w:eastAsia="仿宋_GB2312" w:cs="宋体"/>
          <w:color w:val="000000" w:themeColor="text1"/>
          <w:spacing w:val="8"/>
          <w:sz w:val="28"/>
          <w:szCs w:val="28"/>
          <w14:textFill>
            <w14:solidFill>
              <w14:schemeClr w14:val="tx1"/>
            </w14:solidFill>
          </w14:textFill>
        </w:rPr>
        <w:t>1.具有独立承担民事责任的能力；</w:t>
      </w:r>
    </w:p>
    <w:p w14:paraId="5EB24ECA">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ascii="仿宋_GB2312" w:hAnsi="仿宋" w:eastAsia="仿宋_GB2312" w:cs="宋体"/>
          <w:color w:val="000000" w:themeColor="text1"/>
          <w:spacing w:val="8"/>
          <w:sz w:val="28"/>
          <w:szCs w:val="28"/>
          <w14:textFill>
            <w14:solidFill>
              <w14:schemeClr w14:val="tx1"/>
            </w14:solidFill>
          </w14:textFill>
        </w:rPr>
        <w:t>2.具有电力工程</w:t>
      </w:r>
      <w:r>
        <w:rPr>
          <w:rFonts w:hint="eastAsia" w:ascii="仿宋_GB2312" w:hAnsi="仿宋" w:eastAsia="仿宋_GB2312" w:cs="宋体"/>
          <w:color w:val="000000" w:themeColor="text1"/>
          <w:spacing w:val="8"/>
          <w:sz w:val="28"/>
          <w:szCs w:val="28"/>
          <w:lang w:eastAsia="zh-CN"/>
          <w14:textFill>
            <w14:solidFill>
              <w14:schemeClr w14:val="tx1"/>
            </w14:solidFill>
          </w14:textFill>
        </w:rPr>
        <w:t>施工总承包三级</w:t>
      </w:r>
      <w:r>
        <w:rPr>
          <w:rFonts w:ascii="仿宋_GB2312" w:hAnsi="仿宋" w:eastAsia="仿宋_GB2312" w:cs="宋体"/>
          <w:color w:val="000000" w:themeColor="text1"/>
          <w:spacing w:val="8"/>
          <w:sz w:val="28"/>
          <w:szCs w:val="28"/>
          <w14:textFill>
            <w14:solidFill>
              <w14:schemeClr w14:val="tx1"/>
            </w14:solidFill>
          </w14:textFill>
        </w:rPr>
        <w:t>及以上资质，同时具有</w:t>
      </w:r>
      <w:r>
        <w:rPr>
          <w:rFonts w:hint="eastAsia" w:ascii="仿宋_GB2312" w:hAnsi="仿宋" w:eastAsia="仿宋_GB2312" w:cs="宋体"/>
          <w:color w:val="000000" w:themeColor="text1"/>
          <w:spacing w:val="8"/>
          <w:sz w:val="28"/>
          <w:szCs w:val="28"/>
          <w:lang w:eastAsia="zh-CN"/>
          <w14:textFill>
            <w14:solidFill>
              <w14:schemeClr w14:val="tx1"/>
            </w14:solidFill>
          </w14:textFill>
        </w:rPr>
        <w:t>承装（修、饰）三级</w:t>
      </w:r>
      <w:r>
        <w:rPr>
          <w:rFonts w:ascii="仿宋_GB2312" w:hAnsi="仿宋" w:eastAsia="仿宋_GB2312" w:cs="宋体"/>
          <w:color w:val="000000" w:themeColor="text1"/>
          <w:spacing w:val="8"/>
          <w:sz w:val="28"/>
          <w:szCs w:val="28"/>
          <w14:textFill>
            <w14:solidFill>
              <w14:schemeClr w14:val="tx1"/>
            </w14:solidFill>
          </w14:textFill>
        </w:rPr>
        <w:t>及以上资质；</w:t>
      </w:r>
    </w:p>
    <w:p w14:paraId="79859583">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ascii="仿宋_GB2312" w:hAnsi="仿宋" w:eastAsia="仿宋_GB2312" w:cs="宋体"/>
          <w:color w:val="000000" w:themeColor="text1"/>
          <w:spacing w:val="8"/>
          <w:sz w:val="28"/>
          <w:szCs w:val="28"/>
          <w14:textFill>
            <w14:solidFill>
              <w14:schemeClr w14:val="tx1"/>
            </w14:solidFill>
          </w14:textFill>
        </w:rPr>
        <w:t>3.具有安全生产许可证；</w:t>
      </w:r>
    </w:p>
    <w:p w14:paraId="14C5C5A4">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ascii="仿宋_GB2312" w:hAnsi="仿宋" w:eastAsia="仿宋_GB2312" w:cs="宋体"/>
          <w:color w:val="000000" w:themeColor="text1"/>
          <w:spacing w:val="8"/>
          <w:sz w:val="28"/>
          <w:szCs w:val="28"/>
          <w14:textFill>
            <w14:solidFill>
              <w14:schemeClr w14:val="tx1"/>
            </w14:solidFill>
          </w14:textFill>
        </w:rPr>
        <w:t>4.具有良好的商业信誉和健全的财务会计制度及履约能力；</w:t>
      </w:r>
    </w:p>
    <w:p w14:paraId="023BF295">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ascii="仿宋_GB2312" w:hAnsi="仿宋" w:eastAsia="仿宋_GB2312" w:cs="宋体"/>
          <w:color w:val="000000" w:themeColor="text1"/>
          <w:spacing w:val="8"/>
          <w:sz w:val="28"/>
          <w:szCs w:val="28"/>
          <w14:textFill>
            <w14:solidFill>
              <w14:schemeClr w14:val="tx1"/>
            </w14:solidFill>
          </w14:textFill>
        </w:rPr>
        <w:t>5.具有履行合同所必需的设备和专业技术能力；</w:t>
      </w:r>
    </w:p>
    <w:p w14:paraId="50D5F4FA">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ascii="仿宋_GB2312" w:hAnsi="仿宋" w:eastAsia="仿宋_GB2312" w:cs="宋体"/>
          <w:color w:val="000000" w:themeColor="text1"/>
          <w:spacing w:val="8"/>
          <w:sz w:val="28"/>
          <w:szCs w:val="28"/>
          <w14:textFill>
            <w14:solidFill>
              <w14:schemeClr w14:val="tx1"/>
            </w14:solidFill>
          </w14:textFill>
        </w:rPr>
        <w:t>6.有依法缴纳税收和社会保障资金的良好记录；</w:t>
      </w:r>
    </w:p>
    <w:p w14:paraId="3B23F32A">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ascii="仿宋_GB2312" w:hAnsi="仿宋" w:eastAsia="仿宋_GB2312" w:cs="宋体"/>
          <w:color w:val="000000" w:themeColor="text1"/>
          <w:spacing w:val="8"/>
          <w:sz w:val="28"/>
          <w:szCs w:val="28"/>
          <w14:textFill>
            <w14:solidFill>
              <w14:schemeClr w14:val="tx1"/>
            </w14:solidFill>
          </w14:textFill>
        </w:rPr>
        <w:t>7.供应商参加采购活动前3年内在经营活动中没有重大违法记录;</w:t>
      </w:r>
    </w:p>
    <w:p w14:paraId="6D3462A7">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ascii="仿宋_GB2312" w:hAnsi="仿宋" w:eastAsia="仿宋_GB2312" w:cs="宋体"/>
          <w:color w:val="000000" w:themeColor="text1"/>
          <w:spacing w:val="8"/>
          <w:sz w:val="28"/>
          <w:szCs w:val="28"/>
          <w14:textFill>
            <w14:solidFill>
              <w14:schemeClr w14:val="tx1"/>
            </w14:solidFill>
          </w14:textFill>
        </w:rPr>
        <w:t>8.供应商、法定代表人、授权委托人未被最高法院列入失信被执行人；</w:t>
      </w:r>
    </w:p>
    <w:p w14:paraId="0DB99D0D">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ascii="仿宋_GB2312" w:hAnsi="仿宋" w:eastAsia="仿宋_GB2312" w:cs="宋体"/>
          <w:color w:val="000000" w:themeColor="text1"/>
          <w:spacing w:val="8"/>
          <w:sz w:val="28"/>
          <w:szCs w:val="28"/>
          <w14:textFill>
            <w14:solidFill>
              <w14:schemeClr w14:val="tx1"/>
            </w14:solidFill>
          </w14:textFill>
        </w:rPr>
        <w:t>9.供应商未被工商行政管理机关在全国企业信用信息公示系统中列入严重违法失信企业名单。</w:t>
      </w:r>
    </w:p>
    <w:p w14:paraId="24CAC348">
      <w:pPr>
        <w:spacing w:line="360" w:lineRule="auto"/>
        <w:ind w:firstLine="560" w:firstLineChars="200"/>
        <w:outlineLvl w:val="0"/>
        <w:rPr>
          <w:rFonts w:ascii="黑体" w:hAnsi="黑体" w:eastAsia="黑体" w:cs="宋体"/>
          <w:color w:val="000000" w:themeColor="text1"/>
          <w:sz w:val="28"/>
          <w:szCs w:val="28"/>
          <w14:textFill>
            <w14:solidFill>
              <w14:schemeClr w14:val="tx1"/>
            </w14:solidFill>
          </w14:textFill>
        </w:rPr>
      </w:pPr>
      <w:r>
        <w:rPr>
          <w:rFonts w:hint="eastAsia" w:ascii="黑体" w:hAnsi="黑体" w:eastAsia="黑体" w:cs="宋体"/>
          <w:color w:val="000000" w:themeColor="text1"/>
          <w:sz w:val="28"/>
          <w:szCs w:val="28"/>
          <w14:textFill>
            <w14:solidFill>
              <w14:schemeClr w14:val="tx1"/>
            </w14:solidFill>
          </w14:textFill>
        </w:rPr>
        <w:t>三、获取采购文件</w:t>
      </w:r>
    </w:p>
    <w:p w14:paraId="11B2668B">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1.时间：</w:t>
      </w:r>
      <w:r>
        <w:rPr>
          <w:rFonts w:ascii="仿宋_GB2312" w:hAnsi="仿宋" w:eastAsia="仿宋_GB2312" w:cs="宋体"/>
          <w:color w:val="000000" w:themeColor="text1"/>
          <w:spacing w:val="8"/>
          <w:sz w:val="28"/>
          <w:szCs w:val="28"/>
          <w14:textFill>
            <w14:solidFill>
              <w14:schemeClr w14:val="tx1"/>
            </w14:solidFill>
          </w14:textFill>
        </w:rPr>
        <w:t>2026年</w:t>
      </w:r>
      <w:r>
        <w:rPr>
          <w:rFonts w:hint="eastAsia" w:ascii="仿宋_GB2312" w:hAnsi="仿宋" w:eastAsia="仿宋_GB2312" w:cs="宋体"/>
          <w:color w:val="000000" w:themeColor="text1"/>
          <w:spacing w:val="8"/>
          <w:sz w:val="28"/>
          <w:szCs w:val="28"/>
          <w:lang w:eastAsia="zh-CN"/>
          <w14:textFill>
            <w14:solidFill>
              <w14:schemeClr w14:val="tx1"/>
            </w14:solidFill>
          </w14:textFill>
        </w:rPr>
        <w:t>05月06日</w:t>
      </w:r>
      <w:r>
        <w:rPr>
          <w:rFonts w:ascii="仿宋_GB2312" w:hAnsi="仿宋" w:eastAsia="仿宋_GB2312" w:cs="宋体"/>
          <w:color w:val="000000" w:themeColor="text1"/>
          <w:spacing w:val="8"/>
          <w:sz w:val="28"/>
          <w:szCs w:val="28"/>
          <w14:textFill>
            <w14:solidFill>
              <w14:schemeClr w14:val="tx1"/>
            </w14:solidFill>
          </w14:textFill>
        </w:rPr>
        <w:t>17时00分</w:t>
      </w:r>
      <w:r>
        <w:rPr>
          <w:rFonts w:hint="eastAsia" w:ascii="仿宋_GB2312" w:hAnsi="仿宋" w:eastAsia="仿宋_GB2312" w:cs="宋体"/>
          <w:color w:val="000000" w:themeColor="text1"/>
          <w:spacing w:val="8"/>
          <w:sz w:val="28"/>
          <w:szCs w:val="28"/>
          <w14:textFill>
            <w14:solidFill>
              <w14:schemeClr w14:val="tx1"/>
            </w14:solidFill>
          </w14:textFill>
        </w:rPr>
        <w:t>至</w:t>
      </w:r>
      <w:r>
        <w:rPr>
          <w:rFonts w:ascii="仿宋_GB2312" w:hAnsi="仿宋" w:eastAsia="仿宋_GB2312" w:cs="宋体"/>
          <w:color w:val="000000" w:themeColor="text1"/>
          <w:spacing w:val="8"/>
          <w:sz w:val="28"/>
          <w:szCs w:val="28"/>
          <w14:textFill>
            <w14:solidFill>
              <w14:schemeClr w14:val="tx1"/>
            </w14:solidFill>
          </w14:textFill>
        </w:rPr>
        <w:t>2026年</w:t>
      </w:r>
      <w:r>
        <w:rPr>
          <w:rFonts w:hint="eastAsia" w:ascii="仿宋_GB2312" w:hAnsi="仿宋" w:eastAsia="仿宋_GB2312" w:cs="宋体"/>
          <w:color w:val="000000" w:themeColor="text1"/>
          <w:spacing w:val="8"/>
          <w:sz w:val="28"/>
          <w:szCs w:val="28"/>
          <w:lang w:eastAsia="zh-CN"/>
          <w14:textFill>
            <w14:solidFill>
              <w14:schemeClr w14:val="tx1"/>
            </w14:solidFill>
          </w14:textFill>
        </w:rPr>
        <w:t>05月12日</w:t>
      </w:r>
      <w:r>
        <w:rPr>
          <w:rFonts w:ascii="仿宋_GB2312" w:hAnsi="仿宋" w:eastAsia="仿宋_GB2312" w:cs="宋体"/>
          <w:color w:val="000000" w:themeColor="text1"/>
          <w:spacing w:val="8"/>
          <w:sz w:val="28"/>
          <w:szCs w:val="28"/>
          <w14:textFill>
            <w14:solidFill>
              <w14:schemeClr w14:val="tx1"/>
            </w14:solidFill>
          </w14:textFill>
        </w:rPr>
        <w:t>17时00分</w:t>
      </w:r>
      <w:r>
        <w:rPr>
          <w:rFonts w:hint="eastAsia" w:ascii="仿宋_GB2312" w:hAnsi="仿宋" w:eastAsia="仿宋_GB2312" w:cs="宋体"/>
          <w:color w:val="000000" w:themeColor="text1"/>
          <w:spacing w:val="8"/>
          <w:sz w:val="28"/>
          <w:szCs w:val="28"/>
          <w14:textFill>
            <w14:solidFill>
              <w14:schemeClr w14:val="tx1"/>
            </w14:solidFill>
          </w14:textFill>
        </w:rPr>
        <w:t>（北京时间）</w:t>
      </w:r>
    </w:p>
    <w:p w14:paraId="04149D9E">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2.地点：登录威海市国有企业阳光采购电子化服务平台（威海市公共资源交易网（乳山分中心）右侧“交易服务一网通办系统-（新版）一网通办系统”登录后选择“国企采购”按钮）获取文件。逾期无法从威海市国有企业阳光采购电子化服务平台中获取文件，未在规定时间内从系统中获取文件的供应商将无法递交电子投标（响应）文件。</w:t>
      </w:r>
    </w:p>
    <w:p w14:paraId="25EF75F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交易服务一网通办系统技术支持电话：4009980000（受理问题：系统登录、CA锁绑定、平台切换）， 一网通办技术支持QQ群：1143439694 ；CA锁办理咨询电话：0631-5307028；国企采购技术支持电话：17863029936，国企采购技术支持QQ群（报价单位）：1046971257。</w:t>
      </w:r>
    </w:p>
    <w:p w14:paraId="6E8C533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3.方式：本项目须网上获取文件。参在“威海市交易服务一网通办系统”（威海市公共资源交易网（乳山分中心）右侧“交易服务一网通办系统-（新版）一网通办系统”按钮）登录端口注册登记，并办理“安全证书（CA）”和“电子签章”进行获取文件。“安全证书（CA）”和“电子签章”办理按照“威海市公共资源交易网（乳山分中心）”右侧“CA 办理”中“CA证书办理介绍”进行办理。</w:t>
      </w:r>
    </w:p>
    <w:p w14:paraId="1861A626">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4.售价：免费</w:t>
      </w:r>
    </w:p>
    <w:p w14:paraId="752FBDC4">
      <w:pPr>
        <w:spacing w:line="360" w:lineRule="auto"/>
        <w:ind w:firstLine="560" w:firstLineChars="200"/>
        <w:outlineLvl w:val="0"/>
        <w:rPr>
          <w:rFonts w:ascii="黑体" w:hAnsi="黑体" w:eastAsia="黑体" w:cs="宋体"/>
          <w:color w:val="000000" w:themeColor="text1"/>
          <w:sz w:val="28"/>
          <w:szCs w:val="28"/>
          <w14:textFill>
            <w14:solidFill>
              <w14:schemeClr w14:val="tx1"/>
            </w14:solidFill>
          </w14:textFill>
        </w:rPr>
      </w:pPr>
      <w:r>
        <w:rPr>
          <w:rFonts w:hint="eastAsia" w:ascii="黑体" w:hAnsi="黑体" w:eastAsia="黑体" w:cs="宋体"/>
          <w:color w:val="000000" w:themeColor="text1"/>
          <w:sz w:val="28"/>
          <w:szCs w:val="28"/>
          <w14:textFill>
            <w14:solidFill>
              <w14:schemeClr w14:val="tx1"/>
            </w14:solidFill>
          </w14:textFill>
        </w:rPr>
        <w:t>四、响应文件提交</w:t>
      </w:r>
    </w:p>
    <w:p w14:paraId="439010B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lang w:eastAsia="zh-CN"/>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时间：</w:t>
      </w:r>
      <w:r>
        <w:rPr>
          <w:rFonts w:ascii="仿宋_GB2312" w:hAnsi="仿宋" w:eastAsia="仿宋_GB2312" w:cs="宋体"/>
          <w:color w:val="000000" w:themeColor="text1"/>
          <w:spacing w:val="8"/>
          <w:sz w:val="28"/>
          <w:szCs w:val="28"/>
          <w14:textFill>
            <w14:solidFill>
              <w14:schemeClr w14:val="tx1"/>
            </w14:solidFill>
          </w14:textFill>
        </w:rPr>
        <w:t>2026年</w:t>
      </w:r>
      <w:r>
        <w:rPr>
          <w:rFonts w:hint="eastAsia" w:ascii="仿宋_GB2312" w:hAnsi="仿宋" w:eastAsia="仿宋_GB2312" w:cs="宋体"/>
          <w:color w:val="000000" w:themeColor="text1"/>
          <w:spacing w:val="8"/>
          <w:sz w:val="28"/>
          <w:szCs w:val="28"/>
          <w:lang w:eastAsia="zh-CN"/>
          <w14:textFill>
            <w14:solidFill>
              <w14:schemeClr w14:val="tx1"/>
            </w14:solidFill>
          </w14:textFill>
        </w:rPr>
        <w:t>05月06日</w:t>
      </w:r>
      <w:r>
        <w:rPr>
          <w:rFonts w:ascii="仿宋_GB2312" w:hAnsi="仿宋" w:eastAsia="仿宋_GB2312" w:cs="宋体"/>
          <w:color w:val="000000" w:themeColor="text1"/>
          <w:spacing w:val="8"/>
          <w:sz w:val="28"/>
          <w:szCs w:val="28"/>
          <w14:textFill>
            <w14:solidFill>
              <w14:schemeClr w14:val="tx1"/>
            </w14:solidFill>
          </w14:textFill>
        </w:rPr>
        <w:t>18时00分</w:t>
      </w:r>
      <w:r>
        <w:rPr>
          <w:rFonts w:hint="eastAsia" w:ascii="仿宋_GB2312" w:hAnsi="仿宋" w:eastAsia="仿宋_GB2312" w:cs="宋体"/>
          <w:color w:val="000000" w:themeColor="text1"/>
          <w:spacing w:val="8"/>
          <w:sz w:val="28"/>
          <w:szCs w:val="28"/>
          <w14:textFill>
            <w14:solidFill>
              <w14:schemeClr w14:val="tx1"/>
            </w14:solidFill>
          </w14:textFill>
        </w:rPr>
        <w:t>至</w:t>
      </w:r>
      <w:r>
        <w:rPr>
          <w:rFonts w:ascii="仿宋_GB2312" w:hAnsi="仿宋" w:eastAsia="仿宋_GB2312" w:cs="宋体"/>
          <w:color w:val="000000" w:themeColor="text1"/>
          <w:spacing w:val="8"/>
          <w:sz w:val="28"/>
          <w:szCs w:val="28"/>
          <w14:textFill>
            <w14:solidFill>
              <w14:schemeClr w14:val="tx1"/>
            </w14:solidFill>
          </w14:textFill>
        </w:rPr>
        <w:t>2026年</w:t>
      </w:r>
      <w:r>
        <w:rPr>
          <w:rFonts w:hint="eastAsia" w:ascii="仿宋_GB2312" w:hAnsi="仿宋" w:eastAsia="仿宋_GB2312" w:cs="宋体"/>
          <w:color w:val="000000" w:themeColor="text1"/>
          <w:spacing w:val="8"/>
          <w:sz w:val="28"/>
          <w:szCs w:val="28"/>
          <w:lang w:eastAsia="zh-CN"/>
          <w14:textFill>
            <w14:solidFill>
              <w14:schemeClr w14:val="tx1"/>
            </w14:solidFill>
          </w14:textFill>
        </w:rPr>
        <w:t>05月15日09时00分</w:t>
      </w:r>
    </w:p>
    <w:p w14:paraId="08DE6140">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地点：登录威海市公共资源交易网（乳山分中心）首页右侧“交易服务一网通办系统-（新版）一网通办系统”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14:textFill>
            <w14:solidFill>
              <w14:schemeClr w14:val="tx1"/>
            </w14:solidFill>
          </w14:textFill>
        </w:rPr>
        <w:t>已在威海市国有企业阳光采购电子化服务平台获取文件的投标人在规定时间内递交电子投标（响应）文件。</w:t>
      </w:r>
    </w:p>
    <w:p w14:paraId="56459822">
      <w:pPr>
        <w:widowControl/>
        <w:adjustRightInd w:val="0"/>
        <w:spacing w:line="360" w:lineRule="auto"/>
        <w:ind w:firstLine="560" w:firstLineChars="200"/>
        <w:jc w:val="left"/>
        <w:outlineLvl w:val="0"/>
        <w:rPr>
          <w:rFonts w:ascii="仿宋_GB2312" w:hAnsi="仿宋" w:eastAsia="仿宋_GB2312" w:cs="宋体"/>
          <w:color w:val="000000" w:themeColor="text1"/>
          <w:spacing w:val="8"/>
          <w:sz w:val="28"/>
          <w:szCs w:val="28"/>
          <w14:textFill>
            <w14:solidFill>
              <w14:schemeClr w14:val="tx1"/>
            </w14:solidFill>
          </w14:textFill>
        </w:rPr>
      </w:pPr>
      <w:r>
        <w:rPr>
          <w:rFonts w:hint="eastAsia" w:ascii="黑体" w:hAnsi="黑体" w:eastAsia="黑体" w:cs="宋体"/>
          <w:color w:val="000000" w:themeColor="text1"/>
          <w:sz w:val="28"/>
          <w:szCs w:val="28"/>
          <w14:textFill>
            <w14:solidFill>
              <w14:schemeClr w14:val="tx1"/>
            </w14:solidFill>
          </w14:textFill>
        </w:rPr>
        <w:t>五、开启</w:t>
      </w:r>
    </w:p>
    <w:p w14:paraId="46EA3FEB">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时间：</w:t>
      </w:r>
      <w:r>
        <w:rPr>
          <w:rFonts w:ascii="仿宋_GB2312" w:hAnsi="仿宋" w:eastAsia="仿宋_GB2312" w:cs="宋体"/>
          <w:color w:val="000000" w:themeColor="text1"/>
          <w:spacing w:val="8"/>
          <w:sz w:val="28"/>
          <w:szCs w:val="28"/>
          <w14:textFill>
            <w14:solidFill>
              <w14:schemeClr w14:val="tx1"/>
            </w14:solidFill>
          </w14:textFill>
        </w:rPr>
        <w:t>2026年</w:t>
      </w:r>
      <w:r>
        <w:rPr>
          <w:rFonts w:hint="eastAsia" w:ascii="仿宋_GB2312" w:hAnsi="仿宋" w:eastAsia="仿宋_GB2312" w:cs="宋体"/>
          <w:color w:val="000000" w:themeColor="text1"/>
          <w:spacing w:val="8"/>
          <w:sz w:val="28"/>
          <w:szCs w:val="28"/>
          <w:lang w:eastAsia="zh-CN"/>
          <w14:textFill>
            <w14:solidFill>
              <w14:schemeClr w14:val="tx1"/>
            </w14:solidFill>
          </w14:textFill>
        </w:rPr>
        <w:t>05月15日09时00分</w:t>
      </w:r>
      <w:r>
        <w:rPr>
          <w:rFonts w:hint="eastAsia" w:ascii="仿宋_GB2312" w:hAnsi="仿宋" w:eastAsia="仿宋_GB2312" w:cs="宋体"/>
          <w:color w:val="000000" w:themeColor="text1"/>
          <w:spacing w:val="8"/>
          <w:sz w:val="28"/>
          <w:szCs w:val="28"/>
          <w14:textFill>
            <w14:solidFill>
              <w14:schemeClr w14:val="tx1"/>
            </w14:solidFill>
          </w14:textFill>
        </w:rPr>
        <w:t>（北京时间）</w:t>
      </w:r>
    </w:p>
    <w:p w14:paraId="23A305F8">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地点：威海市乳山市深圳路108号市民服务中心三楼</w:t>
      </w:r>
    </w:p>
    <w:p w14:paraId="4028CEA4">
      <w:pPr>
        <w:spacing w:line="360" w:lineRule="auto"/>
        <w:ind w:firstLine="560" w:firstLineChars="200"/>
        <w:outlineLvl w:val="0"/>
        <w:rPr>
          <w:rFonts w:ascii="黑体" w:hAnsi="黑体" w:eastAsia="黑体" w:cs="宋体"/>
          <w:color w:val="000000" w:themeColor="text1"/>
          <w:sz w:val="28"/>
          <w:szCs w:val="28"/>
          <w14:textFill>
            <w14:solidFill>
              <w14:schemeClr w14:val="tx1"/>
            </w14:solidFill>
          </w14:textFill>
        </w:rPr>
      </w:pPr>
      <w:r>
        <w:rPr>
          <w:rFonts w:hint="eastAsia" w:ascii="黑体" w:hAnsi="黑体" w:eastAsia="黑体" w:cs="宋体"/>
          <w:color w:val="000000" w:themeColor="text1"/>
          <w:sz w:val="28"/>
          <w:szCs w:val="28"/>
          <w14:textFill>
            <w14:solidFill>
              <w14:schemeClr w14:val="tx1"/>
            </w14:solidFill>
          </w14:textFill>
        </w:rPr>
        <w:t>六、其他补充事宜</w:t>
      </w:r>
    </w:p>
    <w:p w14:paraId="788C315B">
      <w:pPr>
        <w:spacing w:line="520" w:lineRule="exact"/>
        <w:ind w:firstLine="592" w:firstLineChars="200"/>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本项目实行全流程电子化，实行远程开标，报价供应商无需到现场，并保持通讯畅通，提前在个人电脑上进行测试确保音频、视频功能可正常使用，因通讯不畅造成的一切后果由供应商自行承担。</w:t>
      </w:r>
    </w:p>
    <w:p w14:paraId="354E70B6">
      <w:pPr>
        <w:spacing w:line="360" w:lineRule="auto"/>
        <w:ind w:firstLine="560" w:firstLineChars="200"/>
        <w:outlineLvl w:val="0"/>
        <w:rPr>
          <w:rFonts w:ascii="黑体" w:hAnsi="黑体" w:eastAsia="黑体" w:cs="宋体"/>
          <w:color w:val="000000" w:themeColor="text1"/>
          <w:sz w:val="28"/>
          <w:szCs w:val="28"/>
          <w14:textFill>
            <w14:solidFill>
              <w14:schemeClr w14:val="tx1"/>
            </w14:solidFill>
          </w14:textFill>
        </w:rPr>
      </w:pPr>
      <w:r>
        <w:rPr>
          <w:rFonts w:hint="eastAsia" w:ascii="黑体" w:hAnsi="黑体" w:eastAsia="黑体" w:cs="宋体"/>
          <w:color w:val="000000" w:themeColor="text1"/>
          <w:sz w:val="28"/>
          <w:szCs w:val="28"/>
          <w14:textFill>
            <w14:solidFill>
              <w14:schemeClr w14:val="tx1"/>
            </w14:solidFill>
          </w14:textFill>
        </w:rPr>
        <w:t>七、对本次采购提出询问，请按以下方式联系。</w:t>
      </w:r>
    </w:p>
    <w:p w14:paraId="1D46CB5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1.采购人信息</w:t>
      </w:r>
    </w:p>
    <w:p w14:paraId="3FF283B2">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名  称：</w:t>
      </w:r>
      <w:r>
        <w:rPr>
          <w:rFonts w:ascii="仿宋_GB2312" w:hAnsi="仿宋" w:eastAsia="仿宋_GB2312" w:cs="宋体"/>
          <w:color w:val="000000" w:themeColor="text1"/>
          <w:spacing w:val="8"/>
          <w:sz w:val="28"/>
          <w:szCs w:val="28"/>
          <w14:textFill>
            <w14:solidFill>
              <w14:schemeClr w14:val="tx1"/>
            </w14:solidFill>
          </w14:textFill>
        </w:rPr>
        <w:t>乳山市水务集团有限公司</w:t>
      </w:r>
    </w:p>
    <w:p w14:paraId="55B31004">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地  址：</w:t>
      </w:r>
      <w:r>
        <w:rPr>
          <w:rFonts w:ascii="仿宋_GB2312" w:hAnsi="仿宋" w:eastAsia="仿宋_GB2312" w:cs="宋体"/>
          <w:color w:val="000000" w:themeColor="text1"/>
          <w:spacing w:val="8"/>
          <w:sz w:val="28"/>
          <w:szCs w:val="28"/>
          <w14:textFill>
            <w14:solidFill>
              <w14:schemeClr w14:val="tx1"/>
            </w14:solidFill>
          </w14:textFill>
        </w:rPr>
        <w:t>乳山市胜利街38号</w:t>
      </w:r>
    </w:p>
    <w:p w14:paraId="517A46D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lang w:eastAsia="zh-CN"/>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联系方式：</w:t>
      </w:r>
      <w:r>
        <w:rPr>
          <w:rFonts w:hint="eastAsia" w:ascii="仿宋_GB2312" w:hAnsi="仿宋" w:eastAsia="仿宋_GB2312" w:cs="宋体"/>
          <w:color w:val="000000" w:themeColor="text1"/>
          <w:spacing w:val="8"/>
          <w:sz w:val="28"/>
          <w:szCs w:val="28"/>
          <w:lang w:eastAsia="zh-CN"/>
          <w14:textFill>
            <w14:solidFill>
              <w14:schemeClr w14:val="tx1"/>
            </w14:solidFill>
          </w14:textFill>
        </w:rPr>
        <w:t>16606315025</w:t>
      </w:r>
    </w:p>
    <w:p w14:paraId="5AFB7FD7">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2.采购代理机构信息</w:t>
      </w:r>
    </w:p>
    <w:p w14:paraId="7D64329E">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lang w:eastAsia="zh-CN"/>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名  称：</w:t>
      </w:r>
      <w:r>
        <w:rPr>
          <w:rFonts w:hint="eastAsia" w:ascii="仿宋_GB2312" w:hAnsi="仿宋" w:eastAsia="仿宋_GB2312" w:cs="宋体"/>
          <w:color w:val="000000" w:themeColor="text1"/>
          <w:spacing w:val="8"/>
          <w:sz w:val="28"/>
          <w:szCs w:val="28"/>
          <w:lang w:eastAsia="zh-CN"/>
          <w14:textFill>
            <w14:solidFill>
              <w14:schemeClr w14:val="tx1"/>
            </w14:solidFill>
          </w14:textFill>
        </w:rPr>
        <w:t>威海市嘉鑫工程检测鉴定有限公司</w:t>
      </w:r>
    </w:p>
    <w:p w14:paraId="07F6DD9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lang w:eastAsia="zh-CN"/>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地  址：</w:t>
      </w:r>
      <w:r>
        <w:rPr>
          <w:rFonts w:hint="eastAsia" w:ascii="仿宋_GB2312" w:hAnsi="仿宋" w:eastAsia="仿宋_GB2312" w:cs="宋体"/>
          <w:color w:val="000000" w:themeColor="text1"/>
          <w:spacing w:val="8"/>
          <w:sz w:val="28"/>
          <w:szCs w:val="28"/>
          <w:lang w:eastAsia="zh-CN"/>
          <w14:textFill>
            <w14:solidFill>
              <w14:schemeClr w14:val="tx1"/>
            </w14:solidFill>
          </w14:textFill>
        </w:rPr>
        <w:t>乳山市深圳路久久发7号楼</w:t>
      </w:r>
    </w:p>
    <w:p w14:paraId="249FF65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lang w:eastAsia="zh-CN"/>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联系方式：</w:t>
      </w:r>
      <w:r>
        <w:rPr>
          <w:rFonts w:hint="eastAsia" w:ascii="仿宋_GB2312" w:hAnsi="仿宋" w:eastAsia="仿宋_GB2312" w:cs="宋体"/>
          <w:color w:val="000000" w:themeColor="text1"/>
          <w:spacing w:val="8"/>
          <w:sz w:val="28"/>
          <w:szCs w:val="28"/>
          <w:lang w:eastAsia="zh-CN"/>
          <w14:textFill>
            <w14:solidFill>
              <w14:schemeClr w14:val="tx1"/>
            </w14:solidFill>
          </w14:textFill>
        </w:rPr>
        <w:t>0631-6651889</w:t>
      </w:r>
    </w:p>
    <w:p w14:paraId="27BA7DEA">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3.项目联系方式</w:t>
      </w:r>
    </w:p>
    <w:p w14:paraId="387D3BB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lang w:eastAsia="zh-CN"/>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项目联系人：</w:t>
      </w:r>
      <w:r>
        <w:rPr>
          <w:rFonts w:hint="eastAsia" w:ascii="仿宋_GB2312" w:hAnsi="仿宋" w:eastAsia="仿宋_GB2312" w:cs="宋体"/>
          <w:color w:val="000000" w:themeColor="text1"/>
          <w:spacing w:val="8"/>
          <w:sz w:val="28"/>
          <w:szCs w:val="28"/>
          <w:lang w:eastAsia="zh-CN"/>
          <w14:textFill>
            <w14:solidFill>
              <w14:schemeClr w14:val="tx1"/>
            </w14:solidFill>
          </w14:textFill>
        </w:rPr>
        <w:t>段云萌</w:t>
      </w:r>
    </w:p>
    <w:p w14:paraId="3768E726">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lang w:eastAsia="zh-CN"/>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电  话：</w:t>
      </w:r>
      <w:r>
        <w:rPr>
          <w:rFonts w:hint="eastAsia" w:ascii="仿宋_GB2312" w:hAnsi="仿宋" w:eastAsia="仿宋_GB2312" w:cs="宋体"/>
          <w:color w:val="000000" w:themeColor="text1"/>
          <w:spacing w:val="8"/>
          <w:sz w:val="28"/>
          <w:szCs w:val="28"/>
          <w:lang w:eastAsia="zh-CN"/>
          <w14:textFill>
            <w14:solidFill>
              <w14:schemeClr w14:val="tx1"/>
            </w14:solidFill>
          </w14:textFill>
        </w:rPr>
        <w:t>0631-6651889</w:t>
      </w:r>
    </w:p>
    <w:p w14:paraId="4E786675">
      <w:pPr>
        <w:spacing w:line="360" w:lineRule="auto"/>
        <w:ind w:firstLine="560" w:firstLineChars="200"/>
        <w:outlineLvl w:val="0"/>
        <w:rPr>
          <w:rFonts w:hint="eastAsia" w:ascii="黑体" w:hAnsi="黑体" w:eastAsia="黑体" w:cs="宋体"/>
          <w:color w:val="000000" w:themeColor="text1"/>
          <w:sz w:val="28"/>
          <w:szCs w:val="28"/>
          <w14:textFill>
            <w14:solidFill>
              <w14:schemeClr w14:val="tx1"/>
            </w14:solidFill>
          </w14:textFill>
        </w:rPr>
      </w:pPr>
      <w:r>
        <w:rPr>
          <w:rFonts w:hint="eastAsia" w:ascii="黑体" w:hAnsi="黑体" w:eastAsia="黑体" w:cs="宋体"/>
          <w:color w:val="000000" w:themeColor="text1"/>
          <w:sz w:val="28"/>
          <w:szCs w:val="28"/>
          <w14:textFill>
            <w14:solidFill>
              <w14:schemeClr w14:val="tx1"/>
            </w14:solidFill>
          </w14:textFill>
        </w:rPr>
        <w:t>八、发布公告的媒介</w:t>
      </w:r>
    </w:p>
    <w:p w14:paraId="7BFF858B">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r>
        <w:rPr>
          <w:rFonts w:hint="eastAsia" w:ascii="仿宋_GB2312" w:hAnsi="仿宋" w:eastAsia="仿宋_GB2312" w:cs="宋体"/>
          <w:color w:val="000000" w:themeColor="text1"/>
          <w:spacing w:val="8"/>
          <w:sz w:val="28"/>
          <w:szCs w:val="28"/>
          <w14:textFill>
            <w14:solidFill>
              <w14:schemeClr w14:val="tx1"/>
            </w14:solidFill>
          </w14:textFill>
        </w:rPr>
        <w:t>本次公告在中国招标投标公共服务平台（www.cebpubservice.com）、威海市公共资源交易网（乳山分中心）（http://ggzyjy.weihai.cn/rushan/）同时发布，其它媒介转发无效。</w:t>
      </w:r>
    </w:p>
    <w:p w14:paraId="14B32D0B">
      <w:pPr>
        <w:widowControl/>
        <w:adjustRightInd w:val="0"/>
        <w:spacing w:line="360" w:lineRule="auto"/>
        <w:ind w:firstLine="592" w:firstLineChars="200"/>
        <w:jc w:val="left"/>
        <w:rPr>
          <w:rFonts w:ascii="仿宋_GB2312" w:hAnsi="仿宋" w:eastAsia="仿宋_GB2312" w:cs="宋体"/>
          <w:color w:val="000000" w:themeColor="text1"/>
          <w:spacing w:val="8"/>
          <w:sz w:val="28"/>
          <w:szCs w:val="28"/>
          <w14:textFill>
            <w14:solidFill>
              <w14:schemeClr w14:val="tx1"/>
            </w14:solidFill>
          </w14:textFill>
        </w:rPr>
      </w:pPr>
    </w:p>
    <w:p w14:paraId="38D3C91A">
      <w:pPr>
        <w:spacing w:line="360" w:lineRule="auto"/>
        <w:jc w:val="righ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s="宋体"/>
          <w:color w:val="000000" w:themeColor="text1"/>
          <w:sz w:val="28"/>
          <w:szCs w:val="28"/>
          <w14:textFill>
            <w14:solidFill>
              <w14:schemeClr w14:val="tx1"/>
            </w14:solidFill>
          </w14:textFill>
        </w:rPr>
        <w:t>发布人：</w:t>
      </w:r>
      <w:r>
        <w:rPr>
          <w:rFonts w:hint="eastAsia" w:ascii="仿宋_GB2312" w:hAnsi="宋体" w:eastAsia="仿宋_GB2312" w:cs="宋体"/>
          <w:color w:val="000000" w:themeColor="text1"/>
          <w:sz w:val="28"/>
          <w:szCs w:val="28"/>
          <w:lang w:eastAsia="zh-CN"/>
          <w14:textFill>
            <w14:solidFill>
              <w14:schemeClr w14:val="tx1"/>
            </w14:solidFill>
          </w14:textFill>
        </w:rPr>
        <w:t>威海市嘉鑫工程检测鉴定有限公司</w:t>
      </w:r>
      <w:r>
        <w:rPr>
          <w:rFonts w:hint="eastAsia" w:ascii="仿宋_GB2312" w:hAnsi="宋体" w:eastAsia="仿宋_GB2312"/>
          <w:color w:val="000000" w:themeColor="text1"/>
          <w:sz w:val="28"/>
          <w:szCs w:val="28"/>
          <w14:textFill>
            <w14:solidFill>
              <w14:schemeClr w14:val="tx1"/>
            </w14:solidFill>
          </w14:textFill>
        </w:rPr>
        <w:t xml:space="preserve"> </w:t>
      </w:r>
    </w:p>
    <w:p w14:paraId="2FD6B693">
      <w:pPr>
        <w:widowControl/>
        <w:adjustRightInd w:val="0"/>
        <w:spacing w:line="360" w:lineRule="auto"/>
        <w:ind w:left="-240"/>
        <w:jc w:val="right"/>
        <w:rPr>
          <w:rFonts w:hint="eastAsia" w:ascii="仿宋_GB2312" w:hAnsi="宋体" w:eastAsia="仿宋_GB2312" w:cs="宋体"/>
          <w:color w:val="000000" w:themeColor="text1"/>
          <w:sz w:val="28"/>
          <w:szCs w:val="28"/>
          <w:lang w:eastAsia="zh-CN"/>
          <w14:textFill>
            <w14:solidFill>
              <w14:schemeClr w14:val="tx1"/>
            </w14:solidFill>
          </w14:textFill>
        </w:rPr>
      </w:pPr>
      <w:r>
        <w:rPr>
          <w:rFonts w:hint="eastAsia" w:ascii="仿宋_GB2312" w:hAnsi="宋体" w:eastAsia="仿宋_GB2312" w:cs="宋体"/>
          <w:color w:val="000000" w:themeColor="text1"/>
          <w:sz w:val="28"/>
          <w:szCs w:val="28"/>
          <w14:textFill>
            <w14:solidFill>
              <w14:schemeClr w14:val="tx1"/>
            </w14:solidFill>
          </w14:textFill>
        </w:rPr>
        <w:t>发布时间：</w:t>
      </w:r>
      <w:r>
        <w:rPr>
          <w:rFonts w:ascii="仿宋_GB2312" w:hAnsi="宋体" w:eastAsia="仿宋_GB2312" w:cs="宋体"/>
          <w:color w:val="000000" w:themeColor="text1"/>
          <w:sz w:val="28"/>
          <w:szCs w:val="28"/>
          <w14:textFill>
            <w14:solidFill>
              <w14:schemeClr w14:val="tx1"/>
            </w14:solidFill>
          </w14:textFill>
        </w:rPr>
        <w:t>2026年</w:t>
      </w:r>
      <w:r>
        <w:rPr>
          <w:rFonts w:hint="eastAsia" w:ascii="仿宋_GB2312" w:hAnsi="宋体" w:eastAsia="仿宋_GB2312" w:cs="宋体"/>
          <w:color w:val="000000" w:themeColor="text1"/>
          <w:sz w:val="28"/>
          <w:szCs w:val="28"/>
          <w:lang w:eastAsia="zh-CN"/>
          <w14:textFill>
            <w14:solidFill>
              <w14:schemeClr w14:val="tx1"/>
            </w14:solidFill>
          </w14:textFill>
        </w:rPr>
        <w:t>05月06日</w:t>
      </w:r>
    </w:p>
    <w:p w14:paraId="5B26EDDB">
      <w:pPr>
        <w:widowControl/>
        <w:adjustRightInd w:val="0"/>
        <w:spacing w:line="360" w:lineRule="auto"/>
        <w:ind w:left="-240"/>
        <w:jc w:val="right"/>
        <w:rPr>
          <w:rFonts w:ascii="仿宋_GB2312" w:hAnsi="宋体" w:eastAsia="仿宋_GB2312" w:cs="宋体"/>
          <w:color w:val="000000" w:themeColor="text1"/>
          <w:sz w:val="28"/>
          <w:szCs w:val="28"/>
          <w14:textFill>
            <w14:solidFill>
              <w14:schemeClr w14:val="tx1"/>
            </w14:solidFill>
          </w14:textFill>
        </w:rPr>
      </w:pPr>
    </w:p>
    <w:p w14:paraId="7F7FDD32">
      <w:pPr>
        <w:widowControl/>
        <w:adjustRightInd w:val="0"/>
        <w:spacing w:line="360" w:lineRule="auto"/>
        <w:ind w:left="-240"/>
        <w:jc w:val="right"/>
        <w:rPr>
          <w:rFonts w:ascii="仿宋_GB2312" w:hAnsi="宋体" w:eastAsia="仿宋_GB2312" w:cs="宋体"/>
          <w:color w:val="000000" w:themeColor="text1"/>
          <w:sz w:val="28"/>
          <w:szCs w:val="28"/>
          <w14:textFill>
            <w14:solidFill>
              <w14:schemeClr w14:val="tx1"/>
            </w14:solidFill>
          </w14:textFill>
        </w:rPr>
      </w:pPr>
    </w:p>
    <w:p w14:paraId="6755C3EB">
      <w:pPr>
        <w:widowControl/>
        <w:adjustRightInd w:val="0"/>
        <w:spacing w:line="360" w:lineRule="auto"/>
        <w:ind w:left="-240"/>
        <w:jc w:val="right"/>
        <w:rPr>
          <w:rFonts w:hint="eastAsia" w:ascii="仿宋_GB2312" w:hAnsi="宋体" w:eastAsia="仿宋_GB2312" w:cs="宋体"/>
          <w:color w:val="000000" w:themeColor="text1"/>
          <w:sz w:val="28"/>
          <w:szCs w:val="28"/>
          <w14:textFill>
            <w14:solidFill>
              <w14:schemeClr w14:val="tx1"/>
            </w14:solidFill>
          </w14:textFill>
        </w:rPr>
      </w:pPr>
    </w:p>
    <w:p w14:paraId="6049F8D8">
      <w:pPr>
        <w:pStyle w:val="26"/>
        <w:spacing w:before="100" w:beforeAutospacing="1" w:after="100" w:afterAutospacing="1" w:line="415" w:lineRule="auto"/>
        <w:ind w:left="1440"/>
        <w:rPr>
          <w:rFonts w:ascii="楷体_GB2312" w:hAnsi="宋体" w:eastAsia="楷体_GB2312" w:cs="宋体"/>
          <w:color w:val="000000" w:themeColor="text1"/>
          <w:sz w:val="44"/>
          <w:szCs w:val="44"/>
          <w14:textFill>
            <w14:solidFill>
              <w14:schemeClr w14:val="tx1"/>
            </w14:solidFill>
          </w14:textFill>
        </w:rPr>
      </w:pPr>
      <w:r>
        <w:rPr>
          <w:rFonts w:ascii="楷体_GB2312" w:hAnsi="宋体" w:eastAsia="楷体_GB2312" w:cs="宋体"/>
          <w:color w:val="000000" w:themeColor="text1"/>
          <w:sz w:val="44"/>
          <w:szCs w:val="44"/>
          <w14:textFill>
            <w14:solidFill>
              <w14:schemeClr w14:val="tx1"/>
            </w14:solidFill>
          </w14:textFill>
        </w:rPr>
        <w:br w:type="page"/>
      </w:r>
      <w:r>
        <w:rPr>
          <w:rFonts w:hint="eastAsia" w:ascii="楷体_GB2312" w:hAnsi="宋体" w:eastAsia="楷体_GB2312" w:cs="宋体"/>
          <w:color w:val="000000" w:themeColor="text1"/>
          <w:sz w:val="44"/>
          <w:szCs w:val="44"/>
          <w14:textFill>
            <w14:solidFill>
              <w14:schemeClr w14:val="tx1"/>
            </w14:solidFill>
          </w14:textFill>
        </w:rPr>
        <w:t>第二章 投标（响应）须知</w:t>
      </w:r>
    </w:p>
    <w:p w14:paraId="10DC5495">
      <w:pPr>
        <w:rPr>
          <w:color w:val="000000" w:themeColor="text1"/>
          <w14:textFill>
            <w14:solidFill>
              <w14:schemeClr w14:val="tx1"/>
            </w14:solidFill>
          </w14:textFill>
        </w:rPr>
      </w:pPr>
    </w:p>
    <w:p w14:paraId="6FA590FF">
      <w:pPr>
        <w:rPr>
          <w:color w:val="000000" w:themeColor="text1"/>
          <w14:textFill>
            <w14:solidFill>
              <w14:schemeClr w14:val="tx1"/>
            </w14:solidFill>
          </w14:textFill>
        </w:rPr>
        <w:sectPr>
          <w:headerReference r:id="rId8" w:type="default"/>
          <w:footerReference r:id="rId9" w:type="default"/>
          <w:pgSz w:w="11906" w:h="16838"/>
          <w:pgMar w:top="1440" w:right="1077" w:bottom="1440" w:left="1077" w:header="851" w:footer="992" w:gutter="0"/>
          <w:cols w:space="720" w:num="1"/>
          <w:docGrid w:type="lines" w:linePitch="312" w:charSpace="0"/>
        </w:sectPr>
      </w:pPr>
    </w:p>
    <w:p w14:paraId="6A5360D9">
      <w:pPr>
        <w:spacing w:line="560" w:lineRule="exact"/>
        <w:jc w:val="center"/>
        <w:rPr>
          <w:rFonts w:ascii="黑体" w:hAnsi="黑体" w:eastAsia="黑体"/>
          <w:color w:val="000000" w:themeColor="text1"/>
          <w:sz w:val="32"/>
          <w:szCs w:val="32"/>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响应</w:t>
      </w:r>
      <w:r>
        <w:rPr>
          <w:rFonts w:ascii="黑体" w:hAnsi="黑体" w:eastAsia="黑体"/>
          <w:color w:val="000000" w:themeColor="text1"/>
          <w:sz w:val="32"/>
          <w:szCs w:val="32"/>
          <w14:textFill>
            <w14:solidFill>
              <w14:schemeClr w14:val="tx1"/>
            </w14:solidFill>
          </w14:textFill>
        </w:rPr>
        <w:t>须知前附表</w:t>
      </w:r>
    </w:p>
    <w:p w14:paraId="1BB75BF8">
      <w:pPr>
        <w:spacing w:line="560" w:lineRule="exact"/>
        <w:ind w:firstLine="560" w:firstLineChars="20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本表是本采购项目的具体资料，是对投标（响应）须知的汇总和补充，如有矛盾，应以本资料表为准。</w:t>
      </w:r>
    </w:p>
    <w:tbl>
      <w:tblPr>
        <w:tblStyle w:val="2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664E9E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6DD9792B">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序号</w:t>
            </w:r>
          </w:p>
        </w:tc>
        <w:tc>
          <w:tcPr>
            <w:tcW w:w="8291" w:type="dxa"/>
            <w:tcBorders>
              <w:top w:val="single" w:color="auto" w:sz="4" w:space="0"/>
              <w:left w:val="single" w:color="auto" w:sz="4" w:space="0"/>
              <w:bottom w:val="single" w:color="auto" w:sz="4" w:space="0"/>
            </w:tcBorders>
            <w:vAlign w:val="center"/>
          </w:tcPr>
          <w:p w14:paraId="4B0A543E">
            <w:pPr>
              <w:spacing w:line="560" w:lineRule="exact"/>
              <w:jc w:val="center"/>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内           容</w:t>
            </w:r>
          </w:p>
        </w:tc>
      </w:tr>
      <w:tr w14:paraId="368CD2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71225A86">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p>
        </w:tc>
        <w:tc>
          <w:tcPr>
            <w:tcW w:w="8291" w:type="dxa"/>
            <w:tcBorders>
              <w:top w:val="single" w:color="auto" w:sz="4" w:space="0"/>
              <w:left w:val="single" w:color="auto" w:sz="4" w:space="0"/>
              <w:bottom w:val="single" w:color="auto" w:sz="4" w:space="0"/>
            </w:tcBorders>
            <w:vAlign w:val="center"/>
          </w:tcPr>
          <w:p w14:paraId="4DF7CD5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项目名称：</w:t>
            </w:r>
            <w:r>
              <w:rPr>
                <w:rFonts w:ascii="仿宋_GB2312" w:hAnsi="宋体" w:eastAsia="仿宋_GB2312"/>
                <w:color w:val="000000" w:themeColor="text1"/>
                <w:sz w:val="28"/>
                <w:szCs w:val="28"/>
                <w14:textFill>
                  <w14:solidFill>
                    <w14:schemeClr w14:val="tx1"/>
                  </w14:solidFill>
                </w14:textFill>
              </w:rPr>
              <w:t>乳山市建设大厦10KV配电改造工程</w:t>
            </w:r>
          </w:p>
        </w:tc>
      </w:tr>
      <w:tr w14:paraId="333745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537D00C9">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p>
        </w:tc>
        <w:tc>
          <w:tcPr>
            <w:tcW w:w="8291" w:type="dxa"/>
            <w:tcBorders>
              <w:top w:val="single" w:color="auto" w:sz="4" w:space="0"/>
              <w:left w:val="single" w:color="auto" w:sz="4" w:space="0"/>
              <w:bottom w:val="single" w:color="auto" w:sz="4" w:space="0"/>
            </w:tcBorders>
            <w:vAlign w:val="center"/>
          </w:tcPr>
          <w:p w14:paraId="7D940957">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项目编号：</w:t>
            </w:r>
            <w:r>
              <w:rPr>
                <w:rFonts w:hint="eastAsia" w:ascii="仿宋_GB2312" w:hAnsi="宋体" w:eastAsia="仿宋_GB2312"/>
                <w:color w:val="000000" w:themeColor="text1"/>
                <w:sz w:val="28"/>
                <w:szCs w:val="28"/>
                <w:lang w:eastAsia="zh-CN"/>
                <w14:textFill>
                  <w14:solidFill>
                    <w14:schemeClr w14:val="tx1"/>
                  </w14:solidFill>
                </w14:textFill>
              </w:rPr>
              <w:t>WHJX-ZB-2026-039</w:t>
            </w:r>
          </w:p>
        </w:tc>
      </w:tr>
      <w:tr w14:paraId="0D249C5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6A645DB4">
            <w:pPr>
              <w:spacing w:line="560" w:lineRule="exact"/>
              <w:jc w:val="center"/>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p>
        </w:tc>
        <w:tc>
          <w:tcPr>
            <w:tcW w:w="8291" w:type="dxa"/>
            <w:tcBorders>
              <w:top w:val="single" w:color="auto" w:sz="4" w:space="0"/>
              <w:left w:val="single" w:color="auto" w:sz="4" w:space="0"/>
              <w:bottom w:val="single" w:color="auto" w:sz="4" w:space="0"/>
            </w:tcBorders>
            <w:vAlign w:val="center"/>
          </w:tcPr>
          <w:p w14:paraId="276BA440">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采购人名称：</w:t>
            </w:r>
            <w:r>
              <w:rPr>
                <w:rFonts w:ascii="仿宋_GB2312" w:hAnsi="宋体" w:eastAsia="仿宋_GB2312"/>
                <w:color w:val="000000" w:themeColor="text1"/>
                <w:sz w:val="28"/>
                <w:szCs w:val="28"/>
                <w14:textFill>
                  <w14:solidFill>
                    <w14:schemeClr w14:val="tx1"/>
                  </w14:solidFill>
                </w14:textFill>
              </w:rPr>
              <w:t>乳山市水务集团有限公司</w:t>
            </w:r>
          </w:p>
          <w:p w14:paraId="6788E744">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地址：</w:t>
            </w:r>
            <w:r>
              <w:rPr>
                <w:rFonts w:ascii="仿宋_GB2312" w:hAnsi="仿宋" w:eastAsia="仿宋_GB2312" w:cs="宋体"/>
                <w:color w:val="000000" w:themeColor="text1"/>
                <w:spacing w:val="8"/>
                <w:sz w:val="28"/>
                <w:szCs w:val="28"/>
                <w14:textFill>
                  <w14:solidFill>
                    <w14:schemeClr w14:val="tx1"/>
                  </w14:solidFill>
                </w14:textFill>
              </w:rPr>
              <w:t>乳山市胜利街38号</w:t>
            </w:r>
          </w:p>
          <w:p w14:paraId="0A1D0881">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联系人：</w:t>
            </w:r>
            <w:r>
              <w:rPr>
                <w:rFonts w:hint="eastAsia" w:ascii="仿宋_GB2312" w:hAnsi="宋体" w:eastAsia="仿宋_GB2312"/>
                <w:color w:val="000000" w:themeColor="text1"/>
                <w:sz w:val="28"/>
                <w:szCs w:val="28"/>
                <w:lang w:eastAsia="zh-CN"/>
                <w14:textFill>
                  <w14:solidFill>
                    <w14:schemeClr w14:val="tx1"/>
                  </w14:solidFill>
                </w14:textFill>
              </w:rPr>
              <w:t>王勇</w:t>
            </w:r>
          </w:p>
          <w:p w14:paraId="16DBE674">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联系方式：</w:t>
            </w:r>
            <w:r>
              <w:rPr>
                <w:rFonts w:hint="eastAsia" w:ascii="仿宋_GB2312" w:hAnsi="宋体" w:eastAsia="仿宋_GB2312"/>
                <w:color w:val="000000" w:themeColor="text1"/>
                <w:sz w:val="28"/>
                <w:szCs w:val="28"/>
                <w:lang w:eastAsia="zh-CN"/>
                <w14:textFill>
                  <w14:solidFill>
                    <w14:schemeClr w14:val="tx1"/>
                  </w14:solidFill>
                </w14:textFill>
              </w:rPr>
              <w:t>16606315025</w:t>
            </w:r>
          </w:p>
        </w:tc>
      </w:tr>
      <w:tr w14:paraId="7F909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08EE29D">
            <w:pPr>
              <w:spacing w:line="560" w:lineRule="exact"/>
              <w:jc w:val="center"/>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w:t>
            </w:r>
          </w:p>
        </w:tc>
        <w:tc>
          <w:tcPr>
            <w:tcW w:w="8291" w:type="dxa"/>
            <w:tcBorders>
              <w:top w:val="single" w:color="auto" w:sz="4" w:space="0"/>
              <w:left w:val="single" w:color="auto" w:sz="4" w:space="0"/>
              <w:bottom w:val="single" w:color="auto" w:sz="4" w:space="0"/>
            </w:tcBorders>
            <w:vAlign w:val="center"/>
          </w:tcPr>
          <w:p w14:paraId="14988A8A">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采购代理机构名称：</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p>
          <w:p w14:paraId="3B077A05">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地址：</w:t>
            </w:r>
            <w:r>
              <w:rPr>
                <w:rFonts w:hint="eastAsia" w:ascii="仿宋_GB2312" w:hAnsi="宋体" w:eastAsia="仿宋_GB2312"/>
                <w:color w:val="000000" w:themeColor="text1"/>
                <w:sz w:val="28"/>
                <w:szCs w:val="28"/>
                <w:lang w:eastAsia="zh-CN"/>
                <w14:textFill>
                  <w14:solidFill>
                    <w14:schemeClr w14:val="tx1"/>
                  </w14:solidFill>
                </w14:textFill>
              </w:rPr>
              <w:t>乳山市深圳路久久发7号楼</w:t>
            </w:r>
            <w:r>
              <w:rPr>
                <w:rFonts w:ascii="仿宋_GB2312" w:hAnsi="宋体" w:eastAsia="仿宋_GB2312"/>
                <w:color w:val="000000" w:themeColor="text1"/>
                <w:sz w:val="28"/>
                <w:szCs w:val="28"/>
                <w14:textFill>
                  <w14:solidFill>
                    <w14:schemeClr w14:val="tx1"/>
                  </w14:solidFill>
                </w14:textFill>
              </w:rPr>
              <w:t xml:space="preserve"> </w:t>
            </w:r>
          </w:p>
          <w:p w14:paraId="28E0D9E6">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联系人：</w:t>
            </w:r>
            <w:r>
              <w:rPr>
                <w:rFonts w:hint="eastAsia" w:ascii="仿宋_GB2312" w:hAnsi="宋体" w:eastAsia="仿宋_GB2312"/>
                <w:color w:val="000000" w:themeColor="text1"/>
                <w:sz w:val="28"/>
                <w:szCs w:val="28"/>
                <w:lang w:eastAsia="zh-CN"/>
                <w14:textFill>
                  <w14:solidFill>
                    <w14:schemeClr w14:val="tx1"/>
                  </w14:solidFill>
                </w14:textFill>
              </w:rPr>
              <w:t>段云萌</w:t>
            </w:r>
          </w:p>
          <w:p w14:paraId="55141C5A">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联系方式：</w:t>
            </w:r>
            <w:r>
              <w:rPr>
                <w:rFonts w:hint="eastAsia" w:ascii="仿宋_GB2312" w:hAnsi="宋体" w:eastAsia="仿宋_GB2312"/>
                <w:color w:val="000000" w:themeColor="text1"/>
                <w:sz w:val="28"/>
                <w:szCs w:val="28"/>
                <w:lang w:eastAsia="zh-CN"/>
                <w14:textFill>
                  <w14:solidFill>
                    <w14:schemeClr w14:val="tx1"/>
                  </w14:solidFill>
                </w14:textFill>
              </w:rPr>
              <w:t>0631-6651889</w:t>
            </w:r>
          </w:p>
        </w:tc>
      </w:tr>
      <w:tr w14:paraId="747464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687ED5D3">
            <w:pPr>
              <w:spacing w:line="560" w:lineRule="exact"/>
              <w:jc w:val="center"/>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w:t>
            </w:r>
          </w:p>
        </w:tc>
        <w:tc>
          <w:tcPr>
            <w:tcW w:w="8291" w:type="dxa"/>
            <w:tcBorders>
              <w:top w:val="single" w:color="auto" w:sz="4" w:space="0"/>
              <w:left w:val="single" w:color="auto" w:sz="4" w:space="0"/>
              <w:bottom w:val="single" w:color="auto" w:sz="4" w:space="0"/>
            </w:tcBorders>
            <w:vAlign w:val="center"/>
          </w:tcPr>
          <w:p w14:paraId="64DDE87A">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1．登录威海市公共资源交易网（乳山分中心）（</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"http://rc.whggzyjy.cn/" </w:instrText>
            </w:r>
            <w:r>
              <w:rPr>
                <w:color w:val="000000" w:themeColor="text1"/>
                <w14:textFill>
                  <w14:solidFill>
                    <w14:schemeClr w14:val="tx1"/>
                  </w14:solidFill>
                </w14:textFill>
              </w:rPr>
              <w:fldChar w:fldCharType="separate"/>
            </w:r>
            <w:r>
              <w:rPr>
                <w:rFonts w:hint="eastAsia" w:ascii="仿宋_GB2312" w:hAnsi="宋体" w:eastAsia="仿宋_GB2312"/>
                <w:color w:val="000000" w:themeColor="text1"/>
                <w:sz w:val="28"/>
                <w:szCs w:val="28"/>
                <w14:textFill>
                  <w14:solidFill>
                    <w14:schemeClr w14:val="tx1"/>
                  </w14:solidFill>
                </w14:textFill>
              </w:rPr>
              <w:t>http://ggzyjy.weihai.cn/rushan/</w:t>
            </w:r>
            <w:r>
              <w:rPr>
                <w:rFonts w:hint="eastAsia" w:ascii="仿宋_GB2312" w:hAnsi="宋体" w:eastAsia="仿宋_GB2312"/>
                <w:color w:val="000000" w:themeColor="text1"/>
                <w:sz w:val="28"/>
                <w:szCs w:val="28"/>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）右侧“交易服务一网通办系统-（新版）一网通办系统”进行注册，取得用户名和密码（已经完成注册无须重复注册）；首次注册供应商应及时安全证书（CA锁）及电子签章。</w:t>
            </w:r>
          </w:p>
          <w:p w14:paraId="302C6E95">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b/>
                <w:color w:val="000000" w:themeColor="text1"/>
                <w:sz w:val="28"/>
                <w:szCs w:val="28"/>
                <w14:textFill>
                  <w14:solidFill>
                    <w14:schemeClr w14:val="tx1"/>
                  </w14:solidFill>
                </w14:textFill>
              </w:rPr>
              <w:t>本项目必须网上递交响应文件</w:t>
            </w:r>
            <w:r>
              <w:rPr>
                <w:rFonts w:hint="eastAsia" w:ascii="仿宋_GB2312" w:hAnsi="宋体" w:eastAsia="仿宋_GB2312"/>
                <w:color w:val="000000" w:themeColor="text1"/>
                <w:sz w:val="28"/>
                <w:szCs w:val="28"/>
                <w14:textFill>
                  <w14:solidFill>
                    <w14:schemeClr w14:val="tx1"/>
                  </w14:solidFill>
                </w14:textFill>
              </w:rPr>
              <w:t>，参与本项目供应商应利用办理好的CA锁登录威海市国有企业阳光采购电子化服务平台进行竞争谈判文件的获取、文件下载和网上递交响应文件，且安全证书（CA锁）在有效期内。</w:t>
            </w:r>
          </w:p>
          <w:p w14:paraId="339B10F0">
            <w:pPr>
              <w:rPr>
                <w:rFonts w:ascii="宋体" w:hAnsi="宋体" w:cs="宋体"/>
                <w:color w:val="000000" w:themeColor="text1"/>
                <w:kern w:val="0"/>
                <w:sz w:val="24"/>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3．电子响应文件的制作及提交等有关操作见本文件及威海市公共资源交易网）办事指南栏目-国企采购专区-《新版威海市国有企业阳光采购服务平台操作演示视频（供应商）》，网址: https://ggzyjy.weihai.cn/bszn/005005/20260109/315a049e-0d75-4f85-8634-00d90a843936.html。响应文件制作及系统使用咨询电话：17863029936；QQ服务群：1046971257。</w:t>
            </w:r>
          </w:p>
          <w:p w14:paraId="5EE5939D">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4．网上提交响应文件时，登录交易平台的电脑须满足环境要求（详见新版威海市国有企业阳光采购服务平台供应商用户手册https://ggzyjy.weihai.cn/bszn/005005/20260109/eb4ba418-4b35-4f05-aa69-44fd7d8a7ffb.html）。</w:t>
            </w:r>
          </w:p>
          <w:p w14:paraId="285CD25E">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5．供应商提交的电子响应文件应按照本竞争谈判文件《第五章 响应文件格式》进行编制，数据文件（excel格式）必须从本项目的竞争谈判文件压缩包内的对应包段目录下获取，且必须在原文件上严格按照其中要求填写。因供应商自身原因导致电子响应文件编制不规范使响应文件内容无法导入系统的，该响应文件将被视为无效响应文件。</w:t>
            </w:r>
          </w:p>
          <w:p w14:paraId="0BFF1BF2">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6．电子响应文件必需有电子签章方为合法的响应文件，未对电子响应文件进行电子签章的，将作为无效</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处理。电子响应文件的电子签章要求：在生成电子响应文件pdf格式时，都必须对电子响应文件进行电子签章；签章时需要将电子签章签署到相应的位置中。</w:t>
            </w:r>
          </w:p>
          <w:p w14:paraId="54DFC471">
            <w:pPr>
              <w:snapToGrid w:val="0"/>
              <w:spacing w:line="560" w:lineRule="exact"/>
              <w:ind w:right="-105" w:rightChars="-50"/>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7．供应商响应文件中的相关扫描件应保证清晰度，无法辨认的评审时受到影响的，由供应商承担相应责任。</w:t>
            </w:r>
          </w:p>
          <w:p w14:paraId="277FFF5D">
            <w:pPr>
              <w:snapToGrid w:val="0"/>
              <w:spacing w:line="560" w:lineRule="exact"/>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8．供应商应充分考虑到网上递交响应文件会发生的故障和风险。对发生的任何故障和风险造成供应商报价内容不一致或利益受损或投标失败的，采购人及采购代理机构不承担任何责任。</w:t>
            </w:r>
          </w:p>
        </w:tc>
      </w:tr>
      <w:tr w14:paraId="27D303C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0361648">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6</w:t>
            </w:r>
          </w:p>
        </w:tc>
        <w:tc>
          <w:tcPr>
            <w:tcW w:w="8291" w:type="dxa"/>
            <w:tcBorders>
              <w:top w:val="single" w:color="auto" w:sz="4" w:space="0"/>
              <w:left w:val="single" w:color="auto" w:sz="4" w:space="0"/>
              <w:bottom w:val="single" w:color="auto" w:sz="4" w:space="0"/>
            </w:tcBorders>
            <w:vAlign w:val="center"/>
          </w:tcPr>
          <w:p w14:paraId="2601A2E5">
            <w:pPr>
              <w:spacing w:line="560" w:lineRule="exact"/>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资质证明文件原件：无需提供资质证明文件原件</w:t>
            </w:r>
          </w:p>
        </w:tc>
      </w:tr>
      <w:tr w14:paraId="46C14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543F7C6">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7</w:t>
            </w:r>
          </w:p>
        </w:tc>
        <w:tc>
          <w:tcPr>
            <w:tcW w:w="8291" w:type="dxa"/>
            <w:tcBorders>
              <w:top w:val="single" w:color="auto" w:sz="4" w:space="0"/>
              <w:left w:val="single" w:color="auto" w:sz="4" w:space="0"/>
              <w:bottom w:val="single" w:color="auto" w:sz="4" w:space="0"/>
            </w:tcBorders>
            <w:vAlign w:val="center"/>
          </w:tcPr>
          <w:p w14:paraId="7B85600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响应文件份数：网上按时递交电子响应文件1份</w:t>
            </w:r>
          </w:p>
        </w:tc>
      </w:tr>
      <w:tr w14:paraId="4292AD7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EF35507">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8</w:t>
            </w:r>
          </w:p>
        </w:tc>
        <w:tc>
          <w:tcPr>
            <w:tcW w:w="8291" w:type="dxa"/>
            <w:tcBorders>
              <w:top w:val="single" w:color="auto" w:sz="4" w:space="0"/>
              <w:left w:val="single" w:color="auto" w:sz="4" w:space="0"/>
              <w:bottom w:val="single" w:color="auto" w:sz="4" w:space="0"/>
            </w:tcBorders>
            <w:vAlign w:val="center"/>
          </w:tcPr>
          <w:p w14:paraId="5811EBDF">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实物样品：无 </w:t>
            </w:r>
          </w:p>
        </w:tc>
      </w:tr>
      <w:tr w14:paraId="1DE2D8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014A351">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9</w:t>
            </w:r>
          </w:p>
        </w:tc>
        <w:tc>
          <w:tcPr>
            <w:tcW w:w="8291" w:type="dxa"/>
            <w:tcBorders>
              <w:top w:val="single" w:color="auto" w:sz="4" w:space="0"/>
              <w:left w:val="single" w:color="auto" w:sz="4" w:space="0"/>
              <w:bottom w:val="single" w:color="auto" w:sz="4" w:space="0"/>
            </w:tcBorders>
            <w:vAlign w:val="center"/>
          </w:tcPr>
          <w:p w14:paraId="02CA170C">
            <w:pPr>
              <w:spacing w:line="560" w:lineRule="exact"/>
              <w:textAlignment w:val="top"/>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现场踏勘：无 </w:t>
            </w:r>
          </w:p>
        </w:tc>
      </w:tr>
      <w:tr w14:paraId="375AB4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2A478E9">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10</w:t>
            </w:r>
          </w:p>
        </w:tc>
        <w:tc>
          <w:tcPr>
            <w:tcW w:w="8291" w:type="dxa"/>
            <w:tcBorders>
              <w:top w:val="single" w:color="auto" w:sz="4" w:space="0"/>
              <w:left w:val="single" w:color="auto" w:sz="4" w:space="0"/>
              <w:bottom w:val="single" w:color="auto" w:sz="4" w:space="0"/>
            </w:tcBorders>
            <w:vAlign w:val="center"/>
          </w:tcPr>
          <w:p w14:paraId="1ABF48DB">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现场演示：无 </w:t>
            </w:r>
          </w:p>
        </w:tc>
      </w:tr>
      <w:tr w14:paraId="19A849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DCF56E2">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1</w:t>
            </w:r>
          </w:p>
        </w:tc>
        <w:tc>
          <w:tcPr>
            <w:tcW w:w="8291" w:type="dxa"/>
            <w:tcBorders>
              <w:top w:val="single" w:color="auto" w:sz="4" w:space="0"/>
              <w:left w:val="single" w:color="auto" w:sz="4" w:space="0"/>
              <w:bottom w:val="single" w:color="auto" w:sz="4" w:space="0"/>
            </w:tcBorders>
            <w:vAlign w:val="center"/>
          </w:tcPr>
          <w:p w14:paraId="0644D4E7">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报价有效期：开标之日起</w:t>
            </w:r>
            <w:r>
              <w:rPr>
                <w:rFonts w:ascii="仿宋_GB2312" w:hAnsi="宋体" w:eastAsia="仿宋_GB2312"/>
                <w:color w:val="000000" w:themeColor="text1"/>
                <w:sz w:val="28"/>
                <w:szCs w:val="28"/>
                <w14:textFill>
                  <w14:solidFill>
                    <w14:schemeClr w14:val="tx1"/>
                  </w14:solidFill>
                </w14:textFill>
              </w:rPr>
              <w:t>9</w:t>
            </w:r>
            <w:r>
              <w:rPr>
                <w:rFonts w:hint="eastAsia" w:ascii="仿宋_GB2312" w:hAnsi="宋体" w:eastAsia="仿宋_GB2312"/>
                <w:color w:val="000000" w:themeColor="text1"/>
                <w:sz w:val="28"/>
                <w:szCs w:val="28"/>
                <w14:textFill>
                  <w14:solidFill>
                    <w14:schemeClr w14:val="tx1"/>
                  </w14:solidFill>
                </w14:textFill>
              </w:rPr>
              <w:t>0天</w:t>
            </w:r>
          </w:p>
        </w:tc>
      </w:tr>
      <w:tr w14:paraId="61220D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80F2A50">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2</w:t>
            </w:r>
          </w:p>
        </w:tc>
        <w:tc>
          <w:tcPr>
            <w:tcW w:w="8291" w:type="dxa"/>
            <w:tcBorders>
              <w:top w:val="single" w:color="auto" w:sz="4" w:space="0"/>
              <w:left w:val="single" w:color="auto" w:sz="4" w:space="0"/>
              <w:bottom w:val="single" w:color="auto" w:sz="4" w:space="0"/>
            </w:tcBorders>
            <w:vAlign w:val="center"/>
          </w:tcPr>
          <w:p w14:paraId="28D727E4">
            <w:pPr>
              <w:spacing w:line="60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本分包最高限价：</w:t>
            </w:r>
            <w:r>
              <w:rPr>
                <w:rFonts w:ascii="仿宋_GB2312" w:hAnsi="宋体" w:eastAsia="仿宋_GB2312"/>
                <w:color w:val="000000" w:themeColor="text1"/>
                <w:sz w:val="28"/>
                <w:szCs w:val="28"/>
                <w:u w:val="single"/>
                <w14:textFill>
                  <w14:solidFill>
                    <w14:schemeClr w14:val="tx1"/>
                  </w14:solidFill>
                </w14:textFill>
              </w:rPr>
              <w:t>330000.00</w:t>
            </w:r>
            <w:r>
              <w:rPr>
                <w:rFonts w:hint="eastAsia" w:ascii="仿宋_GB2312" w:hAnsi="宋体" w:eastAsia="仿宋_GB2312"/>
                <w:color w:val="000000" w:themeColor="text1"/>
                <w:sz w:val="28"/>
                <w:szCs w:val="28"/>
                <w14:textFill>
                  <w14:solidFill>
                    <w14:schemeClr w14:val="tx1"/>
                  </w14:solidFill>
                </w14:textFill>
              </w:rPr>
              <w:t>元</w:t>
            </w:r>
          </w:p>
        </w:tc>
      </w:tr>
      <w:tr w14:paraId="68FCD6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2755F60">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3</w:t>
            </w:r>
          </w:p>
        </w:tc>
        <w:tc>
          <w:tcPr>
            <w:tcW w:w="8291" w:type="dxa"/>
            <w:tcBorders>
              <w:top w:val="single" w:color="auto" w:sz="4" w:space="0"/>
              <w:left w:val="single" w:color="auto" w:sz="4" w:space="0"/>
              <w:bottom w:val="single" w:color="auto" w:sz="4" w:space="0"/>
            </w:tcBorders>
            <w:vAlign w:val="center"/>
          </w:tcPr>
          <w:p w14:paraId="1BD8D8AB">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本项目不接受联合体响应</w:t>
            </w:r>
          </w:p>
        </w:tc>
      </w:tr>
      <w:tr w14:paraId="2B0399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6ADEC26">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4</w:t>
            </w:r>
          </w:p>
        </w:tc>
        <w:tc>
          <w:tcPr>
            <w:tcW w:w="8291" w:type="dxa"/>
            <w:tcBorders>
              <w:top w:val="single" w:color="auto" w:sz="4" w:space="0"/>
              <w:left w:val="single" w:color="auto" w:sz="4" w:space="0"/>
              <w:bottom w:val="single" w:color="auto" w:sz="4" w:space="0"/>
            </w:tcBorders>
            <w:vAlign w:val="center"/>
          </w:tcPr>
          <w:p w14:paraId="194945B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本项目不收取谈判保证金</w:t>
            </w:r>
          </w:p>
        </w:tc>
      </w:tr>
      <w:tr w14:paraId="62CE935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436DD44">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5</w:t>
            </w:r>
          </w:p>
        </w:tc>
        <w:tc>
          <w:tcPr>
            <w:tcW w:w="8291" w:type="dxa"/>
            <w:tcBorders>
              <w:top w:val="single" w:color="auto" w:sz="4" w:space="0"/>
              <w:left w:val="single" w:color="auto" w:sz="4" w:space="0"/>
              <w:bottom w:val="single" w:color="auto" w:sz="4" w:space="0"/>
            </w:tcBorders>
            <w:vAlign w:val="center"/>
          </w:tcPr>
          <w:p w14:paraId="07D3648E">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响应文件递交时间：</w:t>
            </w:r>
          </w:p>
          <w:p w14:paraId="53C54FCF">
            <w:pPr>
              <w:spacing w:line="560" w:lineRule="exac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2026年</w:t>
            </w:r>
            <w:r>
              <w:rPr>
                <w:rFonts w:hint="eastAsia" w:ascii="仿宋_GB2312" w:hAnsi="宋体" w:eastAsia="仿宋_GB2312"/>
                <w:color w:val="000000" w:themeColor="text1"/>
                <w:sz w:val="28"/>
                <w:szCs w:val="28"/>
                <w:lang w:eastAsia="zh-CN"/>
                <w14:textFill>
                  <w14:solidFill>
                    <w14:schemeClr w14:val="tx1"/>
                  </w14:solidFill>
                </w14:textFill>
              </w:rPr>
              <w:t>05月06日</w:t>
            </w:r>
            <w:r>
              <w:rPr>
                <w:rFonts w:ascii="仿宋_GB2312" w:hAnsi="宋体" w:eastAsia="仿宋_GB2312"/>
                <w:color w:val="000000" w:themeColor="text1"/>
                <w:sz w:val="28"/>
                <w:szCs w:val="28"/>
                <w14:textFill>
                  <w14:solidFill>
                    <w14:schemeClr w14:val="tx1"/>
                  </w14:solidFill>
                </w14:textFill>
              </w:rPr>
              <w:t>18时00分</w:t>
            </w:r>
            <w:r>
              <w:rPr>
                <w:rFonts w:hint="eastAsia" w:ascii="仿宋_GB2312" w:hAnsi="宋体" w:eastAsia="仿宋_GB2312"/>
                <w:color w:val="000000" w:themeColor="text1"/>
                <w:sz w:val="28"/>
                <w:szCs w:val="28"/>
                <w14:textFill>
                  <w14:solidFill>
                    <w14:schemeClr w14:val="tx1"/>
                  </w14:solidFill>
                </w14:textFill>
              </w:rPr>
              <w:t>至</w:t>
            </w:r>
            <w:r>
              <w:rPr>
                <w:rFonts w:ascii="仿宋_GB2312" w:hAnsi="宋体" w:eastAsia="仿宋_GB2312"/>
                <w:color w:val="000000" w:themeColor="text1"/>
                <w:sz w:val="28"/>
                <w:szCs w:val="28"/>
                <w14:textFill>
                  <w14:solidFill>
                    <w14:schemeClr w14:val="tx1"/>
                  </w14:solidFill>
                </w14:textFill>
              </w:rPr>
              <w:t>2026年</w:t>
            </w:r>
            <w:r>
              <w:rPr>
                <w:rFonts w:hint="eastAsia" w:ascii="仿宋_GB2312" w:hAnsi="宋体" w:eastAsia="仿宋_GB2312"/>
                <w:color w:val="000000" w:themeColor="text1"/>
                <w:sz w:val="28"/>
                <w:szCs w:val="28"/>
                <w:lang w:eastAsia="zh-CN"/>
                <w14:textFill>
                  <w14:solidFill>
                    <w14:schemeClr w14:val="tx1"/>
                  </w14:solidFill>
                </w14:textFill>
              </w:rPr>
              <w:t>05月15日09时00分</w:t>
            </w:r>
            <w:r>
              <w:rPr>
                <w:rFonts w:hint="eastAsia" w:ascii="仿宋_GB2312" w:hAnsi="宋体" w:eastAsia="仿宋_GB2312"/>
                <w:color w:val="000000" w:themeColor="text1"/>
                <w:sz w:val="28"/>
                <w:szCs w:val="28"/>
                <w14:textFill>
                  <w14:solidFill>
                    <w14:schemeClr w14:val="tx1"/>
                  </w14:solidFill>
                </w14:textFill>
              </w:rPr>
              <w:t>（以电子交易系统具体显示时间为准）</w:t>
            </w:r>
          </w:p>
          <w:p w14:paraId="5393A931">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响应文件递交网址：</w:t>
            </w:r>
            <w:r>
              <w:rPr>
                <w:rFonts w:hint="eastAsia" w:ascii="仿宋_GB2312" w:hAnsi="仿宋" w:eastAsia="仿宋_GB2312" w:cs="宋体"/>
                <w:color w:val="000000" w:themeColor="text1"/>
                <w:spacing w:val="8"/>
                <w:sz w:val="28"/>
                <w:szCs w:val="28"/>
                <w14:textFill>
                  <w14:solidFill>
                    <w14:schemeClr w14:val="tx1"/>
                  </w14:solidFill>
                </w14:textFill>
              </w:rPr>
              <w:t>登录威海市公共资源交易网（乳山分中心）首页右侧“交易服务一网通办系统-（新版）一网通办系统”进行平台切换点击“国企采购”进入国有企业阳光采购电子化服务平台网上递交。</w:t>
            </w:r>
          </w:p>
        </w:tc>
      </w:tr>
      <w:tr w14:paraId="4C74425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29F768F1">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6</w:t>
            </w:r>
          </w:p>
        </w:tc>
        <w:tc>
          <w:tcPr>
            <w:tcW w:w="8291" w:type="dxa"/>
            <w:tcBorders>
              <w:top w:val="single" w:color="auto" w:sz="4" w:space="0"/>
              <w:left w:val="single" w:color="auto" w:sz="4" w:space="0"/>
              <w:bottom w:val="single" w:color="auto" w:sz="4" w:space="0"/>
            </w:tcBorders>
            <w:vAlign w:val="center"/>
          </w:tcPr>
          <w:p w14:paraId="1381B474">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响应文件开启（解密）时间：</w:t>
            </w:r>
            <w:r>
              <w:rPr>
                <w:rFonts w:ascii="仿宋_GB2312" w:hAnsi="宋体" w:eastAsia="仿宋_GB2312"/>
                <w:color w:val="000000" w:themeColor="text1"/>
                <w:sz w:val="28"/>
                <w:szCs w:val="28"/>
                <w14:textFill>
                  <w14:solidFill>
                    <w14:schemeClr w14:val="tx1"/>
                  </w14:solidFill>
                </w14:textFill>
              </w:rPr>
              <w:t>2026年</w:t>
            </w:r>
            <w:r>
              <w:rPr>
                <w:rFonts w:hint="eastAsia" w:ascii="仿宋_GB2312" w:hAnsi="宋体" w:eastAsia="仿宋_GB2312"/>
                <w:color w:val="000000" w:themeColor="text1"/>
                <w:sz w:val="28"/>
                <w:szCs w:val="28"/>
                <w:lang w:eastAsia="zh-CN"/>
                <w14:textFill>
                  <w14:solidFill>
                    <w14:schemeClr w14:val="tx1"/>
                  </w14:solidFill>
                </w14:textFill>
              </w:rPr>
              <w:t>05月15日09时00分</w:t>
            </w:r>
          </w:p>
          <w:p w14:paraId="71F483E1">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开标地点：威海市乳山市深圳路108号市民服务中心三楼</w:t>
            </w:r>
          </w:p>
        </w:tc>
      </w:tr>
      <w:tr w14:paraId="52F3D62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3225B07">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7</w:t>
            </w:r>
          </w:p>
        </w:tc>
        <w:tc>
          <w:tcPr>
            <w:tcW w:w="8291" w:type="dxa"/>
            <w:tcBorders>
              <w:top w:val="single" w:color="auto" w:sz="4" w:space="0"/>
              <w:left w:val="single" w:color="auto" w:sz="4" w:space="0"/>
              <w:bottom w:val="single" w:color="auto" w:sz="4" w:space="0"/>
            </w:tcBorders>
            <w:vAlign w:val="center"/>
          </w:tcPr>
          <w:p w14:paraId="780AD755">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响应文件开启（解密）、谈判方式：远程解密、谈判，供应商无需到现场参与解密、谈判，</w:t>
            </w:r>
            <w:r>
              <w:rPr>
                <w:rFonts w:hint="eastAsia" w:ascii="仿宋_GB2312" w:hAnsi="宋体" w:eastAsia="仿宋_GB2312"/>
                <w:color w:val="000000" w:themeColor="text1"/>
                <w:sz w:val="28"/>
                <w:szCs w:val="28"/>
                <w14:textFill>
                  <w14:solidFill>
                    <w14:schemeClr w14:val="tx1"/>
                  </w14:solidFill>
                </w14:textFill>
              </w:rPr>
              <w:t>请提前熟悉电子交易系统操作流程，并实时关注电子交易系统相关通知，且联络方式应保持通讯畅通。</w:t>
            </w:r>
          </w:p>
        </w:tc>
      </w:tr>
      <w:tr w14:paraId="516E9B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6F6AB2BC">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ascii="仿宋_GB2312" w:hAnsi="宋体" w:eastAsia="仿宋_GB2312"/>
                <w:color w:val="000000" w:themeColor="text1"/>
                <w:sz w:val="28"/>
                <w:szCs w:val="28"/>
                <w14:textFill>
                  <w14:solidFill>
                    <w14:schemeClr w14:val="tx1"/>
                  </w14:solidFill>
                </w14:textFill>
              </w:rPr>
              <w:t>8</w:t>
            </w:r>
          </w:p>
        </w:tc>
        <w:tc>
          <w:tcPr>
            <w:tcW w:w="8291" w:type="dxa"/>
            <w:tcBorders>
              <w:top w:val="single" w:color="auto" w:sz="4" w:space="0"/>
              <w:left w:val="single" w:color="auto" w:sz="4" w:space="0"/>
              <w:bottom w:val="single" w:color="auto" w:sz="4" w:space="0"/>
            </w:tcBorders>
            <w:vAlign w:val="center"/>
          </w:tcPr>
          <w:p w14:paraId="6B57D51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响应文件开启（解密）程序：</w:t>
            </w:r>
          </w:p>
          <w:p w14:paraId="239620A2">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响应文件开启（解密）后15分钟内完成解密</w:t>
            </w:r>
          </w:p>
        </w:tc>
      </w:tr>
      <w:tr w14:paraId="5A458F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1B51581F">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19</w:t>
            </w:r>
          </w:p>
        </w:tc>
        <w:tc>
          <w:tcPr>
            <w:tcW w:w="8291" w:type="dxa"/>
            <w:tcBorders>
              <w:top w:val="single" w:color="auto" w:sz="4" w:space="0"/>
              <w:left w:val="single" w:color="auto" w:sz="4" w:space="0"/>
              <w:bottom w:val="single" w:color="auto" w:sz="4" w:space="0"/>
            </w:tcBorders>
            <w:vAlign w:val="center"/>
          </w:tcPr>
          <w:p w14:paraId="1AAE5B15">
            <w:pPr>
              <w:spacing w:line="560" w:lineRule="exac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乳山市建设大厦10KV配电改造工程</w:t>
            </w:r>
            <w:r>
              <w:rPr>
                <w:rFonts w:hint="eastAsia" w:ascii="仿宋_GB2312" w:hAnsi="宋体" w:eastAsia="仿宋_GB2312"/>
                <w:color w:val="000000" w:themeColor="text1"/>
                <w:sz w:val="28"/>
                <w:szCs w:val="28"/>
                <w14:textFill>
                  <w14:solidFill>
                    <w14:schemeClr w14:val="tx1"/>
                  </w14:solidFill>
                </w14:textFill>
              </w:rPr>
              <w:t>(</w:t>
            </w:r>
            <w:r>
              <w:rPr>
                <w:rFonts w:ascii="仿宋_GB2312" w:hAnsi="宋体" w:eastAsia="仿宋_GB2312"/>
                <w:color w:val="000000" w:themeColor="text1"/>
                <w:sz w:val="28"/>
                <w:szCs w:val="28"/>
                <w14:textFill>
                  <w14:solidFill>
                    <w14:schemeClr w14:val="tx1"/>
                  </w14:solidFill>
                </w14:textFill>
              </w:rPr>
              <w:t>A</w:t>
            </w:r>
            <w:r>
              <w:rPr>
                <w:rFonts w:hint="eastAsia" w:ascii="仿宋_GB2312" w:hAnsi="宋体" w:eastAsia="仿宋_GB2312"/>
                <w:color w:val="000000" w:themeColor="text1"/>
                <w:sz w:val="28"/>
                <w:szCs w:val="28"/>
                <w14:textFill>
                  <w14:solidFill>
                    <w14:schemeClr w14:val="tx1"/>
                  </w14:solidFill>
                </w14:textFill>
              </w:rPr>
              <w:t>包)</w:t>
            </w:r>
          </w:p>
          <w:p w14:paraId="2DE8E27D">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保修期：</w:t>
            </w:r>
            <w:r>
              <w:rPr>
                <w:rFonts w:ascii="仿宋_GB2312" w:hAnsi="宋体" w:eastAsia="仿宋_GB2312"/>
                <w:color w:val="000000" w:themeColor="text1"/>
                <w:sz w:val="28"/>
                <w:szCs w:val="28"/>
                <w14:textFill>
                  <w14:solidFill>
                    <w14:schemeClr w14:val="tx1"/>
                  </w14:solidFill>
                </w14:textFill>
              </w:rPr>
              <w:t>两年</w:t>
            </w:r>
          </w:p>
        </w:tc>
      </w:tr>
      <w:tr w14:paraId="6F1A575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3992B346">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20</w:t>
            </w:r>
          </w:p>
        </w:tc>
        <w:tc>
          <w:tcPr>
            <w:tcW w:w="8291" w:type="dxa"/>
            <w:tcBorders>
              <w:top w:val="single" w:color="auto" w:sz="4" w:space="0"/>
              <w:left w:val="single" w:color="auto" w:sz="4" w:space="0"/>
              <w:bottom w:val="single" w:color="auto" w:sz="4" w:space="0"/>
            </w:tcBorders>
            <w:vAlign w:val="center"/>
          </w:tcPr>
          <w:p w14:paraId="4BF45CEB">
            <w:pPr>
              <w:spacing w:line="560" w:lineRule="exac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乳山市建设大厦10KV配电改造工程</w:t>
            </w:r>
            <w:r>
              <w:rPr>
                <w:rFonts w:hint="eastAsia" w:ascii="仿宋_GB2312" w:hAnsi="宋体" w:eastAsia="仿宋_GB2312"/>
                <w:color w:val="000000" w:themeColor="text1"/>
                <w:sz w:val="28"/>
                <w:szCs w:val="28"/>
                <w14:textFill>
                  <w14:solidFill>
                    <w14:schemeClr w14:val="tx1"/>
                  </w14:solidFill>
                </w14:textFill>
              </w:rPr>
              <w:t>(</w:t>
            </w:r>
            <w:r>
              <w:rPr>
                <w:rFonts w:ascii="仿宋_GB2312" w:hAnsi="宋体" w:eastAsia="仿宋_GB2312"/>
                <w:color w:val="000000" w:themeColor="text1"/>
                <w:sz w:val="28"/>
                <w:szCs w:val="28"/>
                <w14:textFill>
                  <w14:solidFill>
                    <w14:schemeClr w14:val="tx1"/>
                  </w14:solidFill>
                </w14:textFill>
              </w:rPr>
              <w:t>A</w:t>
            </w:r>
            <w:r>
              <w:rPr>
                <w:rFonts w:hint="eastAsia" w:ascii="仿宋_GB2312" w:hAnsi="宋体" w:eastAsia="仿宋_GB2312"/>
                <w:color w:val="000000" w:themeColor="text1"/>
                <w:sz w:val="28"/>
                <w:szCs w:val="28"/>
                <w14:textFill>
                  <w14:solidFill>
                    <w14:schemeClr w14:val="tx1"/>
                  </w14:solidFill>
                </w14:textFill>
              </w:rPr>
              <w:t>包)</w:t>
            </w:r>
          </w:p>
          <w:p w14:paraId="789D9110">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交付期:</w:t>
            </w:r>
            <w:r>
              <w:rPr>
                <w:rFonts w:hint="eastAsia" w:ascii="仿宋_GB2312" w:hAnsi="宋体" w:eastAsia="仿宋_GB2312"/>
                <w:color w:val="000000" w:themeColor="text1"/>
                <w:sz w:val="28"/>
                <w:szCs w:val="28"/>
                <w:lang w:eastAsia="zh-CN"/>
                <w14:textFill>
                  <w14:solidFill>
                    <w14:schemeClr w14:val="tx1"/>
                  </w14:solidFill>
                </w14:textFill>
              </w:rPr>
              <w:t>自合同签订之日起30天内完工</w:t>
            </w:r>
          </w:p>
          <w:p w14:paraId="4FD31004">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交付地点:采购人指定地点</w:t>
            </w:r>
          </w:p>
        </w:tc>
      </w:tr>
      <w:tr w14:paraId="74FDDA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096C342">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1</w:t>
            </w:r>
          </w:p>
        </w:tc>
        <w:tc>
          <w:tcPr>
            <w:tcW w:w="8291" w:type="dxa"/>
            <w:tcBorders>
              <w:top w:val="single" w:color="auto" w:sz="4" w:space="0"/>
              <w:left w:val="single" w:color="auto" w:sz="4" w:space="0"/>
              <w:bottom w:val="single" w:color="auto" w:sz="4" w:space="0"/>
            </w:tcBorders>
            <w:vAlign w:val="center"/>
          </w:tcPr>
          <w:p w14:paraId="12CD9C9C">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评标办法：</w:t>
            </w:r>
            <w:r>
              <w:rPr>
                <w:rFonts w:ascii="仿宋_GB2312" w:hAnsi="宋体" w:eastAsia="仿宋_GB2312"/>
                <w:color w:val="000000" w:themeColor="text1"/>
                <w:sz w:val="28"/>
                <w:szCs w:val="28"/>
                <w14:textFill>
                  <w14:solidFill>
                    <w14:schemeClr w14:val="tx1"/>
                  </w14:solidFill>
                </w14:textFill>
              </w:rPr>
              <w:t>乳山市建设大厦10KV配电改造工程</w:t>
            </w:r>
            <w:r>
              <w:rPr>
                <w:rFonts w:hint="eastAsia" w:ascii="仿宋_GB2312" w:hAnsi="宋体" w:eastAsia="仿宋_GB2312"/>
                <w:color w:val="000000" w:themeColor="text1"/>
                <w:sz w:val="28"/>
                <w:szCs w:val="28"/>
                <w14:textFill>
                  <w14:solidFill>
                    <w14:schemeClr w14:val="tx1"/>
                  </w14:solidFill>
                </w14:textFill>
              </w:rPr>
              <w:t>(</w:t>
            </w:r>
            <w:r>
              <w:rPr>
                <w:rFonts w:ascii="仿宋_GB2312" w:hAnsi="宋体" w:eastAsia="仿宋_GB2312"/>
                <w:color w:val="000000" w:themeColor="text1"/>
                <w:sz w:val="28"/>
                <w:szCs w:val="28"/>
                <w14:textFill>
                  <w14:solidFill>
                    <w14:schemeClr w14:val="tx1"/>
                  </w14:solidFill>
                </w14:textFill>
              </w:rPr>
              <w:t>A</w:t>
            </w:r>
            <w:r>
              <w:rPr>
                <w:rFonts w:hint="eastAsia" w:ascii="仿宋_GB2312" w:hAnsi="宋体" w:eastAsia="仿宋_GB2312"/>
                <w:color w:val="000000" w:themeColor="text1"/>
                <w:sz w:val="28"/>
                <w:szCs w:val="28"/>
                <w14:textFill>
                  <w14:solidFill>
                    <w14:schemeClr w14:val="tx1"/>
                  </w14:solidFill>
                </w14:textFill>
              </w:rPr>
              <w:t>包),综合评分法</w:t>
            </w:r>
          </w:p>
        </w:tc>
      </w:tr>
      <w:tr w14:paraId="7D0542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A6B69A">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2</w:t>
            </w:r>
          </w:p>
        </w:tc>
        <w:tc>
          <w:tcPr>
            <w:tcW w:w="8291" w:type="dxa"/>
            <w:tcBorders>
              <w:top w:val="single" w:color="auto" w:sz="4" w:space="0"/>
              <w:left w:val="single" w:color="auto" w:sz="4" w:space="0"/>
              <w:bottom w:val="single" w:color="auto" w:sz="4" w:space="0"/>
            </w:tcBorders>
            <w:vAlign w:val="center"/>
          </w:tcPr>
          <w:p w14:paraId="1BB800D9">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本项目不收取履约保证金。</w:t>
            </w:r>
          </w:p>
        </w:tc>
      </w:tr>
      <w:tr w14:paraId="3C3BD8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DD7CEA7">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3</w:t>
            </w:r>
          </w:p>
        </w:tc>
        <w:tc>
          <w:tcPr>
            <w:tcW w:w="8291" w:type="dxa"/>
            <w:tcBorders>
              <w:top w:val="single" w:color="auto" w:sz="4" w:space="0"/>
              <w:left w:val="single" w:color="auto" w:sz="4" w:space="0"/>
              <w:bottom w:val="single" w:color="auto" w:sz="4" w:space="0"/>
            </w:tcBorders>
            <w:vAlign w:val="center"/>
          </w:tcPr>
          <w:p w14:paraId="6B1FC0FF">
            <w:pPr>
              <w:spacing w:line="600" w:lineRule="exact"/>
              <w:rPr>
                <w:rFonts w:hint="eastAsia"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是否兼投不兼中：/</w:t>
            </w:r>
          </w:p>
        </w:tc>
      </w:tr>
      <w:tr w14:paraId="00A09AA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5EF8BBC9">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4</w:t>
            </w:r>
          </w:p>
        </w:tc>
        <w:tc>
          <w:tcPr>
            <w:tcW w:w="8291" w:type="dxa"/>
            <w:tcBorders>
              <w:top w:val="single" w:color="auto" w:sz="4" w:space="0"/>
              <w:left w:val="single" w:color="auto" w:sz="4" w:space="0"/>
              <w:bottom w:val="single" w:color="auto" w:sz="4" w:space="0"/>
            </w:tcBorders>
            <w:vAlign w:val="center"/>
          </w:tcPr>
          <w:p w14:paraId="0748F846">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本项目付款方式如下：</w:t>
            </w:r>
          </w:p>
          <w:p w14:paraId="15693846">
            <w:pPr>
              <w:spacing w:line="560" w:lineRule="exac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按工程形象进度付款，按月计量，在建设期内支付30%，工程竣工验收合格支付到合同价款的50%，审计结算结束支付到结算价款的70%; 剩余资金分三年付清，每年各支付10%。</w:t>
            </w:r>
          </w:p>
        </w:tc>
      </w:tr>
      <w:tr w14:paraId="092373B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C5A3F4E">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5</w:t>
            </w:r>
          </w:p>
        </w:tc>
        <w:tc>
          <w:tcPr>
            <w:tcW w:w="8291" w:type="dxa"/>
            <w:tcBorders>
              <w:top w:val="single" w:color="auto" w:sz="4" w:space="0"/>
              <w:left w:val="single" w:color="auto" w:sz="4" w:space="0"/>
              <w:bottom w:val="single" w:color="auto" w:sz="4" w:space="0"/>
            </w:tcBorders>
            <w:vAlign w:val="center"/>
          </w:tcPr>
          <w:p w14:paraId="1D3B5B1F">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是否委托评审委员会确定成交供应商：是</w:t>
            </w:r>
          </w:p>
        </w:tc>
      </w:tr>
      <w:tr w14:paraId="044F3A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01A0AB5">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6</w:t>
            </w:r>
          </w:p>
        </w:tc>
        <w:tc>
          <w:tcPr>
            <w:tcW w:w="8291" w:type="dxa"/>
            <w:tcBorders>
              <w:top w:val="single" w:color="auto" w:sz="4" w:space="0"/>
              <w:left w:val="single" w:color="auto" w:sz="4" w:space="0"/>
              <w:bottom w:val="single" w:color="auto" w:sz="4" w:space="0"/>
            </w:tcBorders>
            <w:vAlign w:val="center"/>
          </w:tcPr>
          <w:p w14:paraId="721982D4">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反腐倡廉监督联系方式：</w:t>
            </w:r>
          </w:p>
          <w:p w14:paraId="57BCE2A2">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电话/邮箱：</w:t>
            </w:r>
            <w:r>
              <w:rPr>
                <w:rFonts w:ascii="仿宋_GB2312" w:hAnsi="宋体" w:eastAsia="仿宋_GB2312"/>
                <w:color w:val="000000" w:themeColor="text1"/>
                <w:sz w:val="28"/>
                <w:szCs w:val="28"/>
                <w14:textFill>
                  <w14:solidFill>
                    <w14:schemeClr w14:val="tx1"/>
                  </w14:solidFill>
                </w14:textFill>
              </w:rPr>
              <w:t>0631-6662267/rushanjyzx@wh.shandong.cn</w:t>
            </w:r>
          </w:p>
        </w:tc>
      </w:tr>
      <w:tr w14:paraId="336EC0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E7FEA7D">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27</w:t>
            </w:r>
          </w:p>
        </w:tc>
        <w:tc>
          <w:tcPr>
            <w:tcW w:w="8291" w:type="dxa"/>
            <w:tcBorders>
              <w:top w:val="single" w:color="auto" w:sz="4" w:space="0"/>
              <w:left w:val="single" w:color="auto" w:sz="4" w:space="0"/>
              <w:bottom w:val="single" w:color="auto" w:sz="4" w:space="0"/>
            </w:tcBorders>
            <w:vAlign w:val="center"/>
          </w:tcPr>
          <w:p w14:paraId="3C53A749">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质疑受理方式：</w:t>
            </w:r>
          </w:p>
          <w:p w14:paraId="70456852">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（1）当面接收：接收地址详见本表采购人及代理机构地址。</w:t>
            </w:r>
          </w:p>
          <w:p w14:paraId="31BFF299">
            <w:pPr>
              <w:spacing w:line="560" w:lineRule="exact"/>
              <w:rPr>
                <w:rFonts w:hint="eastAsia" w:ascii="仿宋_GB2312" w:hAnsi="仿宋" w:eastAsia="仿宋_GB2312" w:cs="宋体"/>
                <w:color w:val="000000" w:themeColor="text1"/>
                <w:sz w:val="28"/>
                <w:szCs w:val="28"/>
                <w:lang w:eastAsia="zh-CN"/>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（2）邮件接收：</w:t>
            </w:r>
            <w:r>
              <w:rPr>
                <w:rFonts w:hint="eastAsia" w:ascii="仿宋_GB2312" w:hAnsi="仿宋" w:eastAsia="仿宋_GB2312" w:cs="宋体"/>
                <w:color w:val="000000" w:themeColor="text1"/>
                <w:sz w:val="28"/>
                <w:szCs w:val="28"/>
                <w:lang w:eastAsia="zh-CN"/>
                <w14:textFill>
                  <w14:solidFill>
                    <w14:schemeClr w14:val="tx1"/>
                  </w14:solidFill>
                </w14:textFill>
              </w:rPr>
              <w:t>whjxzbs@126.com</w:t>
            </w:r>
          </w:p>
          <w:p w14:paraId="2BCAA522">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（3）采购电子交易系统上传：通过威海市国有企业阳光采购电子化服务平台中“公文管理-供”功能上传。</w:t>
            </w:r>
          </w:p>
          <w:p w14:paraId="182DE31E">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以上三种方式任选其一。</w:t>
            </w:r>
          </w:p>
        </w:tc>
      </w:tr>
      <w:tr w14:paraId="254042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ADFB175">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28</w:t>
            </w:r>
          </w:p>
        </w:tc>
        <w:tc>
          <w:tcPr>
            <w:tcW w:w="8291" w:type="dxa"/>
            <w:tcBorders>
              <w:top w:val="single" w:color="auto" w:sz="4" w:space="0"/>
              <w:left w:val="single" w:color="auto" w:sz="4" w:space="0"/>
              <w:bottom w:val="single" w:color="auto" w:sz="4" w:space="0"/>
            </w:tcBorders>
            <w:vAlign w:val="center"/>
          </w:tcPr>
          <w:p w14:paraId="32A7A35B">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代理服务费：参照“发改价格[2011]534号”规定的收费标准收取代理服务费。人民币</w:t>
            </w:r>
            <w:r>
              <w:rPr>
                <w:rFonts w:ascii="仿宋_GB2312" w:hAnsi="宋体" w:eastAsia="仿宋_GB2312"/>
                <w:color w:val="000000" w:themeColor="text1"/>
                <w:sz w:val="28"/>
                <w:szCs w:val="28"/>
                <w14:textFill>
                  <w14:solidFill>
                    <w14:schemeClr w14:val="tx1"/>
                  </w14:solidFill>
                </w14:textFill>
              </w:rPr>
              <w:t>3300.00</w:t>
            </w:r>
            <w:r>
              <w:rPr>
                <w:rFonts w:hint="eastAsia" w:ascii="仿宋_GB2312" w:hAnsi="宋体" w:eastAsia="仿宋_GB2312"/>
                <w:color w:val="000000" w:themeColor="text1"/>
                <w:sz w:val="28"/>
                <w:szCs w:val="28"/>
                <w14:textFill>
                  <w14:solidFill>
                    <w14:schemeClr w14:val="tx1"/>
                  </w14:solidFill>
                </w14:textFill>
              </w:rPr>
              <w:t>元，由成交单位在签订合同前向采购代理机构缴纳，包含在报价中。</w:t>
            </w:r>
          </w:p>
          <w:p w14:paraId="6432A955">
            <w:pPr>
              <w:snapToGrid w:val="0"/>
              <w:spacing w:line="560" w:lineRule="exact"/>
              <w:jc w:val="lef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开户名称：</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p>
          <w:p w14:paraId="06970277">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开户行：</w:t>
            </w:r>
            <w:r>
              <w:rPr>
                <w:rFonts w:hint="eastAsia" w:ascii="仿宋_GB2312" w:hAnsi="宋体" w:eastAsia="仿宋_GB2312"/>
                <w:color w:val="000000" w:themeColor="text1"/>
                <w:sz w:val="28"/>
                <w:szCs w:val="28"/>
                <w:lang w:eastAsia="zh-CN"/>
                <w14:textFill>
                  <w14:solidFill>
                    <w14:schemeClr w14:val="tx1"/>
                  </w14:solidFill>
                </w14:textFill>
              </w:rPr>
              <w:t>中国建设银行股份有限公司乳山支行</w:t>
            </w:r>
          </w:p>
          <w:p w14:paraId="6A4647E0">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账号：</w:t>
            </w:r>
            <w:r>
              <w:rPr>
                <w:rFonts w:hint="eastAsia" w:ascii="仿宋_GB2312" w:hAnsi="宋体" w:eastAsia="仿宋_GB2312"/>
                <w:color w:val="000000" w:themeColor="text1"/>
                <w:sz w:val="28"/>
                <w:szCs w:val="28"/>
                <w:lang w:eastAsia="zh-CN"/>
                <w14:textFill>
                  <w14:solidFill>
                    <w14:schemeClr w14:val="tx1"/>
                  </w14:solidFill>
                </w14:textFill>
              </w:rPr>
              <w:t>37001708108050156089</w:t>
            </w:r>
          </w:p>
        </w:tc>
      </w:tr>
      <w:tr w14:paraId="1B01A3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D441872">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r>
              <w:rPr>
                <w:rFonts w:ascii="仿宋_GB2312" w:hAnsi="宋体" w:eastAsia="仿宋_GB2312"/>
                <w:color w:val="000000" w:themeColor="text1"/>
                <w:sz w:val="28"/>
                <w:szCs w:val="28"/>
                <w14:textFill>
                  <w14:solidFill>
                    <w14:schemeClr w14:val="tx1"/>
                  </w14:solidFill>
                </w14:textFill>
              </w:rPr>
              <w:t>9</w:t>
            </w:r>
          </w:p>
        </w:tc>
        <w:tc>
          <w:tcPr>
            <w:tcW w:w="8291" w:type="dxa"/>
            <w:tcBorders>
              <w:top w:val="single" w:color="auto" w:sz="4" w:space="0"/>
              <w:left w:val="single" w:color="auto" w:sz="4" w:space="0"/>
              <w:bottom w:val="single" w:color="auto" w:sz="4" w:space="0"/>
            </w:tcBorders>
            <w:vAlign w:val="center"/>
          </w:tcPr>
          <w:p w14:paraId="286A8F21">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本项目按</w:t>
            </w:r>
            <w:r>
              <w:rPr>
                <w:rFonts w:ascii="仿宋_GB2312" w:hAnsi="宋体" w:eastAsia="仿宋_GB2312"/>
                <w:color w:val="000000" w:themeColor="text1"/>
                <w:sz w:val="28"/>
                <w:szCs w:val="28"/>
                <w14:textFill>
                  <w14:solidFill>
                    <w14:schemeClr w14:val="tx1"/>
                  </w14:solidFill>
                </w14:textFill>
              </w:rPr>
              <w:t>工程类</w:t>
            </w:r>
            <w:r>
              <w:rPr>
                <w:rFonts w:hint="eastAsia" w:ascii="仿宋_GB2312" w:hAnsi="宋体" w:eastAsia="仿宋_GB2312"/>
                <w:color w:val="000000" w:themeColor="text1"/>
                <w:sz w:val="28"/>
                <w:szCs w:val="28"/>
                <w14:textFill>
                  <w14:solidFill>
                    <w14:schemeClr w14:val="tx1"/>
                  </w14:solidFill>
                </w14:textFill>
              </w:rPr>
              <w:t>以</w:t>
            </w:r>
            <w:r>
              <w:rPr>
                <w:rFonts w:ascii="仿宋_GB2312" w:hAnsi="宋体" w:eastAsia="仿宋_GB2312"/>
                <w:color w:val="000000" w:themeColor="text1"/>
                <w:sz w:val="28"/>
                <w:szCs w:val="28"/>
                <w14:textFill>
                  <w14:solidFill>
                    <w14:schemeClr w14:val="tx1"/>
                  </w14:solidFill>
                </w14:textFill>
              </w:rPr>
              <w:t>竞争谈判</w:t>
            </w:r>
            <w:r>
              <w:rPr>
                <w:rFonts w:hint="eastAsia" w:ascii="仿宋_GB2312" w:hAnsi="宋体" w:eastAsia="仿宋_GB2312"/>
                <w:color w:val="000000" w:themeColor="text1"/>
                <w:sz w:val="28"/>
                <w:szCs w:val="28"/>
                <w14:textFill>
                  <w14:solidFill>
                    <w14:schemeClr w14:val="tx1"/>
                  </w14:solidFill>
                </w14:textFill>
              </w:rPr>
              <w:t>方式实施采购</w:t>
            </w:r>
          </w:p>
        </w:tc>
      </w:tr>
    </w:tbl>
    <w:p w14:paraId="28FAAB1E">
      <w:pPr>
        <w:pStyle w:val="25"/>
        <w:spacing w:line="432" w:lineRule="auto"/>
        <w:rPr>
          <w:rFonts w:ascii="仿宋_GB2312" w:eastAsia="仿宋_GB2312"/>
          <w:bCs/>
          <w:color w:val="000000" w:themeColor="text1"/>
          <w:sz w:val="28"/>
          <w:szCs w:val="28"/>
          <w14:textFill>
            <w14:solidFill>
              <w14:schemeClr w14:val="tx1"/>
            </w14:solidFill>
          </w14:textFill>
        </w:rPr>
      </w:pPr>
    </w:p>
    <w:p w14:paraId="33836694">
      <w:pPr>
        <w:pStyle w:val="25"/>
        <w:spacing w:line="432" w:lineRule="auto"/>
        <w:jc w:val="center"/>
        <w:rPr>
          <w:rFonts w:eastAsia="黑体"/>
          <w:color w:val="000000" w:themeColor="text1"/>
          <w:sz w:val="32"/>
          <w:szCs w:val="32"/>
          <w14:textFill>
            <w14:solidFill>
              <w14:schemeClr w14:val="tx1"/>
            </w14:solidFill>
          </w14:textFill>
        </w:rPr>
      </w:pPr>
      <w:r>
        <w:rPr>
          <w:rFonts w:ascii="仿宋_GB2312" w:eastAsia="仿宋_GB2312"/>
          <w:bCs/>
          <w:color w:val="000000" w:themeColor="text1"/>
          <w:sz w:val="28"/>
          <w:szCs w:val="28"/>
          <w14:textFill>
            <w14:solidFill>
              <w14:schemeClr w14:val="tx1"/>
            </w14:solidFill>
          </w14:textFill>
        </w:rPr>
        <w:br w:type="page"/>
      </w:r>
      <w:r>
        <w:rPr>
          <w:rFonts w:hint="eastAsia" w:eastAsia="黑体"/>
          <w:color w:val="000000" w:themeColor="text1"/>
          <w:sz w:val="32"/>
          <w:szCs w:val="32"/>
          <w14:textFill>
            <w14:solidFill>
              <w14:schemeClr w14:val="tx1"/>
            </w14:solidFill>
          </w14:textFill>
        </w:rPr>
        <w:t>《实质性条款一览表》</w:t>
      </w:r>
    </w:p>
    <w:p w14:paraId="53031CF2">
      <w:pPr>
        <w:snapToGrid w:val="0"/>
        <w:ind w:firstLine="560"/>
        <w:jc w:val="left"/>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说明：本表系采购文件及修改性文件中涉及的所有实质性条款的汇总。不允许有任何负偏离，否则报价将被否决。</w:t>
      </w:r>
    </w:p>
    <w:tbl>
      <w:tblPr>
        <w:tblStyle w:val="2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26CD7BD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397A604F">
            <w:pPr>
              <w:spacing w:line="560" w:lineRule="exact"/>
              <w:rPr>
                <w:rFonts w:ascii="仿宋_GB2312" w:hAnsi="宋体" w:eastAsia="仿宋_GB2312"/>
                <w:b/>
                <w:bCs/>
                <w:color w:val="000000" w:themeColor="text1"/>
                <w:sz w:val="28"/>
                <w:szCs w:val="28"/>
                <w14:textFill>
                  <w14:solidFill>
                    <w14:schemeClr w14:val="tx1"/>
                  </w14:solidFill>
                </w14:textFill>
              </w:rPr>
            </w:pPr>
            <w:r>
              <w:rPr>
                <w:rFonts w:hint="eastAsia" w:ascii="仿宋_GB2312" w:hAnsi="宋体" w:eastAsia="仿宋_GB2312"/>
                <w:b/>
                <w:bCs/>
                <w:color w:val="000000" w:themeColor="text1"/>
                <w:sz w:val="28"/>
                <w:szCs w:val="28"/>
                <w14:textFill>
                  <w14:solidFill>
                    <w14:schemeClr w14:val="tx1"/>
                  </w14:solidFill>
                </w14:textFill>
              </w:rPr>
              <w:t>资格性核查</w:t>
            </w:r>
          </w:p>
        </w:tc>
      </w:tr>
      <w:tr w14:paraId="17D8F4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34157380">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lang w:eastAsia="zh-CN"/>
                <w14:textFill>
                  <w14:solidFill>
                    <w14:schemeClr w14:val="tx1"/>
                  </w14:solidFill>
                </w14:textFill>
              </w:rPr>
              <w:t>法人或其他组织的营业执照等证明文件扫描件；</w:t>
            </w:r>
            <w:r>
              <w:rPr>
                <w:rFonts w:ascii="仿宋_GB2312" w:hAnsi="宋体" w:eastAsia="仿宋_GB2312"/>
                <w:color w:val="000000" w:themeColor="text1"/>
                <w:sz w:val="28"/>
                <w:szCs w:val="28"/>
                <w14:textFill>
                  <w14:solidFill>
                    <w14:schemeClr w14:val="tx1"/>
                  </w14:solidFill>
                </w14:textFill>
              </w:rPr>
              <w:t>(A)包</w:t>
            </w:r>
          </w:p>
          <w:p w14:paraId="35FCC167">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2、法定代表人授权委托书；被授权人身份证扫描件；</w:t>
            </w:r>
          </w:p>
          <w:p w14:paraId="3C946655">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若响应单位代表为企业法定代表人/单位负责人的，则只需提供企业法定代表人/单位负责人身份证扫描件；(A)包</w:t>
            </w:r>
          </w:p>
          <w:p w14:paraId="2426A385">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3、具有电力工程</w:t>
            </w:r>
            <w:r>
              <w:rPr>
                <w:rFonts w:hint="eastAsia" w:ascii="仿宋_GB2312" w:hAnsi="宋体" w:eastAsia="仿宋_GB2312"/>
                <w:color w:val="000000" w:themeColor="text1"/>
                <w:sz w:val="28"/>
                <w:szCs w:val="28"/>
                <w:lang w:eastAsia="zh-CN"/>
                <w14:textFill>
                  <w14:solidFill>
                    <w14:schemeClr w14:val="tx1"/>
                  </w14:solidFill>
                </w14:textFill>
              </w:rPr>
              <w:t>施工总承包三级</w:t>
            </w:r>
            <w:r>
              <w:rPr>
                <w:rFonts w:ascii="仿宋_GB2312" w:hAnsi="宋体" w:eastAsia="仿宋_GB2312"/>
                <w:color w:val="000000" w:themeColor="text1"/>
                <w:sz w:val="28"/>
                <w:szCs w:val="28"/>
                <w14:textFill>
                  <w14:solidFill>
                    <w14:schemeClr w14:val="tx1"/>
                  </w14:solidFill>
                </w14:textFill>
              </w:rPr>
              <w:t>及以上资质，同时具有</w:t>
            </w:r>
            <w:r>
              <w:rPr>
                <w:rFonts w:hint="eastAsia" w:ascii="仿宋_GB2312" w:hAnsi="宋体" w:eastAsia="仿宋_GB2312"/>
                <w:color w:val="000000" w:themeColor="text1"/>
                <w:sz w:val="28"/>
                <w:szCs w:val="28"/>
                <w:lang w:eastAsia="zh-CN"/>
                <w14:textFill>
                  <w14:solidFill>
                    <w14:schemeClr w14:val="tx1"/>
                  </w14:solidFill>
                </w14:textFill>
              </w:rPr>
              <w:t>承装（修、饰）三级</w:t>
            </w:r>
            <w:r>
              <w:rPr>
                <w:rFonts w:ascii="仿宋_GB2312" w:hAnsi="宋体" w:eastAsia="仿宋_GB2312"/>
                <w:color w:val="000000" w:themeColor="text1"/>
                <w:sz w:val="28"/>
                <w:szCs w:val="28"/>
                <w14:textFill>
                  <w14:solidFill>
                    <w14:schemeClr w14:val="tx1"/>
                  </w14:solidFill>
                </w14:textFill>
              </w:rPr>
              <w:t>及以上资质证书扫描件。(A)包</w:t>
            </w:r>
          </w:p>
          <w:p w14:paraId="795BFA95">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4、具有安全生产许可证扫描件；(A)包</w:t>
            </w:r>
          </w:p>
          <w:p w14:paraId="58A91B17">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5、依法缴纳税收和社会保障资金的声明（格式自拟）；投标截止日期前4个月内任意某一月的纳税和社会保障资金缴纳证明材料（依法免税或不需要缴纳社会保障资金的供应商，应提供相关材料）；(A)包</w:t>
            </w:r>
          </w:p>
          <w:p w14:paraId="6A813006">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6、参加本项目报价前三年内无重大违法记录声明（格式自定）；(A)包</w:t>
            </w:r>
          </w:p>
          <w:p w14:paraId="791C3AE1">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7、报价供应商未被工商行政管理机关在全国企业信用信息公示系统中列入严重违法失信企业名单（附截图或企业信用信息公示报告，查询网址http://www.gsxt.gov.cn/index.html）；</w:t>
            </w:r>
          </w:p>
          <w:p w14:paraId="4B0BCEBC">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报价供应商及其法定代表人、授权委托人在“全国法院失信被执行人名单公布及查询（http://zxgk.court.gov.cn/shixin/）”网站截图；(A)包</w:t>
            </w:r>
          </w:p>
          <w:p w14:paraId="1F06EC06">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8、财务状况报告等相关材料</w:t>
            </w:r>
          </w:p>
          <w:p w14:paraId="679960F8">
            <w:pPr>
              <w:spacing w:line="560" w:lineRule="exact"/>
              <w:ind w:firstLine="341" w:firstLineChars="122"/>
              <w:rPr>
                <w:rFonts w:hint="eastAsia" w:ascii="仿宋_GB2312" w:hAnsi="宋体" w:eastAsia="仿宋_GB2312"/>
                <w:color w:val="000000" w:themeColor="text1"/>
                <w:sz w:val="28"/>
                <w:szCs w:val="28"/>
                <w:lang w:eastAsia="zh-CN"/>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A.</w:t>
            </w:r>
            <w:r>
              <w:rPr>
                <w:rFonts w:hint="eastAsia" w:ascii="仿宋_GB2312" w:hAnsi="宋体" w:eastAsia="仿宋_GB2312"/>
                <w:color w:val="000000" w:themeColor="text1"/>
                <w:sz w:val="28"/>
                <w:szCs w:val="28"/>
                <w:lang w:eastAsia="zh-CN"/>
                <w14:textFill>
                  <w14:solidFill>
                    <w14:schemeClr w14:val="tx1"/>
                  </w14:solidFill>
                </w14:textFill>
              </w:rPr>
              <w:t>供应商自行编制的2024或者2025年度公司财务报表或由中介机构出具的2024或2025年度财务审计报告书扫描件(2026年以后新成立公司须提供自成立至今的自行编制的公司财务报表扫描件)；</w:t>
            </w:r>
          </w:p>
          <w:p w14:paraId="0229EC2E">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B.银行出具的有效期内的资信证明扫描件。</w:t>
            </w:r>
          </w:p>
          <w:p w14:paraId="1D564B46">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注：A、B两项提供任意一项均可。(A)包</w:t>
            </w:r>
          </w:p>
          <w:p w14:paraId="12927681">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9、具有履行合同所必需的设备和专业技术能力承诺函（格式自拟）；(A)包</w:t>
            </w:r>
          </w:p>
        </w:tc>
      </w:tr>
      <w:tr w14:paraId="175B39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792B90B4">
            <w:pPr>
              <w:spacing w:line="560" w:lineRule="exact"/>
              <w:rPr>
                <w:rFonts w:ascii="仿宋_GB2312" w:hAnsi="宋体" w:eastAsia="仿宋_GB2312"/>
                <w:b/>
                <w:bCs/>
                <w:color w:val="000000" w:themeColor="text1"/>
                <w:sz w:val="28"/>
                <w:szCs w:val="28"/>
                <w14:textFill>
                  <w14:solidFill>
                    <w14:schemeClr w14:val="tx1"/>
                  </w14:solidFill>
                </w14:textFill>
              </w:rPr>
            </w:pPr>
            <w:r>
              <w:rPr>
                <w:rFonts w:hint="eastAsia" w:ascii="仿宋_GB2312" w:hAnsi="宋体" w:eastAsia="仿宋_GB2312"/>
                <w:b/>
                <w:bCs/>
                <w:color w:val="000000" w:themeColor="text1"/>
                <w:sz w:val="28"/>
                <w:szCs w:val="28"/>
                <w14:textFill>
                  <w14:solidFill>
                    <w14:schemeClr w14:val="tx1"/>
                  </w14:solidFill>
                </w14:textFill>
              </w:rPr>
              <w:t>符合性检查</w:t>
            </w:r>
          </w:p>
        </w:tc>
      </w:tr>
      <w:tr w14:paraId="39FDF7A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21B639E7">
            <w:pPr>
              <w:widowControl/>
              <w:adjustRightInd w:val="0"/>
              <w:spacing w:line="520" w:lineRule="exact"/>
              <w:ind w:firstLine="341" w:firstLineChars="122"/>
              <w:jc w:val="lef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1、响应文件未按规定签章的，作为无效报价；(A)包</w:t>
            </w:r>
          </w:p>
          <w:p w14:paraId="66D814B4">
            <w:pPr>
              <w:widowControl/>
              <w:adjustRightInd w:val="0"/>
              <w:spacing w:line="520" w:lineRule="exact"/>
              <w:ind w:firstLine="341" w:firstLineChars="122"/>
              <w:jc w:val="lef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2、被授权人未在规定时间内答疑或澄清的，作为无效报价；(A)包</w:t>
            </w:r>
          </w:p>
          <w:p w14:paraId="0A9F29AA">
            <w:pPr>
              <w:widowControl/>
              <w:adjustRightInd w:val="0"/>
              <w:spacing w:line="520" w:lineRule="exact"/>
              <w:ind w:firstLine="341" w:firstLineChars="122"/>
              <w:jc w:val="lef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3、响应文件含有采购人不能接受的附加条件的，作为无效报价；(A)包</w:t>
            </w:r>
          </w:p>
          <w:p w14:paraId="170E244B">
            <w:pPr>
              <w:widowControl/>
              <w:adjustRightInd w:val="0"/>
              <w:spacing w:line="520" w:lineRule="exact"/>
              <w:ind w:firstLine="341" w:firstLineChars="122"/>
              <w:jc w:val="lef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4、响应报价、交付期（工期）、服务期（质保期）、付款方式、报价有效期等内容不满足采购文件要求的作为无效报价；(A)包</w:t>
            </w:r>
          </w:p>
          <w:p w14:paraId="14931A4E">
            <w:pPr>
              <w:widowControl/>
              <w:adjustRightInd w:val="0"/>
              <w:spacing w:line="520" w:lineRule="exact"/>
              <w:ind w:firstLine="341" w:firstLineChars="122"/>
              <w:jc w:val="lef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5、参加同一项目的不同供应商的电子投标文件文件制作机器码（MAC地址、主硬盘序列号、CPU信息、计算机名称）一致导致串标率100%，将作为无效报价；(A)包</w:t>
            </w:r>
          </w:p>
          <w:p w14:paraId="6A64D9A1">
            <w:pPr>
              <w:widowControl/>
              <w:adjustRightInd w:val="0"/>
              <w:spacing w:line="520" w:lineRule="exact"/>
              <w:ind w:firstLine="341" w:firstLineChars="122"/>
              <w:jc w:val="left"/>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6、评审小组认为不符合采购文件其他实质性要求或法律法规规定的其他情形；作为无效报价。(A)包</w:t>
            </w:r>
          </w:p>
        </w:tc>
      </w:tr>
    </w:tbl>
    <w:p w14:paraId="5F12159C">
      <w:pPr>
        <w:rPr>
          <w:rFonts w:ascii="宋体" w:hAnsi="宋体"/>
          <w:color w:val="000000" w:themeColor="text1"/>
          <w:szCs w:val="28"/>
          <w14:textFill>
            <w14:solidFill>
              <w14:schemeClr w14:val="tx1"/>
            </w14:solidFill>
          </w14:textFill>
        </w:rPr>
      </w:pPr>
    </w:p>
    <w:p w14:paraId="53D3E301">
      <w:pPr>
        <w:spacing w:line="560" w:lineRule="exact"/>
        <w:rPr>
          <w:rFonts w:ascii="宋体" w:hAnsi="宋体"/>
          <w:color w:val="000000" w:themeColor="text1"/>
          <w:sz w:val="44"/>
          <w:szCs w:val="44"/>
          <w14:textFill>
            <w14:solidFill>
              <w14:schemeClr w14:val="tx1"/>
            </w14:solidFill>
          </w14:textFill>
        </w:rPr>
      </w:pPr>
    </w:p>
    <w:p w14:paraId="02B87555">
      <w:pPr>
        <w:spacing w:line="560" w:lineRule="exact"/>
        <w:rPr>
          <w:rFonts w:ascii="宋体" w:hAnsi="宋体"/>
          <w:color w:val="000000" w:themeColor="text1"/>
          <w:sz w:val="44"/>
          <w:szCs w:val="44"/>
          <w14:textFill>
            <w14:solidFill>
              <w14:schemeClr w14:val="tx1"/>
            </w14:solidFill>
          </w14:textFill>
        </w:rPr>
        <w:sectPr>
          <w:headerReference r:id="rId10" w:type="default"/>
          <w:footerReference r:id="rId11" w:type="default"/>
          <w:pgSz w:w="11906" w:h="16838"/>
          <w:pgMar w:top="1440" w:right="1077" w:bottom="1440" w:left="1077" w:header="851" w:footer="992" w:gutter="0"/>
          <w:cols w:space="720" w:num="1"/>
          <w:docGrid w:type="lines" w:linePitch="312" w:charSpace="0"/>
        </w:sectPr>
      </w:pPr>
    </w:p>
    <w:p w14:paraId="7979FACB">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一、说明</w:t>
      </w:r>
    </w:p>
    <w:p w14:paraId="5797317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供应商应接受本竞争谈判文件关于电子招投标各项规定。</w:t>
      </w:r>
    </w:p>
    <w:p w14:paraId="5E50719F">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1.适用范围</w:t>
      </w:r>
    </w:p>
    <w:p w14:paraId="4F23DC1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1.1本竞争谈判文件仅适用于本次采购公告中所涉及的项目和内容。</w:t>
      </w:r>
    </w:p>
    <w:p w14:paraId="2DBF5DC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1.2本竞争谈判文件的解释权为</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r>
        <w:rPr>
          <w:rFonts w:hint="eastAsia" w:ascii="仿宋_GB2312" w:hAnsi="仿宋" w:eastAsia="仿宋_GB2312" w:cs="宋体"/>
          <w:color w:val="000000" w:themeColor="text1"/>
          <w:sz w:val="28"/>
          <w:szCs w:val="28"/>
          <w14:textFill>
            <w14:solidFill>
              <w14:schemeClr w14:val="tx1"/>
            </w14:solidFill>
          </w14:textFill>
        </w:rPr>
        <w:t>，以书面解释为准。</w:t>
      </w:r>
    </w:p>
    <w:p w14:paraId="217EA6E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1.3本竞争谈判文件未做须知明示，而又有相关法律、法规规定的，从其规定。</w:t>
      </w:r>
    </w:p>
    <w:p w14:paraId="12D63B3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2.采购人、采购代理机构及供应商</w:t>
      </w:r>
    </w:p>
    <w:p w14:paraId="3FABAA5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2.1采购人：本项目的采购人见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37B3A0C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2.2采购代理机构：是指采购代理机构或从事采购代理业务的社会中介机构。本项目的采购代理机构见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012AE65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2.3供应商</w:t>
      </w:r>
      <w:r>
        <w:rPr>
          <w:rFonts w:ascii="仿宋_GB2312" w:hAnsi="仿宋" w:eastAsia="仿宋_GB2312" w:cs="宋体"/>
          <w:color w:val="000000" w:themeColor="text1"/>
          <w:sz w:val="28"/>
          <w:szCs w:val="28"/>
          <w14:textFill>
            <w14:solidFill>
              <w14:schemeClr w14:val="tx1"/>
            </w14:solidFill>
          </w14:textFill>
        </w:rPr>
        <w:t>：是指向采购人提供货物</w:t>
      </w:r>
      <w:r>
        <w:rPr>
          <w:rFonts w:hint="eastAsia" w:ascii="仿宋_GB2312" w:hAnsi="仿宋" w:eastAsia="仿宋_GB2312" w:cs="宋体"/>
          <w:color w:val="000000" w:themeColor="text1"/>
          <w:sz w:val="28"/>
          <w:szCs w:val="28"/>
          <w14:textFill>
            <w14:solidFill>
              <w14:schemeClr w14:val="tx1"/>
            </w14:solidFill>
          </w14:textFill>
        </w:rPr>
        <w:t>及伴随的</w:t>
      </w:r>
      <w:r>
        <w:rPr>
          <w:rFonts w:ascii="仿宋_GB2312" w:hAnsi="仿宋" w:eastAsia="仿宋_GB2312" w:cs="宋体"/>
          <w:color w:val="000000" w:themeColor="text1"/>
          <w:sz w:val="28"/>
          <w:szCs w:val="28"/>
          <w14:textFill>
            <w14:solidFill>
              <w14:schemeClr w14:val="tx1"/>
            </w14:solidFill>
          </w14:textFill>
        </w:rPr>
        <w:t>服务的法人、其他组织或者自然人。</w:t>
      </w:r>
      <w:r>
        <w:rPr>
          <w:rFonts w:hint="eastAsia" w:ascii="仿宋_GB2312" w:hAnsi="仿宋" w:eastAsia="仿宋_GB2312" w:cs="宋体"/>
          <w:color w:val="000000" w:themeColor="text1"/>
          <w:sz w:val="28"/>
          <w:szCs w:val="28"/>
          <w14:textFill>
            <w14:solidFill>
              <w14:schemeClr w14:val="tx1"/>
            </w14:solidFill>
          </w14:textFill>
        </w:rPr>
        <w:t>潜在</w:t>
      </w:r>
      <w:r>
        <w:rPr>
          <w:rFonts w:ascii="仿宋_GB2312" w:hAnsi="仿宋" w:eastAsia="仿宋_GB2312" w:cs="宋体"/>
          <w:color w:val="000000" w:themeColor="text1"/>
          <w:sz w:val="28"/>
          <w:szCs w:val="28"/>
          <w14:textFill>
            <w14:solidFill>
              <w14:schemeClr w14:val="tx1"/>
            </w14:solidFill>
          </w14:textFill>
        </w:rPr>
        <w:t>供应商：是指</w:t>
      </w:r>
      <w:r>
        <w:rPr>
          <w:rFonts w:hint="eastAsia" w:ascii="仿宋_GB2312" w:hAnsi="仿宋" w:eastAsia="仿宋_GB2312" w:cs="宋体"/>
          <w:color w:val="000000" w:themeColor="text1"/>
          <w:sz w:val="28"/>
          <w:szCs w:val="28"/>
          <w14:textFill>
            <w14:solidFill>
              <w14:schemeClr w14:val="tx1"/>
            </w14:solidFill>
          </w14:textFill>
        </w:rPr>
        <w:t>响应招标</w:t>
      </w:r>
      <w:r>
        <w:rPr>
          <w:rFonts w:ascii="仿宋_GB2312" w:hAnsi="仿宋" w:eastAsia="仿宋_GB2312" w:cs="宋体"/>
          <w:color w:val="000000" w:themeColor="text1"/>
          <w:sz w:val="28"/>
          <w:szCs w:val="28"/>
          <w14:textFill>
            <w14:solidFill>
              <w14:schemeClr w14:val="tx1"/>
            </w14:solidFill>
          </w14:textFill>
        </w:rPr>
        <w:t>、参加投标竞争的法人、其他组织或者自然人</w:t>
      </w:r>
      <w:r>
        <w:rPr>
          <w:rFonts w:hint="eastAsia" w:ascii="仿宋_GB2312" w:hAnsi="仿宋" w:eastAsia="仿宋_GB2312" w:cs="宋体"/>
          <w:color w:val="000000" w:themeColor="text1"/>
          <w:sz w:val="28"/>
          <w:szCs w:val="28"/>
          <w14:textFill>
            <w14:solidFill>
              <w14:schemeClr w14:val="tx1"/>
            </w14:solidFill>
          </w14:textFill>
        </w:rPr>
        <w:t>，以采购文件规定</w:t>
      </w:r>
      <w:r>
        <w:rPr>
          <w:rFonts w:ascii="仿宋_GB2312" w:hAnsi="仿宋" w:eastAsia="仿宋_GB2312" w:cs="宋体"/>
          <w:color w:val="000000" w:themeColor="text1"/>
          <w:sz w:val="28"/>
          <w:szCs w:val="28"/>
          <w14:textFill>
            <w14:solidFill>
              <w14:schemeClr w14:val="tx1"/>
            </w14:solidFill>
          </w14:textFill>
        </w:rPr>
        <w:t>的方式</w:t>
      </w:r>
      <w:r>
        <w:rPr>
          <w:rFonts w:hint="eastAsia" w:ascii="仿宋_GB2312" w:hAnsi="仿宋" w:eastAsia="仿宋_GB2312" w:cs="宋体"/>
          <w:color w:val="000000" w:themeColor="text1"/>
          <w:sz w:val="28"/>
          <w:szCs w:val="28"/>
          <w14:textFill>
            <w14:solidFill>
              <w14:schemeClr w14:val="tx1"/>
            </w14:solidFill>
          </w14:textFill>
        </w:rPr>
        <w:t>获取本项目</w:t>
      </w:r>
      <w:r>
        <w:rPr>
          <w:rFonts w:ascii="仿宋_GB2312" w:hAnsi="仿宋" w:eastAsia="仿宋_GB2312" w:cs="宋体"/>
          <w:color w:val="000000" w:themeColor="text1"/>
          <w:sz w:val="28"/>
          <w:szCs w:val="28"/>
          <w14:textFill>
            <w14:solidFill>
              <w14:schemeClr w14:val="tx1"/>
            </w14:solidFill>
          </w14:textFill>
        </w:rPr>
        <w:t>采购文件的法人、其他组织或者自然人。</w:t>
      </w:r>
    </w:p>
    <w:p w14:paraId="65D2F2A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2.4货物，是指供应商按采购文件要求，向采购人提供全新的、未使用过的各种形态和种类的物品，包括原材料、燃料、设备、产品等。</w:t>
      </w:r>
    </w:p>
    <w:p w14:paraId="68B44EE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2.5服务，是指供应商按采购文件要求，完成规定的货物供货过程中须承担的制造、运输、吊拉、安装、调试、技术协助、培训及其他各项义务。</w:t>
      </w:r>
    </w:p>
    <w:p w14:paraId="6843F5D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2.6单位负责人为同一人或者存在直接控股、管理关系的不同供应商，不得参加同一合同项下的采购活动，否则其相关报价均将被认定为</w:t>
      </w:r>
      <w:r>
        <w:rPr>
          <w:rFonts w:hint="eastAsia" w:ascii="仿宋_GB2312" w:hAnsi="仿宋" w:eastAsia="仿宋_GB2312" w:cs="宋体"/>
          <w:b/>
          <w:bCs/>
          <w:color w:val="000000" w:themeColor="text1"/>
          <w:sz w:val="28"/>
          <w:szCs w:val="28"/>
          <w14:textFill>
            <w14:solidFill>
              <w14:schemeClr w14:val="tx1"/>
            </w14:solidFill>
          </w14:textFill>
        </w:rPr>
        <w:t>无效</w:t>
      </w:r>
      <w:r>
        <w:rPr>
          <w:rFonts w:hint="eastAsia" w:ascii="仿宋_GB2312" w:hAnsi="仿宋" w:eastAsia="仿宋_GB2312" w:cs="宋体"/>
          <w:color w:val="000000" w:themeColor="text1"/>
          <w:sz w:val="28"/>
          <w:szCs w:val="28"/>
          <w14:textFill>
            <w14:solidFill>
              <w14:schemeClr w14:val="tx1"/>
            </w14:solidFill>
          </w14:textFill>
        </w:rPr>
        <w:t>。</w:t>
      </w:r>
    </w:p>
    <w:p w14:paraId="123B37F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2.7供应商在响应过程中不得向采购人提供或给予影响其正常决策行为的任何有价值物品或服务。</w:t>
      </w:r>
    </w:p>
    <w:p w14:paraId="04DE9FB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2.8供应商须对本项目指定一个项目负责人，对本项目所有事宜全程负责。未经采购人同意中途不得更换项目负责人</w:t>
      </w:r>
    </w:p>
    <w:p w14:paraId="6BA16CDE">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3.资金来源</w:t>
      </w:r>
    </w:p>
    <w:p w14:paraId="2ADA6E7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本项目的采购人已获得足以支付本次采购后所签订的合同项下的资金。</w:t>
      </w:r>
    </w:p>
    <w:p w14:paraId="18CDBCB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3.2项目预算金额和分项或分包最高限价见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27CD1292">
      <w:pPr>
        <w:snapToGrid w:val="0"/>
        <w:spacing w:line="560" w:lineRule="exact"/>
        <w:ind w:firstLine="562" w:firstLineChars="201"/>
        <w:rPr>
          <w:rFonts w:ascii="楷体_GB2312" w:hAnsi="宋体" w:eastAsia="楷体_GB2312"/>
          <w:b/>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3.3供应商报价超过采购文件规定的预算金额或者分项、分包最高限价的，其报价将被认定为</w:t>
      </w:r>
      <w:r>
        <w:rPr>
          <w:rFonts w:hint="eastAsia" w:ascii="仿宋_GB2312" w:hAnsi="仿宋" w:eastAsia="仿宋_GB2312" w:cs="宋体"/>
          <w:b/>
          <w:bCs/>
          <w:color w:val="000000" w:themeColor="text1"/>
          <w:sz w:val="28"/>
          <w:szCs w:val="28"/>
          <w14:textFill>
            <w14:solidFill>
              <w14:schemeClr w14:val="tx1"/>
            </w14:solidFill>
          </w14:textFill>
        </w:rPr>
        <w:t>无效</w:t>
      </w:r>
      <w:r>
        <w:rPr>
          <w:rFonts w:ascii="仿宋_GB2312" w:hAnsi="仿宋" w:eastAsia="仿宋_GB2312" w:cs="宋体"/>
          <w:color w:val="000000" w:themeColor="text1"/>
          <w:sz w:val="28"/>
          <w:szCs w:val="28"/>
          <w14:textFill>
            <w14:solidFill>
              <w14:schemeClr w14:val="tx1"/>
            </w14:solidFill>
          </w14:textFill>
        </w:rPr>
        <w:t>。</w:t>
      </w:r>
    </w:p>
    <w:p w14:paraId="014E21F7">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4.相关要求</w:t>
      </w:r>
    </w:p>
    <w:p w14:paraId="2D79B9A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4.1供应商应承担所有与准备和参加报价的全部费用。不论电子响应结果如何，采购人和采购代理机构均无义务和责任承担这些费用。</w:t>
      </w:r>
    </w:p>
    <w:p w14:paraId="31D4FD7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4.2本项目若涉及采购货物，则合格的货物及相应服务应满足以下要求：</w:t>
      </w:r>
    </w:p>
    <w:p w14:paraId="530D690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4.2.1必须是全新、未使用过的原装合格正品（包括零部件），如安装或配置了软件的，须为正版软件。</w:t>
      </w:r>
    </w:p>
    <w:p w14:paraId="4482439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4.2.2国产的货物及其有关服务必须符合中华人民共和国的设计和制造生产标准或行业标准。谈判公告有其他要求的，亦应符合其要求。</w:t>
      </w:r>
    </w:p>
    <w:p w14:paraId="5467A92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4.2.3进口货物及其有关服务必须符合原产地和/或中华人民共和国的设计和制造生产标准或行业标准。进口的货物必须具有合法的进口手续和途径，并通过中华人民共和国商检部门检验。谈判公告有其他要求的，亦应符合其要求。</w:t>
      </w:r>
    </w:p>
    <w:p w14:paraId="27D1514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4.2.4供应商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供应商应承担全部责任。</w:t>
      </w:r>
    </w:p>
    <w:p w14:paraId="2428D4C9">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4.3供应商应通过威海市公共资源交易网（乳山分中心）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4D77E661">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5.电子报价特别提示</w:t>
      </w:r>
    </w:p>
    <w:p w14:paraId="0BCDFC6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本项目供应商必须登录威海市公共资源交易网（乳山分中心）（</w:t>
      </w:r>
      <w:r>
        <w:rPr>
          <w:rFonts w:ascii="仿宋_GB2312" w:hAnsi="仿宋" w:eastAsia="仿宋_GB2312" w:cs="宋体"/>
          <w:color w:val="000000" w:themeColor="text1"/>
          <w:sz w:val="28"/>
          <w:szCs w:val="28"/>
          <w14:textFill>
            <w14:solidFill>
              <w14:schemeClr w14:val="tx1"/>
            </w14:solidFill>
          </w14:textFill>
        </w:rPr>
        <w:t>http://ggzyjy.weihai.cn/rushan/</w:t>
      </w:r>
      <w:r>
        <w:rPr>
          <w:rFonts w:hint="eastAsia" w:ascii="仿宋_GB2312" w:hAnsi="仿宋" w:eastAsia="仿宋_GB2312" w:cs="宋体"/>
          <w:color w:val="000000" w:themeColor="text1"/>
          <w:sz w:val="28"/>
          <w:szCs w:val="28"/>
          <w14:textFill>
            <w14:solidFill>
              <w14:schemeClr w14:val="tx1"/>
            </w14:solidFill>
          </w14:textFill>
        </w:rPr>
        <w:t>），点击右侧“交易服务一网通办系统-（新版）一网通办系统”进行注册，取得用户名和密码（已经完成注册的供应商无须重复注册）；首次注册供应商应及时在威海市公共资源交易网（乳山分中心）申请办理安全证书（CA锁）及电子签章。</w:t>
      </w:r>
    </w:p>
    <w:p w14:paraId="78586A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本项目必须</w:t>
      </w:r>
      <w:r>
        <w:rPr>
          <w:rFonts w:hint="eastAsia" w:ascii="仿宋_GB2312" w:hAnsi="仿宋" w:eastAsia="仿宋_GB2312" w:cs="宋体"/>
          <w:b/>
          <w:bCs/>
          <w:color w:val="000000" w:themeColor="text1"/>
          <w:sz w:val="28"/>
          <w:szCs w:val="28"/>
          <w14:textFill>
            <w14:solidFill>
              <w14:schemeClr w14:val="tx1"/>
            </w14:solidFill>
          </w14:textFill>
        </w:rPr>
        <w:t>网上递交响应文件</w:t>
      </w:r>
      <w:r>
        <w:rPr>
          <w:rFonts w:hint="eastAsia" w:ascii="仿宋_GB2312" w:hAnsi="仿宋" w:eastAsia="仿宋_GB2312" w:cs="宋体"/>
          <w:color w:val="000000" w:themeColor="text1"/>
          <w:sz w:val="28"/>
          <w:szCs w:val="28"/>
          <w14:textFill>
            <w14:solidFill>
              <w14:schemeClr w14:val="tx1"/>
            </w14:solidFill>
          </w14:textFill>
        </w:rPr>
        <w:t>，参与本项目报价的供应商应利用办理好的CA锁登录威海市国有企业阳光采购电子化服务平台获取采购文件、文件下载和网上报价，且安全证书（CA锁）在有效期内。</w:t>
      </w:r>
    </w:p>
    <w:p w14:paraId="72F70F1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电子响应文件的制作及提交等有关操作见本文件及威海市公共资源交易网）办事指南栏目-国企采购专区-《新版威海市国有企业阳光采购服务平台操作演示视频（供应商）》，网址: https://ggzyjy.weihai.cn/bszn/005005/20260109/315a049e-0d75-4f85-8634-00d90a843936.html。响应文件制作及系统使用咨询电话：17863029936；QQ服务群：1046971257</w:t>
      </w:r>
      <w:r>
        <w:rPr>
          <w:rFonts w:hint="eastAsia" w:ascii="仿宋_GB2312" w:hAnsi="宋体" w:eastAsia="仿宋_GB2312"/>
          <w:color w:val="000000" w:themeColor="text1"/>
          <w:sz w:val="28"/>
          <w:szCs w:val="28"/>
          <w14:textFill>
            <w14:solidFill>
              <w14:schemeClr w14:val="tx1"/>
            </w14:solidFill>
          </w14:textFill>
        </w:rPr>
        <w:t>。</w:t>
      </w:r>
    </w:p>
    <w:p w14:paraId="0B09DF9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p>
    <w:p w14:paraId="14D434D2">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BFB2B44">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5DB79469">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报价文件中的相关扫描件应保证清晰度，无法辨认的评审时受到影响的，由供应商承担相应责任。</w:t>
      </w:r>
    </w:p>
    <w:p w14:paraId="66C56FA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供应商应充分考虑到网上报价会发生的故障和风险。对发生的任何故障和风险造成供应商报价内容不一致或利益受损或报价失败的，采购人及采购代理机构不承担任何责任。</w:t>
      </w:r>
    </w:p>
    <w:p w14:paraId="3F58A4D8">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二、竞争谈判文件</w:t>
      </w:r>
    </w:p>
    <w:p w14:paraId="46B8CA23">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6.竞争谈判文件的构成</w:t>
      </w:r>
    </w:p>
    <w:p w14:paraId="3A2F681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由各包段本文件（</w:t>
      </w:r>
      <w:r>
        <w:rPr>
          <w:rFonts w:ascii="仿宋_GB2312" w:hAnsi="宋体" w:eastAsia="仿宋_GB2312"/>
          <w:color w:val="000000" w:themeColor="text1"/>
          <w:sz w:val="28"/>
          <w:szCs w:val="28"/>
          <w14:textFill>
            <w14:solidFill>
              <w14:schemeClr w14:val="tx1"/>
            </w14:solidFill>
          </w14:textFill>
        </w:rPr>
        <w:t>WORD</w:t>
      </w:r>
      <w:r>
        <w:rPr>
          <w:rFonts w:hint="eastAsia" w:ascii="仿宋_GB2312" w:hAnsi="宋体" w:eastAsia="仿宋_GB2312"/>
          <w:color w:val="000000" w:themeColor="text1"/>
          <w:sz w:val="28"/>
          <w:szCs w:val="28"/>
          <w14:textFill>
            <w14:solidFill>
              <w14:schemeClr w14:val="tx1"/>
            </w14:solidFill>
          </w14:textFill>
        </w:rPr>
        <w:t>格式）和各包段的数据文件（</w:t>
      </w:r>
      <w:r>
        <w:rPr>
          <w:rFonts w:ascii="仿宋_GB2312" w:hAnsi="宋体" w:eastAsia="仿宋_GB2312"/>
          <w:color w:val="000000" w:themeColor="text1"/>
          <w:sz w:val="28"/>
          <w:szCs w:val="28"/>
          <w14:textFill>
            <w14:solidFill>
              <w14:schemeClr w14:val="tx1"/>
            </w14:solidFill>
          </w14:textFill>
        </w:rPr>
        <w:t>EXCEL</w:t>
      </w:r>
      <w:r>
        <w:rPr>
          <w:rFonts w:hint="eastAsia" w:ascii="仿宋_GB2312" w:hAnsi="宋体" w:eastAsia="仿宋_GB2312"/>
          <w:color w:val="000000" w:themeColor="text1"/>
          <w:sz w:val="28"/>
          <w:szCs w:val="28"/>
          <w14:textFill>
            <w14:solidFill>
              <w14:schemeClr w14:val="tx1"/>
            </w14:solidFill>
          </w14:textFill>
        </w:rPr>
        <w:t>格式）构成，采用压缩包电子版文件格式提供。</w:t>
      </w:r>
    </w:p>
    <w:p w14:paraId="47BA4B1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6.1本文件（</w:t>
      </w:r>
      <w:r>
        <w:rPr>
          <w:rFonts w:ascii="仿宋_GB2312" w:hAnsi="宋体" w:eastAsia="仿宋_GB2312"/>
          <w:color w:val="000000" w:themeColor="text1"/>
          <w:sz w:val="28"/>
          <w:szCs w:val="28"/>
          <w14:textFill>
            <w14:solidFill>
              <w14:schemeClr w14:val="tx1"/>
            </w14:solidFill>
          </w14:textFill>
        </w:rPr>
        <w:t>WORD</w:t>
      </w:r>
      <w:r>
        <w:rPr>
          <w:rFonts w:hint="eastAsia" w:ascii="仿宋_GB2312" w:hAnsi="宋体" w:eastAsia="仿宋_GB2312"/>
          <w:color w:val="000000" w:themeColor="text1"/>
          <w:sz w:val="28"/>
          <w:szCs w:val="28"/>
          <w14:textFill>
            <w14:solidFill>
              <w14:schemeClr w14:val="tx1"/>
            </w14:solidFill>
          </w14:textFill>
        </w:rPr>
        <w:t>格式）由下列文件组成：</w:t>
      </w:r>
    </w:p>
    <w:p w14:paraId="50DEDB4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（1）采购公告</w:t>
      </w:r>
    </w:p>
    <w:p w14:paraId="108E7E7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（2）响应须知</w:t>
      </w:r>
    </w:p>
    <w:p w14:paraId="459789D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（3）采购内容与要求</w:t>
      </w:r>
    </w:p>
    <w:p w14:paraId="6190677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（4）评审原则和方法</w:t>
      </w:r>
    </w:p>
    <w:p w14:paraId="7BDEBA1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（5）投标（响应）文件格式</w:t>
      </w:r>
    </w:p>
    <w:p w14:paraId="2A96E1F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（6）采购合同（范本）</w:t>
      </w:r>
    </w:p>
    <w:p w14:paraId="7967D59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（7）在采购过程中由采购人或采购代理机构发出的修正和补充文件等(如有）</w:t>
      </w:r>
    </w:p>
    <w:p w14:paraId="1F7ABEC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6.2数据文件（</w:t>
      </w:r>
      <w:r>
        <w:rPr>
          <w:rFonts w:ascii="仿宋_GB2312" w:hAnsi="宋体" w:eastAsia="仿宋_GB2312"/>
          <w:color w:val="000000" w:themeColor="text1"/>
          <w:sz w:val="28"/>
          <w:szCs w:val="28"/>
          <w14:textFill>
            <w14:solidFill>
              <w14:schemeClr w14:val="tx1"/>
            </w14:solidFill>
          </w14:textFill>
        </w:rPr>
        <w:t>EXCEL</w:t>
      </w:r>
      <w:r>
        <w:rPr>
          <w:rFonts w:hint="eastAsia" w:ascii="仿宋_GB2312" w:hAnsi="宋体" w:eastAsia="仿宋_GB2312"/>
          <w:color w:val="000000" w:themeColor="text1"/>
          <w:sz w:val="28"/>
          <w:szCs w:val="28"/>
          <w14:textFill>
            <w14:solidFill>
              <w14:schemeClr w14:val="tx1"/>
            </w14:solidFill>
          </w14:textFill>
        </w:rPr>
        <w:t>格式）由下列文件组成：</w:t>
      </w:r>
    </w:p>
    <w:p w14:paraId="42F6A58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（1）封面</w:t>
      </w:r>
    </w:p>
    <w:p w14:paraId="0B37EFF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（2）投标报价表</w:t>
      </w:r>
    </w:p>
    <w:p w14:paraId="7BFE007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（3）需求响应表（如有）</w:t>
      </w:r>
    </w:p>
    <w:p w14:paraId="5A63D8D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（4）评审对照表</w:t>
      </w:r>
    </w:p>
    <w:p w14:paraId="4382E8F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（5）评分对照表</w:t>
      </w:r>
    </w:p>
    <w:p w14:paraId="102FB69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6.3供应商应认真阅读采购文件中所有的事项、格式、条款和技术规范、参数及要求等，如果供应商没有按照采购文件要求提交全部资料，或者供应商没有对采购文件在各方面都做出实质性响应，</w:t>
      </w:r>
      <w:r>
        <w:rPr>
          <w:rFonts w:hint="eastAsia" w:ascii="仿宋_GB2312" w:hAnsi="仿宋" w:eastAsia="仿宋_GB2312" w:cs="宋体"/>
          <w:b/>
          <w:bCs/>
          <w:color w:val="000000" w:themeColor="text1"/>
          <w:sz w:val="28"/>
          <w:szCs w:val="28"/>
          <w14:textFill>
            <w14:solidFill>
              <w14:schemeClr w14:val="tx1"/>
            </w14:solidFill>
          </w14:textFill>
        </w:rPr>
        <w:t>其风险应由供应商自行承担并根据有关政策和条款规定</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其响应有可能被拒绝，或者被认定为</w:t>
      </w:r>
      <w:r>
        <w:rPr>
          <w:rFonts w:hint="eastAsia" w:ascii="仿宋_GB2312" w:hAnsi="宋体" w:eastAsia="仿宋_GB2312"/>
          <w:b/>
          <w:color w:val="000000" w:themeColor="text1"/>
          <w:sz w:val="28"/>
          <w:szCs w:val="28"/>
          <w14:textFill>
            <w14:solidFill>
              <w14:schemeClr w14:val="tx1"/>
            </w14:solidFill>
          </w14:textFill>
        </w:rPr>
        <w:t>无效</w:t>
      </w:r>
      <w:r>
        <w:rPr>
          <w:rFonts w:hint="eastAsia" w:ascii="仿宋_GB2312" w:hAnsi="仿宋" w:eastAsia="仿宋_GB2312" w:cs="宋体"/>
          <w:b/>
          <w:color w:val="000000" w:themeColor="text1"/>
          <w:sz w:val="28"/>
          <w:szCs w:val="28"/>
          <w14:textFill>
            <w14:solidFill>
              <w14:schemeClr w14:val="tx1"/>
            </w14:solidFill>
          </w14:textFill>
        </w:rPr>
        <w:t>投标（响应）</w:t>
      </w:r>
      <w:r>
        <w:rPr>
          <w:rFonts w:hint="eastAsia" w:ascii="仿宋_GB2312" w:hAnsi="宋体" w:eastAsia="仿宋_GB2312"/>
          <w:color w:val="000000" w:themeColor="text1"/>
          <w:sz w:val="28"/>
          <w:szCs w:val="28"/>
          <w14:textFill>
            <w14:solidFill>
              <w14:schemeClr w14:val="tx1"/>
            </w14:solidFill>
          </w14:textFill>
        </w:rPr>
        <w:t>。</w:t>
      </w:r>
    </w:p>
    <w:p w14:paraId="117D033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w:t>
      </w:r>
      <w:r>
        <w:rPr>
          <w:rFonts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s="宋体"/>
          <w:color w:val="000000" w:themeColor="text1"/>
          <w:sz w:val="28"/>
          <w:szCs w:val="28"/>
          <w14:textFill>
            <w14:solidFill>
              <w14:schemeClr w14:val="tx1"/>
            </w14:solidFill>
          </w14:textFill>
        </w:rPr>
        <w:t>4采购文件</w:t>
      </w:r>
      <w:r>
        <w:rPr>
          <w:rFonts w:ascii="仿宋_GB2312" w:hAnsi="仿宋" w:eastAsia="仿宋_GB2312" w:cs="宋体"/>
          <w:color w:val="000000" w:themeColor="text1"/>
          <w:sz w:val="28"/>
          <w:szCs w:val="28"/>
          <w14:textFill>
            <w14:solidFill>
              <w14:schemeClr w14:val="tx1"/>
            </w14:solidFill>
          </w14:textFill>
        </w:rPr>
        <w:t>中有不一致的，有澄清的部分</w:t>
      </w:r>
      <w:r>
        <w:rPr>
          <w:rFonts w:hint="eastAsia" w:ascii="仿宋_GB2312" w:hAnsi="仿宋" w:eastAsia="仿宋_GB2312" w:cs="宋体"/>
          <w:color w:val="000000" w:themeColor="text1"/>
          <w:sz w:val="28"/>
          <w:szCs w:val="28"/>
          <w14:textFill>
            <w14:solidFill>
              <w14:schemeClr w14:val="tx1"/>
            </w14:solidFill>
          </w14:textFill>
        </w:rPr>
        <w:t>以</w:t>
      </w:r>
      <w:r>
        <w:rPr>
          <w:rFonts w:ascii="仿宋_GB2312" w:hAnsi="仿宋" w:eastAsia="仿宋_GB2312" w:cs="宋体"/>
          <w:color w:val="000000" w:themeColor="text1"/>
          <w:sz w:val="28"/>
          <w:szCs w:val="28"/>
          <w14:textFill>
            <w14:solidFill>
              <w14:schemeClr w14:val="tx1"/>
            </w14:solidFill>
          </w14:textFill>
        </w:rPr>
        <w:t>最终的澄清更正内容为准</w:t>
      </w:r>
      <w:r>
        <w:rPr>
          <w:rFonts w:hint="eastAsia" w:ascii="仿宋_GB2312" w:hAnsi="仿宋" w:eastAsia="仿宋_GB2312" w:cs="宋体"/>
          <w:color w:val="000000" w:themeColor="text1"/>
          <w:sz w:val="28"/>
          <w:szCs w:val="28"/>
          <w14:textFill>
            <w14:solidFill>
              <w14:schemeClr w14:val="tx1"/>
            </w14:solidFill>
          </w14:textFill>
        </w:rPr>
        <w:t>；未澄清的，</w:t>
      </w:r>
      <w:r>
        <w:rPr>
          <w:rFonts w:ascii="仿宋_GB2312" w:hAnsi="仿宋" w:eastAsia="仿宋_GB2312" w:cs="宋体"/>
          <w:color w:val="000000" w:themeColor="text1"/>
          <w:sz w:val="28"/>
          <w:szCs w:val="28"/>
          <w14:textFill>
            <w14:solidFill>
              <w14:schemeClr w14:val="tx1"/>
            </w14:solidFill>
          </w14:textFill>
        </w:rPr>
        <w:t>以</w:t>
      </w:r>
      <w:r>
        <w:rPr>
          <w:rFonts w:ascii="仿宋_GB2312" w:hAnsi="仿宋" w:eastAsia="仿宋_GB2312" w:cs="宋体"/>
          <w:color w:val="000000" w:themeColor="text1"/>
          <w:sz w:val="28"/>
          <w:szCs w:val="28"/>
          <w:u w:val="single"/>
          <w14:textFill>
            <w14:solidFill>
              <w14:schemeClr w14:val="tx1"/>
            </w14:solidFill>
          </w14:textFill>
        </w:rPr>
        <w:t>响应须知前附表</w:t>
      </w:r>
      <w:r>
        <w:rPr>
          <w:rFonts w:ascii="仿宋_GB2312" w:hAnsi="仿宋" w:eastAsia="仿宋_GB2312" w:cs="宋体"/>
          <w:color w:val="000000" w:themeColor="text1"/>
          <w:sz w:val="28"/>
          <w:szCs w:val="28"/>
          <w14:textFill>
            <w14:solidFill>
              <w14:schemeClr w14:val="tx1"/>
            </w14:solidFill>
          </w14:textFill>
        </w:rPr>
        <w:t>为准</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不涉及的内容，以编排在后的描述为准。</w:t>
      </w:r>
    </w:p>
    <w:p w14:paraId="03F23E7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6.5采购文件以中文编印，且以中文为准。</w:t>
      </w:r>
    </w:p>
    <w:p w14:paraId="7F520B2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6.6除非有特殊要求，采购文件不单独提供采购货物使用地的自然环境、气候条件、公用设施等情况，供应商被视为熟悉上述与履行合同有关的一切情况。</w:t>
      </w:r>
    </w:p>
    <w:p w14:paraId="0982C76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6.7除采购文件中另有规定外，采购文件所使用的时间单位“天”、“日”均指日历天，且所有时刻均为北京时间。</w:t>
      </w:r>
    </w:p>
    <w:p w14:paraId="7928E4E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6.8参与本次采购活动的各方应对采购文件和响应文件中的商业和技术等秘密保密，违者应对由此造成的后果承担法律责任。</w:t>
      </w:r>
    </w:p>
    <w:p w14:paraId="30E16E7F">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7.竞争谈判文件的澄清</w:t>
      </w:r>
    </w:p>
    <w:p w14:paraId="5358C13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7.1供应商在收到谈判文件后，对谈判文件若有任何疑问或要求澄清谈判文件的，应在有效期内按“</w:t>
      </w:r>
      <w:r>
        <w:rPr>
          <w:rFonts w:hint="eastAsia" w:ascii="仿宋_GB2312" w:hAnsi="宋体" w:eastAsia="仿宋_GB2312"/>
          <w:color w:val="000000" w:themeColor="text1"/>
          <w:sz w:val="28"/>
          <w:szCs w:val="28"/>
          <w:u w:val="single"/>
          <w14:textFill>
            <w14:solidFill>
              <w14:schemeClr w14:val="tx1"/>
            </w14:solidFill>
          </w14:textFill>
        </w:rPr>
        <w:t>响应须知前附表</w:t>
      </w:r>
      <w:r>
        <w:rPr>
          <w:rFonts w:hint="eastAsia" w:ascii="仿宋_GB2312" w:hAnsi="宋体" w:eastAsia="仿宋_GB2312"/>
          <w:color w:val="000000" w:themeColor="text1"/>
          <w:sz w:val="28"/>
          <w:szCs w:val="28"/>
          <w14:textFill>
            <w14:solidFill>
              <w14:schemeClr w14:val="tx1"/>
            </w14:solidFill>
          </w14:textFill>
        </w:rPr>
        <w:t>”第四项向采购代理机构提出，必要时采购代理机构将协助采购人组织所有获取采购文件的供应商举行答疑会，采购代理机构根据需要主动对谈判文件进行必要的澄清或根据供应商的要求对谈判文件做出澄清，都将以原网站公开发布形式（包括电子交易系统推送）答复或发送给所有供应商。澄清文件作为谈判文件的组成部分，对供应商起约束作用。</w:t>
      </w:r>
    </w:p>
    <w:p w14:paraId="0EF88AC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7.2供应商在规定的时间内未对谈判文件澄清或提出疑问的，采购代理机构将视其为接受谈判文件的所有条款，对谈判文件没有异议，此后也不再受理对谈判文件的相关质疑。</w:t>
      </w:r>
    </w:p>
    <w:p w14:paraId="6FF1F366">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8.竞争谈判文件的修改</w:t>
      </w:r>
    </w:p>
    <w:p w14:paraId="301385D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w:t>
      </w:r>
      <w:r>
        <w:rPr>
          <w:rFonts w:ascii="仿宋_GB2312" w:hAnsi="宋体" w:eastAsia="仿宋_GB2312"/>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 xml:space="preserve"> 在响应截止时间5日以前，无论出于何种原因，采购人或采购代理机构可主动或在解答供应商提出的疑问时对谈判文件进行修改。</w:t>
      </w:r>
    </w:p>
    <w:p w14:paraId="7802779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8.2 修改后的内容是谈判文件的组成部分，采购人、采购代理机构将会通过 “威海市公共资源交易网（乳山分中心）”，以更正公告形式（电子交易系统发送更正提醒通知）一并告知所有潜在供应商，并对潜在供应商具有约束力。潜在供应商在收到上述通知后，应立即以书面形式向采购代理机构或采购人确认，如在24小时内无书面回函则视为同意修改内容，并有义务履行相应的义务。</w:t>
      </w:r>
      <w:r>
        <w:rPr>
          <w:rFonts w:hint="eastAsia" w:ascii="仿宋_GB2312" w:hAnsi="仿宋" w:eastAsia="仿宋_GB2312" w:cs="宋体"/>
          <w:color w:val="000000" w:themeColor="text1"/>
          <w:sz w:val="28"/>
          <w:szCs w:val="28"/>
          <w14:textFill>
            <w14:solidFill>
              <w14:schemeClr w14:val="tx1"/>
            </w14:solidFill>
          </w14:textFill>
        </w:rPr>
        <w:t>因潜在供应商原因或通讯线路故障导致逾期送达或无法送达，采购代理机构不因此承担任何责任，有关的采购活动可以继续有效进行。</w:t>
      </w:r>
    </w:p>
    <w:p w14:paraId="11B40BE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8.3 澄清或者修改的内容可能影响响应文件编制的，采购人或采购代理机构将在响应截止时间5日前，通过原网站发布公告的形式（电子交易系统内发送更正提醒通知）通知所有获取谈判文件的潜在供应商（采购文件变更的，供应商必须从电子交易系统中重新下载采购文件，并在新下载文件的基础上编制响应文件）；不足5日的，采购人或者采购代理机构将顺延提交响应文件的截止时间。</w:t>
      </w:r>
    </w:p>
    <w:p w14:paraId="433910DB">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三、响应文件的编制</w:t>
      </w:r>
    </w:p>
    <w:p w14:paraId="7F48720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须提交两阶段响应文件，分别包括第一阶段响应文件、第二阶段响应文件（采购人实质性变动采购要求的情况下编制）。第一阶段提交首次响应文件，文件由资质、技术及商务和报价四部分组成。第二阶段按照谈判文件的变动情况和谈判小组的要求重新提交响应文件，并由其法定代表人（签章）或被授权人签字或者加盖公章。由被授权人签字的，应当附法定代表人授权书。供应商为自然人的，应当由本人签字并附身份证明。</w:t>
      </w:r>
    </w:p>
    <w:p w14:paraId="194B79E5">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9.响应文件编制要求</w:t>
      </w:r>
    </w:p>
    <w:p w14:paraId="7F9009B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9.1供应商编写的文件和往来信件应以简体中文书写。如果响应文件或与响应有关的其它文件、信件及来往函电以其它语言书写的，供应商应将其译成中文，如未翻译该文件为无效文件。</w:t>
      </w:r>
    </w:p>
    <w:p w14:paraId="53D10B1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9.2响应文件中使用的计量单位应使用中华人民共和国法定计量单位。</w:t>
      </w:r>
    </w:p>
    <w:p w14:paraId="15A457B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9.3供应商必须保证响应文件所提供的全部资料真实可靠，并接受采购人或采购代理机构对其中任何资料进一步核实的要求。如果因为响应文件填报的内容不详，或没有提供竞争谈判中所要求的全部资料及数据，或提供虚假文件，由此造成的后果由供应商自负。</w:t>
      </w:r>
    </w:p>
    <w:p w14:paraId="5CC6BF5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9.4供应商应按谈判文件中提供的响应文件格式（详见第五章 投标（响应）文件格式）按包段编写响应文件，并使用A4规格编制。响应文件应编写目录，具有结构清晰的文档结构图（打开word视图中的“文档结构图”后能看到详细章节），页码连续。</w:t>
      </w:r>
    </w:p>
    <w:p w14:paraId="4FA6F94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9.5供应商按照竞争谈判要求所提供的各种证明文件必须真实且合法有效,经扫描后粘贴到响应文件的相关页上，确保清晰度可辨认，评审时由于无法辨认所产生的后果，由供应商自行承担。</w:t>
      </w:r>
    </w:p>
    <w:p w14:paraId="53B59A4A">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9.6供应商应自行确保本文件的内容已充分覆盖了数据文件中《评审对照表》和《评分对照表(如有)》中的各项要求，并准确将对应的起止页码填写到数据文件《评审对照表》、《评分对照表(如有)》表格中每项后的起始页码和终止页码栏位上。对于不涉及或无法填写的评审项（评分项）（例如：报价），可在页码索引处填写1。</w:t>
      </w:r>
    </w:p>
    <w:p w14:paraId="78ECFAF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9.7为了保证系统整体效率，系统对所投递的电子文件有大小的限制，因此，供应商应尽可能降低本文件的大小，小尺寸响应文件将使递交更快捷、减少差错发生几率，避免响应截止时间前未能完整上传文件。</w:t>
      </w:r>
    </w:p>
    <w:p w14:paraId="3665FAF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9.8响应文件具有法律效力，供应商与采购代理机构或采购人任何人的口头协议不影响响应文件的任何条款和内容。</w:t>
      </w:r>
    </w:p>
    <w:p w14:paraId="015A29D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w:t>
      </w:r>
      <w:r>
        <w:rPr>
          <w:rFonts w:hint="eastAsia" w:ascii="仿宋_GB2312" w:hAnsi="仿宋" w:eastAsia="仿宋_GB2312" w:cs="宋体"/>
          <w:color w:val="000000" w:themeColor="text1"/>
          <w:sz w:val="28"/>
          <w:szCs w:val="28"/>
          <w14:textFill>
            <w14:solidFill>
              <w14:schemeClr w14:val="tx1"/>
            </w14:solidFill>
          </w14:textFill>
        </w:rPr>
        <w:t>.9供应商应自行承担其准备和参加报价活动发生的所有费用。不论结果如何，采购人及采购代理机构在任何情况下无义务也无责任承担这些费用。</w:t>
      </w:r>
    </w:p>
    <w:p w14:paraId="7B0472A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9.10采购人或采购代理机构均无义务向供应商解释其成交或未成交的原因，且无论供应商是否成交，供应商所递交的响应文件均不予退还，不提供副本拷贝。</w:t>
      </w:r>
    </w:p>
    <w:p w14:paraId="74AF3E11">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10.数据文件编制要求</w:t>
      </w:r>
    </w:p>
    <w:p w14:paraId="01ED0FF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10.1供应商须从所报项目的竞争谈判文件压缩包内对应包段目录下获取本文件（变更后的数据文件需要重新下载），必须在原文件上严格按照其中要求填写，其内部已约定好固定格式和相关内容，且带有特定的唯一性数字指纹，</w:t>
      </w:r>
      <w:r>
        <w:rPr>
          <w:rFonts w:ascii="仿宋_GB2312" w:hAnsi="仿宋" w:eastAsia="仿宋_GB2312" w:cs="宋体"/>
          <w:color w:val="000000" w:themeColor="text1"/>
          <w:sz w:val="28"/>
          <w:szCs w:val="28"/>
          <w14:textFill>
            <w14:solidFill>
              <w14:schemeClr w14:val="tx1"/>
            </w14:solidFill>
          </w14:textFill>
        </w:rPr>
        <w:t>必须在原表上填写，</w:t>
      </w:r>
      <w:r>
        <w:rPr>
          <w:rFonts w:hint="eastAsia" w:ascii="仿宋_GB2312" w:hAnsi="仿宋" w:eastAsia="仿宋_GB2312" w:cs="宋体"/>
          <w:color w:val="000000" w:themeColor="text1"/>
          <w:sz w:val="28"/>
          <w:szCs w:val="28"/>
          <w14:textFill>
            <w14:solidFill>
              <w14:schemeClr w14:val="tx1"/>
            </w14:solidFill>
          </w14:textFill>
        </w:rPr>
        <w:t>对采用非该文件基础上编制或对该文件进行任何工作表、表格行、表格列的增减</w:t>
      </w:r>
      <w:r>
        <w:rPr>
          <w:rFonts w:ascii="Calibri" w:hAnsi="Calibri" w:eastAsia="仿宋_GB2312" w:cs="宋体"/>
          <w:color w:val="000000" w:themeColor="text1"/>
          <w:sz w:val="28"/>
          <w:szCs w:val="28"/>
          <w14:textFill>
            <w14:solidFill>
              <w14:schemeClr w14:val="tx1"/>
            </w14:solidFill>
          </w14:textFill>
        </w:rPr>
        <w:t>、对工作表先后顺序的变动，</w:t>
      </w:r>
      <w:r>
        <w:rPr>
          <w:rFonts w:hint="eastAsia" w:ascii="仿宋_GB2312" w:hAnsi="仿宋" w:eastAsia="仿宋_GB2312" w:cs="宋体"/>
          <w:color w:val="000000" w:themeColor="text1"/>
          <w:sz w:val="28"/>
          <w:szCs w:val="28"/>
          <w14:textFill>
            <w14:solidFill>
              <w14:schemeClr w14:val="tx1"/>
            </w14:solidFill>
          </w14:textFill>
        </w:rPr>
        <w:t>以及对锁定区域内的数据进行更改、</w:t>
      </w:r>
      <w:r>
        <w:rPr>
          <w:rFonts w:hint="eastAsia" w:ascii="仿宋_GB2312" w:hAnsi="仿宋" w:eastAsia="仿宋_GB2312" w:cs="宋体"/>
          <w:b/>
          <w:color w:val="000000" w:themeColor="text1"/>
          <w:sz w:val="28"/>
          <w:szCs w:val="28"/>
          <w14:textFill>
            <w14:solidFill>
              <w14:schemeClr w14:val="tx1"/>
            </w14:solidFill>
          </w14:textFill>
        </w:rPr>
        <w:t>文件另存到其他文件</w:t>
      </w:r>
      <w:r>
        <w:rPr>
          <w:rFonts w:hint="eastAsia" w:ascii="仿宋_GB2312" w:hAnsi="仿宋" w:eastAsia="仿宋_GB2312" w:cs="宋体"/>
          <w:color w:val="000000" w:themeColor="text1"/>
          <w:sz w:val="28"/>
          <w:szCs w:val="28"/>
          <w14:textFill>
            <w14:solidFill>
              <w14:schemeClr w14:val="tx1"/>
            </w14:solidFill>
          </w14:textFill>
        </w:rPr>
        <w:t>等违规性操作</w:t>
      </w:r>
      <w:r>
        <w:rPr>
          <w:rFonts w:hint="eastAsia" w:ascii="仿宋_GB2312" w:hAnsi="宋体" w:eastAsia="仿宋_GB2312"/>
          <w:color w:val="000000" w:themeColor="text1"/>
          <w:sz w:val="28"/>
          <w:szCs w:val="28"/>
          <w14:textFill>
            <w14:solidFill>
              <w14:schemeClr w14:val="tx1"/>
            </w14:solidFill>
          </w14:textFill>
        </w:rPr>
        <w:t>，都会破坏本文件中的数字指纹，导致系统无法接收该文件使其响应失败。</w:t>
      </w:r>
    </w:p>
    <w:p w14:paraId="7E8AE91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10.2供应商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宋体" w:eastAsia="仿宋_GB2312"/>
          <w:b/>
          <w:color w:val="000000" w:themeColor="text1"/>
          <w:sz w:val="28"/>
          <w:szCs w:val="28"/>
          <w14:textFill>
            <w14:solidFill>
              <w14:schemeClr w14:val="tx1"/>
            </w14:solidFill>
          </w14:textFill>
        </w:rPr>
        <w:t>响应失败</w:t>
      </w:r>
      <w:r>
        <w:rPr>
          <w:rFonts w:hint="eastAsia" w:ascii="仿宋_GB2312" w:hAnsi="宋体" w:eastAsia="仿宋_GB2312"/>
          <w:color w:val="000000" w:themeColor="text1"/>
          <w:sz w:val="28"/>
          <w:szCs w:val="28"/>
          <w14:textFill>
            <w14:solidFill>
              <w14:schemeClr w14:val="tx1"/>
            </w14:solidFill>
          </w14:textFill>
        </w:rPr>
        <w:t>。</w:t>
      </w:r>
    </w:p>
    <w:p w14:paraId="321E3B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10</w:t>
      </w:r>
      <w:r>
        <w:rPr>
          <w:rFonts w:hint="eastAsia" w:ascii="仿宋_GB2312" w:hAnsi="仿宋" w:eastAsia="仿宋_GB2312" w:cs="宋体"/>
          <w:color w:val="000000" w:themeColor="text1"/>
          <w:sz w:val="28"/>
          <w:szCs w:val="28"/>
          <w14:textFill>
            <w14:solidFill>
              <w14:schemeClr w14:val="tx1"/>
            </w14:solidFill>
          </w14:textFill>
        </w:rPr>
        <w:t>.3供应商在对数据文件电子签章前，应按照上述2项的要求进行认真检查、确认。因供应商自身原因所导致其报价失败的，须自行承担相关责任。</w:t>
      </w:r>
    </w:p>
    <w:p w14:paraId="4CD9D9F9">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11.文件构成</w:t>
      </w:r>
    </w:p>
    <w:p w14:paraId="5C8C137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供应商应按不同包段分别编制响应文件，每个包段的响应文件必须包括：响应文件（pdf格式）（第一册）、数据文件（PDF格式）（第二册），以上内容缺一不可，否则为</w:t>
      </w:r>
      <w:r>
        <w:rPr>
          <w:rFonts w:hint="eastAsia" w:ascii="仿宋_GB2312" w:hAnsi="宋体" w:eastAsia="仿宋_GB2312"/>
          <w:b/>
          <w:color w:val="000000" w:themeColor="text1"/>
          <w:sz w:val="28"/>
          <w:szCs w:val="28"/>
          <w14:textFill>
            <w14:solidFill>
              <w14:schemeClr w14:val="tx1"/>
            </w14:solidFill>
          </w14:textFill>
        </w:rPr>
        <w:t>无效响应</w:t>
      </w:r>
      <w:r>
        <w:rPr>
          <w:rFonts w:hint="eastAsia" w:ascii="仿宋_GB2312" w:hAnsi="宋体" w:eastAsia="仿宋_GB2312"/>
          <w:color w:val="000000" w:themeColor="text1"/>
          <w:sz w:val="28"/>
          <w:szCs w:val="28"/>
          <w14:textFill>
            <w14:solidFill>
              <w14:schemeClr w14:val="tx1"/>
            </w14:solidFill>
          </w14:textFill>
        </w:rPr>
        <w:t>。</w:t>
      </w:r>
    </w:p>
    <w:p w14:paraId="04D3157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11.1供应商编制的响应文件（pdf格式）（第一册）应包括但不少于下列内容：</w:t>
      </w:r>
    </w:p>
    <w:p w14:paraId="30EC602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（1）响应文件封面（格式见</w:t>
      </w:r>
      <w:r>
        <w:rPr>
          <w:rFonts w:hint="eastAsia" w:ascii="仿宋_GB2312" w:hAnsi="仿宋" w:eastAsia="仿宋_GB2312" w:cs="宋体"/>
          <w:color w:val="000000" w:themeColor="text1"/>
          <w:sz w:val="28"/>
          <w:szCs w:val="28"/>
          <w14:textFill>
            <w14:solidFill>
              <w14:schemeClr w14:val="tx1"/>
            </w14:solidFill>
          </w14:textFill>
        </w:rPr>
        <w:t>本文件第五章</w:t>
      </w:r>
      <w:r>
        <w:rPr>
          <w:rFonts w:hint="eastAsia" w:ascii="仿宋_GB2312" w:hAnsi="宋体" w:eastAsia="仿宋_GB2312"/>
          <w:color w:val="000000" w:themeColor="text1"/>
          <w:sz w:val="28"/>
          <w:szCs w:val="28"/>
          <w14:textFill>
            <w14:solidFill>
              <w14:schemeClr w14:val="tx1"/>
            </w14:solidFill>
          </w14:textFill>
        </w:rPr>
        <w:t>）</w:t>
      </w:r>
    </w:p>
    <w:p w14:paraId="7730DEA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（2）响应文件目录（格式见</w:t>
      </w:r>
      <w:r>
        <w:rPr>
          <w:rFonts w:hint="eastAsia" w:ascii="仿宋_GB2312" w:hAnsi="仿宋" w:eastAsia="仿宋_GB2312" w:cs="宋体"/>
          <w:color w:val="000000" w:themeColor="text1"/>
          <w:sz w:val="28"/>
          <w:szCs w:val="28"/>
          <w14:textFill>
            <w14:solidFill>
              <w14:schemeClr w14:val="tx1"/>
            </w14:solidFill>
          </w14:textFill>
        </w:rPr>
        <w:t>本文件第五章</w:t>
      </w:r>
      <w:r>
        <w:rPr>
          <w:rFonts w:hint="eastAsia" w:ascii="仿宋_GB2312" w:hAnsi="宋体" w:eastAsia="仿宋_GB2312"/>
          <w:color w:val="000000" w:themeColor="text1"/>
          <w:sz w:val="28"/>
          <w:szCs w:val="28"/>
          <w14:textFill>
            <w14:solidFill>
              <w14:schemeClr w14:val="tx1"/>
            </w14:solidFill>
          </w14:textFill>
        </w:rPr>
        <w:t>）</w:t>
      </w:r>
    </w:p>
    <w:p w14:paraId="28D99E0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（3）报价承诺函（格式见</w:t>
      </w:r>
      <w:r>
        <w:rPr>
          <w:rFonts w:hint="eastAsia" w:ascii="仿宋_GB2312" w:hAnsi="仿宋" w:eastAsia="仿宋_GB2312" w:cs="宋体"/>
          <w:color w:val="000000" w:themeColor="text1"/>
          <w:sz w:val="28"/>
          <w:szCs w:val="28"/>
          <w14:textFill>
            <w14:solidFill>
              <w14:schemeClr w14:val="tx1"/>
            </w14:solidFill>
          </w14:textFill>
        </w:rPr>
        <w:t>本文件第五章</w:t>
      </w:r>
      <w:r>
        <w:rPr>
          <w:rFonts w:hint="eastAsia" w:ascii="仿宋_GB2312" w:hAnsi="宋体" w:eastAsia="仿宋_GB2312"/>
          <w:color w:val="000000" w:themeColor="text1"/>
          <w:sz w:val="28"/>
          <w:szCs w:val="28"/>
          <w14:textFill>
            <w14:solidFill>
              <w14:schemeClr w14:val="tx1"/>
            </w14:solidFill>
          </w14:textFill>
        </w:rPr>
        <w:t>）</w:t>
      </w:r>
    </w:p>
    <w:p w14:paraId="3F8F6C3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（4）供应商信用承诺书（格式见</w:t>
      </w:r>
      <w:r>
        <w:rPr>
          <w:rFonts w:hint="eastAsia" w:ascii="仿宋_GB2312" w:hAnsi="仿宋" w:eastAsia="仿宋_GB2312" w:cs="宋体"/>
          <w:color w:val="000000" w:themeColor="text1"/>
          <w:sz w:val="28"/>
          <w:szCs w:val="28"/>
          <w14:textFill>
            <w14:solidFill>
              <w14:schemeClr w14:val="tx1"/>
            </w14:solidFill>
          </w14:textFill>
        </w:rPr>
        <w:t>本文件第五章</w:t>
      </w:r>
      <w:r>
        <w:rPr>
          <w:rFonts w:hint="eastAsia" w:ascii="仿宋_GB2312" w:hAnsi="宋体" w:eastAsia="仿宋_GB2312"/>
          <w:color w:val="000000" w:themeColor="text1"/>
          <w:sz w:val="28"/>
          <w:szCs w:val="28"/>
          <w14:textFill>
            <w14:solidFill>
              <w14:schemeClr w14:val="tx1"/>
            </w14:solidFill>
          </w14:textFill>
        </w:rPr>
        <w:t>）</w:t>
      </w:r>
    </w:p>
    <w:p w14:paraId="7C36A03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（5）供应商资格证明文件</w:t>
      </w:r>
    </w:p>
    <w:p w14:paraId="56AD46F4">
      <w:pPr>
        <w:snapToGrid w:val="0"/>
        <w:spacing w:line="560" w:lineRule="exact"/>
        <w:ind w:firstLine="562" w:firstLineChars="201"/>
        <w:rPr>
          <w:rFonts w:hint="eastAsia" w:ascii="仿宋_GB2312" w:hAnsi="宋体" w:eastAsia="仿宋_GB2312"/>
          <w:color w:val="000000" w:themeColor="text1"/>
          <w:sz w:val="28"/>
          <w:szCs w:val="28"/>
          <w:lang w:eastAsia="zh-CN"/>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①</w:t>
      </w:r>
      <w:r>
        <w:rPr>
          <w:rFonts w:hint="eastAsia" w:ascii="仿宋_GB2312" w:hAnsi="宋体" w:eastAsia="仿宋_GB2312"/>
          <w:color w:val="000000" w:themeColor="text1"/>
          <w:sz w:val="28"/>
          <w:szCs w:val="28"/>
          <w:lang w:eastAsia="zh-CN"/>
          <w14:textFill>
            <w14:solidFill>
              <w14:schemeClr w14:val="tx1"/>
            </w14:solidFill>
          </w14:textFill>
        </w:rPr>
        <w:t>法人或其他组织的营业执照等证明文件扫描件；</w:t>
      </w:r>
    </w:p>
    <w:p w14:paraId="5087EAE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②法定代表人授权委托书；被授权人身份证扫描件；</w:t>
      </w:r>
    </w:p>
    <w:p w14:paraId="094BD88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若响应单位代表为企业法定代表人/单位负责人的，则只需提供企业法定代表人/单位负责人身份证扫描件；</w:t>
      </w:r>
    </w:p>
    <w:p w14:paraId="3DBF158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③具有电力工程</w:t>
      </w:r>
      <w:r>
        <w:rPr>
          <w:rFonts w:hint="eastAsia" w:ascii="仿宋_GB2312" w:hAnsi="宋体" w:eastAsia="仿宋_GB2312"/>
          <w:color w:val="000000" w:themeColor="text1"/>
          <w:sz w:val="28"/>
          <w:szCs w:val="28"/>
          <w:lang w:eastAsia="zh-CN"/>
          <w14:textFill>
            <w14:solidFill>
              <w14:schemeClr w14:val="tx1"/>
            </w14:solidFill>
          </w14:textFill>
        </w:rPr>
        <w:t>施工总承包三级</w:t>
      </w:r>
      <w:r>
        <w:rPr>
          <w:rFonts w:ascii="仿宋_GB2312" w:hAnsi="宋体" w:eastAsia="仿宋_GB2312"/>
          <w:color w:val="000000" w:themeColor="text1"/>
          <w:sz w:val="28"/>
          <w:szCs w:val="28"/>
          <w14:textFill>
            <w14:solidFill>
              <w14:schemeClr w14:val="tx1"/>
            </w14:solidFill>
          </w14:textFill>
        </w:rPr>
        <w:t>及以上资质，同时具有</w:t>
      </w:r>
      <w:r>
        <w:rPr>
          <w:rFonts w:hint="eastAsia" w:ascii="仿宋_GB2312" w:hAnsi="宋体" w:eastAsia="仿宋_GB2312"/>
          <w:color w:val="000000" w:themeColor="text1"/>
          <w:sz w:val="28"/>
          <w:szCs w:val="28"/>
          <w:lang w:eastAsia="zh-CN"/>
          <w14:textFill>
            <w14:solidFill>
              <w14:schemeClr w14:val="tx1"/>
            </w14:solidFill>
          </w14:textFill>
        </w:rPr>
        <w:t>承装（修、饰）三级</w:t>
      </w:r>
      <w:r>
        <w:rPr>
          <w:rFonts w:ascii="仿宋_GB2312" w:hAnsi="宋体" w:eastAsia="仿宋_GB2312"/>
          <w:color w:val="000000" w:themeColor="text1"/>
          <w:sz w:val="28"/>
          <w:szCs w:val="28"/>
          <w14:textFill>
            <w14:solidFill>
              <w14:schemeClr w14:val="tx1"/>
            </w14:solidFill>
          </w14:textFill>
        </w:rPr>
        <w:t>及以上资质证书扫描件。</w:t>
      </w:r>
    </w:p>
    <w:p w14:paraId="66AA9FE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④具有安全生产许可证扫描件；</w:t>
      </w:r>
    </w:p>
    <w:p w14:paraId="3AC47CE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⑤依法缴纳税收和社会保障资金的声明（格式自拟）；投标截止日期前4个月内任意某一月的纳税和社会保障资金缴纳证明材料（依法免税或不需要缴纳社会保障资金的供应商，应提供相关材料）；</w:t>
      </w:r>
    </w:p>
    <w:p w14:paraId="1EF7FDD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⑥参加本项目报价前三年内无重大违法记录声明（格式自定）；</w:t>
      </w:r>
    </w:p>
    <w:p w14:paraId="2AD2C24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⑦报价供应商未被工商行政管理机关在全国企业信用信息公示系统中列入严重违法失信企业名单（附截图或企业信用信息公示报告，查询网址http://www.gsxt.gov.cn/index.html）；</w:t>
      </w:r>
    </w:p>
    <w:p w14:paraId="72730F9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报价供应商及其法定代表人、授权委托人在“全国法院失信被执行人名单公布及查询（http://zxgk.court.gov.cn/shixin/）”网站截图；</w:t>
      </w:r>
    </w:p>
    <w:p w14:paraId="4329840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⑧财务状况报告等相关材料</w:t>
      </w:r>
    </w:p>
    <w:p w14:paraId="2ABB8DC3">
      <w:pPr>
        <w:snapToGrid w:val="0"/>
        <w:spacing w:line="560" w:lineRule="exact"/>
        <w:ind w:firstLine="562" w:firstLineChars="201"/>
        <w:rPr>
          <w:rFonts w:hint="eastAsia" w:ascii="仿宋_GB2312" w:hAnsi="宋体" w:eastAsia="仿宋_GB2312"/>
          <w:color w:val="000000" w:themeColor="text1"/>
          <w:sz w:val="28"/>
          <w:szCs w:val="28"/>
          <w:lang w:eastAsia="zh-CN"/>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A.</w:t>
      </w:r>
      <w:r>
        <w:rPr>
          <w:rFonts w:hint="eastAsia" w:ascii="仿宋_GB2312" w:hAnsi="宋体" w:eastAsia="仿宋_GB2312"/>
          <w:color w:val="000000" w:themeColor="text1"/>
          <w:sz w:val="28"/>
          <w:szCs w:val="28"/>
          <w:lang w:eastAsia="zh-CN"/>
          <w14:textFill>
            <w14:solidFill>
              <w14:schemeClr w14:val="tx1"/>
            </w14:solidFill>
          </w14:textFill>
        </w:rPr>
        <w:t>供应商自行编制的2024或者2025年度公司财务报表或由中介机构出具的2024或2025年度财务审计报告书扫描件(2026年以后新成立公司须提供自成立至今的自行编制的公司财务报表扫描件)；</w:t>
      </w:r>
    </w:p>
    <w:p w14:paraId="783A3DA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B.银行出具的有效期内的资信证明扫描件。</w:t>
      </w:r>
    </w:p>
    <w:p w14:paraId="6D5C9C1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注：A、B两项提供任意一项均可。</w:t>
      </w:r>
    </w:p>
    <w:p w14:paraId="14DC150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⑨具有履行合同所必需的设备和专业技术能力承诺函（格式自拟）；</w:t>
      </w:r>
    </w:p>
    <w:p w14:paraId="5A1EF00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⑩采购公告中要求的有关资质资格文件；</w:t>
      </w:r>
    </w:p>
    <w:p w14:paraId="6FEB118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Cambria Math" w:hAnsi="Cambria Math" w:eastAsia="仿宋_GB2312" w:cs="Cambria Math"/>
          <w:color w:val="000000" w:themeColor="text1"/>
          <w:sz w:val="28"/>
          <w:szCs w:val="28"/>
          <w14:textFill>
            <w14:solidFill>
              <w14:schemeClr w14:val="tx1"/>
            </w14:solidFill>
          </w14:textFill>
        </w:rPr>
        <w:t>⑪</w:t>
      </w:r>
      <w:r>
        <w:rPr>
          <w:rFonts w:hint="eastAsia" w:ascii="仿宋_GB2312" w:hAnsi="仿宋_GB2312" w:eastAsia="仿宋_GB2312" w:cs="仿宋_GB2312"/>
          <w:color w:val="000000" w:themeColor="text1"/>
          <w:sz w:val="28"/>
          <w:szCs w:val="28"/>
          <w14:textFill>
            <w14:solidFill>
              <w14:schemeClr w14:val="tx1"/>
            </w14:solidFill>
          </w14:textFill>
        </w:rPr>
        <w:t>报价供应商认为需要提供的资质资格证明文件。</w:t>
      </w:r>
    </w:p>
    <w:p w14:paraId="280BA7A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以上所有资质资格证明文件均需加盖供应商签章。</w:t>
      </w:r>
    </w:p>
    <w:p w14:paraId="622C970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（6）商务文件</w:t>
      </w:r>
    </w:p>
    <w:p w14:paraId="63A9BE34">
      <w:pPr>
        <w:snapToGrid w:val="0"/>
        <w:spacing w:line="560" w:lineRule="exact"/>
        <w:ind w:firstLine="565" w:firstLineChars="202"/>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w:t>
      </w:r>
      <w:r>
        <w:rPr>
          <w:rFonts w:ascii="仿宋_GB2312" w:hAnsi="宋体" w:eastAsia="仿宋_GB2312"/>
          <w:color w:val="000000" w:themeColor="text1"/>
          <w:sz w:val="28"/>
          <w:szCs w:val="28"/>
          <w14:textFill>
            <w14:solidFill>
              <w14:schemeClr w14:val="tx1"/>
            </w14:solidFill>
          </w14:textFill>
        </w:rPr>
        <w:t>报价编制说明</w:t>
      </w:r>
      <w:r>
        <w:rPr>
          <w:rFonts w:hint="eastAsia" w:ascii="仿宋_GB2312" w:hAnsi="宋体" w:eastAsia="仿宋_GB2312"/>
          <w:color w:val="000000" w:themeColor="text1"/>
          <w:sz w:val="28"/>
          <w:szCs w:val="28"/>
          <w14:textFill>
            <w14:solidFill>
              <w14:schemeClr w14:val="tx1"/>
            </w14:solidFill>
          </w14:textFill>
        </w:rPr>
        <w:t>；</w:t>
      </w:r>
    </w:p>
    <w:p w14:paraId="01F2BD9E">
      <w:pPr>
        <w:snapToGrid w:val="0"/>
        <w:spacing w:line="560" w:lineRule="exact"/>
        <w:ind w:firstLine="565" w:firstLineChars="202"/>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②工程量</w:t>
      </w:r>
      <w:r>
        <w:rPr>
          <w:rFonts w:ascii="仿宋_GB2312" w:hAnsi="宋体" w:eastAsia="仿宋_GB2312"/>
          <w:color w:val="000000" w:themeColor="text1"/>
          <w:sz w:val="28"/>
          <w:szCs w:val="28"/>
          <w14:textFill>
            <w14:solidFill>
              <w14:schemeClr w14:val="tx1"/>
            </w14:solidFill>
          </w14:textFill>
        </w:rPr>
        <w:t>清单</w:t>
      </w:r>
      <w:r>
        <w:rPr>
          <w:rFonts w:hint="eastAsia" w:ascii="仿宋_GB2312" w:hAnsi="宋体" w:eastAsia="仿宋_GB2312"/>
          <w:color w:val="000000" w:themeColor="text1"/>
          <w:sz w:val="28"/>
          <w:szCs w:val="28"/>
          <w14:textFill>
            <w14:solidFill>
              <w14:schemeClr w14:val="tx1"/>
            </w14:solidFill>
          </w14:textFill>
        </w:rPr>
        <w:t>；</w:t>
      </w:r>
    </w:p>
    <w:p w14:paraId="5860F904">
      <w:pPr>
        <w:snapToGrid w:val="0"/>
        <w:spacing w:line="560" w:lineRule="exact"/>
        <w:ind w:firstLine="565" w:firstLineChars="20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③供应商基本情况；</w:t>
      </w:r>
    </w:p>
    <w:p w14:paraId="1B3DE526">
      <w:pPr>
        <w:snapToGrid w:val="0"/>
        <w:spacing w:line="560" w:lineRule="exact"/>
        <w:ind w:firstLine="565" w:firstLineChars="20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④</w:t>
      </w:r>
      <w:r>
        <w:rPr>
          <w:rFonts w:hint="eastAsia" w:ascii="仿宋_GB2312" w:hAnsi="宋体" w:eastAsia="仿宋_GB2312"/>
          <w:color w:val="000000" w:themeColor="text1"/>
          <w:sz w:val="28"/>
          <w:szCs w:val="28"/>
          <w14:textFill>
            <w14:solidFill>
              <w14:schemeClr w14:val="tx1"/>
            </w14:solidFill>
          </w14:textFill>
        </w:rPr>
        <w:t>供应商实力</w:t>
      </w:r>
      <w:r>
        <w:rPr>
          <w:rFonts w:ascii="仿宋_GB2312" w:hAnsi="宋体" w:eastAsia="仿宋_GB2312"/>
          <w:color w:val="000000" w:themeColor="text1"/>
          <w:sz w:val="28"/>
          <w:szCs w:val="28"/>
          <w14:textFill>
            <w14:solidFill>
              <w14:schemeClr w14:val="tx1"/>
            </w14:solidFill>
          </w14:textFill>
        </w:rPr>
        <w:t>；</w:t>
      </w:r>
    </w:p>
    <w:p w14:paraId="308CB35B">
      <w:pPr>
        <w:snapToGrid w:val="0"/>
        <w:spacing w:line="560" w:lineRule="exact"/>
        <w:ind w:firstLine="565" w:firstLineChars="20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⑤</w:t>
      </w:r>
      <w:r>
        <w:rPr>
          <w:rFonts w:hint="eastAsia" w:ascii="仿宋_GB2312" w:hAnsi="宋体" w:eastAsia="仿宋_GB2312"/>
          <w:color w:val="000000" w:themeColor="text1"/>
          <w:sz w:val="28"/>
          <w:szCs w:val="28"/>
          <w14:textFill>
            <w14:solidFill>
              <w14:schemeClr w14:val="tx1"/>
            </w14:solidFill>
          </w14:textFill>
        </w:rPr>
        <w:t>项目经理及关键岗位人员配备情况;</w:t>
      </w:r>
    </w:p>
    <w:p w14:paraId="20C967A7">
      <w:pPr>
        <w:snapToGrid w:val="0"/>
        <w:spacing w:line="560" w:lineRule="exact"/>
        <w:ind w:firstLine="565" w:firstLineChars="20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⑥拟投入本工程的主要设备；</w:t>
      </w:r>
    </w:p>
    <w:p w14:paraId="699A30FB">
      <w:pPr>
        <w:snapToGrid w:val="0"/>
        <w:spacing w:line="560" w:lineRule="exact"/>
        <w:ind w:firstLine="565" w:firstLineChars="202"/>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⑦同类项目业绩；</w:t>
      </w:r>
    </w:p>
    <w:p w14:paraId="5B55F9AE">
      <w:pPr>
        <w:snapToGrid w:val="0"/>
        <w:spacing w:line="560" w:lineRule="exact"/>
        <w:ind w:firstLine="565" w:firstLineChars="202"/>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⑧关于质量、工期、服务等方面的承诺及合理化建议；</w:t>
      </w:r>
    </w:p>
    <w:p w14:paraId="0C5862A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⑨要求采购人提供的配合</w:t>
      </w:r>
    </w:p>
    <w:p w14:paraId="35CD5D5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⑩供应商认为需要提供的其他资料。</w:t>
      </w:r>
    </w:p>
    <w:p w14:paraId="22837135">
      <w:pPr>
        <w:snapToGrid w:val="0"/>
        <w:spacing w:line="560" w:lineRule="exact"/>
        <w:ind w:firstLine="565" w:firstLineChars="202"/>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（7）技术文件，包括但不限于以下内容：</w:t>
      </w:r>
    </w:p>
    <w:p w14:paraId="279ACF7A">
      <w:pPr>
        <w:snapToGrid w:val="0"/>
        <w:spacing w:line="560" w:lineRule="exact"/>
        <w:ind w:firstLine="565" w:firstLineChars="20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①施工组织设计内容齐全，对工程整体有深刻认识，表述清晰完整，编制水平较高，施工总平面图布置设计合理。</w:t>
      </w:r>
    </w:p>
    <w:p w14:paraId="79165143">
      <w:pPr>
        <w:snapToGrid w:val="0"/>
        <w:spacing w:line="560" w:lineRule="exact"/>
        <w:ind w:firstLine="565" w:firstLineChars="20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②施工方案和技术措施合理，对关键工序和关键部位具有针对性方案，措施得力、经济、安全、可行。</w:t>
      </w:r>
    </w:p>
    <w:p w14:paraId="68385E4A">
      <w:pPr>
        <w:snapToGrid w:val="0"/>
        <w:spacing w:line="560" w:lineRule="exact"/>
        <w:ind w:firstLine="565" w:firstLineChars="20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③质量保证体系与措施。有完整的质量保证措施，先进可行。有针对本工程的通病治理措施。</w:t>
      </w:r>
    </w:p>
    <w:p w14:paraId="55862CE6">
      <w:pPr>
        <w:snapToGrid w:val="0"/>
        <w:spacing w:line="560" w:lineRule="exact"/>
        <w:ind w:firstLine="565" w:firstLineChars="20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④安全文明措施。针对项目实际具有完整的措施和应急救援预案，措施齐全，预案可行。</w:t>
      </w:r>
    </w:p>
    <w:p w14:paraId="1775629A">
      <w:pPr>
        <w:snapToGrid w:val="0"/>
        <w:spacing w:line="560" w:lineRule="exact"/>
        <w:ind w:firstLine="565" w:firstLineChars="20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⑤环境保护措施安全得力，减少噪音、降低环境污染、地下管线及其他地上地下设施的保护加固措施等，冬季、雨季施工方案。</w:t>
      </w:r>
    </w:p>
    <w:p w14:paraId="0D5468C4">
      <w:pPr>
        <w:snapToGrid w:val="0"/>
        <w:spacing w:line="560" w:lineRule="exact"/>
        <w:ind w:firstLine="565" w:firstLineChars="20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⑥新技术、新产品、新工艺、新材料应用。</w:t>
      </w:r>
    </w:p>
    <w:p w14:paraId="7A43F13B">
      <w:pPr>
        <w:snapToGrid w:val="0"/>
        <w:spacing w:line="560" w:lineRule="exact"/>
        <w:ind w:firstLine="565" w:firstLineChars="20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⑦施工进度计划和进度措施（包括以横道图或标明关键线路的网络进度计划、保障进度计划需要的主要施工机械设备、劳动力需求计划及保证措施、材料设备进场计划及其他保证措施等）。</w:t>
      </w:r>
    </w:p>
    <w:p w14:paraId="1B8A4FF5">
      <w:pPr>
        <w:snapToGrid w:val="0"/>
        <w:spacing w:line="560" w:lineRule="exact"/>
        <w:ind w:firstLine="565" w:firstLineChars="20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⑧资源配备计划。投入的劳动力、机械设备等计划合理，与进度计划呼应，满足施工需要。</w:t>
      </w:r>
    </w:p>
    <w:p w14:paraId="242A36A8">
      <w:pPr>
        <w:snapToGrid w:val="0"/>
        <w:spacing w:line="560" w:lineRule="exact"/>
        <w:ind w:firstLine="565" w:firstLineChars="20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⑨项目管理机构人员配备齐全合理性。</w:t>
      </w:r>
    </w:p>
    <w:p w14:paraId="027F9DE8">
      <w:pPr>
        <w:snapToGrid w:val="0"/>
        <w:spacing w:line="560" w:lineRule="exact"/>
        <w:ind w:firstLine="565" w:firstLineChars="202"/>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⑩成品保护、工程保修制度、总包和分包配合、与发包、分包、监理、设计的配合等。</w:t>
      </w:r>
    </w:p>
    <w:p w14:paraId="74D97CB5">
      <w:pPr>
        <w:snapToGrid w:val="0"/>
        <w:spacing w:line="560" w:lineRule="exact"/>
        <w:ind w:firstLine="565" w:firstLineChars="202"/>
        <w:rPr>
          <w:rFonts w:ascii="仿宋_GB2312" w:hAnsi="仿宋"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w:t>
      </w:r>
      <w:r>
        <w:rPr>
          <w:rFonts w:hint="eastAsia" w:ascii="仿宋_GB2312" w:hAnsi="仿宋" w:eastAsia="仿宋_GB2312"/>
          <w:color w:val="000000" w:themeColor="text1"/>
          <w:sz w:val="28"/>
          <w:szCs w:val="28"/>
          <w14:textFill>
            <w14:solidFill>
              <w14:schemeClr w14:val="tx1"/>
            </w14:solidFill>
          </w14:textFill>
        </w:rPr>
        <w:t>供应商认为需要说明的及竞争谈判文件要求的其他内容。</w:t>
      </w:r>
    </w:p>
    <w:p w14:paraId="56922B22">
      <w:pPr>
        <w:spacing w:line="560" w:lineRule="exact"/>
        <w:ind w:firstLine="565" w:firstLineChars="201"/>
        <w:rPr>
          <w:rFonts w:hint="eastAsia" w:ascii="仿宋_GB2312" w:hAnsi="宋体" w:eastAsia="仿宋_GB2312"/>
          <w:color w:val="000000" w:themeColor="text1"/>
          <w:sz w:val="28"/>
          <w:szCs w:val="28"/>
          <w:lang w:bidi="zh-CN"/>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注：成交公告将对成交供应商提交的同类项目业绩予以公示。</w:t>
      </w:r>
    </w:p>
    <w:p w14:paraId="408DA02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11.2</w:t>
      </w:r>
      <w:r>
        <w:rPr>
          <w:rFonts w:hint="eastAsia" w:ascii="仿宋_GB2312" w:hAnsi="仿宋" w:eastAsia="仿宋_GB2312" w:cs="宋体"/>
          <w:color w:val="000000" w:themeColor="text1"/>
          <w:sz w:val="28"/>
          <w:szCs w:val="28"/>
          <w14:textFill>
            <w14:solidFill>
              <w14:schemeClr w14:val="tx1"/>
            </w14:solidFill>
          </w14:textFill>
        </w:rPr>
        <w:t>数据文件（PDF格式）（第二册）</w:t>
      </w:r>
    </w:p>
    <w:p w14:paraId="1446BC9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供应商须从本项目采购文件压缩包内获取对应包段的数据文件（EXCEL格式），并严格按照要求填写。填写完成后在威海市国有企业阳光采购电子化服务平台中上传该数据文件（EXCEL格式），系统将自动转换为PDF格式，再加盖供应商电子印章，未按要求填写或盖章为</w:t>
      </w:r>
      <w:r>
        <w:rPr>
          <w:rFonts w:hint="eastAsia" w:ascii="仿宋_GB2312" w:hAnsi="仿宋" w:eastAsia="仿宋_GB2312" w:cs="宋体"/>
          <w:b/>
          <w:color w:val="000000" w:themeColor="text1"/>
          <w:sz w:val="28"/>
          <w:szCs w:val="28"/>
          <w14:textFill>
            <w14:solidFill>
              <w14:schemeClr w14:val="tx1"/>
            </w14:solidFill>
          </w14:textFill>
        </w:rPr>
        <w:t>无效投标（响应）</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数据文件（PDF格式）包含下列内容：</w:t>
      </w:r>
    </w:p>
    <w:p w14:paraId="78BE737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（1）封面</w:t>
      </w:r>
    </w:p>
    <w:p w14:paraId="3D61021C">
      <w:pPr>
        <w:snapToGrid w:val="0"/>
        <w:spacing w:line="560" w:lineRule="exact"/>
        <w:ind w:firstLine="562" w:firstLineChars="201"/>
        <w:rPr>
          <w:rFonts w:ascii="仿宋_GB2312"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（2）投标报价表（含明细）</w:t>
      </w:r>
    </w:p>
    <w:p w14:paraId="4D9AD080">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12.报价</w:t>
      </w:r>
    </w:p>
    <w:p w14:paraId="473DA0A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12.1供应商均以人民币报价，精确到小数点后两位。</w:t>
      </w:r>
    </w:p>
    <w:p w14:paraId="224924E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12.2供应商应按照“第三章 采购内容与要求”或谈判小组最终确定的内容、责任范围以及合同条款进行报价。并按数据文件中“投标报价表（含明细）”规定的格式报出分项价格和总价。总价中不得包含竞争谈判文件要求以外的内容，否则，在评审时不予核减。</w:t>
      </w:r>
    </w:p>
    <w:p w14:paraId="6B1A4E0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12.3供应商应按数据文件中“投标报价表”要求的统一格式填写，并加盖电子公章。</w:t>
      </w:r>
    </w:p>
    <w:p w14:paraId="6B30F3C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12.4《投标报价表（含明细）》填写时应响应下列要求：</w:t>
      </w:r>
    </w:p>
    <w:p w14:paraId="500610C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（1）供应商须严格按照投标报价表（含明细）说明进行填写，报价明细表投标报价表（含明细）中“*”是必填项，任何必填项为空时都可能导致本次投标无效。</w:t>
      </w:r>
    </w:p>
    <w:p w14:paraId="13BDC41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（2）供应商应对本次谈判的全部内容进行报价，缺项报价响应无效。如因供应商自身的原因报价失误而造成的损失，由供应商自行承担。</w:t>
      </w:r>
    </w:p>
    <w:p w14:paraId="721933A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14:textFill>
            <w14:solidFill>
              <w14:schemeClr w14:val="tx1"/>
            </w14:solidFill>
          </w14:textFill>
        </w:rPr>
        <w:t>《投标报价表</w:t>
      </w:r>
      <w:r>
        <w:rPr>
          <w:rFonts w:hint="eastAsia" w:ascii="仿宋_GB2312" w:hAnsi="宋体" w:eastAsia="仿宋_GB2312"/>
          <w:color w:val="000000" w:themeColor="text1"/>
          <w:sz w:val="28"/>
          <w:szCs w:val="28"/>
          <w14:textFill>
            <w14:solidFill>
              <w14:schemeClr w14:val="tx1"/>
            </w14:solidFill>
          </w14:textFill>
        </w:rPr>
        <w:t>（含明细）</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中合价将由单价*数量自动计算，无需手工录入。</w:t>
      </w:r>
    </w:p>
    <w:p w14:paraId="4BDF3A1A">
      <w:pPr>
        <w:spacing w:line="560" w:lineRule="exact"/>
        <w:ind w:firstLine="565"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（4）本次采购项目质保期见</w:t>
      </w:r>
      <w:r>
        <w:rPr>
          <w:rFonts w:hint="eastAsia" w:ascii="仿宋_GB2312" w:hAnsi="仿宋" w:eastAsia="仿宋_GB2312" w:cs="宋体"/>
          <w:b/>
          <w:color w:val="000000" w:themeColor="text1"/>
          <w:sz w:val="28"/>
          <w:szCs w:val="28"/>
          <w:u w:val="single"/>
          <w14:textFill>
            <w14:solidFill>
              <w14:schemeClr w14:val="tx1"/>
            </w14:solidFill>
          </w14:textFill>
        </w:rPr>
        <w:t>响应须知前附表</w:t>
      </w:r>
      <w:r>
        <w:rPr>
          <w:rFonts w:hint="eastAsia" w:ascii="仿宋_GB2312" w:hAnsi="仿宋" w:eastAsia="仿宋_GB2312" w:cs="宋体"/>
          <w:b/>
          <w:color w:val="000000" w:themeColor="text1"/>
          <w:sz w:val="28"/>
          <w:szCs w:val="28"/>
          <w14:textFill>
            <w14:solidFill>
              <w14:schemeClr w14:val="tx1"/>
            </w14:solidFill>
          </w14:textFill>
        </w:rPr>
        <w:t>或第3章。</w:t>
      </w:r>
    </w:p>
    <w:p w14:paraId="4DC4C65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w:t>
      </w:r>
      <w:r>
        <w:rPr>
          <w:rFonts w:ascii="仿宋_GB2312" w:hAnsi="宋体" w:eastAsia="仿宋_GB2312"/>
          <w:color w:val="000000" w:themeColor="text1"/>
          <w:sz w:val="28"/>
          <w:szCs w:val="28"/>
          <w14:textFill>
            <w14:solidFill>
              <w14:schemeClr w14:val="tx1"/>
            </w14:solidFill>
          </w14:textFill>
        </w:rPr>
        <w:t>供应商参照竞争谈判文件，结合企业自身情况和市场价格进行报价。</w:t>
      </w:r>
      <w:r>
        <w:rPr>
          <w:rFonts w:ascii="仿宋_GB2312" w:hAnsi="宋体" w:eastAsia="仿宋_GB2312"/>
          <w:b/>
          <w:color w:val="000000" w:themeColor="text1"/>
          <w:sz w:val="28"/>
          <w:szCs w:val="28"/>
          <w14:textFill>
            <w14:solidFill>
              <w14:schemeClr w14:val="tx1"/>
            </w14:solidFill>
          </w14:textFill>
        </w:rPr>
        <w:t>本项目采用固定</w:t>
      </w:r>
      <w:r>
        <w:rPr>
          <w:rFonts w:hint="eastAsia" w:ascii="仿宋_GB2312" w:hAnsi="宋体" w:eastAsia="仿宋_GB2312"/>
          <w:b/>
          <w:color w:val="000000" w:themeColor="text1"/>
          <w:sz w:val="28"/>
          <w:szCs w:val="28"/>
          <w14:textFill>
            <w14:solidFill>
              <w14:schemeClr w14:val="tx1"/>
            </w14:solidFill>
          </w14:textFill>
        </w:rPr>
        <w:t>单</w:t>
      </w:r>
      <w:r>
        <w:rPr>
          <w:rFonts w:ascii="仿宋_GB2312" w:hAnsi="宋体" w:eastAsia="仿宋_GB2312"/>
          <w:b/>
          <w:color w:val="000000" w:themeColor="text1"/>
          <w:sz w:val="28"/>
          <w:szCs w:val="28"/>
          <w14:textFill>
            <w14:solidFill>
              <w14:schemeClr w14:val="tx1"/>
            </w14:solidFill>
          </w14:textFill>
        </w:rPr>
        <w:t>价合同。包括设备设施费、安装调试费、人工费、材料费、机械费、管理费、临时设施、施工现场安全文明措施费用、利润、</w:t>
      </w:r>
      <w:r>
        <w:rPr>
          <w:rFonts w:ascii="仿宋_GB2312" w:hAnsi="宋体" w:eastAsia="仿宋_GB2312"/>
          <w:color w:val="000000" w:themeColor="text1"/>
          <w:sz w:val="28"/>
          <w:szCs w:val="28"/>
          <w14:textFill>
            <w14:solidFill>
              <w14:schemeClr w14:val="tx1"/>
            </w14:solidFill>
          </w14:textFill>
        </w:rPr>
        <w:t>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w:t>
      </w:r>
      <w:r>
        <w:rPr>
          <w:rFonts w:hint="eastAsia" w:ascii="仿宋_GB2312" w:hAnsi="宋体" w:eastAsia="仿宋_GB2312"/>
          <w:color w:val="000000" w:themeColor="text1"/>
          <w:sz w:val="28"/>
          <w:szCs w:val="28"/>
          <w14:textFill>
            <w14:solidFill>
              <w14:schemeClr w14:val="tx1"/>
            </w14:solidFill>
          </w14:textFill>
        </w:rPr>
        <w:t>所有根据合同或其它原因应由供应商支付的税款和其它应交纳的费用都要包括在供应商提交的报价中；</w:t>
      </w:r>
    </w:p>
    <w:p w14:paraId="10FA021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6</w:t>
      </w:r>
      <w:r>
        <w:rPr>
          <w:rFonts w:ascii="仿宋_GB2312" w:hAnsi="宋体" w:eastAsia="仿宋_GB2312"/>
          <w:color w:val="000000" w:themeColor="text1"/>
          <w:sz w:val="28"/>
          <w:szCs w:val="28"/>
          <w14:textFill>
            <w14:solidFill>
              <w14:schemeClr w14:val="tx1"/>
            </w14:solidFill>
          </w14:textFill>
        </w:rPr>
        <w:t>）主要材料价格的合理性对形成准确报价至关重要，供应商必须在充分市场调研的基础上，确定合理的材料价格，否则，影响成交；成交后，如因采购人要求须更换的材料设备，采购人不予调整价差。</w:t>
      </w:r>
    </w:p>
    <w:p w14:paraId="622E602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7</w:t>
      </w:r>
      <w:r>
        <w:rPr>
          <w:rFonts w:ascii="仿宋_GB2312" w:hAnsi="宋体" w:eastAsia="仿宋_GB2312"/>
          <w:color w:val="000000" w:themeColor="text1"/>
          <w:sz w:val="28"/>
          <w:szCs w:val="28"/>
          <w14:textFill>
            <w14:solidFill>
              <w14:schemeClr w14:val="tx1"/>
            </w14:solidFill>
          </w14:textFill>
        </w:rPr>
        <w:t>）供应商应充分考虑项目特点及前期项目情况、认真理解采购需求，结合本企业自身优势，为项目的顺利实施提供相应设施保障，最终的交付内容必须满足采购人使用要求，并作出最大承诺。报价时应充分考虑竞争谈判文件、合同中所明示或暗示的一切费用与价格，最终报价为供应商的响应文件中提出的各项支付金额的总和。</w:t>
      </w:r>
    </w:p>
    <w:p w14:paraId="282B9C6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8</w:t>
      </w:r>
      <w:r>
        <w:rPr>
          <w:rFonts w:ascii="仿宋_GB2312" w:hAnsi="宋体" w:eastAsia="仿宋_GB2312"/>
          <w:color w:val="000000" w:themeColor="text1"/>
          <w:sz w:val="28"/>
          <w:szCs w:val="28"/>
          <w14:textFill>
            <w14:solidFill>
              <w14:schemeClr w14:val="tx1"/>
            </w14:solidFill>
          </w14:textFill>
        </w:rPr>
        <w:t>）供应商所报价格在合同实施期间不因市场变化因素而变动，工程延期，致使服务期延长，本竞争谈判范围内的费用不再调整。供应商应在响应文件中列明各项费用的支出，未列出的视为对采购人的优惠，供应商不得因此而要求采购人增加其他费用。</w:t>
      </w:r>
    </w:p>
    <w:p w14:paraId="2C1CB66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9</w:t>
      </w:r>
      <w:r>
        <w:rPr>
          <w:rFonts w:ascii="仿宋_GB2312" w:hAnsi="宋体" w:eastAsia="仿宋_GB2312"/>
          <w:color w:val="000000" w:themeColor="text1"/>
          <w:sz w:val="28"/>
          <w:szCs w:val="28"/>
          <w14:textFill>
            <w14:solidFill>
              <w14:schemeClr w14:val="tx1"/>
            </w14:solidFill>
          </w14:textFill>
        </w:rPr>
        <w:t>）供应商应先充分了解项目情况及任何其它足以影响报价的情况，任何因忽视或误解现场情况而导致的索赔或工期延长申请将不获批准。</w:t>
      </w:r>
    </w:p>
    <w:p w14:paraId="648F293F">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（1</w:t>
      </w:r>
      <w:r>
        <w:rPr>
          <w:rFonts w:ascii="仿宋_GB2312" w:hAnsi="仿宋" w:eastAsia="仿宋_GB2312" w:cs="宋体"/>
          <w:b/>
          <w:color w:val="000000" w:themeColor="text1"/>
          <w:sz w:val="28"/>
          <w:szCs w:val="28"/>
          <w14:textFill>
            <w14:solidFill>
              <w14:schemeClr w14:val="tx1"/>
            </w14:solidFill>
          </w14:textFill>
        </w:rPr>
        <w:t>0</w:t>
      </w:r>
      <w:r>
        <w:rPr>
          <w:rFonts w:hint="eastAsia" w:ascii="仿宋_GB2312" w:hAnsi="仿宋" w:eastAsia="仿宋_GB2312" w:cs="宋体"/>
          <w:b/>
          <w:color w:val="000000" w:themeColor="text1"/>
          <w:sz w:val="28"/>
          <w:szCs w:val="28"/>
          <w14:textFill>
            <w14:solidFill>
              <w14:schemeClr w14:val="tx1"/>
            </w14:solidFill>
          </w14:textFill>
        </w:rPr>
        <w:t>）未经检验的新产品、试制品不能参加本次报价。</w:t>
      </w:r>
    </w:p>
    <w:p w14:paraId="632E31D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供应商的报价在合同执行过程中是固定不变的，不得以任何理由改变。所有价格折扣、优惠条件必须在报价明细表中注明，否则评审时不予认可。</w:t>
      </w:r>
    </w:p>
    <w:p w14:paraId="7E3A409E">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13.备选方案</w:t>
      </w:r>
    </w:p>
    <w:p w14:paraId="1BCDECD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本采购项目不允许供应商有备选谈判方案。</w:t>
      </w:r>
    </w:p>
    <w:p w14:paraId="46043FFC">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14.联合体报价</w:t>
      </w:r>
    </w:p>
    <w:p w14:paraId="2C1789C1">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本项目是否接受联合体响应详见</w:t>
      </w:r>
      <w:r>
        <w:rPr>
          <w:rFonts w:hint="eastAsia" w:ascii="仿宋_GB2312" w:hAnsi="仿宋" w:eastAsia="仿宋_GB2312" w:cs="宋体"/>
          <w:b/>
          <w:color w:val="000000" w:themeColor="text1"/>
          <w:sz w:val="28"/>
          <w:szCs w:val="28"/>
          <w:u w:val="single"/>
          <w14:textFill>
            <w14:solidFill>
              <w14:schemeClr w14:val="tx1"/>
            </w14:solidFill>
          </w14:textFill>
        </w:rPr>
        <w:t>响应须知前附表</w:t>
      </w:r>
      <w:r>
        <w:rPr>
          <w:rFonts w:hint="eastAsia" w:ascii="仿宋_GB2312" w:hAnsi="仿宋" w:eastAsia="仿宋_GB2312" w:cs="宋体"/>
          <w:b/>
          <w:color w:val="000000" w:themeColor="text1"/>
          <w:sz w:val="28"/>
          <w:szCs w:val="28"/>
          <w14:textFill>
            <w14:solidFill>
              <w14:schemeClr w14:val="tx1"/>
            </w14:solidFill>
          </w14:textFill>
        </w:rPr>
        <w:t>。</w:t>
      </w:r>
    </w:p>
    <w:p w14:paraId="1E0C7779">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15.现场踏勘</w:t>
      </w:r>
    </w:p>
    <w:p w14:paraId="5F5025F0">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本项目是否组织现场踏勘详见</w:t>
      </w:r>
      <w:r>
        <w:rPr>
          <w:rFonts w:hint="eastAsia" w:ascii="仿宋_GB2312" w:hAnsi="宋体" w:eastAsia="仿宋_GB2312"/>
          <w:b/>
          <w:color w:val="000000" w:themeColor="text1"/>
          <w:sz w:val="28"/>
          <w:szCs w:val="28"/>
          <w:u w:val="single"/>
          <w14:textFill>
            <w14:solidFill>
              <w14:schemeClr w14:val="tx1"/>
            </w14:solidFill>
          </w14:textFill>
        </w:rPr>
        <w:t>响应须知前附表</w:t>
      </w:r>
      <w:r>
        <w:rPr>
          <w:rFonts w:hint="eastAsia" w:ascii="仿宋_GB2312" w:hAnsi="宋体" w:eastAsia="仿宋_GB2312"/>
          <w:b/>
          <w:color w:val="000000" w:themeColor="text1"/>
          <w:sz w:val="28"/>
          <w:szCs w:val="28"/>
          <w14:textFill>
            <w14:solidFill>
              <w14:schemeClr w14:val="tx1"/>
            </w14:solidFill>
          </w14:textFill>
        </w:rPr>
        <w:t>。</w:t>
      </w:r>
    </w:p>
    <w:p w14:paraId="20CC3EE2">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16.关于分包</w:t>
      </w:r>
    </w:p>
    <w:p w14:paraId="56951DA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供应商拟将成交项目的非主体、非关键性工作分包的，应当在响应文件中载明分包承担主体，分包承担主体应当具备相应资质条件且不得再次分包。</w:t>
      </w:r>
    </w:p>
    <w:p w14:paraId="319F2FF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供应商应当就分包项目向采购人负责，分包承担主体就分包项目承担责任。</w:t>
      </w:r>
    </w:p>
    <w:p w14:paraId="42FFD539">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17.报价的有效期</w:t>
      </w:r>
    </w:p>
    <w:p w14:paraId="6BA3B1E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17.1报价应在</w:t>
      </w:r>
      <w:r>
        <w:rPr>
          <w:rFonts w:hint="eastAsia" w:ascii="仿宋_GB2312" w:hAnsi="宋体" w:eastAsia="仿宋_GB2312"/>
          <w:color w:val="000000" w:themeColor="text1"/>
          <w:sz w:val="28"/>
          <w:szCs w:val="28"/>
          <w:u w:val="single"/>
          <w14:textFill>
            <w14:solidFill>
              <w14:schemeClr w14:val="tx1"/>
            </w14:solidFill>
          </w14:textFill>
        </w:rPr>
        <w:t>响应须知前附表</w:t>
      </w:r>
      <w:r>
        <w:rPr>
          <w:rFonts w:hint="eastAsia" w:ascii="仿宋_GB2312" w:hAnsi="宋体" w:eastAsia="仿宋_GB2312"/>
          <w:color w:val="000000" w:themeColor="text1"/>
          <w:sz w:val="28"/>
          <w:szCs w:val="28"/>
          <w14:textFill>
            <w14:solidFill>
              <w14:schemeClr w14:val="tx1"/>
            </w14:solidFill>
          </w14:textFill>
        </w:rPr>
        <w:t>中规定时间内保持有效。报价有效期不满足要求的报价，其报价将被认定为</w:t>
      </w:r>
      <w:r>
        <w:rPr>
          <w:rFonts w:hint="eastAsia" w:ascii="仿宋_GB2312" w:hAnsi="宋体" w:eastAsia="仿宋_GB2312"/>
          <w:b/>
          <w:bCs/>
          <w:color w:val="000000" w:themeColor="text1"/>
          <w:sz w:val="28"/>
          <w:szCs w:val="28"/>
          <w14:textFill>
            <w14:solidFill>
              <w14:schemeClr w14:val="tx1"/>
            </w14:solidFill>
          </w14:textFill>
        </w:rPr>
        <w:t>无效</w:t>
      </w:r>
      <w:r>
        <w:rPr>
          <w:rFonts w:hint="eastAsia" w:ascii="仿宋_GB2312" w:hAnsi="宋体" w:eastAsia="仿宋_GB2312"/>
          <w:color w:val="000000" w:themeColor="text1"/>
          <w:sz w:val="28"/>
          <w:szCs w:val="28"/>
          <w14:textFill>
            <w14:solidFill>
              <w14:schemeClr w14:val="tx1"/>
            </w14:solidFill>
          </w14:textFill>
        </w:rPr>
        <w:t>。</w:t>
      </w:r>
    </w:p>
    <w:p w14:paraId="01ED3F6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17.2特殊情况下，在报价有效期满之前，采购代理机构可以要求供应商延长报价有效期，供应商可以书面形式拒绝或接受上述要求。同意延长报价有效期的供应商不得修改响应文件的实质性内容。</w:t>
      </w:r>
    </w:p>
    <w:p w14:paraId="05A6A47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ascii="楷体_GB2312" w:hAnsi="仿宋" w:eastAsia="楷体_GB2312" w:cs="宋体"/>
          <w:b/>
          <w:color w:val="000000" w:themeColor="text1"/>
          <w:sz w:val="28"/>
          <w:szCs w:val="28"/>
          <w14:textFill>
            <w14:solidFill>
              <w14:schemeClr w14:val="tx1"/>
            </w14:solidFill>
          </w14:textFill>
        </w:rPr>
        <w:t>1</w:t>
      </w:r>
      <w:r>
        <w:rPr>
          <w:rFonts w:hint="eastAsia" w:ascii="楷体_GB2312" w:hAnsi="仿宋" w:eastAsia="楷体_GB2312" w:cs="宋体"/>
          <w:b/>
          <w:color w:val="000000" w:themeColor="text1"/>
          <w:sz w:val="28"/>
          <w:szCs w:val="28"/>
          <w14:textFill>
            <w14:solidFill>
              <w14:schemeClr w14:val="tx1"/>
            </w14:solidFill>
          </w14:textFill>
        </w:rPr>
        <w:t>8.谈判保证金</w:t>
      </w:r>
    </w:p>
    <w:p w14:paraId="64FF623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本项目不收取谈判保证金</w:t>
      </w:r>
      <w:r>
        <w:rPr>
          <w:rFonts w:ascii="仿宋_GB2312" w:hAnsi="仿宋" w:eastAsia="仿宋_GB2312" w:cs="宋体"/>
          <w:color w:val="000000" w:themeColor="text1"/>
          <w:sz w:val="28"/>
          <w:szCs w:val="28"/>
          <w14:textFill>
            <w14:solidFill>
              <w14:schemeClr w14:val="tx1"/>
            </w14:solidFill>
          </w14:textFill>
        </w:rPr>
        <w:t>。</w:t>
      </w:r>
    </w:p>
    <w:p w14:paraId="34679650">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19.响应文件的数量和签署</w:t>
      </w:r>
    </w:p>
    <w:p w14:paraId="04FE4A6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19.1响应文件（pdf格式）1份（第一册）：</w:t>
      </w:r>
    </w:p>
    <w:p w14:paraId="2A7985B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19.1.1供应商应使用带电子签章功能的CA锁对响应文件须盖章或签名的部位加盖电子印章（单位电子公章、法定代表人电子人名章），电子印章与实物印章具有同等法律效力。</w:t>
      </w:r>
    </w:p>
    <w:p w14:paraId="130AD88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19.1.2 供应商应首先编制word格式响应文件，最后通过威海市国有企业阳光采购电子化服务平台的文件签章菜单的响应文件签章功能转换为pdf格式（或者其他pdf转换工具），之后通过签章功能在pdf文件上逐页加盖电子印章并保存到本地计算机，加盖了电子印章的pdf文件即为最终的响应文件。</w:t>
      </w:r>
    </w:p>
    <w:p w14:paraId="22227FB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19.1.3文件中要求法定代表人签字或签章的须加盖法定代表人电子人名章。</w:t>
      </w:r>
    </w:p>
    <w:p w14:paraId="208AC8A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19.1.4须被授权人签字的，被授权人又无电子章的，在word编制时可将被授权人手写签字扫描后的图片粘贴到响应文件中对应位置，并加盖单位电子公章。</w:t>
      </w:r>
    </w:p>
    <w:p w14:paraId="073F9BF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19.1.5可使用平台的批量盖章功能快速签章。但须逐页浏览检查并注意印章重叠及完整性。</w:t>
      </w:r>
    </w:p>
    <w:p w14:paraId="2E4EED2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19.1.6 采用扫描粘贴供应商公章或扫描法定代表人电子章而不加盖单位电子公章的为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24EDDC1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19.2数据文件（PDF格式）（第二册）1份：</w:t>
      </w:r>
    </w:p>
    <w:p w14:paraId="5422660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19.2.1供应商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报价。</w:t>
      </w:r>
    </w:p>
    <w:p w14:paraId="46B01EE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19.2.2文件中要求法定代表人签字或签章的须加盖法定代表人电子人名章。</w:t>
      </w:r>
    </w:p>
    <w:p w14:paraId="6D9EB5B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19.2.3采用扫描粘贴供应商公章或法定代表人人名章的为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7CAE5551">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四、响应文件的递交</w:t>
      </w:r>
    </w:p>
    <w:p w14:paraId="470BFFD5">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20.响应文件的密封和标记</w:t>
      </w:r>
    </w:p>
    <w:p w14:paraId="32626E8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20.1第一阶段电子响应文件的密封和标记</w:t>
      </w:r>
    </w:p>
    <w:p w14:paraId="0536732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20.1.1加盖了电子印章的</w:t>
      </w:r>
      <w:r>
        <w:rPr>
          <w:rFonts w:hint="eastAsia" w:ascii="仿宋_GB2312" w:hAnsi="仿宋" w:eastAsia="仿宋_GB2312" w:cs="宋体"/>
          <w:color w:val="000000" w:themeColor="text1"/>
          <w:sz w:val="28"/>
          <w:szCs w:val="28"/>
          <w14:textFill>
            <w14:solidFill>
              <w14:schemeClr w14:val="tx1"/>
            </w14:solidFill>
          </w14:textFill>
        </w:rPr>
        <w:t>电子响应文件（PDF格式）和数据文件（PDF格式）</w:t>
      </w:r>
      <w:r>
        <w:rPr>
          <w:rFonts w:hint="eastAsia" w:ascii="仿宋_GB2312" w:hAnsi="宋体" w:eastAsia="仿宋_GB2312"/>
          <w:color w:val="000000" w:themeColor="text1"/>
          <w:sz w:val="28"/>
          <w:szCs w:val="28"/>
          <w14:textFill>
            <w14:solidFill>
              <w14:schemeClr w14:val="tx1"/>
            </w14:solidFill>
          </w14:textFill>
        </w:rPr>
        <w:t>须在</w:t>
      </w:r>
      <w:r>
        <w:rPr>
          <w:rFonts w:hint="eastAsia" w:ascii="仿宋_GB2312" w:hAnsi="仿宋" w:eastAsia="仿宋_GB2312" w:cs="宋体"/>
          <w:color w:val="000000" w:themeColor="text1"/>
          <w:sz w:val="28"/>
          <w:szCs w:val="28"/>
          <w14:textFill>
            <w14:solidFill>
              <w14:schemeClr w14:val="tx1"/>
            </w14:solidFill>
          </w14:textFill>
        </w:rPr>
        <w:t>威海市国有企业阳光采购电子化服务平台</w:t>
      </w:r>
      <w:r>
        <w:rPr>
          <w:rFonts w:hint="eastAsia" w:ascii="仿宋_GB2312" w:hAnsi="宋体" w:eastAsia="仿宋_GB2312"/>
          <w:color w:val="000000" w:themeColor="text1"/>
          <w:sz w:val="28"/>
          <w:szCs w:val="28"/>
          <w14:textFill>
            <w14:solidFill>
              <w14:schemeClr w14:val="tx1"/>
            </w14:solidFill>
          </w14:textFill>
        </w:rPr>
        <w:t>的“我的投标”界面进行提交，提交前系统会自动在本地进行加密和电子签章，加密和数字签名后的文件除了会上传到系统中之外还会同步保存到本地计算机。</w:t>
      </w:r>
    </w:p>
    <w:p w14:paraId="14EC77A9">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21.谈判截止期</w:t>
      </w:r>
    </w:p>
    <w:p w14:paraId="4EB755BA">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本次谈判第一阶段响应文件的递交截止期见</w:t>
      </w:r>
      <w:r>
        <w:rPr>
          <w:rFonts w:hint="eastAsia" w:ascii="仿宋_GB2312" w:hAnsi="宋体" w:eastAsia="仿宋_GB2312"/>
          <w:b/>
          <w:color w:val="000000" w:themeColor="text1"/>
          <w:sz w:val="28"/>
          <w:szCs w:val="28"/>
          <w:u w:val="single"/>
          <w14:textFill>
            <w14:solidFill>
              <w14:schemeClr w14:val="tx1"/>
            </w14:solidFill>
          </w14:textFill>
        </w:rPr>
        <w:t>响应须知前附表</w:t>
      </w:r>
      <w:r>
        <w:rPr>
          <w:rFonts w:hint="eastAsia" w:ascii="仿宋_GB2312" w:hAnsi="宋体" w:eastAsia="仿宋_GB2312"/>
          <w:b/>
          <w:color w:val="000000" w:themeColor="text1"/>
          <w:sz w:val="28"/>
          <w:szCs w:val="28"/>
          <w14:textFill>
            <w14:solidFill>
              <w14:schemeClr w14:val="tx1"/>
            </w14:solidFill>
          </w14:textFill>
        </w:rPr>
        <w:t>。</w:t>
      </w:r>
    </w:p>
    <w:p w14:paraId="6A60976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val="en-GB"/>
          <w14:textFill>
            <w14:solidFill>
              <w14:schemeClr w14:val="tx1"/>
            </w14:solidFill>
          </w14:textFill>
        </w:rPr>
        <w:t>采购人和</w:t>
      </w:r>
      <w:r>
        <w:rPr>
          <w:rFonts w:ascii="仿宋_GB2312" w:hAnsi="仿宋" w:eastAsia="仿宋_GB2312" w:cs="宋体"/>
          <w:color w:val="000000" w:themeColor="text1"/>
          <w:sz w:val="28"/>
          <w:szCs w:val="28"/>
          <w:lang w:val="en-GB"/>
          <w14:textFill>
            <w14:solidFill>
              <w14:schemeClr w14:val="tx1"/>
            </w14:solidFill>
          </w14:textFill>
        </w:rPr>
        <w:t>采购代理机构</w:t>
      </w:r>
      <w:r>
        <w:rPr>
          <w:rFonts w:hint="eastAsia" w:ascii="仿宋_GB2312" w:hAnsi="仿宋" w:eastAsia="仿宋_GB2312" w:cs="宋体"/>
          <w:color w:val="000000" w:themeColor="text1"/>
          <w:sz w:val="28"/>
          <w:szCs w:val="28"/>
          <w:lang w:val="en-GB"/>
          <w14:textFill>
            <w14:solidFill>
              <w14:schemeClr w14:val="tx1"/>
            </w14:solidFill>
          </w14:textFill>
        </w:rPr>
        <w:t>有权按本须知的规定，延迟报价截止时间。在此情况下，采购人、</w:t>
      </w:r>
      <w:r>
        <w:rPr>
          <w:rFonts w:ascii="仿宋_GB2312" w:hAnsi="仿宋" w:eastAsia="仿宋_GB2312" w:cs="宋体"/>
          <w:color w:val="000000" w:themeColor="text1"/>
          <w:sz w:val="28"/>
          <w:szCs w:val="28"/>
          <w:lang w:val="en-GB"/>
          <w14:textFill>
            <w14:solidFill>
              <w14:schemeClr w14:val="tx1"/>
            </w14:solidFill>
          </w14:textFill>
        </w:rPr>
        <w:t>采购代理机构</w:t>
      </w:r>
      <w:r>
        <w:rPr>
          <w:rFonts w:hint="eastAsia" w:ascii="仿宋_GB2312" w:hAnsi="仿宋" w:eastAsia="仿宋_GB2312" w:cs="宋体"/>
          <w:color w:val="000000" w:themeColor="text1"/>
          <w:sz w:val="28"/>
          <w:szCs w:val="28"/>
          <w:lang w:val="en-GB"/>
          <w14:textFill>
            <w14:solidFill>
              <w14:schemeClr w14:val="tx1"/>
            </w14:solidFill>
          </w14:textFill>
        </w:rPr>
        <w:t>和供应商受报价截止时间制约的所有权利和义务均应延长至新的截止时间。</w:t>
      </w:r>
    </w:p>
    <w:p w14:paraId="169D84FE">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22.迟交的响应文件</w:t>
      </w:r>
    </w:p>
    <w:p w14:paraId="3403C2B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威海市国有企业阳光采购电子化服务平台无法接收响应截止期后递交的响应文件。</w:t>
      </w:r>
    </w:p>
    <w:p w14:paraId="0F50BF8B">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23.样品递交</w:t>
      </w:r>
      <w:r>
        <w:rPr>
          <w:rFonts w:ascii="楷体_GB2312" w:hAnsi="宋体" w:eastAsia="楷体_GB2312"/>
          <w:b/>
          <w:color w:val="000000" w:themeColor="text1"/>
          <w:sz w:val="28"/>
          <w:szCs w:val="28"/>
          <w14:textFill>
            <w14:solidFill>
              <w14:schemeClr w14:val="tx1"/>
            </w14:solidFill>
          </w14:textFill>
        </w:rPr>
        <w:t>/</w:t>
      </w:r>
      <w:r>
        <w:rPr>
          <w:rFonts w:hint="eastAsia" w:ascii="楷体_GB2312" w:hAnsi="宋体" w:eastAsia="楷体_GB2312"/>
          <w:b/>
          <w:color w:val="000000" w:themeColor="text1"/>
          <w:sz w:val="28"/>
          <w:szCs w:val="28"/>
          <w14:textFill>
            <w14:solidFill>
              <w14:schemeClr w14:val="tx1"/>
            </w14:solidFill>
          </w14:textFill>
        </w:rPr>
        <w:t>演示</w:t>
      </w:r>
    </w:p>
    <w:p w14:paraId="27D0F6AA">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是否要求供应商提供演示/提交样品，详见谈判文件</w:t>
      </w:r>
      <w:r>
        <w:rPr>
          <w:rFonts w:hint="eastAsia" w:ascii="仿宋_GB2312" w:hAnsi="宋体" w:eastAsia="仿宋_GB2312"/>
          <w:b/>
          <w:color w:val="000000" w:themeColor="text1"/>
          <w:sz w:val="28"/>
          <w:szCs w:val="28"/>
          <w:u w:val="single"/>
          <w14:textFill>
            <w14:solidFill>
              <w14:schemeClr w14:val="tx1"/>
            </w14:solidFill>
          </w14:textFill>
        </w:rPr>
        <w:t>响应须知前附表</w:t>
      </w:r>
      <w:r>
        <w:rPr>
          <w:rFonts w:hint="eastAsia" w:ascii="仿宋_GB2312" w:hAnsi="宋体" w:eastAsia="仿宋_GB2312"/>
          <w:b/>
          <w:color w:val="000000" w:themeColor="text1"/>
          <w:sz w:val="28"/>
          <w:szCs w:val="28"/>
          <w14:textFill>
            <w14:solidFill>
              <w14:schemeClr w14:val="tx1"/>
            </w14:solidFill>
          </w14:textFill>
        </w:rPr>
        <w:t>规定。</w:t>
      </w:r>
    </w:p>
    <w:p w14:paraId="16938FF5">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24.响应文件的修改和撤回</w:t>
      </w:r>
    </w:p>
    <w:p w14:paraId="3606665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24.1供应商必须在规定的谈判截止期之前将修改的响应文件上传到威海市国有企业阳光采购电子化服务平台,在谈判截止期之后，供应商不得对其响应文件做任何修改。</w:t>
      </w:r>
    </w:p>
    <w:p w14:paraId="2E903A1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24.2供应商在递交响应文件后，可以在谈判截止期之前撤回其响应。</w:t>
      </w:r>
    </w:p>
    <w:p w14:paraId="6E11908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24.3从谈判截止期至谈判有效期这段时间内，供应商不得撤回其响应文件。</w:t>
      </w:r>
    </w:p>
    <w:p w14:paraId="32E31EEE">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五、响应文件解密与谈判</w:t>
      </w:r>
    </w:p>
    <w:p w14:paraId="4E2662CE">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25.响应文件解密</w:t>
      </w:r>
    </w:p>
    <w:p w14:paraId="31A96A9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25.1响应文件递交截止时间后，提交响应文件的供应商不足3家的不得解密。</w:t>
      </w:r>
    </w:p>
    <w:p w14:paraId="4B6A7F4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25.2</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在响应须知前附表规定的时间和地点组织解密。拟到现场参与解密、谈判等环节的供应商须携带CA锁和笔记本电脑，以便进行解密、谈判等操作。拟不到现场参与解密、谈判等环节的供应商需提前准备已配置好环境的电脑,在规定的时间进行远程解密、谈判等各项操作。</w:t>
      </w:r>
    </w:p>
    <w:p w14:paraId="4FA122D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25.3供应商代表应于响应文件递交截止时间前，完成签到以证明其出席，除因应急情况外，未在采购文件规定的解密时间内解密的视为放弃响应。</w:t>
      </w:r>
    </w:p>
    <w:p w14:paraId="73C1F1A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25.4</w:t>
      </w:r>
      <w:r>
        <w:rPr>
          <w:rFonts w:hint="eastAsia" w:ascii="仿宋_GB2312" w:hAnsi="宋体" w:eastAsia="仿宋_GB2312"/>
          <w:color w:val="000000" w:themeColor="text1"/>
          <w:sz w:val="28"/>
          <w:szCs w:val="28"/>
          <w:u w:val="single"/>
          <w14:textFill>
            <w14:solidFill>
              <w14:schemeClr w14:val="tx1"/>
            </w14:solidFill>
          </w14:textFill>
        </w:rPr>
        <w:t>响应须知前附表</w:t>
      </w:r>
      <w:r>
        <w:rPr>
          <w:rFonts w:hint="eastAsia" w:ascii="仿宋_GB2312" w:hAnsi="宋体" w:eastAsia="仿宋_GB2312"/>
          <w:color w:val="000000" w:themeColor="text1"/>
          <w:sz w:val="28"/>
          <w:szCs w:val="28"/>
          <w14:textFill>
            <w14:solidFill>
              <w14:schemeClr w14:val="tx1"/>
            </w14:solidFill>
          </w14:textFill>
        </w:rPr>
        <w:t>规定了文件解密时间，供应商输入密码错误（5次输入机会）、未能按时完成解密、其《数据文件》填写、盖章不规范等导致系统无法解析的，将会被视为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7260C7A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25.5供应商代表认为采购人、采购代理机构相关工作人员有需要回避的情形的，应当场提出询问或者回避申请。采购人、采购代理机构对供应商代表提出的询问或者回避申请应当及时处理。</w:t>
      </w:r>
    </w:p>
    <w:p w14:paraId="05D7EA7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25.6录音、录像：威海市公共资源交易中心乳山分中心负责从递交响应文件开始到确定成交结果全过程的录音、录像工作，确保声音清楚、图像清晰、内容无遗漏。</w:t>
      </w:r>
    </w:p>
    <w:p w14:paraId="474ADC3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25.7报价过程中，如遇特殊情况，服从威海市公共资源交易中心场地调配，并遵守相关规章制度。</w:t>
      </w:r>
    </w:p>
    <w:p w14:paraId="1DEF86B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25.8对响应文件报价出现前后不一致的，按以下规定修正：</w:t>
      </w:r>
    </w:p>
    <w:p w14:paraId="09101F0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（1）“投标（报价）一览表”的报价与“报价明细表”的报价不一致的，以“投标（报价）一览表”的报价为准；</w:t>
      </w:r>
    </w:p>
    <w:p w14:paraId="4A8335B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（2）大写金额和小写金额不一致的，以大写金额为准；</w:t>
      </w:r>
    </w:p>
    <w:p w14:paraId="26B1B0F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（3）单价金额小数点或者百分比有明显错位的，以投标（报价）一览表的总价为准，并修改单价。</w:t>
      </w:r>
    </w:p>
    <w:p w14:paraId="09DDA4C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（4）总价金额与按单价汇总金额不一致的，以单价金额计算结果为准。</w:t>
      </w:r>
    </w:p>
    <w:p w14:paraId="17074BF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（5）同时出现两种以上不一致的，按照前款规定的顺序修正。修正后的报价经供应商确认后产生约束力，供应商不确认的，其响应无效。</w:t>
      </w:r>
    </w:p>
    <w:p w14:paraId="0DFA5598">
      <w:pPr>
        <w:snapToGrid w:val="0"/>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若供应商实名认证证书即将到期或已过期，请确保在公开报价时实名认证证书在有效期内，供应商实名认证证书在续期后务必在公开报价前重新制作和上传电子投标（响应）文件，否则将造成电子投标（响应）文件无法进行解密。</w:t>
      </w:r>
    </w:p>
    <w:p w14:paraId="57B25C4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5</w:t>
      </w:r>
      <w:r>
        <w:rPr>
          <w:rFonts w:hint="eastAsia" w:ascii="仿宋_GB2312" w:hAnsi="宋体" w:eastAsia="仿宋_GB2312"/>
          <w:color w:val="000000" w:themeColor="text1"/>
          <w:sz w:val="28"/>
          <w:szCs w:val="28"/>
          <w14:textFill>
            <w14:solidFill>
              <w14:schemeClr w14:val="tx1"/>
            </w14:solidFill>
          </w14:textFill>
        </w:rPr>
        <w:t>.9唱价：停止解密后现场工作人员将根据电子交易系统将自动提取的各供应商数据文件中的相关数据进行公开唱价，唱价结束系统将自动生成投标（报价）一览表。参加现场报价的供应商应在工作人员的计算机上进行签字确认，携带笔记本电脑和远程报价的供应商应及时关注报价过程，查看报价结果并在投标（报价）一览表上进行电子签署。若供应商不进行相关签署，将被视为其对投标（报价）一览表中所载内容无疑议。</w:t>
      </w:r>
    </w:p>
    <w:p w14:paraId="708B8C4C">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供应商可使用电子交易系统“网上开标”中的“看直播”功能参与开标（报价）程序。</w:t>
      </w:r>
    </w:p>
    <w:p w14:paraId="349244C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w:t>
      </w:r>
      <w:r>
        <w:rPr>
          <w:rFonts w:ascii="仿宋_GB2312" w:hAnsi="宋体" w:eastAsia="仿宋_GB2312"/>
          <w:color w:val="000000" w:themeColor="text1"/>
          <w:sz w:val="28"/>
          <w:szCs w:val="28"/>
          <w14:textFill>
            <w14:solidFill>
              <w14:schemeClr w14:val="tx1"/>
            </w14:solidFill>
          </w14:textFill>
        </w:rPr>
        <w:t>10</w:t>
      </w:r>
      <w:r>
        <w:rPr>
          <w:rFonts w:hint="eastAsia" w:ascii="仿宋_GB2312" w:hAnsi="宋体" w:eastAsia="仿宋_GB2312"/>
          <w:color w:val="000000" w:themeColor="text1"/>
          <w:sz w:val="28"/>
          <w:szCs w:val="28"/>
          <w14:textFill>
            <w14:solidFill>
              <w14:schemeClr w14:val="tx1"/>
            </w14:solidFill>
          </w14:textFill>
        </w:rPr>
        <w:t>应急报价程序</w:t>
      </w:r>
    </w:p>
    <w:p w14:paraId="6A6497C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电子报价过程中如出现下列情况，导致系统无法正常运行，或者无法保证报价过程的公平、公正和信息安全时，经与行政监督部门沟通后可启动应急报价程序。</w:t>
      </w:r>
    </w:p>
    <w:p w14:paraId="301F63D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（1）系统服务器发生故障，无法访问或无法使用系统；</w:t>
      </w:r>
    </w:p>
    <w:p w14:paraId="3F4611F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（2）系统的软件或数据库出现错误，不能进行正常操作；</w:t>
      </w:r>
    </w:p>
    <w:p w14:paraId="7E2AEE1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（3）系统发现有安全漏洞，有潜在的泄密危险；</w:t>
      </w:r>
    </w:p>
    <w:p w14:paraId="4FFBDFC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（4）病毒发作或受到外来病毒的攻击；</w:t>
      </w:r>
    </w:p>
    <w:p w14:paraId="0CC410B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（5）其他无法保证报价过程公平、公正和信息安全的情形。</w:t>
      </w:r>
    </w:p>
    <w:p w14:paraId="58C2CE6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应急报价程序包括：</w:t>
      </w:r>
    </w:p>
    <w:p w14:paraId="4475BBB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（1）对</w:t>
      </w:r>
      <w:r>
        <w:rPr>
          <w:rFonts w:ascii="仿宋_GB2312" w:hAnsi="宋体" w:eastAsia="仿宋_GB2312"/>
          <w:color w:val="000000" w:themeColor="text1"/>
          <w:sz w:val="28"/>
          <w:szCs w:val="28"/>
          <w14:textFill>
            <w14:solidFill>
              <w14:schemeClr w14:val="tx1"/>
            </w14:solidFill>
          </w14:textFill>
        </w:rPr>
        <w:t>未在系统中</w:t>
      </w:r>
      <w:r>
        <w:rPr>
          <w:rFonts w:hint="eastAsia" w:ascii="仿宋_GB2312" w:hAnsi="宋体" w:eastAsia="仿宋_GB2312"/>
          <w:color w:val="000000" w:themeColor="text1"/>
          <w:sz w:val="28"/>
          <w:szCs w:val="28"/>
          <w14:textFill>
            <w14:solidFill>
              <w14:schemeClr w14:val="tx1"/>
            </w14:solidFill>
          </w14:textFill>
        </w:rPr>
        <w:t>报价</w:t>
      </w:r>
      <w:r>
        <w:rPr>
          <w:rFonts w:ascii="仿宋_GB2312" w:hAnsi="宋体" w:eastAsia="仿宋_GB2312"/>
          <w:color w:val="000000" w:themeColor="text1"/>
          <w:sz w:val="28"/>
          <w:szCs w:val="28"/>
          <w14:textFill>
            <w14:solidFill>
              <w14:schemeClr w14:val="tx1"/>
            </w14:solidFill>
          </w14:textFill>
        </w:rPr>
        <w:t>的可暂停</w:t>
      </w:r>
      <w:r>
        <w:rPr>
          <w:rFonts w:hint="eastAsia" w:ascii="仿宋_GB2312" w:hAnsi="宋体" w:eastAsia="仿宋_GB2312"/>
          <w:color w:val="000000" w:themeColor="text1"/>
          <w:sz w:val="28"/>
          <w:szCs w:val="28"/>
          <w14:textFill>
            <w14:solidFill>
              <w14:schemeClr w14:val="tx1"/>
            </w14:solidFill>
          </w14:textFill>
        </w:rPr>
        <w:t>报价；</w:t>
      </w:r>
    </w:p>
    <w:p w14:paraId="73AEEA9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（2）对已在系统中报价的应停止，等待系统恢复正常后再组织进行报价。</w:t>
      </w:r>
    </w:p>
    <w:p w14:paraId="186B7D67">
      <w:pPr>
        <w:snapToGrid w:val="0"/>
        <w:spacing w:line="560" w:lineRule="exact"/>
        <w:ind w:firstLine="562"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对解密环节出错（因系统故障原因导致）的供应商，通过系统的备案功能进行文件上传备案，对备案文件与网上递交的文件不一致（系统通过数字签名进行验证）或备案文件未按照本文件的要求进行编制、签署导致系统无法备案的供应商作</w:t>
      </w:r>
      <w:r>
        <w:rPr>
          <w:rFonts w:hint="eastAsia" w:ascii="仿宋_GB2312" w:hAnsi="宋体" w:eastAsia="仿宋_GB2312"/>
          <w:b/>
          <w:color w:val="000000" w:themeColor="text1"/>
          <w:sz w:val="28"/>
          <w:szCs w:val="28"/>
          <w14:textFill>
            <w14:solidFill>
              <w14:schemeClr w14:val="tx1"/>
            </w14:solidFill>
          </w14:textFill>
        </w:rPr>
        <w:t>无效投标（响应）处理。</w:t>
      </w:r>
    </w:p>
    <w:p w14:paraId="6EB68F5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备案功能故障且系统长时间无法恢复正常的，在采购人或代理机构的监督下可针对所有在平台中已报价的供应商，启用其电子邮件递交的响应文件进行报价，同时报价由线上转为线下，开标、评审均以电子邮件递交的响应文件为准，供应商必须在获取采购文件时留有本单位详细的邮箱和电话，否则由此产生的不利后果由供应商自行承担。对未按规定递交或递交的文件未按要求进行编制、签署的供应商作无效投标（响应）处理。</w:t>
      </w:r>
    </w:p>
    <w:p w14:paraId="6CA5DBE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25.1</w:t>
      </w:r>
      <w:r>
        <w:rPr>
          <w:rFonts w:ascii="仿宋_GB2312" w:hAnsi="宋体" w:eastAsia="仿宋_GB2312"/>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应急报价电子邮件递交规定</w:t>
      </w:r>
    </w:p>
    <w:p w14:paraId="31F27BA5">
      <w:pPr>
        <w:snapToGrid w:val="0"/>
        <w:spacing w:line="560" w:lineRule="exact"/>
        <w:ind w:firstLine="562" w:firstLineChars="201"/>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接收电子邮箱：</w:t>
      </w:r>
      <w:r>
        <w:rPr>
          <w:rFonts w:hint="eastAsia" w:ascii="仿宋_GB2312" w:hAnsi="宋体" w:eastAsia="仿宋_GB2312"/>
          <w:color w:val="000000" w:themeColor="text1"/>
          <w:sz w:val="28"/>
          <w:szCs w:val="28"/>
          <w:lang w:eastAsia="zh-CN"/>
          <w14:textFill>
            <w14:solidFill>
              <w14:schemeClr w14:val="tx1"/>
            </w14:solidFill>
          </w14:textFill>
        </w:rPr>
        <w:t>whjxzbs@126.com</w:t>
      </w:r>
    </w:p>
    <w:p w14:paraId="3E7E487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递交时间：以电子邮件或电话通知的时间为准；</w:t>
      </w:r>
    </w:p>
    <w:p w14:paraId="0DAF3A8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邮件数量：一封；</w:t>
      </w:r>
    </w:p>
    <w:p w14:paraId="1664139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邮件主题：项目编号、供应商名称；</w:t>
      </w:r>
    </w:p>
    <w:p w14:paraId="185098E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邮件内容：附件含项目所有的已投包段，每个包段含已盖章且未加密的数据文件、响应文件各一份。数据文件、响应文件与网上最终递交的必须为同一文件（可将所投包段的所有文件打包压缩），如果不一致，系统后台会判定为无效投标（响应）文件，导致报价无效。</w:t>
      </w:r>
    </w:p>
    <w:p w14:paraId="67073C0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25.1</w:t>
      </w:r>
      <w:r>
        <w:rPr>
          <w:rFonts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14:textFill>
            <w14:solidFill>
              <w14:schemeClr w14:val="tx1"/>
            </w14:solidFill>
          </w14:textFill>
        </w:rPr>
        <w:t>启动电子邮件报价流程</w:t>
      </w:r>
    </w:p>
    <w:p w14:paraId="1B96850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工作人员电话通知所有供应商启动应急报价程序；</w:t>
      </w:r>
    </w:p>
    <w:p w14:paraId="787B198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供应商收到通知后在规定时间内通过电子邮件递交响应文件（在非应急报价期间采购代理机构不接受、不处理任何通过电子邮件提交的响应文件）；</w:t>
      </w:r>
    </w:p>
    <w:p w14:paraId="258EB5F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递交截止时间到，工作人员开始下载响应文件，并邮件回复各供应商。</w:t>
      </w:r>
    </w:p>
    <w:p w14:paraId="6EE7BCD7">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26.谈判小组的组成和评审方法</w:t>
      </w:r>
    </w:p>
    <w:p w14:paraId="4B44647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26.1谈判工作由采购代理机构组织，具体评审事务由依法组建的谈判小组负责。谈判小组成员由采购人代表和评审专家（技术、法律等方面）3人以上单人组成，其中谈判小组的专家人数不得少于谈判小组成员总数的2/3。谈判小组的专家应当依法从</w:t>
      </w:r>
      <w:r>
        <w:rPr>
          <w:rFonts w:hint="eastAsia" w:ascii="仿宋_GB2312" w:hAnsi="仿宋" w:eastAsia="仿宋_GB2312" w:cs="宋体"/>
          <w:color w:val="000000" w:themeColor="text1"/>
          <w:sz w:val="28"/>
          <w:szCs w:val="28"/>
          <w14:textFill>
            <w14:solidFill>
              <w14:schemeClr w14:val="tx1"/>
            </w14:solidFill>
          </w14:textFill>
        </w:rPr>
        <w:t>阳光国企采购主管部门组建的专家库</w:t>
      </w:r>
      <w:r>
        <w:rPr>
          <w:rFonts w:hint="eastAsia" w:ascii="仿宋_GB2312" w:hAnsi="宋体" w:eastAsia="仿宋_GB2312"/>
          <w:color w:val="000000" w:themeColor="text1"/>
          <w:sz w:val="28"/>
          <w:szCs w:val="28"/>
          <w14:textFill>
            <w14:solidFill>
              <w14:schemeClr w14:val="tx1"/>
            </w14:solidFill>
          </w14:textFill>
        </w:rPr>
        <w:t>中随机抽取产生。抽取的专家数量无法满足评审要求的，经同级人民政府主管部门核准可以采取选择性确定方式补足。情况特殊，通过随机方式难以确定合适的评审专家的项目，经主管部门同意，可以自行选定评审专家。</w:t>
      </w:r>
    </w:p>
    <w:p w14:paraId="19CEF37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26.2采购人员及相关人员与供应商有利害关系的应当回避。曾参与竞争谈判项目征询意见或论证的专家，不得再作为评审专家参加评审。采购人不得以专家身份参与本项目的评审。采购人和采购代理机构工作人员离职或退休不满三年的，不能作为专家参加评审工作。</w:t>
      </w:r>
    </w:p>
    <w:p w14:paraId="335FB61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26.3谈判小组成员职责：</w:t>
      </w:r>
    </w:p>
    <w:p w14:paraId="79DA36B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（1）评审前，谈判小组成员应当主动确认与供应商及其供应商是否有利害关系。如有利害关系应当主动回避，如无利害关系，应当在含有相关内容的《无利害关系声明》上签字；</w:t>
      </w:r>
    </w:p>
    <w:p w14:paraId="437330C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（2）按照竞争谈判文件中的评审办法，对响应文件进行评审，并对评审结果承担责任；</w:t>
      </w:r>
    </w:p>
    <w:p w14:paraId="352311A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（3）对评审过程和结果，以及供应商的商业秘密进行保密；</w:t>
      </w:r>
    </w:p>
    <w:p w14:paraId="1D68A82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（4）在谈判小组集体起草的评审报告上签字；</w:t>
      </w:r>
    </w:p>
    <w:p w14:paraId="5306D4E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（5）配合采购代理机构答复供应商质疑；</w:t>
      </w:r>
    </w:p>
    <w:p w14:paraId="48217BE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（6）配合主管部门处理供应商投诉；</w:t>
      </w:r>
    </w:p>
    <w:p w14:paraId="479A2CC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（7）向主管部门反映评审工作中的问题，提出意见和建议。</w:t>
      </w:r>
    </w:p>
    <w:p w14:paraId="00B5619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26.4谈判小组集体职责：</w:t>
      </w:r>
    </w:p>
    <w:p w14:paraId="496D51F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按照各成员评审意见推荐成交候选人，起草评审报告。对评审结论持有异议的谈判小组成员可以书面方式阐述其不同意见和理由。谈判小组成员拒绝在评审报告上签字且不陈述其不同意见和理由的，视为同意评审结论。谈判小组应当对此做出书面说明并记录在案；</w:t>
      </w:r>
    </w:p>
    <w:p w14:paraId="01ED68F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（2）配合采购人和采购代理机构答复供应商的质疑；</w:t>
      </w:r>
    </w:p>
    <w:p w14:paraId="0BE0859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（3）配合主管部门做好投诉处理工作；</w:t>
      </w:r>
    </w:p>
    <w:p w14:paraId="3F713AF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（4）必要时，向供应商解释评审结果；</w:t>
      </w:r>
    </w:p>
    <w:p w14:paraId="75EECE2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（5）向主管部门或者有关部门报告非法干预评审工作的行为。</w:t>
      </w:r>
    </w:p>
    <w:p w14:paraId="6568DD2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26.5采购代理机构或采购人的职责：</w:t>
      </w:r>
    </w:p>
    <w:p w14:paraId="02F9199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（1）核对谈判小组专家身份和采购人代表授权函，对谈判小组专家在采购活动中的职责履行情况予以记录，并及时将有关违法违规行为向主管部门报告；</w:t>
      </w:r>
    </w:p>
    <w:p w14:paraId="295718A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（2）宣布评审纪律；</w:t>
      </w:r>
    </w:p>
    <w:p w14:paraId="0D58DED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（3）公布供应商名单，告知谈判小组专家应当回避的情形；</w:t>
      </w:r>
    </w:p>
    <w:p w14:paraId="25699C5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（4）在评审期间采取必要的通讯管理措施，保证评审活动不受外界干扰；</w:t>
      </w:r>
    </w:p>
    <w:p w14:paraId="5FA0C02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（5）根据谈判小组的要求介绍采购相关政策法规、谈判文件；</w:t>
      </w:r>
    </w:p>
    <w:p w14:paraId="34F96C1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（6）维护评审秩序，监督谈判小组依照谈判文件规定的谈判程序、方法和标准进行独立评审，及时制止和纠正采购人代表、评审专家的倾向性言论或者违法违规行为；</w:t>
      </w:r>
    </w:p>
    <w:p w14:paraId="5FB598B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（7）核对评审结果，要求谈判小组复核或者书面说明理由，谈判小组拒绝的，应予记录并向主管部门报告；</w:t>
      </w:r>
    </w:p>
    <w:p w14:paraId="54B0417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（8）评审工作完成后，按照规定向评审专家支付劳务报酬和异地评审差旅费，不得向评审专家以外的其他人员支付评审劳务报酬；</w:t>
      </w:r>
    </w:p>
    <w:p w14:paraId="08CCCA7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（9）处理与评审有关的其他事项。</w:t>
      </w:r>
    </w:p>
    <w:p w14:paraId="3380660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采购人可以在评审前说明项目背景和采购需求，说明内容不得含有歧视性、倾向性意见，不得超出谈判文件所述范围。说明应当提交书面材料，并随采购文件一并存档。</w:t>
      </w:r>
    </w:p>
    <w:p w14:paraId="5FD75E8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26.6谈判小组采用集中办公、封闭方式进行评审。谈判前，采购代理机构工作人员向谈判小组成员宣布评审纪律和工作规则。谈判小组成员签署《无利害关系声明表》，并遵照执行。</w:t>
      </w:r>
    </w:p>
    <w:p w14:paraId="64534E0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26.7谈判小组成员对与自己有利害关系的评审项目应当主动提出回避。</w:t>
      </w:r>
    </w:p>
    <w:p w14:paraId="6AE4E6E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26.8谈判小组将按照竞争谈判文件确定的评审方法进行评审。谈判小组对响应文件的评审内容分为资格性审查、符合性审查、商务评议、技术评议和价格评议。</w:t>
      </w:r>
    </w:p>
    <w:p w14:paraId="6A7A80D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26.9谈判小组独立履行下列职责：</w:t>
      </w:r>
    </w:p>
    <w:p w14:paraId="78AD5AA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（1）审查、评价响应文件是否符合谈判文件的商务、技术等实质性要求；</w:t>
      </w:r>
    </w:p>
    <w:p w14:paraId="2D7B620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（2）要求供应商对响应文件有关事项做出澄清或者说明；</w:t>
      </w:r>
    </w:p>
    <w:p w14:paraId="716C8A9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（3）对响应文件进行比较和评价；</w:t>
      </w:r>
    </w:p>
    <w:p w14:paraId="6C0CEFA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（4）确定成交候选人名单，以及根据采购人委托直接确定成交供应商；</w:t>
      </w:r>
    </w:p>
    <w:p w14:paraId="4753F51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（5）向采购人、采购代理机构或者有关部门报告评审中发现的违法行为。</w:t>
      </w:r>
    </w:p>
    <w:p w14:paraId="7AEEA8E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26.10评审中因谈判小组成员缺席、回避或者健康等特殊原因导致谈判小组组成不符合本办法规定的，采购代理机构应当依法补足后继续评审。被更换的谈判小组成员所做出的评审意见无效。</w:t>
      </w:r>
    </w:p>
    <w:p w14:paraId="30D2AA8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无法及时补足谈判小组成员的，采购代理机构应当停止评审活动，封存所有响应文件和报价、评审资料，依法重新组建谈判小组进行评审。原谈判小组做出的评审意见无效。</w:t>
      </w:r>
    </w:p>
    <w:p w14:paraId="1CE55D7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采购代理机构应当将变更、重新组建谈判小组的情况予以记录，并随采购文件一并存档。</w:t>
      </w:r>
    </w:p>
    <w:p w14:paraId="263F0582">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27.谈判步骤</w:t>
      </w:r>
    </w:p>
    <w:p w14:paraId="5AC301F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27.1</w:t>
      </w:r>
      <w:r>
        <w:rPr>
          <w:rFonts w:hint="eastAsia" w:ascii="仿宋_GB2312" w:hAnsi="仿宋" w:eastAsia="仿宋_GB2312" w:cs="宋体"/>
          <w:color w:val="000000" w:themeColor="text1"/>
          <w:sz w:val="28"/>
          <w:szCs w:val="28"/>
          <w14:textFill>
            <w14:solidFill>
              <w14:schemeClr w14:val="tx1"/>
            </w14:solidFill>
          </w14:textFill>
        </w:rPr>
        <w:t>资格性审查。</w:t>
      </w:r>
      <w:r>
        <w:rPr>
          <w:rFonts w:hint="eastAsia" w:ascii="仿宋_GB2312" w:hAnsi="宋体" w:eastAsia="仿宋_GB2312"/>
          <w:color w:val="000000" w:themeColor="text1"/>
          <w:sz w:val="28"/>
          <w:szCs w:val="28"/>
          <w14:textFill>
            <w14:solidFill>
              <w14:schemeClr w14:val="tx1"/>
            </w14:solidFill>
          </w14:textFill>
        </w:rPr>
        <w:t>依据竞争谈判文件规定在采购项目报价结束后, 谈判小组应当依照有关法律和谈判文件的规定对供应商的资格性审查，</w:t>
      </w:r>
      <w:r>
        <w:rPr>
          <w:rFonts w:hint="eastAsia" w:ascii="仿宋_GB2312" w:hAnsi="仿宋" w:eastAsia="仿宋_GB2312" w:cs="宋体"/>
          <w:b/>
          <w:color w:val="000000" w:themeColor="text1"/>
          <w:sz w:val="28"/>
          <w:szCs w:val="28"/>
          <w14:textFill>
            <w14:solidFill>
              <w14:schemeClr w14:val="tx1"/>
            </w14:solidFill>
          </w14:textFill>
        </w:rPr>
        <w:t>具体内容详见《响应须知》-《实质性条款一览表》中资格性审查条件</w:t>
      </w:r>
      <w:r>
        <w:rPr>
          <w:rFonts w:hint="eastAsia" w:ascii="仿宋_GB2312" w:hAnsi="宋体" w:eastAsia="仿宋_GB2312"/>
          <w:color w:val="000000" w:themeColor="text1"/>
          <w:sz w:val="28"/>
          <w:szCs w:val="28"/>
          <w14:textFill>
            <w14:solidFill>
              <w14:schemeClr w14:val="tx1"/>
            </w14:solidFill>
          </w14:textFill>
        </w:rPr>
        <w:t>。合格供应商不足3家的，不得评审。在资格性检查时,如有下列情况之一的，经谈判小组认定，视为非实质性响应，为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062EAA3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1.单位负责人为同一人或者存在直接控股、管理关系的不同供应商的；</w:t>
      </w:r>
    </w:p>
    <w:p w14:paraId="47439DE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2.为采购项目提供整体设计、规范编制或者项目管理、监理、检测等服务的；</w:t>
      </w:r>
    </w:p>
    <w:p w14:paraId="080E403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3.供应商和响应货物资格证明文件不满足谈判文件要求和过期失效的。</w:t>
      </w:r>
    </w:p>
    <w:p w14:paraId="25C1B9B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27.2符合性审查。依据竞争谈判文件规定，从响应文件的有效性、完整性和对竞争谈判文件的响应程度进行符合性审查，以确定是否对竞争谈判文件的实质性要求做出响应。谈判小组决定其响应性只根据响应文件本身的内容，而不依据外部的证据。在符合性检查时,如有不满足</w:t>
      </w:r>
      <w:r>
        <w:rPr>
          <w:rFonts w:hint="eastAsia" w:ascii="仿宋_GB2312" w:hAnsi="宋体" w:eastAsia="仿宋_GB2312"/>
          <w:b/>
          <w:color w:val="000000" w:themeColor="text1"/>
          <w:sz w:val="28"/>
          <w:szCs w:val="28"/>
          <w14:textFill>
            <w14:solidFill>
              <w14:schemeClr w14:val="tx1"/>
            </w14:solidFill>
          </w14:textFill>
        </w:rPr>
        <w:t>《响应须知》-《实质性条款一览表》中符合性审查条件</w:t>
      </w:r>
      <w:r>
        <w:rPr>
          <w:rFonts w:hint="eastAsia" w:ascii="仿宋_GB2312" w:hAnsi="宋体" w:eastAsia="仿宋_GB2312"/>
          <w:color w:val="000000" w:themeColor="text1"/>
          <w:sz w:val="28"/>
          <w:szCs w:val="28"/>
          <w14:textFill>
            <w14:solidFill>
              <w14:schemeClr w14:val="tx1"/>
            </w14:solidFill>
          </w14:textFill>
        </w:rPr>
        <w:t>情况之一的，经谈判小组认定，视为非实质性响应，为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13FEB5D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27.3谈判小组所有成员集中与单一供应商分别进行谈判。不到现场的</w:t>
      </w:r>
      <w:r>
        <w:rPr>
          <w:rFonts w:hint="eastAsia" w:ascii="仿宋_GB2312" w:hAnsi="仿宋" w:eastAsia="仿宋_GB2312" w:cs="宋体"/>
          <w:color w:val="000000" w:themeColor="text1"/>
          <w:sz w:val="28"/>
          <w:szCs w:val="28"/>
          <w14:textFill>
            <w14:solidFill>
              <w14:schemeClr w14:val="tx1"/>
            </w14:solidFill>
          </w14:textFill>
        </w:rPr>
        <w:t>供应商可以使用系统“网上评标”中的“谈判”功能与评审专家进行远程谈判。</w:t>
      </w:r>
      <w:r>
        <w:rPr>
          <w:rFonts w:hint="eastAsia" w:ascii="仿宋_GB2312" w:hAnsi="宋体" w:eastAsia="仿宋_GB2312"/>
          <w:color w:val="000000" w:themeColor="text1"/>
          <w:sz w:val="28"/>
          <w:szCs w:val="28"/>
          <w14:textFill>
            <w14:solidFill>
              <w14:schemeClr w14:val="tx1"/>
            </w14:solidFill>
          </w14:textFill>
        </w:rPr>
        <w:t>在谈判过程中，谈判小组可以根据响应文件和响应情况实质性变动采购需求中的技术、服务要求以及合同草案条款，但不得变动响应文件中的其他内容。实质性变动的内容，须经采购人代表确认。</w:t>
      </w:r>
    </w:p>
    <w:p w14:paraId="2D92C57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对响应文件做出的实质性变动是响应文件的有效组成部分，谈判小组应当及时以书面形式同时通知所有参加谈判的供应商。</w:t>
      </w:r>
    </w:p>
    <w:p w14:paraId="72ADF6D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供应商应当按照响应文件的变动情况和谈判小组的要求重新提交响应文件，并由其法定代表人或其被授权人签字或者加盖公章。由被授权人签字的，应当附法定代表人授权书。供应商为自然人的，应当由本人签字并附身份证明。</w:t>
      </w:r>
    </w:p>
    <w:p w14:paraId="16E4629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经谈判小组集体审核通过，未实质性响应谈判文件的响应文件按无效投标（响应）处理，谈判小组应当告知提交响应文件的供应商，说明其不符合要求的原因，由其法定代表人或授权代表签字确认，供应商代表拒不签字的，并不影响谈判小组所做出的结论。</w:t>
      </w:r>
    </w:p>
    <w:p w14:paraId="52A605E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27.4经谈判小组经确定最终采购需求和实质性响应的供应商后，谈判小组应当要求所有实质性响应的供应商在规定时间内提交最后报价，由谈判小组采用综合评分法对提交最后报价的所有供应商的进行综合评分。</w:t>
      </w:r>
    </w:p>
    <w:p w14:paraId="463D55B8">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28.响应文件的澄清</w:t>
      </w:r>
    </w:p>
    <w:p w14:paraId="3A0E55C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28.1谈判小组有权向供应商询标，对于响应文件中含义不明确、同类问题表述不一致或者有明显文字和计算错误的内容，谈判小组应当以书面形式要求供应商做出必要的澄清、说明或者补正。请供应商澄清其响应内容，供应商法定代表人或其授权人必须接受谈判小组的询标，未在谈判小组规定的时间内，对重大关键问题进行答疑和澄清的供应商，经谈判小组确认可视为供应商放弃响应。</w:t>
      </w:r>
    </w:p>
    <w:p w14:paraId="52FD764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28.2供应商的澄清、说明或者补正应当采用书面形式，由法定代表人或其被授权人签字或者加盖公章，或者由法定代表人或其授权的代表签字。供应商为自然人的，应当由本人签字并附身份证明。供应商的澄清、说明或者更正不得超出响应文件的范围或者改变对响应文件的实质性内容。此书面文件是响应文件的组成部分。</w:t>
      </w:r>
    </w:p>
    <w:p w14:paraId="60AF6A77">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29.响应文件的评价</w:t>
      </w:r>
    </w:p>
    <w:p w14:paraId="44944DE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29.1评审采用百分制。谈判小组各成员分别独立对实质上响应响应文件的供应商进行逐项评价打分，对谈判小组各成员每一因素的打分汇总后的得分为供应商的得分。</w:t>
      </w:r>
    </w:p>
    <w:p w14:paraId="087DFF6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29.2响应文件内容违反国家有关强制性规定的，谈判小组应当停止评审并向采购人或者采购代理机构说明情况。</w:t>
      </w:r>
    </w:p>
    <w:p w14:paraId="64BC9DE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29.3谈判小组成员要依法独立评审，并对评审意见承担个人责任。谈判小组成员对需要共同认定的事项存在争议的，按照少数服从多数的原则做出结论。持不同意见的谈判小组成员应当在评审报告上签署不同意见并说明理由，否则视为同意。</w:t>
      </w:r>
    </w:p>
    <w:p w14:paraId="3302DF0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29.</w:t>
      </w:r>
      <w:r>
        <w:rPr>
          <w:rFonts w:ascii="仿宋_GB2312" w:hAnsi="宋体" w:eastAsia="仿宋_GB2312"/>
          <w:color w:val="000000" w:themeColor="text1"/>
          <w:sz w:val="28"/>
          <w:szCs w:val="28"/>
          <w14:textFill>
            <w14:solidFill>
              <w14:schemeClr w14:val="tx1"/>
            </w14:solidFill>
          </w14:textFill>
        </w:rPr>
        <w:t>4</w:t>
      </w:r>
      <w:r>
        <w:rPr>
          <w:rFonts w:hint="eastAsia" w:ascii="仿宋_GB2312" w:hAnsi="宋体" w:eastAsia="仿宋_GB2312"/>
          <w:color w:val="000000" w:themeColor="text1"/>
          <w:sz w:val="28"/>
          <w:szCs w:val="28"/>
          <w14:textFill>
            <w14:solidFill>
              <w14:schemeClr w14:val="tx1"/>
            </w14:solidFill>
          </w14:textFill>
        </w:rPr>
        <w:t>供应商有下列情形之一的，视为供应商串通响应，其</w:t>
      </w:r>
      <w:r>
        <w:rPr>
          <w:rFonts w:hint="eastAsia" w:ascii="仿宋_GB2312" w:hAnsi="宋体" w:eastAsia="仿宋_GB2312"/>
          <w:b/>
          <w:color w:val="000000" w:themeColor="text1"/>
          <w:sz w:val="28"/>
          <w:szCs w:val="28"/>
          <w14:textFill>
            <w14:solidFill>
              <w14:schemeClr w14:val="tx1"/>
            </w14:solidFill>
          </w14:textFill>
        </w:rPr>
        <w:t>响应无效</w:t>
      </w:r>
      <w:r>
        <w:rPr>
          <w:rFonts w:hint="eastAsia" w:ascii="仿宋_GB2312" w:hAnsi="宋体" w:eastAsia="仿宋_GB2312"/>
          <w:color w:val="000000" w:themeColor="text1"/>
          <w:sz w:val="28"/>
          <w:szCs w:val="28"/>
          <w14:textFill>
            <w14:solidFill>
              <w14:schemeClr w14:val="tx1"/>
            </w14:solidFill>
          </w14:textFill>
        </w:rPr>
        <w:t>：</w:t>
      </w:r>
    </w:p>
    <w:p w14:paraId="1032817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（1）不同供应商的响应文件由同一单位或者个人编制；</w:t>
      </w:r>
    </w:p>
    <w:p w14:paraId="7C9D39A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（2）不同供应商委托同一单位或者个人办理响应事宜；</w:t>
      </w:r>
    </w:p>
    <w:p w14:paraId="36B96E7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（3）不同供应商的响应文件载明的项目管理成员或者联系人员为同一人；</w:t>
      </w:r>
    </w:p>
    <w:p w14:paraId="02CFD16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（4）不同供应商的响应文件异常一致或者响应报价呈规律性差异；</w:t>
      </w:r>
    </w:p>
    <w:p w14:paraId="79A228A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（5）不同供应商的响应文件相互混装；</w:t>
      </w:r>
    </w:p>
    <w:p w14:paraId="5CFE514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（6）不同供应商的谈判保证金从同一单位或者个人的账户转出。</w:t>
      </w:r>
    </w:p>
    <w:p w14:paraId="238113FF">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30.废标条款</w:t>
      </w:r>
    </w:p>
    <w:p w14:paraId="29E8D32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在竞争谈判采购中，出现下列情形之一的，应予废标：</w:t>
      </w:r>
    </w:p>
    <w:p w14:paraId="63F8B3B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（1）因情况变化，不再适合竞争谈判采购方式适用情形的；</w:t>
      </w:r>
    </w:p>
    <w:p w14:paraId="571350B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（2）出现影响采购公正的违法、违规行为的；</w:t>
      </w:r>
    </w:p>
    <w:p w14:paraId="1B0B6EA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（3）在采购过程中符合要求的供应商不足3家的。</w:t>
      </w:r>
    </w:p>
    <w:p w14:paraId="20A06957">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31.保密要求</w:t>
      </w:r>
    </w:p>
    <w:p w14:paraId="44F5E75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评审将在严格保密的情况下进行。有关人员</w:t>
      </w:r>
      <w:r>
        <w:rPr>
          <w:rFonts w:ascii="仿宋_GB2312" w:hAnsi="仿宋" w:eastAsia="仿宋_GB2312" w:cs="宋体"/>
          <w:color w:val="000000" w:themeColor="text1"/>
          <w:sz w:val="28"/>
          <w:szCs w:val="28"/>
          <w14:textFill>
            <w14:solidFill>
              <w14:schemeClr w14:val="tx1"/>
            </w14:solidFill>
          </w14:textFill>
        </w:rPr>
        <w:t>应当</w:t>
      </w:r>
      <w:r>
        <w:rPr>
          <w:rFonts w:hint="eastAsia" w:ascii="仿宋_GB2312" w:hAnsi="仿宋" w:eastAsia="仿宋_GB2312" w:cs="宋体"/>
          <w:color w:val="000000" w:themeColor="text1"/>
          <w:sz w:val="28"/>
          <w:szCs w:val="28"/>
          <w14:textFill>
            <w14:solidFill>
              <w14:schemeClr w14:val="tx1"/>
            </w14:solidFill>
          </w14:textFill>
        </w:rPr>
        <w:t>遵</w:t>
      </w:r>
      <w:r>
        <w:rPr>
          <w:rFonts w:ascii="仿宋_GB2312" w:hAnsi="仿宋" w:eastAsia="仿宋_GB2312" w:cs="宋体"/>
          <w:color w:val="000000" w:themeColor="text1"/>
          <w:sz w:val="28"/>
          <w:szCs w:val="28"/>
          <w14:textFill>
            <w14:solidFill>
              <w14:schemeClr w14:val="tx1"/>
            </w14:solidFill>
          </w14:textFill>
        </w:rPr>
        <w:t>守评审工作纪律，</w:t>
      </w:r>
      <w:r>
        <w:rPr>
          <w:rFonts w:hint="eastAsia" w:ascii="仿宋_GB2312" w:hAnsi="仿宋" w:eastAsia="仿宋_GB2312" w:cs="宋体"/>
          <w:b/>
          <w:bCs/>
          <w:color w:val="000000" w:themeColor="text1"/>
          <w:sz w:val="28"/>
          <w:szCs w:val="28"/>
          <w14:textFill>
            <w14:solidFill>
              <w14:schemeClr w14:val="tx1"/>
            </w14:solidFill>
          </w14:textFill>
        </w:rPr>
        <w:t>不得记录、复制或者带走任何评审资料</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不得</w:t>
      </w:r>
      <w:r>
        <w:rPr>
          <w:rFonts w:hint="eastAsia" w:ascii="仿宋_GB2312" w:hAnsi="仿宋" w:eastAsia="仿宋_GB2312" w:cs="宋体"/>
          <w:color w:val="000000" w:themeColor="text1"/>
          <w:sz w:val="28"/>
          <w:szCs w:val="28"/>
          <w14:textFill>
            <w14:solidFill>
              <w14:schemeClr w14:val="tx1"/>
            </w14:solidFill>
          </w14:textFill>
        </w:rPr>
        <w:t>泄露</w:t>
      </w:r>
      <w:r>
        <w:rPr>
          <w:rFonts w:ascii="仿宋_GB2312" w:hAnsi="仿宋" w:eastAsia="仿宋_GB2312" w:cs="宋体"/>
          <w:color w:val="000000" w:themeColor="text1"/>
          <w:sz w:val="28"/>
          <w:szCs w:val="28"/>
          <w14:textFill>
            <w14:solidFill>
              <w14:schemeClr w14:val="tx1"/>
            </w14:solidFill>
          </w14:textFill>
        </w:rPr>
        <w:t>评审</w:t>
      </w:r>
      <w:r>
        <w:rPr>
          <w:rFonts w:hint="eastAsia" w:ascii="仿宋_GB2312" w:hAnsi="仿宋" w:eastAsia="仿宋_GB2312" w:cs="宋体"/>
          <w:color w:val="000000" w:themeColor="text1"/>
          <w:sz w:val="28"/>
          <w:szCs w:val="28"/>
          <w14:textFill>
            <w14:solidFill>
              <w14:schemeClr w14:val="tx1"/>
            </w14:solidFill>
          </w14:textFill>
        </w:rPr>
        <w:t>文件</w:t>
      </w:r>
      <w:r>
        <w:rPr>
          <w:rFonts w:ascii="仿宋_GB2312" w:hAnsi="仿宋" w:eastAsia="仿宋_GB2312" w:cs="宋体"/>
          <w:color w:val="000000" w:themeColor="text1"/>
          <w:sz w:val="28"/>
          <w:szCs w:val="28"/>
          <w14:textFill>
            <w14:solidFill>
              <w14:schemeClr w14:val="tx1"/>
            </w14:solidFill>
          </w14:textFill>
        </w:rPr>
        <w:t>、评审情况和评审中获悉的商业秘密。</w:t>
      </w:r>
    </w:p>
    <w:p w14:paraId="28B84840">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六、成交</w:t>
      </w:r>
    </w:p>
    <w:p w14:paraId="40B884B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谈判小组应当根据综合评分情况，按照评审得分由高到低顺序推荐成交候选供应商，并编写评审报告。评审得分相同的，按照最后报价由低到高的顺序推荐。评审得分相同且最后报价相同的，按照技术指标优劣顺序推荐（即按技术因素得分由高到低的顺序推荐）。</w:t>
      </w:r>
    </w:p>
    <w:p w14:paraId="01C7FC3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评审报告应当由谈判小组全体人员签字认可。谈判小组成员对评审报告有异议的，谈判小组按照少数服从多数的原则推荐成交候选供应商，采购程序继续进行。对评审报告有异议的谈判小组成员，应当在报告上签署不同意见并说明理由，由谈判小组书面记录相关情况。谈判小组成员拒绝在报告上签字又不书面说明其不同意见和理由的，视为同意评审报告。</w:t>
      </w:r>
    </w:p>
    <w:p w14:paraId="702338A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代理机构应当在评审结束后2个工作日内将评审报告送采购人确认。采购人应当在收到评审报告后5个工作日内，从评审报告提出的成交候选供应商中，按照排序由高到低的原则确定成交供应商，也可以授权谈判小组直接确定成交供应商。采购人逾期未确定成交供应商且不提出异议的，视为确定评审报告提出的排序第一的供应商为成交供应商。</w:t>
      </w:r>
    </w:p>
    <w:p w14:paraId="1241F9E7">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七、公告</w:t>
      </w:r>
    </w:p>
    <w:p w14:paraId="081CCE31">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32.公告</w:t>
      </w:r>
    </w:p>
    <w:p w14:paraId="541ED4E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32.1采购代理机构自成交供应商确定之日起2个工作日内，在原谈判公告发布媒体上公告成交结果。成交公告期限为1个工作日。成交公告应当包括下列内容：</w:t>
      </w:r>
    </w:p>
    <w:p w14:paraId="3DDAE7C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（1）采购人、代理机构的名称、地址和联系方式；</w:t>
      </w:r>
    </w:p>
    <w:p w14:paraId="11FB98A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（2）项目名称和项目编号；</w:t>
      </w:r>
    </w:p>
    <w:p w14:paraId="7C1C688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（3）成交供应商名称、地址和成交金额；</w:t>
      </w:r>
    </w:p>
    <w:p w14:paraId="68E2FAC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（4）主要成交标的名称、规格型号、数量、单价、服务要求；</w:t>
      </w:r>
    </w:p>
    <w:p w14:paraId="66BB885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（5）成交公告期限；</w:t>
      </w:r>
    </w:p>
    <w:p w14:paraId="43699E6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（6）评审专家名单；</w:t>
      </w:r>
    </w:p>
    <w:p w14:paraId="45EFF0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（7）供应商</w:t>
      </w:r>
      <w:r>
        <w:rPr>
          <w:rFonts w:ascii="仿宋_GB2312" w:hAnsi="仿宋" w:eastAsia="仿宋_GB2312" w:cs="宋体"/>
          <w:color w:val="000000" w:themeColor="text1"/>
          <w:sz w:val="28"/>
          <w:szCs w:val="28"/>
          <w14:textFill>
            <w14:solidFill>
              <w14:schemeClr w14:val="tx1"/>
            </w14:solidFill>
          </w14:textFill>
        </w:rPr>
        <w:t>未中标的原因</w:t>
      </w:r>
      <w:r>
        <w:rPr>
          <w:rFonts w:hint="eastAsia" w:ascii="仿宋_GB2312" w:hAnsi="仿宋" w:eastAsia="仿宋_GB2312" w:cs="宋体"/>
          <w:color w:val="000000" w:themeColor="text1"/>
          <w:sz w:val="28"/>
          <w:szCs w:val="28"/>
          <w14:textFill>
            <w14:solidFill>
              <w14:schemeClr w14:val="tx1"/>
            </w14:solidFill>
          </w14:textFill>
        </w:rPr>
        <w:t>；</w:t>
      </w:r>
    </w:p>
    <w:p w14:paraId="20F1DDD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（8）采用综合评分法评审的，还将告知未中标人本人的评审得分和排序。</w:t>
      </w:r>
    </w:p>
    <w:p w14:paraId="79D860A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32.2采购代理机构应当在成交公告公示期满，</w:t>
      </w:r>
      <w:r>
        <w:rPr>
          <w:rFonts w:hint="eastAsia" w:ascii="仿宋_GB2312" w:hAnsi="仿宋" w:eastAsia="仿宋_GB2312"/>
          <w:color w:val="000000" w:themeColor="text1"/>
          <w:sz w:val="28"/>
          <w:szCs w:val="28"/>
          <w14:textFill>
            <w14:solidFill>
              <w14:schemeClr w14:val="tx1"/>
            </w14:solidFill>
          </w14:textFill>
        </w:rPr>
        <w:t>且无尚未处理的异议后，</w:t>
      </w:r>
      <w:r>
        <w:rPr>
          <w:rFonts w:hint="eastAsia" w:ascii="仿宋_GB2312" w:hAnsi="宋体" w:eastAsia="仿宋_GB2312"/>
          <w:color w:val="000000" w:themeColor="text1"/>
          <w:sz w:val="28"/>
          <w:szCs w:val="28"/>
          <w14:textFill>
            <w14:solidFill>
              <w14:schemeClr w14:val="tx1"/>
            </w14:solidFill>
          </w14:textFill>
        </w:rPr>
        <w:t>向成交供应商发出《成交通知书》；对未通过资格审查的供应商，应当告知其未通过的原因；《成交通知书》是合同的组成部分,对成交供应商和采购人具有同等法律效力。《成交通知书》发出后，采购人不得违法改变成交结果，成交供应商无正当理由不得放弃成交。</w:t>
      </w:r>
    </w:p>
    <w:p w14:paraId="7D003DC1">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八、质疑</w:t>
      </w:r>
    </w:p>
    <w:p w14:paraId="0D4E0EBA">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33.质疑</w:t>
      </w:r>
    </w:p>
    <w:p w14:paraId="0697A18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33.1供应商对采购活动事项有疑问的，可以向采购人和采购代理机构提出询问，采购人和采购代理机构应当在3个工作日内做出答复，但答复的内容不得涉及商业秘密。供应商提出的询问或者质疑超出采购人对采购代理机构委托授权范围的，采购代理机构应当告知供应商向采购人提出。</w:t>
      </w:r>
    </w:p>
    <w:p w14:paraId="021D8FF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33.2供应商对采购需求有疑问的，应在采购需求公示期内向采购人提出询问，采购人应当在收到询问后3个工作日内做出答复。</w:t>
      </w:r>
    </w:p>
    <w:p w14:paraId="4328C63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33.3供应商认为采购文件、采购过程、成交结果使自己的权益受到损害的，可以在知道或者应知其权益受到损害之日起7个工作日内，以书面形式向采购人或采购代理机构提出质疑，采购人和采购代理机构应当在收到供应商的书面质疑后7个工作日内做出书面答复。</w:t>
      </w:r>
    </w:p>
    <w:p w14:paraId="0E49949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33.4提出质疑的供应商应当是参与本项目采购活动的供应商。</w:t>
      </w:r>
    </w:p>
    <w:p w14:paraId="37D51B9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33.5潜在供应商已依法获取其可质疑的采购文件的，可以对该文件提出质疑。对采购文件提出质疑的，应当在获取采购文件或者采购文件公告期限届满之日起7个工作日内提出。</w:t>
      </w:r>
    </w:p>
    <w:p w14:paraId="05909AC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33.6供应商应在法定质疑期内一次性提出针对同一采购程序环节的质疑。</w:t>
      </w:r>
    </w:p>
    <w:p w14:paraId="178E376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33.7质疑采用实名制，为了使提出的质疑事项在规定时间内得到有效答复、处理，提交的质疑函务必提供以下内容。</w:t>
      </w:r>
    </w:p>
    <w:p w14:paraId="45F0615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（1）供应商的姓名或名称、地址（邮箱）、邮编、联系人及联系电话；</w:t>
      </w:r>
    </w:p>
    <w:p w14:paraId="31D2B77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（2）质疑项目的名称、编号；</w:t>
      </w:r>
    </w:p>
    <w:p w14:paraId="7BD55C4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（3）具体、明确的质疑事项和与质疑事项相关的请求；</w:t>
      </w:r>
    </w:p>
    <w:p w14:paraId="4341AF9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（4）事实依据；</w:t>
      </w:r>
    </w:p>
    <w:p w14:paraId="49F901C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（5）必要的法律依据；</w:t>
      </w:r>
    </w:p>
    <w:p w14:paraId="70C505C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（6）提出质疑的日期。</w:t>
      </w:r>
    </w:p>
    <w:p w14:paraId="517C8E9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供应商为自然人的，应当由本人签字；供应商为法人或者其他组织的，应当由法定代表人、主要负责人，或者其被授权人签字或者盖章，并加盖公章。</w:t>
      </w:r>
    </w:p>
    <w:p w14:paraId="32783B0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33.8质疑函应当由法定代表人或被授权人递交到采购人或采购代理机构，受理方式</w:t>
      </w:r>
      <w:r>
        <w:rPr>
          <w:rFonts w:hint="eastAsia" w:ascii="仿宋_GB2312" w:hAnsi="仿宋" w:eastAsia="仿宋_GB2312" w:cs="宋体"/>
          <w:color w:val="000000" w:themeColor="text1"/>
          <w:sz w:val="28"/>
          <w:szCs w:val="28"/>
          <w14:textFill>
            <w14:solidFill>
              <w14:schemeClr w14:val="tx1"/>
            </w14:solidFill>
          </w14:textFill>
        </w:rPr>
        <w:t>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宋体" w:eastAsia="仿宋_GB2312"/>
          <w:color w:val="000000" w:themeColor="text1"/>
          <w:sz w:val="28"/>
          <w:szCs w:val="28"/>
          <w14:textFill>
            <w14:solidFill>
              <w14:schemeClr w14:val="tx1"/>
            </w14:solidFill>
          </w14:textFill>
        </w:rPr>
        <w:t>。采购人或采购代理机构正式受理后方可生效。否则，为无效质疑。</w:t>
      </w:r>
    </w:p>
    <w:p w14:paraId="497E8B5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33.9有下列情况之一的质疑不予受理：</w:t>
      </w:r>
    </w:p>
    <w:p w14:paraId="16B52B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（1）无质疑函件或质疑函件缺少投标人法人印章、投标人法定代表人签字、有效授权书和联系方式之一的质疑；</w:t>
      </w:r>
    </w:p>
    <w:p w14:paraId="3F49267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（2）质疑函件无实质性内容或佐证文件资料，主观臆断及推理得出结论的质疑；</w:t>
      </w:r>
    </w:p>
    <w:p w14:paraId="74568D5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（3）相应证明材料不真实或来源不合法的质疑；</w:t>
      </w:r>
    </w:p>
    <w:p w14:paraId="3779D73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（4）未按规定时间或超过公示期提出的质疑；</w:t>
      </w:r>
    </w:p>
    <w:p w14:paraId="584330A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33.10对捏造事实，提供虚假材料或者以非法手段取得证明材料进行恶意质疑的，一经查实，将上报主管部门列入黑名单，并给以相应处罚。</w:t>
      </w:r>
    </w:p>
    <w:p w14:paraId="24AF3DCF">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九、投诉</w:t>
      </w:r>
    </w:p>
    <w:p w14:paraId="71E2E35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质疑供应商对答复不满意，或者采购人、代理机构未在规定的时间内做出书面答复的，可以在答复期满后15个工作日内向主管理部门投诉。</w:t>
      </w:r>
    </w:p>
    <w:p w14:paraId="2837B8AD">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十、签订合同</w:t>
      </w:r>
    </w:p>
    <w:p w14:paraId="7CB4904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采购人应当自成交通知书发出之日起30日内，按照谈判文件和成交供应商响应文件的规定，与成交供应商签订书面合同。</w:t>
      </w:r>
    </w:p>
    <w:p w14:paraId="3610B07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人与成交供应商所签订的合同不得对竞争谈判文件和成交供应商的响应文件作实质性修改。采购人不得向成交供应商提出任何不合理的要求，作为签订合同的条件，不得与成交供应商私下订立背离合同实质性内容的协议。合同原则以第六章合同书格式为基础，并根据响应、答疑情况进行修改补充，自签订之日起生效。</w:t>
      </w:r>
    </w:p>
    <w:p w14:paraId="394DAA3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成交供应商在规定时间内无正当理由拒绝与采购人签订合同的，响应供应商符合法定数量的，采购人可以按照评审报告推荐的成交候选人名单排序，确定下一候选人为成交供应商，也可以重新开展采购活动。</w:t>
      </w:r>
    </w:p>
    <w:p w14:paraId="73876DD8">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34.履约保证金</w:t>
      </w:r>
    </w:p>
    <w:p w14:paraId="2D8DF95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本项目不收取履约保证金。如中标单位中标后不按采购文件相关规定执行的，按诚信体系建设要求列入信用黑名单，1-3年内禁止参加采购活动。 </w:t>
      </w:r>
    </w:p>
    <w:p w14:paraId="3AA29063">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3</w:t>
      </w:r>
      <w:r>
        <w:rPr>
          <w:rFonts w:ascii="仿宋_GB2312" w:hAnsi="宋体" w:eastAsia="仿宋_GB2312"/>
          <w:b/>
          <w:color w:val="000000" w:themeColor="text1"/>
          <w:sz w:val="28"/>
          <w:szCs w:val="28"/>
          <w14:textFill>
            <w14:solidFill>
              <w14:schemeClr w14:val="tx1"/>
            </w14:solidFill>
          </w14:textFill>
        </w:rPr>
        <w:t>5.</w:t>
      </w:r>
      <w:r>
        <w:rPr>
          <w:rFonts w:hint="eastAsia" w:ascii="仿宋_GB2312" w:hAnsi="宋体" w:eastAsia="仿宋_GB2312"/>
          <w:b/>
          <w:color w:val="000000" w:themeColor="text1"/>
          <w:sz w:val="28"/>
          <w:szCs w:val="28"/>
          <w14:textFill>
            <w14:solidFill>
              <w14:schemeClr w14:val="tx1"/>
            </w14:solidFill>
          </w14:textFill>
        </w:rPr>
        <w:t>廉洁自律</w:t>
      </w:r>
      <w:r>
        <w:rPr>
          <w:rFonts w:ascii="仿宋_GB2312" w:hAnsi="宋体" w:eastAsia="仿宋_GB2312"/>
          <w:b/>
          <w:color w:val="000000" w:themeColor="text1"/>
          <w:sz w:val="28"/>
          <w:szCs w:val="28"/>
          <w14:textFill>
            <w14:solidFill>
              <w14:schemeClr w14:val="tx1"/>
            </w14:solidFill>
          </w14:textFill>
        </w:rPr>
        <w:t>规定</w:t>
      </w:r>
    </w:p>
    <w:p w14:paraId="0989F86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采购代理机构</w:t>
      </w:r>
      <w:r>
        <w:rPr>
          <w:rFonts w:ascii="仿宋_GB2312" w:hAnsi="宋体" w:eastAsia="仿宋_GB2312"/>
          <w:color w:val="000000" w:themeColor="text1"/>
          <w:sz w:val="28"/>
          <w:szCs w:val="28"/>
          <w14:textFill>
            <w14:solidFill>
              <w14:schemeClr w14:val="tx1"/>
            </w14:solidFill>
          </w14:textFill>
        </w:rPr>
        <w:t>工作人员</w:t>
      </w:r>
      <w:r>
        <w:rPr>
          <w:rFonts w:hint="eastAsia" w:ascii="仿宋_GB2312" w:hAnsi="宋体" w:eastAsia="仿宋_GB2312"/>
          <w:color w:val="000000" w:themeColor="text1"/>
          <w:sz w:val="28"/>
          <w:szCs w:val="28"/>
          <w14:textFill>
            <w14:solidFill>
              <w14:schemeClr w14:val="tx1"/>
            </w14:solidFill>
          </w14:textFill>
        </w:rPr>
        <w:t>不得与采购人、供应商恶意串通操纵采购活动。</w:t>
      </w:r>
    </w:p>
    <w:p w14:paraId="0D0AC05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采购代理机构工作人员不得接受采购人或者供应商组织的宴请、旅游、娱乐，不得收受礼品、现金、有价证券等，不得向采购人或者供应商报销应当由个人承担的费用。</w:t>
      </w:r>
    </w:p>
    <w:p w14:paraId="7080887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为强化采购</w:t>
      </w:r>
      <w:r>
        <w:rPr>
          <w:rFonts w:ascii="仿宋_GB2312" w:hAnsi="宋体" w:eastAsia="仿宋_GB2312"/>
          <w:color w:val="000000" w:themeColor="text1"/>
          <w:sz w:val="28"/>
          <w:szCs w:val="28"/>
          <w14:textFill>
            <w14:solidFill>
              <w14:schemeClr w14:val="tx1"/>
            </w14:solidFill>
          </w14:textFill>
        </w:rPr>
        <w:t>代理机构内部监督机制</w:t>
      </w:r>
      <w:r>
        <w:rPr>
          <w:rFonts w:hint="eastAsia" w:ascii="仿宋_GB2312" w:hAnsi="宋体" w:eastAsia="仿宋_GB2312"/>
          <w:color w:val="000000" w:themeColor="text1"/>
          <w:sz w:val="28"/>
          <w:szCs w:val="28"/>
          <w14:textFill>
            <w14:solidFill>
              <w14:schemeClr w14:val="tx1"/>
            </w14:solidFill>
          </w14:textFill>
        </w:rPr>
        <w:t>，供应商可按</w:t>
      </w:r>
      <w:r>
        <w:rPr>
          <w:rFonts w:hint="eastAsia" w:ascii="仿宋_GB2312" w:hAnsi="宋体" w:eastAsia="仿宋_GB2312"/>
          <w:color w:val="000000" w:themeColor="text1"/>
          <w:sz w:val="28"/>
          <w:szCs w:val="28"/>
          <w:u w:val="single"/>
          <w14:textFill>
            <w14:solidFill>
              <w14:schemeClr w14:val="tx1"/>
            </w14:solidFill>
          </w14:textFill>
        </w:rPr>
        <w:t>响应须知前附表</w:t>
      </w:r>
      <w:r>
        <w:rPr>
          <w:rFonts w:hint="eastAsia" w:ascii="仿宋_GB2312" w:hAnsi="宋体" w:eastAsia="仿宋_GB2312"/>
          <w:color w:val="000000" w:themeColor="text1"/>
          <w:sz w:val="28"/>
          <w:szCs w:val="28"/>
          <w14:textFill>
            <w14:solidFill>
              <w14:schemeClr w14:val="tx1"/>
            </w14:solidFill>
          </w14:textFill>
        </w:rPr>
        <w:t>中</w:t>
      </w:r>
      <w:r>
        <w:rPr>
          <w:rFonts w:ascii="仿宋_GB2312" w:hAnsi="宋体" w:eastAsia="仿宋_GB2312"/>
          <w:color w:val="000000" w:themeColor="text1"/>
          <w:sz w:val="28"/>
          <w:szCs w:val="28"/>
          <w14:textFill>
            <w14:solidFill>
              <w14:schemeClr w14:val="tx1"/>
            </w14:solidFill>
          </w14:textFill>
        </w:rPr>
        <w:t>的</w:t>
      </w:r>
      <w:r>
        <w:rPr>
          <w:rFonts w:hint="eastAsia" w:ascii="仿宋_GB2312" w:hAnsi="宋体" w:eastAsia="仿宋_GB2312"/>
          <w:color w:val="000000" w:themeColor="text1"/>
          <w:sz w:val="28"/>
          <w:szCs w:val="28"/>
          <w14:textFill>
            <w14:solidFill>
              <w14:schemeClr w14:val="tx1"/>
            </w14:solidFill>
          </w14:textFill>
        </w:rPr>
        <w:t>监督电话</w:t>
      </w:r>
      <w:r>
        <w:rPr>
          <w:rFonts w:ascii="仿宋_GB2312" w:hAnsi="宋体" w:eastAsia="仿宋_GB2312"/>
          <w:color w:val="000000" w:themeColor="text1"/>
          <w:sz w:val="28"/>
          <w:szCs w:val="28"/>
          <w14:textFill>
            <w14:solidFill>
              <w14:schemeClr w14:val="tx1"/>
            </w14:solidFill>
          </w14:textFill>
        </w:rPr>
        <w:t>和</w:t>
      </w:r>
      <w:r>
        <w:rPr>
          <w:rFonts w:hint="eastAsia" w:ascii="仿宋_GB2312" w:hAnsi="宋体" w:eastAsia="仿宋_GB2312"/>
          <w:color w:val="000000" w:themeColor="text1"/>
          <w:sz w:val="28"/>
          <w:szCs w:val="28"/>
          <w14:textFill>
            <w14:solidFill>
              <w14:schemeClr w14:val="tx1"/>
            </w14:solidFill>
          </w14:textFill>
        </w:rPr>
        <w:t>邮箱，反映采购代理机构的廉洁自律</w:t>
      </w:r>
      <w:r>
        <w:rPr>
          <w:rFonts w:ascii="仿宋_GB2312" w:hAnsi="宋体" w:eastAsia="仿宋_GB2312"/>
          <w:color w:val="000000" w:themeColor="text1"/>
          <w:sz w:val="28"/>
          <w:szCs w:val="28"/>
          <w14:textFill>
            <w14:solidFill>
              <w14:schemeClr w14:val="tx1"/>
            </w14:solidFill>
          </w14:textFill>
        </w:rPr>
        <w:t>等</w:t>
      </w:r>
      <w:r>
        <w:rPr>
          <w:rFonts w:hint="eastAsia" w:ascii="仿宋_GB2312" w:hAnsi="宋体" w:eastAsia="仿宋_GB2312"/>
          <w:color w:val="000000" w:themeColor="text1"/>
          <w:sz w:val="28"/>
          <w:szCs w:val="28"/>
          <w14:textFill>
            <w14:solidFill>
              <w14:schemeClr w14:val="tx1"/>
            </w14:solidFill>
          </w14:textFill>
        </w:rPr>
        <w:t>问题。</w:t>
      </w:r>
    </w:p>
    <w:p w14:paraId="0DFF268E">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3</w:t>
      </w:r>
      <w:r>
        <w:rPr>
          <w:rFonts w:ascii="仿宋_GB2312" w:hAnsi="宋体" w:eastAsia="仿宋_GB2312"/>
          <w:b/>
          <w:color w:val="000000" w:themeColor="text1"/>
          <w:sz w:val="28"/>
          <w:szCs w:val="28"/>
          <w14:textFill>
            <w14:solidFill>
              <w14:schemeClr w14:val="tx1"/>
            </w14:solidFill>
          </w14:textFill>
        </w:rPr>
        <w:t>6</w:t>
      </w:r>
      <w:r>
        <w:rPr>
          <w:rFonts w:hint="eastAsia" w:ascii="仿宋_GB2312" w:hAnsi="宋体" w:eastAsia="仿宋_GB2312"/>
          <w:b/>
          <w:color w:val="000000" w:themeColor="text1"/>
          <w:sz w:val="28"/>
          <w:szCs w:val="28"/>
          <w14:textFill>
            <w14:solidFill>
              <w14:schemeClr w14:val="tx1"/>
            </w14:solidFill>
          </w14:textFill>
        </w:rPr>
        <w:t>.项目其他相关费用</w:t>
      </w:r>
    </w:p>
    <w:p w14:paraId="1076BE6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r>
        <w:rPr>
          <w:rFonts w:ascii="仿宋_GB2312" w:hAnsi="宋体" w:eastAsia="仿宋_GB2312"/>
          <w:color w:val="000000" w:themeColor="text1"/>
          <w:sz w:val="28"/>
          <w:szCs w:val="28"/>
          <w14:textFill>
            <w14:solidFill>
              <w14:schemeClr w14:val="tx1"/>
            </w14:solidFill>
          </w14:textFill>
        </w:rPr>
        <w:t>6</w:t>
      </w:r>
      <w:r>
        <w:rPr>
          <w:rFonts w:hint="eastAsia" w:ascii="仿宋_GB2312" w:hAnsi="宋体" w:eastAsia="仿宋_GB2312"/>
          <w:color w:val="000000" w:themeColor="text1"/>
          <w:sz w:val="28"/>
          <w:szCs w:val="28"/>
          <w14:textFill>
            <w14:solidFill>
              <w14:schemeClr w14:val="tx1"/>
            </w14:solidFill>
          </w14:textFill>
        </w:rPr>
        <w:t>.1代理服务费</w:t>
      </w:r>
    </w:p>
    <w:p w14:paraId="36740ED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代理服务费收取标准：</w:t>
      </w:r>
      <w:r>
        <w:rPr>
          <w:rFonts w:hint="eastAsia" w:ascii="仿宋_GB2312" w:hAnsi="宋体" w:eastAsia="仿宋_GB2312"/>
          <w:color w:val="000000" w:themeColor="text1"/>
          <w:sz w:val="28"/>
          <w:szCs w:val="28"/>
          <w:u w:val="single"/>
          <w14:textFill>
            <w14:solidFill>
              <w14:schemeClr w14:val="tx1"/>
            </w14:solidFill>
          </w14:textFill>
        </w:rPr>
        <w:t>见响应须知前附表。</w:t>
      </w:r>
    </w:p>
    <w:p w14:paraId="1D6A7DF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p>
    <w:p w14:paraId="196F2C1F">
      <w:pPr>
        <w:rPr>
          <w:color w:val="000000" w:themeColor="text1"/>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58FC6E5D">
      <w:pPr>
        <w:pStyle w:val="26"/>
        <w:spacing w:before="100" w:beforeAutospacing="1" w:after="100" w:afterAutospacing="1" w:line="415" w:lineRule="auto"/>
        <w:ind w:left="1440"/>
        <w:jc w:val="both"/>
        <w:rPr>
          <w:rFonts w:ascii="楷体_GB2312" w:hAnsi="宋体" w:eastAsia="楷体_GB2312" w:cs="宋体"/>
          <w:color w:val="000000" w:themeColor="text1"/>
          <w:sz w:val="44"/>
          <w:szCs w:val="44"/>
          <w14:textFill>
            <w14:solidFill>
              <w14:schemeClr w14:val="tx1"/>
            </w14:solidFill>
          </w14:textFill>
        </w:rPr>
      </w:pPr>
      <w:r>
        <w:rPr>
          <w:rFonts w:hint="eastAsia" w:ascii="宋体" w:hAnsi="宋体" w:cs="宋体"/>
          <w:color w:val="000000" w:themeColor="text1"/>
          <w:sz w:val="44"/>
          <w:szCs w:val="44"/>
          <w14:textFill>
            <w14:solidFill>
              <w14:schemeClr w14:val="tx1"/>
            </w14:solidFill>
          </w14:textFill>
        </w:rPr>
        <w:t xml:space="preserve">第三章 </w:t>
      </w:r>
      <w:r>
        <w:rPr>
          <w:rFonts w:hint="eastAsia" w:ascii="楷体_GB2312" w:hAnsi="宋体" w:eastAsia="楷体_GB2312" w:cs="宋体"/>
          <w:color w:val="000000" w:themeColor="text1"/>
          <w:sz w:val="44"/>
          <w:szCs w:val="44"/>
          <w14:textFill>
            <w14:solidFill>
              <w14:schemeClr w14:val="tx1"/>
            </w14:solidFill>
          </w14:textFill>
        </w:rPr>
        <w:t>采购内容与要求</w:t>
      </w:r>
    </w:p>
    <w:p w14:paraId="6722BC1A">
      <w:pPr>
        <w:rPr>
          <w:color w:val="000000" w:themeColor="text1"/>
          <w14:textFill>
            <w14:solidFill>
              <w14:schemeClr w14:val="tx1"/>
            </w14:solidFill>
          </w14:textFill>
        </w:rPr>
      </w:pPr>
    </w:p>
    <w:p w14:paraId="3A9714E0">
      <w:pPr>
        <w:rPr>
          <w:color w:val="000000" w:themeColor="text1"/>
          <w14:textFill>
            <w14:solidFill>
              <w14:schemeClr w14:val="tx1"/>
            </w14:solidFill>
          </w14:textFill>
        </w:rPr>
        <w:sectPr>
          <w:headerReference r:id="rId13" w:type="first"/>
          <w:footerReference r:id="rId14" w:type="default"/>
          <w:headerReference r:id="rId12" w:type="even"/>
          <w:pgSz w:w="11906" w:h="16838"/>
          <w:pgMar w:top="1440" w:right="1077" w:bottom="1440" w:left="1077" w:header="851" w:footer="992" w:gutter="0"/>
          <w:cols w:space="720" w:num="1"/>
          <w:docGrid w:type="lines" w:linePitch="312" w:charSpace="0"/>
        </w:sectPr>
      </w:pPr>
    </w:p>
    <w:p w14:paraId="5108B0A3">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第一部分 项目背景</w:t>
      </w:r>
    </w:p>
    <w:p w14:paraId="556D4032">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一、项目概况</w:t>
      </w:r>
    </w:p>
    <w:p w14:paraId="5B4495FB">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项目名称：</w:t>
      </w:r>
      <w:r>
        <w:rPr>
          <w:rFonts w:ascii="仿宋_GB2312" w:hAnsi="宋体" w:eastAsia="仿宋_GB2312"/>
          <w:color w:val="000000" w:themeColor="text1"/>
          <w:sz w:val="28"/>
          <w:szCs w:val="21"/>
          <w14:textFill>
            <w14:solidFill>
              <w14:schemeClr w14:val="tx1"/>
            </w14:solidFill>
          </w14:textFill>
        </w:rPr>
        <w:t>乳山市建设大厦10KV配电改造工程</w:t>
      </w:r>
    </w:p>
    <w:p w14:paraId="713A9386">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项目编号：</w:t>
      </w:r>
      <w:r>
        <w:rPr>
          <w:rFonts w:hint="eastAsia" w:ascii="仿宋_GB2312" w:hAnsi="宋体" w:eastAsia="仿宋_GB2312"/>
          <w:color w:val="000000" w:themeColor="text1"/>
          <w:sz w:val="28"/>
          <w:szCs w:val="21"/>
          <w:lang w:eastAsia="zh-CN"/>
          <w14:textFill>
            <w14:solidFill>
              <w14:schemeClr w14:val="tx1"/>
            </w14:solidFill>
          </w14:textFill>
        </w:rPr>
        <w:t>WHJX-ZB-2026-039</w:t>
      </w:r>
    </w:p>
    <w:p w14:paraId="6F3A779C">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项目概况说明：新建室外箱变一套、敷设电缆230米等</w:t>
      </w:r>
      <w:r>
        <w:rPr>
          <w:rFonts w:hint="eastAsia" w:ascii="仿宋_GB2312" w:hAnsi="宋体" w:eastAsia="仿宋_GB2312"/>
          <w:color w:val="000000" w:themeColor="text1"/>
          <w:sz w:val="28"/>
          <w:szCs w:val="21"/>
          <w:lang w:eastAsia="zh-CN"/>
          <w14:textFill>
            <w14:solidFill>
              <w14:schemeClr w14:val="tx1"/>
            </w14:solidFill>
          </w14:textFill>
        </w:rPr>
        <w:t>，</w:t>
      </w:r>
      <w:r>
        <w:rPr>
          <w:rFonts w:ascii="仿宋_GB2312" w:hAnsi="宋体" w:eastAsia="仿宋_GB2312"/>
          <w:color w:val="000000" w:themeColor="text1"/>
          <w:sz w:val="28"/>
          <w:szCs w:val="21"/>
          <w14:textFill>
            <w14:solidFill>
              <w14:schemeClr w14:val="tx1"/>
            </w14:solidFill>
          </w14:textFill>
        </w:rPr>
        <w:t>本工程包含设计图纸范围内箱变、杆上设备、线缆、配管及其配套的管沟挖填、构筑物砌筑、绿化移除及恢复等。</w:t>
      </w:r>
    </w:p>
    <w:p w14:paraId="310B864C">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二、采购目标</w:t>
      </w:r>
    </w:p>
    <w:p w14:paraId="222BD75F">
      <w:pPr>
        <w:pStyle w:val="58"/>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采购标的需实现的功能或者目标：【完成</w:t>
      </w:r>
      <w:r>
        <w:rPr>
          <w:rFonts w:ascii="仿宋_GB2312" w:hAnsi="宋体" w:eastAsia="仿宋_GB2312"/>
          <w:color w:val="000000" w:themeColor="text1"/>
          <w:szCs w:val="21"/>
          <w14:textFill>
            <w14:solidFill>
              <w14:schemeClr w14:val="tx1"/>
            </w14:solidFill>
          </w14:textFill>
        </w:rPr>
        <w:t>乳山市建设大厦10KV配电改造工程</w:t>
      </w:r>
      <w:r>
        <w:rPr>
          <w:rFonts w:hint="eastAsia" w:ascii="仿宋_GB2312" w:hAnsi="宋体" w:eastAsia="仿宋_GB2312"/>
          <w:color w:val="000000" w:themeColor="text1"/>
          <w14:textFill>
            <w14:solidFill>
              <w14:schemeClr w14:val="tx1"/>
            </w14:solidFill>
          </w14:textFill>
        </w:rPr>
        <w:t>】</w:t>
      </w:r>
    </w:p>
    <w:p w14:paraId="0F3A7679">
      <w:pPr>
        <w:spacing w:line="560" w:lineRule="exact"/>
        <w:ind w:firstLine="562" w:firstLineChars="200"/>
        <w:rPr>
          <w:rFonts w:ascii="仿宋_GB2312" w:hAnsi="宋体" w:eastAsia="仿宋_GB2312"/>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三、采购预算</w:t>
      </w:r>
    </w:p>
    <w:p w14:paraId="50DFB681">
      <w:pPr>
        <w:pStyle w:val="58"/>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本项目包段的采购预算金额为</w:t>
      </w:r>
      <w:r>
        <w:rPr>
          <w:rFonts w:ascii="仿宋_GB2312" w:hAnsi="宋体" w:eastAsia="仿宋_GB2312"/>
          <w:color w:val="000000" w:themeColor="text1"/>
          <w14:textFill>
            <w14:solidFill>
              <w14:schemeClr w14:val="tx1"/>
            </w14:solidFill>
          </w14:textFill>
        </w:rPr>
        <w:t>330000.00</w:t>
      </w:r>
      <w:r>
        <w:rPr>
          <w:rFonts w:hint="eastAsia" w:ascii="仿宋_GB2312" w:hAnsi="宋体" w:eastAsia="仿宋_GB2312"/>
          <w:color w:val="000000" w:themeColor="text1"/>
          <w14:textFill>
            <w14:solidFill>
              <w14:schemeClr w14:val="tx1"/>
            </w14:solidFill>
          </w14:textFill>
        </w:rPr>
        <w:t>元。</w:t>
      </w:r>
    </w:p>
    <w:p w14:paraId="316955B2">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四、采购方式</w:t>
      </w:r>
    </w:p>
    <w:p w14:paraId="3109578B">
      <w:pPr>
        <w:pStyle w:val="58"/>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本项目包段采用竞争谈判方式进行采购。</w:t>
      </w:r>
    </w:p>
    <w:p w14:paraId="4E704D15">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sectPr>
          <w:headerReference r:id="rId15" w:type="default"/>
          <w:footerReference r:id="rId16" w:type="default"/>
          <w:pgSz w:w="11906" w:h="16838"/>
          <w:pgMar w:top="1440" w:right="1077" w:bottom="1440" w:left="1077" w:header="851" w:footer="992" w:gutter="0"/>
          <w:cols w:space="720" w:num="1"/>
          <w:docGrid w:type="lines" w:linePitch="312" w:charSpace="0"/>
        </w:sectPr>
      </w:pPr>
    </w:p>
    <w:p w14:paraId="4549F373">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第二部分 采购清单及技术参数</w:t>
      </w:r>
    </w:p>
    <w:p w14:paraId="410D4DEE">
      <w:pPr>
        <w:pStyle w:val="15"/>
        <w:spacing w:line="560" w:lineRule="exact"/>
        <w:ind w:firstLine="560" w:firstLineChars="200"/>
        <w:rPr>
          <w:rFonts w:ascii="仿宋_GB2312" w:hAnsi="宋体" w:eastAsia="仿宋_GB2312"/>
          <w:color w:val="000000" w:themeColor="text1"/>
          <w:szCs w:val="21"/>
          <w14:textFill>
            <w14:solidFill>
              <w14:schemeClr w14:val="tx1"/>
            </w14:solidFill>
          </w14:textFill>
        </w:rPr>
      </w:pPr>
      <w:r>
        <w:rPr>
          <w:rFonts w:hint="eastAsia" w:ascii="仿宋_GB2312" w:hAnsi="宋体" w:eastAsia="仿宋_GB2312"/>
          <w:color w:val="000000" w:themeColor="text1"/>
          <w:szCs w:val="21"/>
          <w14:textFill>
            <w14:solidFill>
              <w14:schemeClr w14:val="tx1"/>
            </w14:solidFill>
          </w14:textFill>
        </w:rPr>
        <w:t xml:space="preserve">本项目包段的采购标的物如下，供应商需逐项进行报价： </w:t>
      </w:r>
    </w:p>
    <w:tbl>
      <w:tblPr>
        <w:tblStyle w:val="28"/>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417"/>
        <w:gridCol w:w="1134"/>
        <w:gridCol w:w="851"/>
        <w:gridCol w:w="7008"/>
      </w:tblGrid>
      <w:tr w14:paraId="0BA3D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3673846B">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序号</w:t>
            </w:r>
          </w:p>
        </w:tc>
        <w:tc>
          <w:tcPr>
            <w:tcW w:w="993" w:type="dxa"/>
            <w:shd w:val="clear" w:color="auto" w:fill="D9D9D9"/>
            <w:vAlign w:val="center"/>
          </w:tcPr>
          <w:p w14:paraId="08ABD85D">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分类</w:t>
            </w:r>
          </w:p>
        </w:tc>
        <w:tc>
          <w:tcPr>
            <w:tcW w:w="992" w:type="dxa"/>
            <w:shd w:val="clear" w:color="auto" w:fill="D9D9D9"/>
            <w:vAlign w:val="center"/>
          </w:tcPr>
          <w:p w14:paraId="439812F2">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清单</w:t>
            </w:r>
          </w:p>
          <w:p w14:paraId="3C1B995E">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分组</w:t>
            </w:r>
          </w:p>
        </w:tc>
        <w:tc>
          <w:tcPr>
            <w:tcW w:w="1417" w:type="dxa"/>
            <w:shd w:val="clear" w:color="auto" w:fill="D9D9D9"/>
            <w:vAlign w:val="center"/>
          </w:tcPr>
          <w:p w14:paraId="09D7819F">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清单名称</w:t>
            </w:r>
          </w:p>
        </w:tc>
        <w:tc>
          <w:tcPr>
            <w:tcW w:w="1134" w:type="dxa"/>
            <w:shd w:val="clear" w:color="auto" w:fill="D9D9D9"/>
            <w:vAlign w:val="center"/>
          </w:tcPr>
          <w:p w14:paraId="2B945567">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数量</w:t>
            </w:r>
          </w:p>
        </w:tc>
        <w:tc>
          <w:tcPr>
            <w:tcW w:w="851" w:type="dxa"/>
            <w:shd w:val="clear" w:color="auto" w:fill="D9D9D9"/>
            <w:vAlign w:val="center"/>
          </w:tcPr>
          <w:p w14:paraId="749D2370">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单位</w:t>
            </w:r>
          </w:p>
        </w:tc>
        <w:tc>
          <w:tcPr>
            <w:tcW w:w="7008" w:type="dxa"/>
            <w:shd w:val="clear" w:color="auto" w:fill="D9D9D9"/>
            <w:vAlign w:val="center"/>
          </w:tcPr>
          <w:p w14:paraId="4B65636B">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功能与技术参数</w:t>
            </w:r>
          </w:p>
        </w:tc>
      </w:tr>
      <w:tr w14:paraId="51CED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268AFC4F">
            <w:pPr>
              <w:jc w:val="cente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1</w:t>
            </w:r>
          </w:p>
        </w:tc>
        <w:tc>
          <w:tcPr>
            <w:tcW w:w="993" w:type="dxa"/>
            <w:vAlign w:val="center"/>
          </w:tcPr>
          <w:p w14:paraId="3CFE37E5">
            <w:pPr>
              <w:jc w:val="cente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工程</w:t>
            </w:r>
          </w:p>
        </w:tc>
        <w:tc>
          <w:tcPr>
            <w:tcW w:w="992" w:type="dxa"/>
            <w:vAlign w:val="center"/>
          </w:tcPr>
          <w:p w14:paraId="7FB313D2">
            <w:pPr>
              <w:jc w:val="center"/>
              <w:rPr>
                <w:rFonts w:ascii="仿宋_GB2312" w:hAnsi="宋体" w:eastAsia="仿宋_GB2312"/>
                <w:color w:val="000000" w:themeColor="text1"/>
                <w:sz w:val="24"/>
                <w14:textFill>
                  <w14:solidFill>
                    <w14:schemeClr w14:val="tx1"/>
                  </w14:solidFill>
                </w14:textFill>
              </w:rPr>
            </w:pPr>
          </w:p>
        </w:tc>
        <w:tc>
          <w:tcPr>
            <w:tcW w:w="1417" w:type="dxa"/>
            <w:vAlign w:val="center"/>
          </w:tcPr>
          <w:p w14:paraId="140C5202">
            <w:pPr>
              <w:jc w:val="center"/>
              <w:rPr>
                <w:rFonts w:ascii="仿宋_GB2312" w:hAnsi="宋体" w:eastAsia="仿宋_GB2312"/>
                <w:color w:val="000000" w:themeColor="text1"/>
                <w:sz w:val="24"/>
                <w14:textFill>
                  <w14:solidFill>
                    <w14:schemeClr w14:val="tx1"/>
                  </w14:solidFill>
                </w14:textFill>
              </w:rPr>
            </w:pPr>
            <w:r>
              <w:rPr>
                <w:rFonts w:ascii="仿宋_GB2312" w:hAnsi="宋体" w:eastAsia="仿宋_GB2312"/>
                <w:color w:val="000000" w:themeColor="text1"/>
                <w:sz w:val="24"/>
                <w14:textFill>
                  <w14:solidFill>
                    <w14:schemeClr w14:val="tx1"/>
                  </w14:solidFill>
                </w14:textFill>
              </w:rPr>
              <w:t>乳山市建设大厦10KV配电改造工程</w:t>
            </w:r>
          </w:p>
        </w:tc>
        <w:tc>
          <w:tcPr>
            <w:tcW w:w="1134" w:type="dxa"/>
            <w:vAlign w:val="center"/>
          </w:tcPr>
          <w:p w14:paraId="37B2CDCD">
            <w:pPr>
              <w:jc w:val="cente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1</w:t>
            </w:r>
          </w:p>
        </w:tc>
        <w:tc>
          <w:tcPr>
            <w:tcW w:w="851" w:type="dxa"/>
            <w:vAlign w:val="center"/>
          </w:tcPr>
          <w:p w14:paraId="618DF85A">
            <w:pPr>
              <w:jc w:val="cente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宗</w:t>
            </w:r>
          </w:p>
        </w:tc>
        <w:tc>
          <w:tcPr>
            <w:tcW w:w="7008" w:type="dxa"/>
          </w:tcPr>
          <w:p w14:paraId="00FE6E65">
            <w:pP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新建室外箱变一套、敷设电缆230米等</w:t>
            </w:r>
            <w:r>
              <w:rPr>
                <w:rFonts w:hint="eastAsia" w:ascii="仿宋_GB2312" w:hAnsi="宋体" w:eastAsia="仿宋_GB2312"/>
                <w:color w:val="000000" w:themeColor="text1"/>
                <w:sz w:val="24"/>
                <w:lang w:eastAsia="zh-CN"/>
                <w14:textFill>
                  <w14:solidFill>
                    <w14:schemeClr w14:val="tx1"/>
                  </w14:solidFill>
                </w14:textFill>
              </w:rPr>
              <w:t>，</w:t>
            </w:r>
            <w:r>
              <w:rPr>
                <w:rFonts w:ascii="仿宋_GB2312" w:hAnsi="宋体" w:eastAsia="仿宋_GB2312"/>
                <w:color w:val="000000" w:themeColor="text1"/>
                <w:sz w:val="24"/>
                <w14:textFill>
                  <w14:solidFill>
                    <w14:schemeClr w14:val="tx1"/>
                  </w14:solidFill>
                </w14:textFill>
              </w:rPr>
              <w:t>本工程包含设计图纸范围内箱变、杆上设备、线缆、配管及其配套的管沟挖填、构筑物砌筑、绿化移除及恢复等。</w:t>
            </w:r>
          </w:p>
        </w:tc>
      </w:tr>
    </w:tbl>
    <w:p w14:paraId="074EB0DE">
      <w:pPr>
        <w:widowControl/>
        <w:spacing w:line="200" w:lineRule="exact"/>
        <w:ind w:firstLine="200" w:firstLineChars="200"/>
        <w:jc w:val="center"/>
        <w:rPr>
          <w:rFonts w:ascii="仿宋_GB2312" w:hAnsi="宋体" w:eastAsia="仿宋_GB2312"/>
          <w:color w:val="000000" w:themeColor="text1"/>
          <w:sz w:val="10"/>
          <w:szCs w:val="10"/>
          <w14:textFill>
            <w14:solidFill>
              <w14:schemeClr w14:val="tx1"/>
            </w14:solidFill>
          </w14:textFill>
        </w:rPr>
      </w:pPr>
    </w:p>
    <w:p w14:paraId="70E3E2A7">
      <w:pPr>
        <w:widowControl/>
        <w:spacing w:line="560" w:lineRule="exact"/>
        <w:ind w:firstLine="560" w:firstLineChars="200"/>
        <w:jc w:val="left"/>
        <w:rPr>
          <w:rFonts w:ascii="仿宋_GB2312" w:hAnsi="宋体" w:eastAsia="仿宋_GB2312"/>
          <w:color w:val="000000" w:themeColor="text1"/>
          <w:sz w:val="28"/>
          <w:szCs w:val="21"/>
          <w14:textFill>
            <w14:solidFill>
              <w14:schemeClr w14:val="tx1"/>
            </w14:solidFill>
          </w14:textFill>
        </w:rPr>
      </w:pPr>
    </w:p>
    <w:p w14:paraId="717B0EBC">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sectPr>
          <w:pgSz w:w="16838" w:h="11906" w:orient="landscape"/>
          <w:pgMar w:top="1077" w:right="1440" w:bottom="1077" w:left="1440" w:header="851" w:footer="992" w:gutter="0"/>
          <w:cols w:space="720" w:num="1"/>
          <w:docGrid w:type="lines" w:linePitch="312" w:charSpace="0"/>
        </w:sectPr>
      </w:pPr>
    </w:p>
    <w:p w14:paraId="18F13C0F">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第三部分 技术要求</w:t>
      </w:r>
    </w:p>
    <w:p w14:paraId="7999C55E">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一、需执行的标准</w:t>
      </w:r>
    </w:p>
    <w:p w14:paraId="1B3590A6">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1）国家相关标准：按照国家最新标准执行  </w:t>
      </w:r>
    </w:p>
    <w:p w14:paraId="70FB008D">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2）行业标准：按照行业最新标准执行  </w:t>
      </w:r>
    </w:p>
    <w:p w14:paraId="68510FAA">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3）地方标准：按照地方最新标准执行  </w:t>
      </w:r>
    </w:p>
    <w:p w14:paraId="08D2E313">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4）其他标准：按照最新标准执行 </w:t>
      </w:r>
      <w:r>
        <w:rPr>
          <w:rFonts w:ascii="仿宋_GB2312" w:hAnsi="宋体" w:eastAsia="仿宋_GB2312"/>
          <w:color w:val="000000" w:themeColor="text1"/>
          <w:sz w:val="28"/>
          <w:szCs w:val="21"/>
          <w14:textFill>
            <w14:solidFill>
              <w14:schemeClr w14:val="tx1"/>
            </w14:solidFill>
          </w14:textFill>
        </w:rPr>
        <w:t xml:space="preserve"> </w:t>
      </w:r>
    </w:p>
    <w:p w14:paraId="1D5DFC1D">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二、实施及交付</w:t>
      </w:r>
    </w:p>
    <w:p w14:paraId="399D9E75">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1）质量要求：合格 </w:t>
      </w:r>
    </w:p>
    <w:p w14:paraId="6ED4B1A3">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2）安全要求</w:t>
      </w:r>
      <w:r>
        <w:rPr>
          <w:rFonts w:hint="eastAsia" w:ascii="仿宋_GB2312" w:hAnsi="宋体" w:eastAsia="仿宋_GB2312"/>
          <w:color w:val="000000" w:themeColor="text1"/>
          <w:sz w:val="28"/>
          <w:szCs w:val="21"/>
          <w14:textFill>
            <w14:solidFill>
              <w14:schemeClr w14:val="tx1"/>
            </w14:solidFill>
          </w14:textFill>
        </w:rPr>
        <w:t xml:space="preserve">：使用安全、可靠 </w:t>
      </w:r>
    </w:p>
    <w:p w14:paraId="70AFB0D3">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3）交付期：</w:t>
      </w:r>
      <w:r>
        <w:rPr>
          <w:rFonts w:hint="eastAsia" w:ascii="仿宋_GB2312" w:hAnsi="宋体" w:eastAsia="仿宋_GB2312"/>
          <w:color w:val="000000" w:themeColor="text1"/>
          <w:sz w:val="28"/>
          <w:szCs w:val="21"/>
          <w:lang w:eastAsia="zh-CN"/>
          <w14:textFill>
            <w14:solidFill>
              <w14:schemeClr w14:val="tx1"/>
            </w14:solidFill>
          </w14:textFill>
        </w:rPr>
        <w:t>自合同签订之日起30天内完工</w:t>
      </w:r>
    </w:p>
    <w:p w14:paraId="1F1F7D2D">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4）交付（实施）地点</w:t>
      </w:r>
    </w:p>
    <w:p w14:paraId="1611D7D4">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采购人指定地点 </w:t>
      </w:r>
    </w:p>
    <w:p w14:paraId="4591A77F">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5）付款方式</w:t>
      </w:r>
    </w:p>
    <w:p w14:paraId="7FD397E9">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按工程形象进度付款，按月计量，在建设期内支付30%，工程竣工验收合格支付到合同价款的50%，审计结算结束支付到结算价款的70%; 剩余资金分三年付清，每年各支付10%。</w:t>
      </w:r>
    </w:p>
    <w:p w14:paraId="7377D19C">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三、服务要求</w:t>
      </w:r>
    </w:p>
    <w:p w14:paraId="56B13333">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1）服务标准</w:t>
      </w:r>
    </w:p>
    <w:p w14:paraId="67060A29">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达到采购文件要求 </w:t>
      </w:r>
    </w:p>
    <w:p w14:paraId="6DC0B08A">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2）</w:t>
      </w:r>
      <w:r>
        <w:rPr>
          <w:rFonts w:hint="eastAsia" w:ascii="仿宋_GB2312" w:hAnsi="宋体" w:eastAsia="仿宋_GB2312"/>
          <w:color w:val="000000" w:themeColor="text1"/>
          <w:sz w:val="28"/>
          <w:szCs w:val="21"/>
          <w14:textFill>
            <w14:solidFill>
              <w14:schemeClr w14:val="tx1"/>
            </w14:solidFill>
          </w14:textFill>
        </w:rPr>
        <w:t>保修期：</w:t>
      </w:r>
      <w:r>
        <w:rPr>
          <w:rFonts w:ascii="仿宋_GB2312" w:hAnsi="宋体" w:eastAsia="仿宋_GB2312"/>
          <w:color w:val="000000" w:themeColor="text1"/>
          <w:sz w:val="28"/>
          <w:szCs w:val="21"/>
          <w14:textFill>
            <w14:solidFill>
              <w14:schemeClr w14:val="tx1"/>
            </w14:solidFill>
          </w14:textFill>
        </w:rPr>
        <w:t>两年</w:t>
      </w:r>
    </w:p>
    <w:p w14:paraId="1441A2AF">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四、验收标准</w:t>
      </w:r>
    </w:p>
    <w:p w14:paraId="350AD37D">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符合相关技术要求及行业标准。 </w:t>
      </w:r>
      <w:r>
        <w:rPr>
          <w:rFonts w:hint="eastAsia" w:ascii="仿宋_GB2312" w:hAnsi="宋体" w:eastAsia="仿宋_GB2312"/>
          <w:color w:val="000000" w:themeColor="text1"/>
          <w:sz w:val="28"/>
          <w:szCs w:val="21"/>
          <w14:textFill>
            <w14:solidFill>
              <w14:schemeClr w14:val="tx1"/>
            </w14:solidFill>
          </w14:textFill>
        </w:rPr>
        <w:t xml:space="preserve"> </w:t>
      </w:r>
    </w:p>
    <w:p w14:paraId="7B6039EC">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五、其他技术及服务要求</w:t>
      </w:r>
    </w:p>
    <w:p w14:paraId="359B18EF">
      <w:pPr>
        <w:spacing w:line="560" w:lineRule="exact"/>
        <w:ind w:firstLine="560" w:firstLineChars="2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详见工程量清单。</w:t>
      </w:r>
    </w:p>
    <w:p w14:paraId="1A184897">
      <w:pPr>
        <w:spacing w:line="560" w:lineRule="exact"/>
        <w:ind w:firstLine="562" w:firstLineChars="200"/>
        <w:rPr>
          <w:rFonts w:ascii="仿宋_GB2312" w:hAnsi="宋体" w:eastAsia="仿宋_GB2312"/>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 xml:space="preserve">六、联系方式 </w:t>
      </w:r>
    </w:p>
    <w:p w14:paraId="30A59270">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采购人：</w:t>
      </w:r>
      <w:r>
        <w:rPr>
          <w:rFonts w:ascii="仿宋_GB2312" w:hAnsi="宋体" w:eastAsia="仿宋_GB2312"/>
          <w:color w:val="000000" w:themeColor="text1"/>
          <w:sz w:val="28"/>
          <w:szCs w:val="21"/>
          <w14:textFill>
            <w14:solidFill>
              <w14:schemeClr w14:val="tx1"/>
            </w14:solidFill>
          </w14:textFill>
        </w:rPr>
        <w:t>乳山市水务集团有限公司</w:t>
      </w:r>
    </w:p>
    <w:p w14:paraId="5AEF9466">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采购人地址：</w:t>
      </w:r>
      <w:r>
        <w:rPr>
          <w:rFonts w:ascii="仿宋_GB2312" w:hAnsi="宋体" w:eastAsia="仿宋_GB2312"/>
          <w:color w:val="000000" w:themeColor="text1"/>
          <w:sz w:val="28"/>
          <w:szCs w:val="21"/>
          <w14:textFill>
            <w14:solidFill>
              <w14:schemeClr w14:val="tx1"/>
            </w14:solidFill>
          </w14:textFill>
        </w:rPr>
        <w:t>乳山市胜利街38号</w:t>
      </w:r>
    </w:p>
    <w:p w14:paraId="341CF25C">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联系人：</w:t>
      </w:r>
      <w:r>
        <w:rPr>
          <w:rFonts w:hint="eastAsia" w:ascii="仿宋_GB2312" w:hAnsi="宋体" w:eastAsia="仿宋_GB2312"/>
          <w:color w:val="000000" w:themeColor="text1"/>
          <w:sz w:val="28"/>
          <w:szCs w:val="21"/>
          <w:lang w:eastAsia="zh-CN"/>
          <w14:textFill>
            <w14:solidFill>
              <w14:schemeClr w14:val="tx1"/>
            </w14:solidFill>
          </w14:textFill>
        </w:rPr>
        <w:t>王勇</w:t>
      </w:r>
    </w:p>
    <w:p w14:paraId="558A7D13">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sectPr>
          <w:pgSz w:w="11906" w:h="16838"/>
          <w:pgMar w:top="1440" w:right="1077" w:bottom="1440" w:left="1077" w:header="851" w:footer="992" w:gutter="0"/>
          <w:cols w:space="720" w:num="1"/>
          <w:docGrid w:type="lines" w:linePitch="312" w:charSpace="0"/>
        </w:sectPr>
      </w:pPr>
      <w:r>
        <w:rPr>
          <w:rFonts w:hint="eastAsia" w:ascii="仿宋_GB2312" w:hAnsi="宋体" w:eastAsia="仿宋_GB2312"/>
          <w:color w:val="000000" w:themeColor="text1"/>
          <w:sz w:val="28"/>
          <w:szCs w:val="21"/>
          <w14:textFill>
            <w14:solidFill>
              <w14:schemeClr w14:val="tx1"/>
            </w14:solidFill>
          </w14:textFill>
        </w:rPr>
        <w:t>联系电话：</w:t>
      </w:r>
      <w:r>
        <w:rPr>
          <w:rFonts w:hint="eastAsia" w:ascii="仿宋_GB2312" w:hAnsi="宋体" w:eastAsia="仿宋_GB2312"/>
          <w:color w:val="000000" w:themeColor="text1"/>
          <w:sz w:val="28"/>
          <w:szCs w:val="21"/>
          <w:lang w:eastAsia="zh-CN"/>
          <w14:textFill>
            <w14:solidFill>
              <w14:schemeClr w14:val="tx1"/>
            </w14:solidFill>
          </w14:textFill>
        </w:rPr>
        <w:t>16606315025</w:t>
      </w:r>
    </w:p>
    <w:p w14:paraId="4E2C2E68">
      <w:pPr>
        <w:jc w:val="center"/>
        <w:rPr>
          <w:rFonts w:hint="eastAsia" w:ascii="仿宋_GB2312" w:hAnsi="宋体" w:eastAsia="仿宋_GB2312"/>
          <w:color w:val="000000" w:themeColor="text1"/>
          <w:sz w:val="28"/>
          <w:szCs w:val="21"/>
          <w:lang w:eastAsia="zh-CN"/>
          <w14:textFill>
            <w14:solidFill>
              <w14:schemeClr w14:val="tx1"/>
            </w14:solidFill>
          </w14:textFill>
        </w:rPr>
      </w:pPr>
      <w:r>
        <w:rPr>
          <w:b/>
          <w:bCs/>
          <w:color w:val="000000" w:themeColor="text1"/>
          <w:spacing w:val="-24"/>
          <w:sz w:val="44"/>
          <w:szCs w:val="44"/>
          <w14:textFill>
            <w14:solidFill>
              <w14:schemeClr w14:val="tx1"/>
            </w14:solidFill>
          </w14:textFill>
        </w:rPr>
        <w:t>清单编制总说明</w:t>
      </w:r>
    </w:p>
    <w:p w14:paraId="1734857B">
      <w:pPr>
        <w:spacing w:line="560" w:lineRule="exact"/>
        <w:ind w:firstLine="480" w:firstLineChars="200"/>
        <w:rPr>
          <w:rFonts w:hint="eastAsia" w:ascii="宋体" w:hAnsi="宋体" w:eastAsia="宋体" w:cs="宋体"/>
          <w:color w:val="000000" w:themeColor="text1"/>
          <w:sz w:val="24"/>
          <w:szCs w:val="24"/>
          <w:highlight w:val="none"/>
          <w:lang w:eastAsia="zh-CN"/>
          <w14:textFill>
            <w14:solidFill>
              <w14:schemeClr w14:val="tx1"/>
            </w14:solidFill>
          </w14:textFill>
        </w:rPr>
      </w:pPr>
      <w:r>
        <w:rPr>
          <w:rFonts w:hint="eastAsia"/>
          <w:color w:val="000000" w:themeColor="text1"/>
          <w:sz w:val="24"/>
          <w:szCs w:val="24"/>
          <w14:textFill>
            <w14:solidFill>
              <w14:schemeClr w14:val="tx1"/>
            </w14:solidFill>
          </w14:textFill>
        </w:rPr>
        <w:t>工程名称</w:t>
      </w:r>
      <w:r>
        <w:rPr>
          <w:rFonts w:hint="eastAsia"/>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highlight w:val="none"/>
          <w:lang w:eastAsia="zh-CN"/>
          <w14:textFill>
            <w14:solidFill>
              <w14:schemeClr w14:val="tx1"/>
            </w14:solidFill>
          </w14:textFill>
        </w:rPr>
        <w:t>乳山市建设大厦10KV配电改造工程</w:t>
      </w:r>
    </w:p>
    <w:p w14:paraId="6E52B984">
      <w:pPr>
        <w:keepNext w:val="0"/>
        <w:keepLines w:val="0"/>
        <w:pageBreakBefore w:val="0"/>
        <w:widowControl w:val="0"/>
        <w:kinsoku/>
        <w:wordWrap/>
        <w:overflowPunct/>
        <w:topLinePunct w:val="0"/>
        <w:autoSpaceDE/>
        <w:autoSpaceDN/>
        <w:bidi w:val="0"/>
        <w:adjustRightInd w:val="0"/>
        <w:snapToGrid w:val="0"/>
        <w:spacing w:line="420" w:lineRule="exact"/>
        <w:ind w:left="0" w:leftChars="0" w:firstLine="480" w:firstLineChars="200"/>
        <w:jc w:val="left"/>
        <w:textAlignment w:val="auto"/>
        <w:rPr>
          <w:rFonts w:hint="eastAsia" w:ascii="宋体" w:hAnsi="宋体"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一、报价人须知：</w:t>
      </w:r>
    </w:p>
    <w:p w14:paraId="5CE8AAE6">
      <w:pPr>
        <w:keepNext w:val="0"/>
        <w:keepLines w:val="0"/>
        <w:pageBreakBefore w:val="0"/>
        <w:widowControl w:val="0"/>
        <w:numPr>
          <w:ilvl w:val="0"/>
          <w:numId w:val="2"/>
        </w:numPr>
        <w:kinsoku/>
        <w:wordWrap/>
        <w:overflowPunct/>
        <w:topLinePunct w:val="0"/>
        <w:autoSpaceDE/>
        <w:autoSpaceDN/>
        <w:bidi w:val="0"/>
        <w:adjustRightInd w:val="0"/>
        <w:snapToGrid w:val="0"/>
        <w:spacing w:line="42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应按工程量清单及其计价格式规定的内容进行编制、填写、签字、盖章。</w:t>
      </w:r>
    </w:p>
    <w:p w14:paraId="7FA4D708">
      <w:pPr>
        <w:keepNext w:val="0"/>
        <w:keepLines w:val="0"/>
        <w:pageBreakBefore w:val="0"/>
        <w:widowControl w:val="0"/>
        <w:numPr>
          <w:ilvl w:val="0"/>
          <w:numId w:val="2"/>
        </w:numPr>
        <w:kinsoku/>
        <w:wordWrap/>
        <w:overflowPunct/>
        <w:topLinePunct w:val="0"/>
        <w:autoSpaceDE/>
        <w:autoSpaceDN/>
        <w:bidi w:val="0"/>
        <w:adjustRightInd w:val="0"/>
        <w:snapToGrid w:val="0"/>
        <w:spacing w:line="42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工程量清单及其计价格式中的任何内容不得随意删除或涂改。</w:t>
      </w:r>
    </w:p>
    <w:p w14:paraId="4ED1014D">
      <w:pPr>
        <w:keepNext w:val="0"/>
        <w:keepLines w:val="0"/>
        <w:pageBreakBefore w:val="0"/>
        <w:widowControl w:val="0"/>
        <w:numPr>
          <w:ilvl w:val="0"/>
          <w:numId w:val="2"/>
        </w:numPr>
        <w:kinsoku/>
        <w:wordWrap/>
        <w:overflowPunct/>
        <w:topLinePunct w:val="0"/>
        <w:autoSpaceDE/>
        <w:autoSpaceDN/>
        <w:bidi w:val="0"/>
        <w:adjustRightInd w:val="0"/>
        <w:snapToGrid w:val="0"/>
        <w:spacing w:line="42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工程量清单计价格式中列明的所有需要填报的单价和合价，投标单位均应填报，未填报的单价和合价，视为此项费用已包含在工程量清单的其他单价和合价内。</w:t>
      </w:r>
    </w:p>
    <w:p w14:paraId="5770F7ED">
      <w:pPr>
        <w:keepNext w:val="0"/>
        <w:keepLines w:val="0"/>
        <w:pageBreakBefore w:val="0"/>
        <w:widowControl w:val="0"/>
        <w:numPr>
          <w:ilvl w:val="0"/>
          <w:numId w:val="2"/>
        </w:numPr>
        <w:kinsoku/>
        <w:wordWrap/>
        <w:overflowPunct/>
        <w:topLinePunct w:val="0"/>
        <w:autoSpaceDE/>
        <w:autoSpaceDN/>
        <w:bidi w:val="0"/>
        <w:adjustRightInd w:val="0"/>
        <w:snapToGrid w:val="0"/>
        <w:spacing w:line="42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金额（价格）均以人民币表示。</w:t>
      </w:r>
    </w:p>
    <w:p w14:paraId="5533E09B">
      <w:pPr>
        <w:keepNext w:val="0"/>
        <w:keepLines w:val="0"/>
        <w:pageBreakBefore w:val="0"/>
        <w:widowControl w:val="0"/>
        <w:kinsoku/>
        <w:wordWrap/>
        <w:overflowPunct/>
        <w:topLinePunct w:val="0"/>
        <w:autoSpaceDE/>
        <w:autoSpaceDN/>
        <w:bidi w:val="0"/>
        <w:adjustRightInd w:val="0"/>
        <w:snapToGrid w:val="0"/>
        <w:spacing w:line="420" w:lineRule="exact"/>
        <w:ind w:left="0" w:leftChars="0" w:firstLine="480" w:firstLineChars="200"/>
        <w:jc w:val="left"/>
        <w:textAlignment w:val="auto"/>
        <w:rPr>
          <w:rFonts w:hint="eastAsia" w:ascii="宋体" w:hAnsi="宋体"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二、工程名称：</w:t>
      </w:r>
      <w:r>
        <w:rPr>
          <w:rFonts w:hint="eastAsia" w:ascii="宋体" w:hAnsi="宋体" w:eastAsia="宋体" w:cs="宋体"/>
          <w:color w:val="000000" w:themeColor="text1"/>
          <w:sz w:val="24"/>
          <w:szCs w:val="24"/>
          <w:highlight w:val="none"/>
          <w:lang w:eastAsia="zh-CN"/>
          <w14:textFill>
            <w14:solidFill>
              <w14:schemeClr w14:val="tx1"/>
            </w14:solidFill>
          </w14:textFill>
        </w:rPr>
        <w:t>乳山市建设大厦10KV配电改造工程</w:t>
      </w: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w:t>
      </w:r>
      <w:r>
        <w:rPr>
          <w:rFonts w:hint="eastAsia" w:ascii="宋体" w:hAnsi="宋体" w:eastAsia="宋体" w:cs="Times New Roman"/>
          <w:color w:val="000000" w:themeColor="text1"/>
          <w:sz w:val="24"/>
          <w:szCs w:val="24"/>
          <w:highlight w:val="none"/>
          <w14:textFill>
            <w14:solidFill>
              <w14:schemeClr w14:val="tx1"/>
            </w14:solidFill>
          </w14:textFill>
        </w:rPr>
        <w:t xml:space="preserve"> </w:t>
      </w:r>
    </w:p>
    <w:p w14:paraId="5A33E8CE">
      <w:pPr>
        <w:keepNext w:val="0"/>
        <w:keepLines w:val="0"/>
        <w:widowControl/>
        <w:suppressLineNumbers w:val="0"/>
        <w:spacing w:before="0" w:beforeAutospacing="0" w:after="0" w:afterAutospacing="0" w:line="420" w:lineRule="exact"/>
        <w:ind w:left="0" w:right="0" w:firstLine="480" w:firstLineChars="200"/>
        <w:jc w:val="left"/>
        <w:rPr>
          <w:rFonts w:hint="eastAsia" w:ascii="宋体" w:hAnsi="宋体" w:eastAsia="宋体" w:cs="宋体"/>
          <w:b w:val="0"/>
          <w:bCs w:val="0"/>
          <w:i w:val="0"/>
          <w:iCs w:val="0"/>
          <w:color w:val="000000" w:themeColor="text1"/>
          <w:spacing w:val="0"/>
          <w:w w:val="100"/>
          <w:kern w:val="0"/>
          <w:sz w:val="24"/>
          <w:szCs w:val="24"/>
          <w:highlight w:val="none"/>
          <w:vertAlign w:val="baseline"/>
          <w:lang w:val="en-US" w:eastAsia="zh-CN" w:bidi="ar"/>
          <w14:textFill>
            <w14:solidFill>
              <w14:schemeClr w14:val="tx1"/>
            </w14:solidFill>
          </w14:textFill>
        </w:rPr>
      </w:pPr>
      <w:r>
        <w:rPr>
          <w:rFonts w:hint="eastAsia" w:ascii="宋体" w:hAnsi="宋体" w:eastAsia="宋体" w:cs="Times New Roman"/>
          <w:color w:val="000000" w:themeColor="text1"/>
          <w:kern w:val="0"/>
          <w:sz w:val="24"/>
          <w:szCs w:val="24"/>
          <w:highlight w:val="none"/>
          <w:lang w:val="en-US" w:eastAsia="zh-CN" w:bidi="ar"/>
          <w14:textFill>
            <w14:solidFill>
              <w14:schemeClr w14:val="tx1"/>
            </w14:solidFill>
          </w14:textFill>
        </w:rPr>
        <w:t>三、工程概况：新建室外箱变一套、敷设电缆230.00米等。</w:t>
      </w:r>
    </w:p>
    <w:p w14:paraId="3F0FC9B8">
      <w:pPr>
        <w:keepNext w:val="0"/>
        <w:keepLines w:val="0"/>
        <w:widowControl/>
        <w:suppressLineNumbers w:val="0"/>
        <w:spacing w:before="0" w:beforeAutospacing="0" w:after="0" w:afterAutospacing="0" w:line="420" w:lineRule="exact"/>
        <w:ind w:left="0" w:right="0" w:firstLine="480" w:firstLineChars="200"/>
        <w:jc w:val="left"/>
        <w:rPr>
          <w:rFonts w:hint="eastAsia" w:ascii="宋体" w:hAnsi="宋体" w:eastAsia="宋体" w:cs="宋体"/>
          <w:b w:val="0"/>
          <w:bCs w:val="0"/>
          <w:i w:val="0"/>
          <w:iCs w:val="0"/>
          <w:color w:val="000000" w:themeColor="text1"/>
          <w:spacing w:val="0"/>
          <w:w w:val="100"/>
          <w:kern w:val="0"/>
          <w:sz w:val="24"/>
          <w:szCs w:val="24"/>
          <w:highlight w:val="none"/>
          <w:vertAlign w:val="baseline"/>
          <w:lang w:val="en-US" w:eastAsia="zh-CN" w:bidi="ar"/>
          <w14:textFill>
            <w14:solidFill>
              <w14:schemeClr w14:val="tx1"/>
            </w14:solidFill>
          </w14:textFill>
        </w:rPr>
      </w:pPr>
      <w:r>
        <w:rPr>
          <w:rFonts w:hint="eastAsia" w:ascii="宋体" w:hAnsi="宋体" w:eastAsia="宋体" w:cs="宋体"/>
          <w:b w:val="0"/>
          <w:bCs w:val="0"/>
          <w:i w:val="0"/>
          <w:iCs w:val="0"/>
          <w:color w:val="000000" w:themeColor="text1"/>
          <w:spacing w:val="0"/>
          <w:w w:val="100"/>
          <w:kern w:val="0"/>
          <w:sz w:val="24"/>
          <w:szCs w:val="24"/>
          <w:highlight w:val="none"/>
          <w:vertAlign w:val="baseline"/>
          <w:lang w:val="en-US" w:eastAsia="zh-CN" w:bidi="ar"/>
          <w14:textFill>
            <w14:solidFill>
              <w14:schemeClr w14:val="tx1"/>
            </w14:solidFill>
          </w14:textFill>
        </w:rPr>
        <w:t>四、工程招标范围：本工程包含设计图纸范围内箱变、杆上设备、线缆、配管及其配套的管沟挖填、构筑物砌筑、绿化移除及恢复等。</w:t>
      </w:r>
    </w:p>
    <w:p w14:paraId="27382C50">
      <w:pPr>
        <w:keepNext w:val="0"/>
        <w:keepLines w:val="0"/>
        <w:pageBreakBefore w:val="0"/>
        <w:widowControl w:val="0"/>
        <w:kinsoku/>
        <w:wordWrap/>
        <w:overflowPunct/>
        <w:topLinePunct w:val="0"/>
        <w:autoSpaceDE/>
        <w:autoSpaceDN/>
        <w:bidi w:val="0"/>
        <w:adjustRightInd w:val="0"/>
        <w:snapToGrid w:val="0"/>
        <w:spacing w:line="420" w:lineRule="atLeast"/>
        <w:ind w:left="0" w:leftChars="0" w:firstLine="480" w:firstLineChars="200"/>
        <w:jc w:val="left"/>
        <w:textAlignment w:val="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具体内容以工程量清单为准。</w:t>
      </w:r>
    </w:p>
    <w:p w14:paraId="000C8A2E">
      <w:pPr>
        <w:keepNext w:val="0"/>
        <w:keepLines w:val="0"/>
        <w:pageBreakBefore w:val="0"/>
        <w:widowControl w:val="0"/>
        <w:kinsoku/>
        <w:wordWrap/>
        <w:overflowPunct/>
        <w:topLinePunct w:val="0"/>
        <w:autoSpaceDE/>
        <w:autoSpaceDN/>
        <w:bidi w:val="0"/>
        <w:adjustRightInd w:val="0"/>
        <w:snapToGrid w:val="0"/>
        <w:spacing w:line="420" w:lineRule="atLeast"/>
        <w:ind w:left="0" w:leftChars="0" w:firstLine="480" w:firstLineChars="200"/>
        <w:jc w:val="left"/>
        <w:textAlignment w:val="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五、工程质量：达到国家验收规范合格标准。</w:t>
      </w:r>
    </w:p>
    <w:p w14:paraId="3FA334B2">
      <w:pPr>
        <w:keepNext w:val="0"/>
        <w:keepLines w:val="0"/>
        <w:pageBreakBefore w:val="0"/>
        <w:widowControl w:val="0"/>
        <w:kinsoku/>
        <w:wordWrap/>
        <w:overflowPunct/>
        <w:topLinePunct w:val="0"/>
        <w:autoSpaceDE/>
        <w:autoSpaceDN/>
        <w:bidi w:val="0"/>
        <w:adjustRightInd w:val="0"/>
        <w:snapToGrid w:val="0"/>
        <w:spacing w:line="420" w:lineRule="atLeast"/>
        <w:ind w:left="0" w:leftChars="0" w:firstLine="480" w:firstLineChars="200"/>
        <w:jc w:val="left"/>
        <w:textAlignment w:val="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六、编制依据：</w:t>
      </w:r>
    </w:p>
    <w:p w14:paraId="791AB13B">
      <w:pPr>
        <w:keepNext w:val="0"/>
        <w:keepLines w:val="0"/>
        <w:pageBreakBefore w:val="0"/>
        <w:widowControl w:val="0"/>
        <w:numPr>
          <w:ilvl w:val="0"/>
          <w:numId w:val="3"/>
        </w:numPr>
        <w:kinsoku/>
        <w:wordWrap/>
        <w:overflowPunct/>
        <w:topLinePunct w:val="0"/>
        <w:autoSpaceDE/>
        <w:autoSpaceDN/>
        <w:bidi w:val="0"/>
        <w:adjustRightInd w:val="0"/>
        <w:snapToGrid w:val="0"/>
        <w:spacing w:line="420" w:lineRule="atLeas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国家标准《建设工程工程量清单计价标准》（GB/T50500-2024）；《房屋建筑与装饰工程工程量计算标准》（GB/T50854-2024）；《园林绿化工程工程量计算标准》（GB/T50858-2024）；《通用安装工程工程量计算标准》（GB/T50856-2024）等。</w:t>
      </w:r>
    </w:p>
    <w:p w14:paraId="02461432">
      <w:pPr>
        <w:keepNext w:val="0"/>
        <w:keepLines w:val="0"/>
        <w:pageBreakBefore w:val="0"/>
        <w:widowControl w:val="0"/>
        <w:numPr>
          <w:ilvl w:val="0"/>
          <w:numId w:val="3"/>
        </w:numPr>
        <w:kinsoku/>
        <w:wordWrap/>
        <w:overflowPunct/>
        <w:topLinePunct w:val="0"/>
        <w:autoSpaceDE/>
        <w:autoSpaceDN/>
        <w:bidi w:val="0"/>
        <w:adjustRightInd w:val="0"/>
        <w:snapToGrid w:val="0"/>
        <w:spacing w:line="420" w:lineRule="atLeas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《山东省建设工程费用项目组成及计算规则》(2025）及其最新发布的配套文件。</w:t>
      </w:r>
    </w:p>
    <w:p w14:paraId="6490E755">
      <w:pPr>
        <w:keepNext w:val="0"/>
        <w:keepLines w:val="0"/>
        <w:pageBreakBefore w:val="0"/>
        <w:widowControl w:val="0"/>
        <w:numPr>
          <w:ilvl w:val="0"/>
          <w:numId w:val="3"/>
        </w:numPr>
        <w:kinsoku/>
        <w:wordWrap/>
        <w:overflowPunct/>
        <w:topLinePunct w:val="0"/>
        <w:autoSpaceDE/>
        <w:autoSpaceDN/>
        <w:bidi w:val="0"/>
        <w:adjustRightInd w:val="0"/>
        <w:snapToGrid w:val="0"/>
        <w:spacing w:line="420" w:lineRule="atLeas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国家或省级、行业建设主管部门颁发的计价定额、计价办法和有关规定。</w:t>
      </w:r>
    </w:p>
    <w:p w14:paraId="7A0C16BB">
      <w:pPr>
        <w:keepNext w:val="0"/>
        <w:keepLines w:val="0"/>
        <w:pageBreakBefore w:val="0"/>
        <w:widowControl w:val="0"/>
        <w:numPr>
          <w:ilvl w:val="0"/>
          <w:numId w:val="3"/>
        </w:numPr>
        <w:kinsoku/>
        <w:wordWrap/>
        <w:overflowPunct/>
        <w:topLinePunct w:val="0"/>
        <w:autoSpaceDE/>
        <w:autoSpaceDN/>
        <w:bidi w:val="0"/>
        <w:adjustRightInd w:val="0"/>
        <w:snapToGrid w:val="0"/>
        <w:spacing w:line="420" w:lineRule="atLeas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工程项目设计文件、问题答疑等相关资料。</w:t>
      </w:r>
    </w:p>
    <w:p w14:paraId="7C5A6A55">
      <w:pPr>
        <w:keepNext w:val="0"/>
        <w:keepLines w:val="0"/>
        <w:pageBreakBefore w:val="0"/>
        <w:widowControl w:val="0"/>
        <w:numPr>
          <w:ilvl w:val="0"/>
          <w:numId w:val="3"/>
        </w:numPr>
        <w:kinsoku/>
        <w:wordWrap/>
        <w:overflowPunct/>
        <w:topLinePunct w:val="0"/>
        <w:autoSpaceDE/>
        <w:autoSpaceDN/>
        <w:bidi w:val="0"/>
        <w:adjustRightInd w:val="0"/>
        <w:snapToGrid w:val="0"/>
        <w:spacing w:line="420" w:lineRule="atLeas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与工程项目相关的标准设计图集、规范、技术资料等。</w:t>
      </w:r>
    </w:p>
    <w:p w14:paraId="6FA3FE08">
      <w:pPr>
        <w:keepNext w:val="0"/>
        <w:keepLines w:val="0"/>
        <w:pageBreakBefore w:val="0"/>
        <w:widowControl w:val="0"/>
        <w:numPr>
          <w:ilvl w:val="0"/>
          <w:numId w:val="3"/>
        </w:numPr>
        <w:kinsoku/>
        <w:wordWrap/>
        <w:overflowPunct/>
        <w:topLinePunct w:val="0"/>
        <w:autoSpaceDE/>
        <w:autoSpaceDN/>
        <w:bidi w:val="0"/>
        <w:adjustRightInd w:val="0"/>
        <w:snapToGrid w:val="0"/>
        <w:spacing w:line="420" w:lineRule="atLeas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已拟定的招标文件资料等。</w:t>
      </w:r>
    </w:p>
    <w:p w14:paraId="16A8EC3C">
      <w:pPr>
        <w:keepNext w:val="0"/>
        <w:keepLines w:val="0"/>
        <w:pageBreakBefore w:val="0"/>
        <w:widowControl w:val="0"/>
        <w:numPr>
          <w:ilvl w:val="0"/>
          <w:numId w:val="3"/>
        </w:numPr>
        <w:kinsoku/>
        <w:wordWrap/>
        <w:overflowPunct/>
        <w:topLinePunct w:val="0"/>
        <w:autoSpaceDE/>
        <w:autoSpaceDN/>
        <w:bidi w:val="0"/>
        <w:adjustRightInd w:val="0"/>
        <w:snapToGrid w:val="0"/>
        <w:spacing w:line="420" w:lineRule="atLeas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项目现场情况、工程特点及常规施工方案等。</w:t>
      </w:r>
    </w:p>
    <w:p w14:paraId="1D99ACBF">
      <w:pPr>
        <w:keepNext w:val="0"/>
        <w:keepLines w:val="0"/>
        <w:pageBreakBefore w:val="0"/>
        <w:widowControl w:val="0"/>
        <w:numPr>
          <w:ilvl w:val="0"/>
          <w:numId w:val="4"/>
        </w:numPr>
        <w:kinsoku/>
        <w:wordWrap/>
        <w:overflowPunct/>
        <w:topLinePunct w:val="0"/>
        <w:autoSpaceDE/>
        <w:autoSpaceDN/>
        <w:bidi w:val="0"/>
        <w:adjustRightInd w:val="0"/>
        <w:snapToGrid w:val="0"/>
        <w:spacing w:line="420" w:lineRule="atLeast"/>
        <w:ind w:left="-60" w:leftChars="0" w:firstLine="480" w:firstLineChars="0"/>
        <w:textAlignment w:val="auto"/>
        <w:rPr>
          <w:rFonts w:hint="eastAsia" w:ascii="宋体" w:hAnsi="宋体"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清单项目中凡注明“以下、以内、小于”字样者，均包括本身；注明“以上、以外、大于”字样者，均不包括本身。</w:t>
      </w:r>
    </w:p>
    <w:p w14:paraId="380C05DC">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jc w:val="left"/>
        <w:textAlignment w:val="auto"/>
        <w:rPr>
          <w:rFonts w:hint="eastAsia" w:ascii="宋体" w:hAnsi="宋体"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投标单位参与投标视为已考察工程现场，对现场情况（包括工地位置情况、临设、道路、存贮空间、装运限制及任何其他影响报价的情况）已充分了解并预计，并能根据掌握的情况完成施工。现场原有工程的实际情况（包括与其他专业施工单位交接过程中的各种因素）视为在报价中已充分考虑，任何因忽视或误解工地情况而导致的索赔或工期延长将不被批准。</w:t>
      </w:r>
    </w:p>
    <w:p w14:paraId="04B5556A">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jc w:val="left"/>
        <w:textAlignment w:val="auto"/>
        <w:rPr>
          <w:rFonts w:hint="eastAsia" w:ascii="宋体" w:hAnsi="宋体"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工程量清单中的项目特征描述为分部分项清单项目的</w:t>
      </w:r>
      <w:r>
        <w:rPr>
          <w:rFonts w:hint="eastAsia" w:ascii="宋体" w:hAnsi="宋体" w:eastAsia="宋体" w:cs="Times New Roman"/>
          <w:color w:val="000000" w:themeColor="text1"/>
          <w:sz w:val="24"/>
          <w:szCs w:val="24"/>
          <w:highlight w:val="none"/>
          <w:lang w:eastAsia="zh-CN"/>
          <w14:textFill>
            <w14:solidFill>
              <w14:schemeClr w14:val="tx1"/>
            </w14:solidFill>
          </w14:textFill>
        </w:rPr>
        <w:t>全部</w:t>
      </w:r>
      <w:r>
        <w:rPr>
          <w:rFonts w:hint="eastAsia" w:ascii="宋体" w:hAnsi="宋体" w:eastAsia="宋体" w:cs="Times New Roman"/>
          <w:color w:val="000000" w:themeColor="text1"/>
          <w:sz w:val="24"/>
          <w:szCs w:val="24"/>
          <w:highlight w:val="none"/>
          <w14:textFill>
            <w14:solidFill>
              <w14:schemeClr w14:val="tx1"/>
            </w14:solidFill>
          </w14:textFill>
        </w:rPr>
        <w:t>内容</w:t>
      </w:r>
      <w:r>
        <w:rPr>
          <w:rFonts w:hint="eastAsia" w:ascii="宋体" w:hAnsi="宋体" w:eastAsia="宋体" w:cs="Times New Roman"/>
          <w:color w:val="000000" w:themeColor="text1"/>
          <w:sz w:val="24"/>
          <w:szCs w:val="24"/>
          <w:highlight w:val="none"/>
          <w:lang w:eastAsia="zh-CN"/>
          <w14:textFill>
            <w14:solidFill>
              <w14:schemeClr w14:val="tx1"/>
            </w14:solidFill>
          </w14:textFill>
        </w:rPr>
        <w:t>，</w:t>
      </w:r>
      <w:r>
        <w:rPr>
          <w:rFonts w:hint="eastAsia" w:ascii="宋体" w:hAnsi="宋体" w:eastAsia="宋体" w:cs="Times New Roman"/>
          <w:color w:val="000000" w:themeColor="text1"/>
          <w:sz w:val="24"/>
          <w:szCs w:val="24"/>
          <w:highlight w:val="none"/>
          <w14:textFill>
            <w14:solidFill>
              <w14:schemeClr w14:val="tx1"/>
            </w14:solidFill>
          </w14:textFill>
        </w:rPr>
        <w:t>所有分部分项工程量清单均以完成该清单项目的所有内容为准考虑到综合报价中，若有未列全的其他内容由</w:t>
      </w:r>
      <w:r>
        <w:rPr>
          <w:rFonts w:hint="eastAsia" w:ascii="宋体" w:hAnsi="宋体" w:eastAsia="宋体" w:cs="Times New Roman"/>
          <w:color w:val="000000" w:themeColor="text1"/>
          <w:sz w:val="24"/>
          <w:szCs w:val="24"/>
          <w:highlight w:val="none"/>
          <w:lang w:eastAsia="zh-CN"/>
          <w14:textFill>
            <w14:solidFill>
              <w14:schemeClr w14:val="tx1"/>
            </w14:solidFill>
          </w14:textFill>
        </w:rPr>
        <w:t>投标单位</w:t>
      </w:r>
      <w:r>
        <w:rPr>
          <w:rFonts w:hint="eastAsia" w:ascii="宋体" w:hAnsi="宋体" w:eastAsia="宋体" w:cs="Times New Roman"/>
          <w:color w:val="000000" w:themeColor="text1"/>
          <w:sz w:val="24"/>
          <w:szCs w:val="24"/>
          <w:highlight w:val="none"/>
          <w14:textFill>
            <w14:solidFill>
              <w14:schemeClr w14:val="tx1"/>
            </w14:solidFill>
          </w14:textFill>
        </w:rPr>
        <w:t>按照招标文件、规范等资料要求综合考虑；设计及规范等资料未明确的由</w:t>
      </w:r>
      <w:r>
        <w:rPr>
          <w:rFonts w:hint="eastAsia" w:ascii="宋体" w:hAnsi="宋体" w:eastAsia="宋体" w:cs="Times New Roman"/>
          <w:color w:val="000000" w:themeColor="text1"/>
          <w:sz w:val="24"/>
          <w:szCs w:val="24"/>
          <w:highlight w:val="none"/>
          <w:lang w:eastAsia="zh-CN"/>
          <w14:textFill>
            <w14:solidFill>
              <w14:schemeClr w14:val="tx1"/>
            </w14:solidFill>
          </w14:textFill>
        </w:rPr>
        <w:t>投标单位</w:t>
      </w:r>
      <w:r>
        <w:rPr>
          <w:rFonts w:hint="eastAsia" w:ascii="宋体" w:hAnsi="宋体" w:eastAsia="宋体" w:cs="Times New Roman"/>
          <w:color w:val="000000" w:themeColor="text1"/>
          <w:sz w:val="24"/>
          <w:szCs w:val="24"/>
          <w:highlight w:val="none"/>
          <w14:textFill>
            <w14:solidFill>
              <w14:schemeClr w14:val="tx1"/>
            </w14:solidFill>
          </w14:textFill>
        </w:rPr>
        <w:t>书面提出</w:t>
      </w:r>
      <w:r>
        <w:rPr>
          <w:rFonts w:hint="eastAsia" w:ascii="宋体" w:hAnsi="宋体" w:eastAsia="宋体" w:cs="Times New Roman"/>
          <w:color w:val="000000" w:themeColor="text1"/>
          <w:sz w:val="24"/>
          <w:szCs w:val="24"/>
          <w:highlight w:val="none"/>
          <w:lang w:eastAsia="zh-CN"/>
          <w14:textFill>
            <w14:solidFill>
              <w14:schemeClr w14:val="tx1"/>
            </w14:solidFill>
          </w14:textFill>
        </w:rPr>
        <w:t>质疑</w:t>
      </w:r>
      <w:r>
        <w:rPr>
          <w:rFonts w:hint="eastAsia" w:ascii="宋体" w:hAnsi="宋体" w:eastAsia="宋体" w:cs="Times New Roman"/>
          <w:color w:val="000000" w:themeColor="text1"/>
          <w:sz w:val="24"/>
          <w:szCs w:val="24"/>
          <w:highlight w:val="none"/>
          <w14:textFill>
            <w14:solidFill>
              <w14:schemeClr w14:val="tx1"/>
            </w14:solidFill>
          </w14:textFill>
        </w:rPr>
        <w:t>，</w:t>
      </w:r>
      <w:r>
        <w:rPr>
          <w:rFonts w:hint="eastAsia" w:ascii="宋体" w:hAnsi="宋体" w:eastAsia="宋体" w:cs="Times New Roman"/>
          <w:color w:val="000000" w:themeColor="text1"/>
          <w:sz w:val="24"/>
          <w:szCs w:val="24"/>
          <w:highlight w:val="none"/>
          <w:lang w:eastAsia="zh-CN"/>
          <w14:textFill>
            <w14:solidFill>
              <w14:schemeClr w14:val="tx1"/>
            </w14:solidFill>
          </w14:textFill>
        </w:rPr>
        <w:t>以</w:t>
      </w:r>
      <w:r>
        <w:rPr>
          <w:rFonts w:hint="eastAsia" w:ascii="宋体" w:hAnsi="宋体" w:eastAsia="宋体" w:cs="Times New Roman"/>
          <w:color w:val="000000" w:themeColor="text1"/>
          <w:sz w:val="24"/>
          <w:szCs w:val="24"/>
          <w:highlight w:val="none"/>
          <w14:textFill>
            <w14:solidFill>
              <w14:schemeClr w14:val="tx1"/>
            </w14:solidFill>
          </w14:textFill>
        </w:rPr>
        <w:t>答疑</w:t>
      </w:r>
      <w:r>
        <w:rPr>
          <w:rFonts w:hint="eastAsia" w:ascii="宋体" w:hAnsi="宋体" w:eastAsia="宋体" w:cs="Times New Roman"/>
          <w:color w:val="000000" w:themeColor="text1"/>
          <w:sz w:val="24"/>
          <w:szCs w:val="24"/>
          <w:highlight w:val="none"/>
          <w:lang w:eastAsia="zh-CN"/>
          <w14:textFill>
            <w14:solidFill>
              <w14:schemeClr w14:val="tx1"/>
            </w14:solidFill>
          </w14:textFill>
        </w:rPr>
        <w:t>回复内容为准；认为清单描述不详、缺失或有误而未进行书面质疑的，结算时要求签证增加相应内容不予支持；现场未按照清单描述内容施工的，结算时扣减未施工部分的费用</w:t>
      </w:r>
      <w:r>
        <w:rPr>
          <w:rFonts w:hint="eastAsia" w:ascii="宋体" w:hAnsi="宋体" w:eastAsia="宋体" w:cs="Times New Roman"/>
          <w:color w:val="000000" w:themeColor="text1"/>
          <w:sz w:val="24"/>
          <w:szCs w:val="24"/>
          <w:highlight w:val="none"/>
          <w14:textFill>
            <w14:solidFill>
              <w14:schemeClr w14:val="tx1"/>
            </w14:solidFill>
          </w14:textFill>
        </w:rPr>
        <w:t>。</w:t>
      </w:r>
    </w:p>
    <w:p w14:paraId="5CC37ED7">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jc w:val="left"/>
        <w:textAlignment w:val="auto"/>
        <w:rPr>
          <w:rFonts w:hint="eastAsia" w:ascii="宋体" w:hAnsi="宋体"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投标单位在投标报价时，应根据现场条件、招标文件要求，按照《建设工程工程量清单计价标准》(GB/T50500-2024)、本清单说明及子目规定的计算规则，结合施工方案、技术规范、技术装备、技术能力、施工管理经验及市场行情等规定综合分析及测算进行报价。除非合同另有约定，</w:t>
      </w: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清单与计价表中的综合</w:t>
      </w:r>
      <w:r>
        <w:rPr>
          <w:rFonts w:hint="eastAsia" w:ascii="宋体" w:hAnsi="宋体" w:eastAsia="宋体" w:cs="Times New Roman"/>
          <w:color w:val="000000" w:themeColor="text1"/>
          <w:sz w:val="24"/>
          <w:szCs w:val="24"/>
          <w:highlight w:val="none"/>
          <w14:textFill>
            <w14:solidFill>
              <w14:schemeClr w14:val="tx1"/>
            </w14:solidFill>
          </w14:textFill>
        </w:rPr>
        <w:t>单价均包括了为实施和完成本项目（清单子目）内容所需的人工费、材料费、机械使用费、制作费、运输费、安装费、超高费、管理费、利润、检验试验费、采保费（包括自购、指定及甲供材料）、材料设备搬运费、二次倒运费、损耗、缺陷修复、保险等费用，以及为保证质量和方便施工采用的工艺措施和未形成工程实体的费用，并包括招标文件和合同中明示或暗示所有责任、义务和一般风险。上述费用如在清单标价的单价外额外发生，由中标人自行承担，结算不予认可。</w:t>
      </w:r>
    </w:p>
    <w:p w14:paraId="26FC04A5">
      <w:pPr>
        <w:keepNext w:val="0"/>
        <w:keepLines w:val="0"/>
        <w:pageBreakBefore w:val="0"/>
        <w:widowControl w:val="0"/>
        <w:numPr>
          <w:ilvl w:val="0"/>
          <w:numId w:val="4"/>
        </w:numPr>
        <w:suppressLineNumbers w:val="0"/>
        <w:kinsoku/>
        <w:wordWrap/>
        <w:overflowPunct/>
        <w:topLinePunct w:val="0"/>
        <w:autoSpaceDE w:val="0"/>
        <w:autoSpaceDN/>
        <w:bidi w:val="0"/>
        <w:adjustRightInd w:val="0"/>
        <w:snapToGrid w:val="0"/>
        <w:spacing w:before="0" w:beforeAutospacing="0" w:after="0" w:afterAutospacing="0" w:line="400" w:lineRule="exact"/>
        <w:ind w:left="-60" w:leftChars="0" w:right="0" w:firstLine="480" w:firstLineChars="0"/>
        <w:jc w:val="both"/>
        <w:textAlignment w:val="auto"/>
        <w:rPr>
          <w:rFonts w:hint="eastAsia" w:ascii="Times New Roman" w:hAnsi="Times New Roman"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lang w:eastAsia="zh-CN"/>
          <w14:textFill>
            <w14:solidFill>
              <w14:schemeClr w14:val="tx1"/>
            </w14:solidFill>
          </w14:textFill>
        </w:rPr>
        <w:t>投标单位</w:t>
      </w:r>
      <w:r>
        <w:rPr>
          <w:rFonts w:hint="eastAsia" w:ascii="宋体" w:hAnsi="宋体" w:eastAsia="宋体" w:cs="Times New Roman"/>
          <w:color w:val="000000" w:themeColor="text1"/>
          <w:sz w:val="24"/>
          <w:szCs w:val="24"/>
          <w:highlight w:val="none"/>
          <w14:textFill>
            <w14:solidFill>
              <w14:schemeClr w14:val="tx1"/>
            </w14:solidFill>
          </w14:textFill>
        </w:rPr>
        <w:t>按照本清单填报分部分项工程量清单综合单价，严禁不平衡报价，不得恶意降低</w:t>
      </w:r>
      <w:r>
        <w:rPr>
          <w:rFonts w:hint="eastAsia" w:ascii="宋体" w:hAnsi="宋体" w:eastAsia="宋体" w:cs="Times New Roman"/>
          <w:color w:val="000000" w:themeColor="text1"/>
          <w:sz w:val="24"/>
          <w:szCs w:val="24"/>
          <w:highlight w:val="none"/>
          <w:lang w:eastAsia="zh-CN"/>
          <w14:textFill>
            <w14:solidFill>
              <w14:schemeClr w14:val="tx1"/>
            </w14:solidFill>
          </w14:textFill>
        </w:rPr>
        <w:t>或抬高</w:t>
      </w:r>
      <w:r>
        <w:rPr>
          <w:rFonts w:hint="eastAsia" w:ascii="宋体" w:hAnsi="宋体" w:eastAsia="宋体" w:cs="Times New Roman"/>
          <w:color w:val="000000" w:themeColor="text1"/>
          <w:sz w:val="24"/>
          <w:szCs w:val="24"/>
          <w:highlight w:val="none"/>
          <w14:textFill>
            <w14:solidFill>
              <w14:schemeClr w14:val="tx1"/>
            </w14:solidFill>
          </w14:textFill>
        </w:rPr>
        <w:t>报价扰乱市场，评标委员会有权对不合理报价进行质疑，投标单位应给予合理的答复。否则，</w:t>
      </w:r>
      <w:r>
        <w:rPr>
          <w:rFonts w:hint="eastAsia" w:ascii="宋体" w:hAnsi="宋体" w:eastAsia="宋体" w:cs="Times New Roman"/>
          <w:b/>
          <w:bCs/>
          <w:color w:val="000000" w:themeColor="text1"/>
          <w:sz w:val="24"/>
          <w:szCs w:val="24"/>
          <w:highlight w:val="none"/>
          <w14:textFill>
            <w14:solidFill>
              <w14:schemeClr w14:val="tx1"/>
            </w14:solidFill>
          </w14:textFill>
        </w:rPr>
        <w:t>经评标委员会评定为不合理报价的投标文件将</w:t>
      </w:r>
      <w:r>
        <w:rPr>
          <w:rFonts w:hint="eastAsia" w:ascii="宋体" w:hAnsi="宋体" w:eastAsia="宋体" w:cs="Times New Roman"/>
          <w:b/>
          <w:bCs/>
          <w:color w:val="000000" w:themeColor="text1"/>
          <w:sz w:val="24"/>
          <w:szCs w:val="24"/>
          <w:highlight w:val="none"/>
          <w:lang w:eastAsia="zh-CN"/>
          <w14:textFill>
            <w14:solidFill>
              <w14:schemeClr w14:val="tx1"/>
            </w14:solidFill>
          </w14:textFill>
        </w:rPr>
        <w:t>被</w:t>
      </w:r>
      <w:r>
        <w:rPr>
          <w:rFonts w:hint="eastAsia" w:ascii="宋体" w:hAnsi="宋体" w:eastAsia="宋体" w:cs="Times New Roman"/>
          <w:b/>
          <w:bCs/>
          <w:color w:val="000000" w:themeColor="text1"/>
          <w:sz w:val="24"/>
          <w:szCs w:val="24"/>
          <w:highlight w:val="none"/>
          <w14:textFill>
            <w14:solidFill>
              <w14:schemeClr w14:val="tx1"/>
            </w14:solidFill>
          </w14:textFill>
        </w:rPr>
        <w:t>否决</w:t>
      </w:r>
      <w:r>
        <w:rPr>
          <w:rFonts w:hint="eastAsia" w:ascii="宋体" w:hAnsi="宋体" w:eastAsia="宋体" w:cs="Times New Roman"/>
          <w:color w:val="000000" w:themeColor="text1"/>
          <w:sz w:val="24"/>
          <w:szCs w:val="24"/>
          <w:highlight w:val="none"/>
          <w14:textFill>
            <w14:solidFill>
              <w14:schemeClr w14:val="tx1"/>
            </w14:solidFill>
          </w14:textFill>
        </w:rPr>
        <w:t>。</w:t>
      </w:r>
    </w:p>
    <w:p w14:paraId="774D06BD">
      <w:pPr>
        <w:keepNext w:val="0"/>
        <w:keepLines w:val="0"/>
        <w:pageBreakBefore w:val="0"/>
        <w:widowControl w:val="0"/>
        <w:numPr>
          <w:ilvl w:val="0"/>
          <w:numId w:val="4"/>
        </w:numPr>
        <w:suppressLineNumbers w:val="0"/>
        <w:kinsoku/>
        <w:wordWrap/>
        <w:overflowPunct/>
        <w:topLinePunct w:val="0"/>
        <w:autoSpaceDE w:val="0"/>
        <w:autoSpaceDN/>
        <w:bidi w:val="0"/>
        <w:adjustRightInd w:val="0"/>
        <w:snapToGrid w:val="0"/>
        <w:spacing w:before="0" w:beforeAutospacing="0" w:after="0" w:afterAutospacing="0" w:line="400" w:lineRule="exact"/>
        <w:ind w:left="-60" w:leftChars="0" w:right="0" w:firstLine="480" w:firstLineChars="0"/>
        <w:jc w:val="both"/>
        <w:textAlignment w:val="auto"/>
        <w:rPr>
          <w:rFonts w:hint="eastAsia" w:ascii="宋体" w:hAnsi="宋体" w:eastAsia="宋体" w:cs="宋体"/>
          <w:color w:val="000000" w:themeColor="text1"/>
          <w:kern w:val="2"/>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2"/>
          <w:sz w:val="24"/>
          <w:szCs w:val="24"/>
          <w:highlight w:val="none"/>
          <w:lang w:val="en-US" w:eastAsia="zh-CN" w:bidi="ar"/>
          <w14:textFill>
            <w14:solidFill>
              <w14:schemeClr w14:val="tx1"/>
            </w14:solidFill>
          </w14:textFill>
        </w:rPr>
        <w:t>本项目所用材料均应符合国标，除特殊要求，均采用中等偏上品质材料，如在投标报价时以明显低于市场价格投报材料价格，招标人有权要求中标人使用约定品牌型号中等以上品质的材料；若中标单位提供质量档次明显低于设计或招标文件要求的材料招标人有权指定供应商，一切费用由中标单位承担。招标人因特殊原因主张更换材料导致产生材料差价的，结算时给予计取材料差价，并计取税金，其他费用不予计取。</w:t>
      </w:r>
    </w:p>
    <w:p w14:paraId="551634DB">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textAlignment w:val="auto"/>
        <w:rPr>
          <w:rFonts w:hint="eastAsia" w:ascii="宋体" w:hAnsi="宋体" w:eastAsia="宋体" w:cs="Times New Roman"/>
          <w:color w:val="000000" w:themeColor="text1"/>
          <w:sz w:val="24"/>
          <w:szCs w:val="24"/>
          <w:highlight w:val="none"/>
          <w:lang w:eastAsia="zh-CN"/>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总价措施项目清单</w:t>
      </w:r>
      <w:r>
        <w:rPr>
          <w:rFonts w:hint="eastAsia" w:ascii="宋体" w:hAnsi="宋体" w:eastAsia="宋体" w:cs="Times New Roman"/>
          <w:color w:val="000000" w:themeColor="text1"/>
          <w:sz w:val="24"/>
          <w:szCs w:val="24"/>
          <w:highlight w:val="none"/>
          <w:lang w:eastAsia="zh-CN"/>
          <w14:textFill>
            <w14:solidFill>
              <w14:schemeClr w14:val="tx1"/>
            </w14:solidFill>
          </w14:textFill>
        </w:rPr>
        <w:t>按照中标单位投报费率据实计取，项目结算时对费率不做调整，且图纸设计范围内不得以签证形式增加此类费用。</w:t>
      </w:r>
    </w:p>
    <w:p w14:paraId="765DF397">
      <w:pPr>
        <w:keepNext w:val="0"/>
        <w:keepLines w:val="0"/>
        <w:pageBreakBefore w:val="0"/>
        <w:widowControl w:val="0"/>
        <w:numPr>
          <w:ilvl w:val="0"/>
          <w:numId w:val="4"/>
        </w:numPr>
        <w:kinsoku/>
        <w:wordWrap/>
        <w:overflowPunct/>
        <w:topLinePunct w:val="0"/>
        <w:autoSpaceDN/>
        <w:bidi w:val="0"/>
        <w:adjustRightInd w:val="0"/>
        <w:snapToGrid w:val="0"/>
        <w:spacing w:line="400" w:lineRule="exact"/>
        <w:ind w:left="-60" w:leftChars="0" w:firstLine="480" w:firstLineChars="0"/>
        <w:textAlignment w:val="auto"/>
        <w:rPr>
          <w:rFonts w:hint="eastAsia" w:ascii="宋体" w:hAnsi="宋体"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“单价措施项目清单与计价表”</w:t>
      </w:r>
      <w:r>
        <w:rPr>
          <w:rFonts w:hint="eastAsia" w:ascii="宋体" w:hAnsi="宋体" w:eastAsia="宋体" w:cs="Times New Roman"/>
          <w:color w:val="000000" w:themeColor="text1"/>
          <w:sz w:val="24"/>
          <w:szCs w:val="24"/>
          <w:highlight w:val="none"/>
          <w:lang w:eastAsia="zh-CN"/>
          <w14:textFill>
            <w14:solidFill>
              <w14:schemeClr w14:val="tx1"/>
            </w14:solidFill>
          </w14:textFill>
        </w:rPr>
        <w:t>在图纸设计范围内</w:t>
      </w:r>
      <w:r>
        <w:rPr>
          <w:rFonts w:hint="eastAsia" w:ascii="宋体" w:hAnsi="宋体" w:eastAsia="宋体" w:cs="Times New Roman"/>
          <w:color w:val="000000" w:themeColor="text1"/>
          <w:sz w:val="24"/>
          <w:szCs w:val="24"/>
          <w:highlight w:val="none"/>
          <w14:textFill>
            <w14:solidFill>
              <w14:schemeClr w14:val="tx1"/>
            </w14:solidFill>
          </w14:textFill>
        </w:rPr>
        <w:t>包干</w:t>
      </w:r>
      <w:r>
        <w:rPr>
          <w:rFonts w:hint="eastAsia" w:ascii="宋体" w:hAnsi="宋体" w:eastAsia="宋体" w:cs="Times New Roman"/>
          <w:color w:val="000000" w:themeColor="text1"/>
          <w:sz w:val="24"/>
          <w:szCs w:val="24"/>
          <w:highlight w:val="none"/>
          <w:lang w:eastAsia="zh-CN"/>
          <w14:textFill>
            <w14:solidFill>
              <w14:schemeClr w14:val="tx1"/>
            </w14:solidFill>
          </w14:textFill>
        </w:rPr>
        <w:t>计列</w:t>
      </w:r>
      <w:r>
        <w:rPr>
          <w:rFonts w:hint="eastAsia" w:ascii="宋体" w:hAnsi="宋体" w:eastAsia="宋体" w:cs="Times New Roman"/>
          <w:color w:val="000000" w:themeColor="text1"/>
          <w:sz w:val="24"/>
          <w:szCs w:val="24"/>
          <w:highlight w:val="none"/>
          <w14:textFill>
            <w14:solidFill>
              <w14:schemeClr w14:val="tx1"/>
            </w14:solidFill>
          </w14:textFill>
        </w:rPr>
        <w:t>，</w:t>
      </w:r>
      <w:r>
        <w:rPr>
          <w:rFonts w:hint="eastAsia" w:ascii="宋体" w:hAnsi="宋体" w:eastAsia="宋体" w:cs="Times New Roman"/>
          <w:color w:val="000000" w:themeColor="text1"/>
          <w:sz w:val="24"/>
          <w:szCs w:val="24"/>
          <w:highlight w:val="none"/>
          <w:lang w:eastAsia="zh-CN"/>
          <w14:textFill>
            <w14:solidFill>
              <w14:schemeClr w14:val="tx1"/>
            </w14:solidFill>
          </w14:textFill>
        </w:rPr>
        <w:t>投标单位需考虑图纸设计范围内所有可能发生的此类措施费，除工程量清单所列措施项目外，还应根据招标文件、补充招标文件的要求及自身拟订的本工程施工组织设计、施工方案以及项目现场的实际情况和施工经验、本企业的实际情况等增列项目并报价。已单独列项的措施项目费用的报价，投标单位应充分考虑项目现场的具体情况自主报价，未单独列项的措施费用视为已包括在综合单价中。但发生下列情形之一，导致措施方案发生重大改变或措施费用显著增减的，其费用应另行协商调整:</w:t>
      </w:r>
    </w:p>
    <w:p w14:paraId="25916AE2">
      <w:pPr>
        <w:keepNext w:val="0"/>
        <w:keepLines w:val="0"/>
        <w:pageBreakBefore w:val="0"/>
        <w:widowControl w:val="0"/>
        <w:numPr>
          <w:ilvl w:val="0"/>
          <w:numId w:val="5"/>
        </w:numPr>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发包人提出的工程范围发生实质性变更。</w:t>
      </w:r>
    </w:p>
    <w:p w14:paraId="1811D1C0">
      <w:pPr>
        <w:keepNext w:val="0"/>
        <w:keepLines w:val="0"/>
        <w:pageBreakBefore w:val="0"/>
        <w:widowControl w:val="0"/>
        <w:numPr>
          <w:ilvl w:val="0"/>
          <w:numId w:val="5"/>
        </w:numPr>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因重大设计变更导致施工组织设计改变。</w:t>
      </w:r>
    </w:p>
    <w:p w14:paraId="62D5D772">
      <w:pPr>
        <w:keepNext w:val="0"/>
        <w:keepLines w:val="0"/>
        <w:pageBreakBefore w:val="0"/>
        <w:widowControl w:val="0"/>
        <w:numPr>
          <w:ilvl w:val="0"/>
          <w:numId w:val="5"/>
        </w:numPr>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其他双方确认的不可预见重大变化。</w:t>
      </w:r>
    </w:p>
    <w:p w14:paraId="18D25CBB">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textAlignment w:val="auto"/>
        <w:rPr>
          <w:rFonts w:hint="eastAsia" w:ascii="宋体" w:hAnsi="宋体" w:eastAsia="宋体" w:cs="Times New Roman"/>
          <w:color w:val="000000" w:themeColor="text1"/>
          <w:sz w:val="24"/>
          <w:szCs w:val="24"/>
          <w:highlight w:val="none"/>
          <w:lang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项目</w:t>
      </w:r>
      <w:r>
        <w:rPr>
          <w:rFonts w:hint="eastAsia" w:ascii="宋体" w:hAnsi="宋体" w:eastAsia="宋体" w:cs="Times New Roman"/>
          <w:color w:val="000000" w:themeColor="text1"/>
          <w:sz w:val="24"/>
          <w:szCs w:val="24"/>
          <w:highlight w:val="none"/>
          <w14:textFill>
            <w14:solidFill>
              <w14:schemeClr w14:val="tx1"/>
            </w14:solidFill>
          </w14:textFill>
        </w:rPr>
        <w:t>现场临时场地、临时水电及施工过程中用水(包括施工单位利用地下水）</w:t>
      </w:r>
      <w:r>
        <w:rPr>
          <w:rFonts w:hint="eastAsia" w:ascii="宋体" w:hAnsi="宋体" w:eastAsia="宋体" w:cs="Times New Roman"/>
          <w:color w:val="000000" w:themeColor="text1"/>
          <w:sz w:val="24"/>
          <w:szCs w:val="24"/>
          <w:highlight w:val="none"/>
          <w:lang w:eastAsia="zh-CN"/>
          <w14:textFill>
            <w14:solidFill>
              <w14:schemeClr w14:val="tx1"/>
            </w14:solidFill>
          </w14:textFill>
        </w:rPr>
        <w:t>、</w:t>
      </w:r>
      <w:r>
        <w:rPr>
          <w:rFonts w:hint="eastAsia" w:ascii="宋体" w:hAnsi="宋体" w:eastAsia="宋体" w:cs="Times New Roman"/>
          <w:color w:val="000000" w:themeColor="text1"/>
          <w:sz w:val="24"/>
          <w:szCs w:val="24"/>
          <w:highlight w:val="none"/>
          <w14:textFill>
            <w14:solidFill>
              <w14:schemeClr w14:val="tx1"/>
            </w14:solidFill>
          </w14:textFill>
        </w:rPr>
        <w:t>用电由投标单位自行解决，</w:t>
      </w:r>
      <w:r>
        <w:rPr>
          <w:rFonts w:hint="eastAsia" w:ascii="Times New Roman" w:hAnsi="Times New Roman" w:eastAsia="宋体" w:cs="Times New Roman"/>
          <w:color w:val="000000" w:themeColor="text1"/>
          <w:sz w:val="24"/>
          <w:szCs w:val="24"/>
          <w:highlight w:val="none"/>
          <w14:textFill>
            <w14:solidFill>
              <w14:schemeClr w14:val="tx1"/>
            </w14:solidFill>
          </w14:textFill>
        </w:rPr>
        <w:t>并且根据水源接入点及平面布置，不到位的管线等所需费用应包含在相应的投标报价中，</w:t>
      </w:r>
      <w:r>
        <w:rPr>
          <w:rFonts w:hint="eastAsia" w:ascii="宋体" w:hAnsi="宋体" w:eastAsia="宋体" w:cs="Times New Roman"/>
          <w:color w:val="000000" w:themeColor="text1"/>
          <w:sz w:val="24"/>
          <w:szCs w:val="24"/>
          <w:highlight w:val="none"/>
          <w14:textFill>
            <w14:solidFill>
              <w14:schemeClr w14:val="tx1"/>
            </w14:solidFill>
          </w14:textFill>
        </w:rPr>
        <w:t>结算时不增加此部分费用</w:t>
      </w:r>
      <w:r>
        <w:rPr>
          <w:rFonts w:hint="eastAsia" w:ascii="宋体" w:hAnsi="宋体" w:eastAsia="宋体" w:cs="Times New Roman"/>
          <w:color w:val="000000" w:themeColor="text1"/>
          <w:sz w:val="24"/>
          <w:szCs w:val="24"/>
          <w:highlight w:val="none"/>
          <w:lang w:eastAsia="zh-CN"/>
          <w14:textFill>
            <w14:solidFill>
              <w14:schemeClr w14:val="tx1"/>
            </w14:solidFill>
          </w14:textFill>
        </w:rPr>
        <w:t>；因临时设施</w:t>
      </w:r>
      <w:r>
        <w:rPr>
          <w:rFonts w:hint="eastAsia" w:ascii="宋体" w:hAnsi="宋体" w:eastAsia="宋体" w:cs="Times New Roman"/>
          <w:color w:val="000000" w:themeColor="text1"/>
          <w:sz w:val="24"/>
          <w:szCs w:val="24"/>
          <w:highlight w:val="none"/>
          <w14:textFill>
            <w14:solidFill>
              <w14:schemeClr w14:val="tx1"/>
            </w14:solidFill>
          </w14:textFill>
        </w:rPr>
        <w:t>的搭设位置</w:t>
      </w:r>
      <w:r>
        <w:rPr>
          <w:rFonts w:hint="eastAsia" w:ascii="宋体" w:hAnsi="宋体" w:eastAsia="宋体" w:cs="Times New Roman"/>
          <w:color w:val="000000" w:themeColor="text1"/>
          <w:sz w:val="24"/>
          <w:szCs w:val="24"/>
          <w:highlight w:val="none"/>
          <w:lang w:eastAsia="zh-CN"/>
          <w14:textFill>
            <w14:solidFill>
              <w14:schemeClr w14:val="tx1"/>
            </w14:solidFill>
          </w14:textFill>
        </w:rPr>
        <w:t>的变化导致的费用增加，在结算时不予考虑。</w:t>
      </w:r>
    </w:p>
    <w:p w14:paraId="4C2C31C7">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2" w:firstLineChars="0"/>
        <w:textAlignment w:val="auto"/>
        <w:rPr>
          <w:rFonts w:hint="eastAsia" w:ascii="宋体" w:hAnsi="宋体" w:eastAsia="宋体" w:cs="Times New Roman"/>
          <w:b/>
          <w:bCs/>
          <w:color w:val="000000" w:themeColor="text1"/>
          <w:sz w:val="24"/>
          <w:szCs w:val="24"/>
          <w:highlight w:val="none"/>
          <w14:textFill>
            <w14:solidFill>
              <w14:schemeClr w14:val="tx1"/>
            </w14:solidFill>
          </w14:textFill>
        </w:rPr>
      </w:pPr>
      <w:r>
        <w:rPr>
          <w:rFonts w:hint="eastAsia" w:ascii="宋体" w:hAnsi="宋体" w:eastAsia="宋体" w:cs="Times New Roman"/>
          <w:b/>
          <w:bCs/>
          <w:color w:val="000000" w:themeColor="text1"/>
          <w:sz w:val="24"/>
          <w:szCs w:val="24"/>
          <w:highlight w:val="none"/>
          <w14:textFill>
            <w14:solidFill>
              <w14:schemeClr w14:val="tx1"/>
            </w14:solidFill>
          </w14:textFill>
        </w:rPr>
        <w:t>投标报价中的税金为不可竞争费用，应按相应规定足额计取；</w:t>
      </w:r>
      <w:r>
        <w:rPr>
          <w:rFonts w:hint="eastAsia" w:ascii="宋体" w:hAnsi="宋体" w:eastAsia="宋体" w:cs="Times New Roman"/>
          <w:b/>
          <w:bCs/>
          <w:color w:val="000000" w:themeColor="text1"/>
          <w:sz w:val="24"/>
          <w:szCs w:val="24"/>
          <w:highlight w:val="none"/>
          <w:lang w:eastAsia="zh-CN"/>
          <w14:textFill>
            <w14:solidFill>
              <w14:schemeClr w14:val="tx1"/>
            </w14:solidFill>
          </w14:textFill>
        </w:rPr>
        <w:t>投标单位</w:t>
      </w:r>
      <w:r>
        <w:rPr>
          <w:rFonts w:hint="eastAsia" w:ascii="宋体" w:hAnsi="宋体" w:eastAsia="宋体" w:cs="Times New Roman"/>
          <w:b/>
          <w:bCs/>
          <w:color w:val="000000" w:themeColor="text1"/>
          <w:sz w:val="24"/>
          <w:szCs w:val="24"/>
          <w:highlight w:val="none"/>
          <w14:textFill>
            <w14:solidFill>
              <w14:schemeClr w14:val="tx1"/>
            </w14:solidFill>
          </w14:textFill>
        </w:rPr>
        <w:t>在投标报价中，对上述费用进行让利或者优惠的，按否决投标处理。</w:t>
      </w:r>
    </w:p>
    <w:p w14:paraId="467EA43D">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textAlignment w:val="auto"/>
        <w:rPr>
          <w:rFonts w:ascii="宋体" w:hAnsi="宋体"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b w:val="0"/>
          <w:bCs w:val="0"/>
          <w:color w:val="000000" w:themeColor="text1"/>
          <w:sz w:val="24"/>
          <w:szCs w:val="24"/>
          <w:highlight w:val="none"/>
          <w14:textFill>
            <w14:solidFill>
              <w14:schemeClr w14:val="tx1"/>
            </w14:solidFill>
          </w14:textFill>
        </w:rPr>
        <w:t>税金执行鲁建标字〔2019〕10号文规定不含税造价的9%计取，中标后需按此税率开具增值税发票。</w:t>
      </w:r>
      <w:r>
        <w:rPr>
          <w:rFonts w:hint="eastAsia" w:ascii="宋体" w:hAnsi="宋体" w:eastAsia="宋体" w:cs="Times New Roman"/>
          <w:color w:val="000000" w:themeColor="text1"/>
          <w:sz w:val="24"/>
          <w:szCs w:val="24"/>
          <w:highlight w:val="none"/>
          <w14:textFill>
            <w14:solidFill>
              <w14:schemeClr w14:val="tx1"/>
            </w14:solidFill>
          </w14:textFill>
        </w:rPr>
        <w:t>若后期出现政策性税率调整，或</w:t>
      </w:r>
      <w:r>
        <w:rPr>
          <w:rFonts w:ascii="宋体" w:hAnsi="宋体" w:eastAsia="宋体" w:cs="Times New Roman"/>
          <w:color w:val="000000" w:themeColor="text1"/>
          <w:sz w:val="24"/>
          <w:szCs w:val="24"/>
          <w:highlight w:val="none"/>
          <w14:textFill>
            <w14:solidFill>
              <w14:schemeClr w14:val="tx1"/>
            </w14:solidFill>
          </w14:textFill>
        </w:rPr>
        <w:t>出现中标单位所开具的发票税率与投标税率不一致的情况，最终结算时税率按照中标单位实际开具的增值税发票税率计取</w:t>
      </w:r>
      <w:r>
        <w:rPr>
          <w:rFonts w:hint="eastAsia" w:ascii="宋体" w:hAnsi="宋体" w:eastAsia="宋体" w:cs="Times New Roman"/>
          <w:color w:val="000000" w:themeColor="text1"/>
          <w:sz w:val="24"/>
          <w:szCs w:val="24"/>
          <w:highlight w:val="none"/>
          <w14:textFill>
            <w14:solidFill>
              <w14:schemeClr w14:val="tx1"/>
            </w14:solidFill>
          </w14:textFill>
        </w:rPr>
        <w:t>。</w:t>
      </w:r>
    </w:p>
    <w:p w14:paraId="03179B5D">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textAlignment w:val="auto"/>
        <w:rPr>
          <w:rFonts w:hint="eastAsia" w:ascii="宋体" w:hAnsi="宋体"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在施工过程中可能产生的扬尘、噪音、车辆进出等因素,不得对周围居民的安全、财产及正常生活等造成影响,需采取的措施及费用均需考虑在投标报价当中；若因此引起纠纷及损失,均由投标单位自行解决</w:t>
      </w:r>
      <w:r>
        <w:rPr>
          <w:rFonts w:hint="eastAsia" w:ascii="宋体" w:hAnsi="宋体" w:eastAsia="宋体" w:cs="Times New Roman"/>
          <w:color w:val="000000" w:themeColor="text1"/>
          <w:sz w:val="24"/>
          <w:szCs w:val="24"/>
          <w:highlight w:val="none"/>
          <w:lang w:eastAsia="zh-CN"/>
          <w14:textFill>
            <w14:solidFill>
              <w14:schemeClr w14:val="tx1"/>
            </w14:solidFill>
          </w14:textFill>
        </w:rPr>
        <w:t>。</w:t>
      </w:r>
    </w:p>
    <w:p w14:paraId="22A44447">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textAlignment w:val="auto"/>
        <w:rPr>
          <w:rFonts w:hint="eastAsia" w:ascii="宋体" w:hAnsi="宋体"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投标单位</w:t>
      </w: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需</w:t>
      </w:r>
      <w:r>
        <w:rPr>
          <w:rFonts w:hint="eastAsia" w:ascii="宋体" w:hAnsi="宋体" w:eastAsia="宋体" w:cs="Times New Roman"/>
          <w:color w:val="000000" w:themeColor="text1"/>
          <w:sz w:val="24"/>
          <w:szCs w:val="24"/>
          <w:highlight w:val="none"/>
          <w14:textFill>
            <w14:solidFill>
              <w14:schemeClr w14:val="tx1"/>
            </w14:solidFill>
          </w14:textFill>
        </w:rPr>
        <w:t>为本工程提供的各类车辆等各类机械设备费用,包括机械设备的进出场、装卸、拼装、交通标示牌、警示牌等所有费用,应包括在清单报价中,投标单位应充分考虑施工过程中发生的各种机械的多次进出场和机械停滞的费用及风险费用,结算时不增加此部分费用</w:t>
      </w:r>
      <w:r>
        <w:rPr>
          <w:rFonts w:hint="eastAsia" w:ascii="宋体" w:hAnsi="宋体" w:eastAsia="宋体" w:cs="Times New Roman"/>
          <w:color w:val="000000" w:themeColor="text1"/>
          <w:sz w:val="24"/>
          <w:szCs w:val="24"/>
          <w:highlight w:val="none"/>
          <w:lang w:eastAsia="zh-CN"/>
          <w14:textFill>
            <w14:solidFill>
              <w14:schemeClr w14:val="tx1"/>
            </w14:solidFill>
          </w14:textFill>
        </w:rPr>
        <w:t>。</w:t>
      </w:r>
    </w:p>
    <w:p w14:paraId="19EA53C3">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textAlignment w:val="auto"/>
        <w:rPr>
          <w:rFonts w:hint="eastAsia" w:ascii="Times New Roman" w:hAnsi="Times New Roman" w:eastAsia="宋体" w:cs="Times New Roman"/>
          <w:color w:val="000000" w:themeColor="text1"/>
          <w:sz w:val="24"/>
          <w:szCs w:val="24"/>
          <w:highlight w:val="none"/>
          <w14:textFill>
            <w14:solidFill>
              <w14:schemeClr w14:val="tx1"/>
            </w14:solidFill>
          </w14:textFill>
        </w:rPr>
      </w:pPr>
      <w:r>
        <w:rPr>
          <w:rFonts w:hint="eastAsia" w:ascii="宋体" w:hAnsi="宋体" w:eastAsia="宋体" w:cs="Times New Roman"/>
          <w:color w:val="000000" w:themeColor="text1"/>
          <w:sz w:val="24"/>
          <w:szCs w:val="24"/>
          <w:highlight w:val="none"/>
          <w14:textFill>
            <w14:solidFill>
              <w14:schemeClr w14:val="tx1"/>
            </w14:solidFill>
          </w14:textFill>
        </w:rPr>
        <w:t>投标报价要充分考虑施工过程中不可避免的赶工期增加费,结算时不增加此部分费用。</w:t>
      </w:r>
    </w:p>
    <w:p w14:paraId="3F468568">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若投标人有不平衡报价的单项产生了做法或材质变更，结算价格以清单控制价的单价为基准来调差。</w:t>
      </w:r>
    </w:p>
    <w:p w14:paraId="42A86F4F">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textAlignment w:val="auto"/>
        <w:rPr>
          <w:rFonts w:hint="default"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变更导致实际完成的工程量超过已标价工程量清单工程量15%的，招标人有权将实际完成的工程量超过已标价工程量清单工程量15%以外部分单价重新组价。</w:t>
      </w:r>
    </w:p>
    <w:p w14:paraId="79BCF9E6">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jc w:val="left"/>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建筑、精装及室外工程清单报价时，投标单位应注意：</w:t>
      </w:r>
    </w:p>
    <w:p w14:paraId="039DA19A">
      <w:pPr>
        <w:keepNext w:val="0"/>
        <w:keepLines w:val="0"/>
        <w:pageBreakBefore w:val="0"/>
        <w:widowControl w:val="0"/>
        <w:numPr>
          <w:ilvl w:val="0"/>
          <w:numId w:val="6"/>
        </w:numPr>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土石方的挖、运、弃相关子目报价时须考虑省、市对扬尘和散流物体运输控制的相关文件要求，结算时除出现与地质勘察报告不同且有经验的承包商难以预见的地质条件外，不得因任何原因调整与土石方相关子目的单价。</w:t>
      </w:r>
    </w:p>
    <w:p w14:paraId="0DC606E6">
      <w:pPr>
        <w:keepNext w:val="0"/>
        <w:keepLines w:val="0"/>
        <w:pageBreakBefore w:val="0"/>
        <w:widowControl w:val="0"/>
        <w:numPr>
          <w:ilvl w:val="0"/>
          <w:numId w:val="6"/>
        </w:numPr>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混凝土子目报价须考虑混凝土材料费、运输费（含垂直运输）、各种方式的泵送费、泵送剂费用、养护费用等；须考虑商品砼泵送时产生的组管、洗管、配合泵送的材料费、人工费、机械费及各种泵的电费、燃料费等；须考虑模板（砖胎膜）、模板超高、止水螺栓、对拉螺栓、螺栓端头处理、螺栓孔及施工缝的防水处理、支撑方式、模板摊销次数等影响因素，结算时不另计相关费用。</w:t>
      </w:r>
    </w:p>
    <w:p w14:paraId="76146206">
      <w:pPr>
        <w:keepNext w:val="0"/>
        <w:keepLines w:val="0"/>
        <w:pageBreakBefore w:val="0"/>
        <w:widowControl w:val="0"/>
        <w:numPr>
          <w:ilvl w:val="0"/>
          <w:numId w:val="6"/>
        </w:numPr>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含砂浆的子目报价须考虑砂浆罐的租赁费，砂浆的单价(包括砂浆标号)在结算中概不调整。</w:t>
      </w:r>
    </w:p>
    <w:p w14:paraId="2700E5A9">
      <w:pPr>
        <w:keepNext w:val="0"/>
        <w:keepLines w:val="0"/>
        <w:pageBreakBefore w:val="0"/>
        <w:widowControl w:val="0"/>
        <w:numPr>
          <w:ilvl w:val="0"/>
          <w:numId w:val="4"/>
        </w:numPr>
        <w:kinsoku/>
        <w:wordWrap/>
        <w:overflowPunct/>
        <w:topLinePunct w:val="0"/>
        <w:autoSpaceDE/>
        <w:autoSpaceDN/>
        <w:bidi w:val="0"/>
        <w:adjustRightInd w:val="0"/>
        <w:snapToGrid w:val="0"/>
        <w:spacing w:line="400" w:lineRule="exact"/>
        <w:ind w:left="-60" w:leftChars="0" w:firstLine="480" w:firstLineChars="0"/>
        <w:jc w:val="left"/>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安装工程清单报价时，投标单位应注意：</w:t>
      </w:r>
    </w:p>
    <w:p w14:paraId="23004644">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default" w:ascii="宋体" w:hAnsi="宋体" w:eastAsia="宋体" w:cs="Times New Roman"/>
          <w:color w:val="000000" w:themeColor="text1"/>
          <w:kern w:val="2"/>
          <w:sz w:val="24"/>
          <w:szCs w:val="24"/>
          <w:lang w:val="en-US" w:eastAsia="zh-CN" w:bidi="ar-SA"/>
          <w14:textFill>
            <w14:solidFill>
              <w14:schemeClr w14:val="tx1"/>
            </w14:solidFill>
          </w14:textFill>
        </w:rPr>
        <w:t>1．</w:t>
      </w: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 xml:space="preserve">投标时须严格按照“工程设备汇总表”格式进行报价，不得随意更改，设备自带控制箱（柜）的价格包含在设备本体中。 </w:t>
      </w:r>
    </w:p>
    <w:p w14:paraId="30A66EAE">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default" w:ascii="宋体" w:hAnsi="宋体" w:eastAsia="宋体" w:cs="Times New Roman"/>
          <w:color w:val="000000" w:themeColor="text1"/>
          <w:kern w:val="2"/>
          <w:sz w:val="24"/>
          <w:szCs w:val="24"/>
          <w:lang w:val="en-US" w:eastAsia="zh-CN" w:bidi="ar-SA"/>
          <w14:textFill>
            <w14:solidFill>
              <w14:schemeClr w14:val="tx1"/>
            </w14:solidFill>
          </w14:textFill>
        </w:rPr>
        <w:t>2．</w:t>
      </w: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电线、电缆敷设工程量是按设计图示尺寸实际长度计算，包括水平、垂直走向、各处预留长度及附加长度，敷设方式不论是沿桥架还是穿管敷设，结算时均不因敷设方式而调整。电缆的穿刺线夹、T接头、中间头及终端头亦考虑在电缆敷设综合单价中，电缆敷设时不论采用何种连接方式综合单价均不做调整。</w:t>
      </w:r>
    </w:p>
    <w:p w14:paraId="62B25763">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kern w:val="2"/>
          <w:sz w:val="24"/>
          <w:szCs w:val="24"/>
          <w:lang w:val="en-US" w:eastAsia="zh-CN" w:bidi="ar-SA"/>
          <w14:textFill>
            <w14:solidFill>
              <w14:schemeClr w14:val="tx1"/>
            </w14:solidFill>
          </w14:textFill>
        </w:rPr>
        <w:t>3</w:t>
      </w:r>
      <w:r>
        <w:rPr>
          <w:rFonts w:hint="default" w:ascii="宋体" w:hAnsi="宋体" w:eastAsia="宋体" w:cs="Times New Roman"/>
          <w:color w:val="000000" w:themeColor="text1"/>
          <w:kern w:val="2"/>
          <w:sz w:val="24"/>
          <w:szCs w:val="24"/>
          <w:lang w:val="en-US" w:eastAsia="zh-CN" w:bidi="ar-SA"/>
          <w14:textFill>
            <w14:solidFill>
              <w14:schemeClr w14:val="tx1"/>
            </w14:solidFill>
          </w14:textFill>
        </w:rPr>
        <w:t>．</w:t>
      </w: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 xml:space="preserve">投标时应综合考虑综合验收费、防雷检测费等所有检测费用，结算时不另计相关费用。 </w:t>
      </w:r>
    </w:p>
    <w:p w14:paraId="36FD8024">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kern w:val="2"/>
          <w:sz w:val="24"/>
          <w:szCs w:val="24"/>
          <w:lang w:val="en-US" w:eastAsia="zh-CN" w:bidi="ar-SA"/>
          <w14:textFill>
            <w14:solidFill>
              <w14:schemeClr w14:val="tx1"/>
            </w14:solidFill>
          </w14:textFill>
        </w:rPr>
        <w:t>4</w:t>
      </w:r>
      <w:r>
        <w:rPr>
          <w:rFonts w:hint="default" w:ascii="宋体" w:hAnsi="宋体" w:eastAsia="宋体" w:cs="Times New Roman"/>
          <w:color w:val="000000" w:themeColor="text1"/>
          <w:kern w:val="2"/>
          <w:sz w:val="24"/>
          <w:szCs w:val="24"/>
          <w:lang w:val="en-US" w:eastAsia="zh-CN" w:bidi="ar-SA"/>
          <w14:textFill>
            <w14:solidFill>
              <w14:schemeClr w14:val="tx1"/>
            </w14:solidFill>
          </w14:textFill>
        </w:rPr>
        <w:t>．</w:t>
      </w: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投标时应综合考虑各类管洞、箱体洞口的预留及堵漏、箱体的刷油防腐、</w:t>
      </w:r>
      <w:r>
        <w:rPr>
          <w:rFonts w:hint="eastAsia" w:ascii="宋体" w:hAnsi="宋体" w:eastAsia="宋体" w:cs="宋体"/>
          <w:color w:val="000000" w:themeColor="text1"/>
          <w:sz w:val="24"/>
          <w:szCs w:val="24"/>
          <w:highlight w:val="none"/>
          <w:lang w:val="en-US" w:eastAsia="zh-CN"/>
          <w14:textFill>
            <w14:solidFill>
              <w14:schemeClr w14:val="tx1"/>
            </w14:solidFill>
          </w14:textFill>
        </w:rPr>
        <w:t>各种标志、</w:t>
      </w:r>
      <w:r>
        <w:rPr>
          <w:rFonts w:ascii="宋体" w:hAnsi="宋体" w:eastAsia="宋体" w:cs="宋体"/>
          <w:color w:val="000000" w:themeColor="text1"/>
          <w:sz w:val="24"/>
          <w:szCs w:val="24"/>
          <w:highlight w:val="none"/>
          <w14:textFill>
            <w14:solidFill>
              <w14:schemeClr w14:val="tx1"/>
            </w14:solidFill>
          </w14:textFill>
        </w:rPr>
        <w:t>标识牌</w:t>
      </w: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等费用，结算时不另计相关费用。</w:t>
      </w:r>
    </w:p>
    <w:p w14:paraId="6F1FFA54">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val="0"/>
        <w:spacing w:line="400" w:lineRule="exact"/>
        <w:ind w:left="0" w:leftChars="0" w:firstLine="480" w:firstLineChars="200"/>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kern w:val="2"/>
          <w:sz w:val="24"/>
          <w:szCs w:val="24"/>
          <w:lang w:val="en-US" w:eastAsia="zh-CN" w:bidi="ar-SA"/>
          <w14:textFill>
            <w14:solidFill>
              <w14:schemeClr w14:val="tx1"/>
            </w14:solidFill>
          </w14:textFill>
        </w:rPr>
        <w:t>5</w:t>
      </w:r>
      <w:r>
        <w:rPr>
          <w:rFonts w:hint="default" w:ascii="宋体" w:hAnsi="宋体" w:eastAsia="宋体" w:cs="Times New Roman"/>
          <w:color w:val="000000" w:themeColor="text1"/>
          <w:kern w:val="2"/>
          <w:sz w:val="24"/>
          <w:szCs w:val="24"/>
          <w:lang w:val="en-US" w:eastAsia="zh-CN" w:bidi="ar-SA"/>
          <w14:textFill>
            <w14:solidFill>
              <w14:schemeClr w14:val="tx1"/>
            </w14:solidFill>
          </w14:textFill>
        </w:rPr>
        <w:t>．</w:t>
      </w: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投标时应综合考虑各类电管等穿越防火分区或隔断墙体的打、堵洞费用及防火封堵等费用，结算时不另计相关费用。</w:t>
      </w:r>
    </w:p>
    <w:p w14:paraId="1A7E44EB">
      <w:pPr>
        <w:numPr>
          <w:ilvl w:val="0"/>
          <w:numId w:val="0"/>
        </w:numPr>
        <w:spacing w:line="400" w:lineRule="exact"/>
        <w:ind w:firstLine="480" w:firstLineChars="200"/>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二十五、</w:t>
      </w: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特别说明：</w:t>
      </w:r>
    </w:p>
    <w:p w14:paraId="3556BBC3">
      <w:pPr>
        <w:keepNext w:val="0"/>
        <w:keepLines w:val="0"/>
        <w:pageBreakBefore w:val="0"/>
        <w:widowControl w:val="0"/>
        <w:numPr>
          <w:ilvl w:val="0"/>
          <w:numId w:val="7"/>
        </w:numPr>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 xml:space="preserve">此次清单表格仅供参考，以投标系统自动生成的表格为准。若有疑问按规定提出答疑。            </w:t>
      </w:r>
    </w:p>
    <w:p w14:paraId="0B0ABEA9">
      <w:pPr>
        <w:keepNext w:val="0"/>
        <w:keepLines w:val="0"/>
        <w:pageBreakBefore w:val="0"/>
        <w:widowControl w:val="0"/>
        <w:numPr>
          <w:ilvl w:val="0"/>
          <w:numId w:val="7"/>
        </w:numPr>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宋体" w:hAnsi="宋体" w:eastAsia="宋体" w:cs="Times New Roman"/>
          <w:color w:val="000000" w:themeColor="text1"/>
          <w:sz w:val="24"/>
          <w:szCs w:val="24"/>
          <w:highlight w:val="none"/>
          <w:lang w:val="en-US" w:eastAsia="zh-CN"/>
          <w14:textFill>
            <w14:solidFill>
              <w14:schemeClr w14:val="tx1"/>
            </w14:solidFill>
          </w14:textFill>
        </w:r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本次招标列有暂列金额41840.25元，建设项目工伤保险费，投标单位应按照给定的金额正常计取税金后计入投标总价中，不能随意删除、改动。</w:t>
      </w:r>
    </w:p>
    <w:p w14:paraId="2E6D20A7">
      <w:pPr>
        <w:keepNext w:val="0"/>
        <w:keepLines w:val="0"/>
        <w:pageBreakBefore w:val="0"/>
        <w:widowControl w:val="0"/>
        <w:numPr>
          <w:ilvl w:val="0"/>
          <w:numId w:val="7"/>
        </w:numPr>
        <w:kinsoku/>
        <w:wordWrap/>
        <w:overflowPunct/>
        <w:topLinePunct w:val="0"/>
        <w:autoSpaceDE/>
        <w:autoSpaceDN/>
        <w:bidi w:val="0"/>
        <w:adjustRightInd w:val="0"/>
        <w:snapToGrid w:val="0"/>
        <w:spacing w:line="400" w:lineRule="exact"/>
        <w:ind w:left="0" w:leftChars="0" w:firstLine="480" w:firstLineChars="200"/>
        <w:textAlignment w:val="auto"/>
        <w:rPr>
          <w:rFonts w:hint="eastAsia" w:ascii="仿宋_GB2312" w:hAnsi="宋体" w:eastAsia="仿宋_GB2312"/>
          <w:color w:val="000000" w:themeColor="text1"/>
          <w:sz w:val="28"/>
          <w:szCs w:val="21"/>
          <w:lang w:eastAsia="zh-CN"/>
          <w14:textFill>
            <w14:solidFill>
              <w14:schemeClr w14:val="tx1"/>
            </w14:solidFill>
          </w14:textFill>
        </w:rPr>
        <w:sectPr>
          <w:pgSz w:w="11906" w:h="16838"/>
          <w:pgMar w:top="1440" w:right="1077" w:bottom="1440" w:left="1077" w:header="851" w:footer="992" w:gutter="0"/>
          <w:cols w:space="720" w:num="1"/>
          <w:docGrid w:type="lines" w:linePitch="312" w:charSpace="0"/>
        </w:sectPr>
      </w:pPr>
      <w:r>
        <w:rPr>
          <w:rFonts w:hint="eastAsia" w:ascii="宋体" w:hAnsi="宋体" w:eastAsia="宋体" w:cs="Times New Roman"/>
          <w:color w:val="000000" w:themeColor="text1"/>
          <w:sz w:val="24"/>
          <w:szCs w:val="24"/>
          <w:highlight w:val="none"/>
          <w:lang w:val="en-US" w:eastAsia="zh-CN"/>
          <w14:textFill>
            <w14:solidFill>
              <w14:schemeClr w14:val="tx1"/>
            </w14:solidFill>
          </w14:textFill>
        </w:rPr>
        <w:t>暂估价投标人不得更改，实施前，需按实际采购品牌、型号规格进行报批，最终按报批价格据实结算。</w:t>
      </w:r>
    </w:p>
    <w:p w14:paraId="3CED30F2">
      <w:pPr>
        <w:pStyle w:val="26"/>
        <w:spacing w:before="100" w:beforeAutospacing="1" w:after="100" w:afterAutospacing="1" w:line="415" w:lineRule="auto"/>
        <w:ind w:left="1440"/>
        <w:jc w:val="both"/>
        <w:rPr>
          <w:rFonts w:ascii="宋体" w:hAnsi="宋体" w:cs="宋体"/>
          <w:color w:val="000000" w:themeColor="text1"/>
          <w:sz w:val="44"/>
          <w:szCs w:val="44"/>
          <w14:textFill>
            <w14:solidFill>
              <w14:schemeClr w14:val="tx1"/>
            </w14:solidFill>
          </w14:textFill>
        </w:rPr>
      </w:pPr>
      <w:r>
        <w:rPr>
          <w:rFonts w:hint="eastAsia" w:ascii="宋体" w:hAnsi="宋体" w:cs="宋体"/>
          <w:color w:val="000000" w:themeColor="text1"/>
          <w:sz w:val="44"/>
          <w:szCs w:val="44"/>
          <w14:textFill>
            <w14:solidFill>
              <w14:schemeClr w14:val="tx1"/>
            </w14:solidFill>
          </w14:textFill>
        </w:rPr>
        <w:t xml:space="preserve">第四章 </w:t>
      </w:r>
      <w:r>
        <w:rPr>
          <w:rFonts w:hint="eastAsia" w:ascii="楷体_GB2312" w:hAnsi="宋体" w:eastAsia="楷体_GB2312" w:cs="宋体"/>
          <w:color w:val="000000" w:themeColor="text1"/>
          <w:sz w:val="44"/>
          <w:szCs w:val="44"/>
          <w14:textFill>
            <w14:solidFill>
              <w14:schemeClr w14:val="tx1"/>
            </w14:solidFill>
          </w14:textFill>
        </w:rPr>
        <w:t>谈判原则、程序和方法</w:t>
      </w:r>
    </w:p>
    <w:p w14:paraId="727B9518">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一、评审原则</w:t>
      </w:r>
    </w:p>
    <w:p w14:paraId="0A13AA1D">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“客观、公正、审慎”为本次评审的基本原则，谈判小组将按照这一原则的要求，公正、平等地对待各报价供应商，同时，在评审时恪守以下原则：</w:t>
      </w:r>
    </w:p>
    <w:p w14:paraId="2F71DFB2">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1.客观性原则：谈判小组将严格按照竞争谈判文件的要求，对报价供应商的响应文件进行认真评审，谈判小组对响应文件的评审仅依据响应文件本身，而不依靠响应文件以外的任何因素。</w:t>
      </w:r>
    </w:p>
    <w:p w14:paraId="3E9F7C3E">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2.统一性原则：谈判小组将按照统一的评审原则和评审方法，采用统一标准进行评审。</w:t>
      </w:r>
    </w:p>
    <w:p w14:paraId="076E226E">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3.独立性原则：评审工作在谈判小组内部独立进行，不受外界任何因素的干扰和影响。</w:t>
      </w:r>
    </w:p>
    <w:p w14:paraId="272B8983">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4.保密性原则：谈判小组及熟知情况的有关工作人员必须对每位评委的评审意见和报价供应商的商业秘密严格保密。</w:t>
      </w:r>
    </w:p>
    <w:p w14:paraId="4C473F3B">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5.综合性原则：谈判小组将综合分析、评审报价供应商的各项指标。</w:t>
      </w:r>
    </w:p>
    <w:p w14:paraId="64518FB3">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二、评审程序</w:t>
      </w:r>
    </w:p>
    <w:p w14:paraId="2802BAFE">
      <w:pPr>
        <w:spacing w:before="156" w:beforeLines="50" w:line="520" w:lineRule="exact"/>
        <w:rPr>
          <w:rFonts w:ascii="仿宋_GB2312" w:hAnsi="宋体" w:eastAsia="仿宋_GB2312"/>
          <w:b/>
          <w:color w:val="000000" w:themeColor="text1"/>
          <w:sz w:val="28"/>
          <w:szCs w:val="21"/>
          <w14:textFill>
            <w14:solidFill>
              <w14:schemeClr w14:val="tx1"/>
            </w14:solidFill>
          </w14:textFill>
        </w:rPr>
      </w:pPr>
      <w:r>
        <w:rPr>
          <w:rFonts w:hint="eastAsia" w:ascii="仿宋_GB2312" w:hAnsi="宋体" w:eastAsia="仿宋_GB2312"/>
          <w:b/>
          <w:color w:val="000000" w:themeColor="text1"/>
          <w:sz w:val="28"/>
          <w:szCs w:val="21"/>
          <w14:textFill>
            <w14:solidFill>
              <w14:schemeClr w14:val="tx1"/>
            </w14:solidFill>
          </w14:textFill>
        </w:rPr>
        <w:t>（一）谈判程序</w:t>
      </w:r>
    </w:p>
    <w:p w14:paraId="0BCC6A82">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1.谈判小组将按照竞争谈判文件的规定对响应文件进行有效性、完整性和响应程度审查，以确定响应文件的实质性响应。</w:t>
      </w:r>
    </w:p>
    <w:p w14:paraId="3C1EB499">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2.出现下列情形之一的，视为对竞争谈判文件未做出实质性响应，按照无效报价处理。</w:t>
      </w:r>
    </w:p>
    <w:p w14:paraId="01033457">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详见《响应须知前附表》-《实质性条款一览表》</w:t>
      </w:r>
    </w:p>
    <w:p w14:paraId="72FBB083">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3.属于无效报价的，报价供应商不能通过修正或撤消响应文件中不符合之处而成为实质性响应的报价，采购代理将通知报价供应商，并说明无效报价理由。属于有效响应文件的，将进行下一轮此的询标和澄清。</w:t>
      </w:r>
    </w:p>
    <w:p w14:paraId="3CAF99A9">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4.澄清、说明或者补正</w:t>
      </w:r>
    </w:p>
    <w:p w14:paraId="37A6C861">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对有效响应文件中含义不明确、同类问题前后表述不一致或者有明显文字和计算错误的内容，谈判小组可以书面形式要求报价供应商在规定的时间内做出必要的澄清、说明或者纠正，报价供应商应在要求的时间内以书面形式澄清、说明或者补正,并由其法定代表人或被授权人签字，且不得超出响应文件的范围或者改变响应文件的实质性内容。</w:t>
      </w:r>
    </w:p>
    <w:p w14:paraId="1461FEDE">
      <w:pPr>
        <w:spacing w:line="520" w:lineRule="exact"/>
        <w:ind w:firstLine="560" w:firstLineChars="200"/>
        <w:rPr>
          <w:rFonts w:ascii="宋体" w:hAnsi="宋体"/>
          <w:color w:val="000000" w:themeColor="text1"/>
          <w:sz w:val="24"/>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（2）报价供应商依据评审要求进行澄清、说明或者补正的内容构成响应文件的组成部分。</w:t>
      </w:r>
    </w:p>
    <w:p w14:paraId="0E7B4505">
      <w:pPr>
        <w:spacing w:before="156" w:beforeLines="50" w:line="520" w:lineRule="exact"/>
        <w:rPr>
          <w:rFonts w:ascii="仿宋_GB2312" w:hAnsi="宋体" w:eastAsia="仿宋_GB2312"/>
          <w:b/>
          <w:color w:val="000000" w:themeColor="text1"/>
          <w:sz w:val="28"/>
          <w:szCs w:val="21"/>
          <w14:textFill>
            <w14:solidFill>
              <w14:schemeClr w14:val="tx1"/>
            </w14:solidFill>
          </w14:textFill>
        </w:rPr>
      </w:pPr>
      <w:r>
        <w:rPr>
          <w:rFonts w:hint="eastAsia" w:ascii="仿宋_GB2312" w:hAnsi="宋体" w:eastAsia="仿宋_GB2312"/>
          <w:b/>
          <w:color w:val="000000" w:themeColor="text1"/>
          <w:sz w:val="28"/>
          <w:szCs w:val="21"/>
          <w14:textFill>
            <w14:solidFill>
              <w14:schemeClr w14:val="tx1"/>
            </w14:solidFill>
          </w14:textFill>
        </w:rPr>
        <w:t>（二）谈判、优化方案</w:t>
      </w:r>
    </w:p>
    <w:p w14:paraId="2A139767">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（1）谈判小组所有成员应当集中与单一供应商分别进行谈判，并给予所有参加谈判的供应商平等的谈判机会。</w:t>
      </w:r>
    </w:p>
    <w:p w14:paraId="4CA401F0">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（2）谈判小组可以根据谈判文件和谈判情况实质性变动采购需求中的技术、服务要求以及合同草案条款，但不得变动谈判文件中的其他内容。实质性变动的内容，须经采购人代表确认。</w:t>
      </w:r>
    </w:p>
    <w:p w14:paraId="4AEB44E1">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（3）对谈判文件做出的实质性变动是谈判文件的有效组成部分，谈判小组应当及时以书面形式同时通知所有参加谈判的供应商。</w:t>
      </w:r>
    </w:p>
    <w:p w14:paraId="3EBE4CC5">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（4）供应商应当按照谈判文件的变动情况和谈判小组的要求重新提交响应文件，并由其法定代表人或被授权人签字或者加盖公章。</w:t>
      </w:r>
    </w:p>
    <w:p w14:paraId="25940406">
      <w:pPr>
        <w:spacing w:before="156" w:beforeLines="50" w:line="520" w:lineRule="exact"/>
        <w:rPr>
          <w:rFonts w:ascii="仿宋_GB2312" w:hAnsi="宋体" w:eastAsia="仿宋_GB2312"/>
          <w:b/>
          <w:color w:val="000000" w:themeColor="text1"/>
          <w:sz w:val="28"/>
          <w:szCs w:val="21"/>
          <w14:textFill>
            <w14:solidFill>
              <w14:schemeClr w14:val="tx1"/>
            </w14:solidFill>
          </w14:textFill>
        </w:rPr>
      </w:pPr>
      <w:r>
        <w:rPr>
          <w:rFonts w:hint="eastAsia" w:ascii="仿宋_GB2312" w:hAnsi="宋体" w:eastAsia="仿宋_GB2312"/>
          <w:b/>
          <w:color w:val="000000" w:themeColor="text1"/>
          <w:sz w:val="28"/>
          <w:szCs w:val="21"/>
          <w14:textFill>
            <w14:solidFill>
              <w14:schemeClr w14:val="tx1"/>
            </w14:solidFill>
          </w14:textFill>
        </w:rPr>
        <w:t>（三）最后报价</w:t>
      </w:r>
    </w:p>
    <w:p w14:paraId="3A6B2795">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（1）谈判文件能够详细列明采购标的的技术、服务要求的，谈判结束后，谈判小组应当要求所有实质性响应的报价供应商在规定时间内提交最终报价。</w:t>
      </w:r>
    </w:p>
    <w:p w14:paraId="3BDA4AF5">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（2）最终报价是报价供应商响应文件的有效组成部分。</w:t>
      </w:r>
    </w:p>
    <w:p w14:paraId="407A6BF3">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三、评审方法</w:t>
      </w:r>
    </w:p>
    <w:p w14:paraId="338C260A">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（1）评审方法：综合评分法，即报价供应商的响应文件满足谈判文件全部实质性要求，且按评审因素的量化指标评审得分最高的供应商为成交候选供应商的评审方法。</w:t>
      </w:r>
    </w:p>
    <w:p w14:paraId="229C2287">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（2）评审细则：</w:t>
      </w:r>
    </w:p>
    <w:tbl>
      <w:tblPr>
        <w:tblStyle w:val="28"/>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24632C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5AE5672A">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编号</w:t>
            </w:r>
          </w:p>
        </w:tc>
        <w:tc>
          <w:tcPr>
            <w:tcW w:w="773" w:type="dxa"/>
            <w:shd w:val="clear" w:color="auto" w:fill="D9D9D9"/>
            <w:vAlign w:val="center"/>
          </w:tcPr>
          <w:p w14:paraId="2DB39318">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类型</w:t>
            </w:r>
          </w:p>
        </w:tc>
        <w:tc>
          <w:tcPr>
            <w:tcW w:w="1665" w:type="dxa"/>
            <w:shd w:val="clear" w:color="auto" w:fill="D9D9D9"/>
            <w:vAlign w:val="center"/>
          </w:tcPr>
          <w:p w14:paraId="5D1EDB94">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评分标题</w:t>
            </w:r>
          </w:p>
        </w:tc>
        <w:tc>
          <w:tcPr>
            <w:tcW w:w="4689" w:type="dxa"/>
            <w:shd w:val="clear" w:color="auto" w:fill="D9D9D9"/>
            <w:vAlign w:val="center"/>
          </w:tcPr>
          <w:p w14:paraId="03DAB122">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评分标准</w:t>
            </w:r>
          </w:p>
        </w:tc>
        <w:tc>
          <w:tcPr>
            <w:tcW w:w="1026" w:type="dxa"/>
            <w:shd w:val="clear" w:color="auto" w:fill="D9D9D9"/>
            <w:vAlign w:val="center"/>
          </w:tcPr>
          <w:p w14:paraId="77CA1C32">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性质</w:t>
            </w:r>
          </w:p>
        </w:tc>
        <w:tc>
          <w:tcPr>
            <w:tcW w:w="773" w:type="dxa"/>
            <w:shd w:val="clear" w:color="auto" w:fill="D9D9D9"/>
            <w:vAlign w:val="center"/>
          </w:tcPr>
          <w:p w14:paraId="1FA8A8DF">
            <w:pPr>
              <w:pStyle w:val="12"/>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分数</w:t>
            </w:r>
          </w:p>
        </w:tc>
      </w:tr>
      <w:tr w14:paraId="2758F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BAE50BD">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1</w:t>
            </w:r>
          </w:p>
        </w:tc>
        <w:tc>
          <w:tcPr>
            <w:tcW w:w="773" w:type="dxa"/>
            <w:vAlign w:val="center"/>
          </w:tcPr>
          <w:p w14:paraId="395C2546">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价格</w:t>
            </w:r>
          </w:p>
        </w:tc>
        <w:tc>
          <w:tcPr>
            <w:tcW w:w="1665" w:type="dxa"/>
            <w:vAlign w:val="center"/>
          </w:tcPr>
          <w:p w14:paraId="1F0EB444">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报价</w:t>
            </w:r>
          </w:p>
        </w:tc>
        <w:tc>
          <w:tcPr>
            <w:tcW w:w="4689" w:type="dxa"/>
            <w:vAlign w:val="center"/>
          </w:tcPr>
          <w:p w14:paraId="12265345">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系统价格分为</w:t>
            </w:r>
            <w:r>
              <w:rPr>
                <w:rFonts w:ascii="仿宋_GB2312" w:hAnsi="宋体" w:eastAsia="仿宋_GB2312"/>
                <w:color w:val="000000" w:themeColor="text1"/>
                <w:sz w:val="24"/>
                <w:szCs w:val="24"/>
                <w14:textFill>
                  <w14:solidFill>
                    <w14:schemeClr w14:val="tx1"/>
                  </w14:solidFill>
                </w14:textFill>
              </w:rPr>
              <w:t>0分</w:t>
            </w:r>
          </w:p>
        </w:tc>
        <w:tc>
          <w:tcPr>
            <w:tcW w:w="1026" w:type="dxa"/>
            <w:vAlign w:val="center"/>
          </w:tcPr>
          <w:p w14:paraId="63554B3E">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系统分</w:t>
            </w:r>
          </w:p>
        </w:tc>
        <w:tc>
          <w:tcPr>
            <w:tcW w:w="773" w:type="dxa"/>
            <w:vAlign w:val="center"/>
          </w:tcPr>
          <w:p w14:paraId="5A3466CF">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0</w:t>
            </w:r>
          </w:p>
        </w:tc>
      </w:tr>
      <w:tr w14:paraId="7EF7FB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A5C40DE">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2</w:t>
            </w:r>
          </w:p>
        </w:tc>
        <w:tc>
          <w:tcPr>
            <w:tcW w:w="773" w:type="dxa"/>
            <w:vAlign w:val="center"/>
          </w:tcPr>
          <w:p w14:paraId="60313DBE">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商务</w:t>
            </w:r>
          </w:p>
        </w:tc>
        <w:tc>
          <w:tcPr>
            <w:tcW w:w="1665" w:type="dxa"/>
            <w:vAlign w:val="center"/>
          </w:tcPr>
          <w:p w14:paraId="5C1A8B99">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报价</w:t>
            </w:r>
          </w:p>
        </w:tc>
        <w:tc>
          <w:tcPr>
            <w:tcW w:w="4689" w:type="dxa"/>
            <w:vAlign w:val="center"/>
          </w:tcPr>
          <w:p w14:paraId="016A43CD">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报价采用综合平均法计算，投标报价与评标基准价一致的，得最高分</w:t>
            </w:r>
            <w:r>
              <w:rPr>
                <w:rFonts w:hint="eastAsia" w:ascii="仿宋_GB2312" w:hAnsi="宋体" w:eastAsia="仿宋_GB2312"/>
                <w:color w:val="000000" w:themeColor="text1"/>
                <w:sz w:val="24"/>
                <w:szCs w:val="24"/>
                <w:lang w:val="en-US" w:eastAsia="zh-CN"/>
                <w14:textFill>
                  <w14:solidFill>
                    <w14:schemeClr w14:val="tx1"/>
                  </w14:solidFill>
                </w14:textFill>
              </w:rPr>
              <w:t>60</w:t>
            </w:r>
            <w:r>
              <w:rPr>
                <w:rFonts w:ascii="仿宋_GB2312" w:hAnsi="宋体" w:eastAsia="仿宋_GB2312"/>
                <w:color w:val="000000" w:themeColor="text1"/>
                <w:sz w:val="24"/>
                <w:szCs w:val="24"/>
                <w14:textFill>
                  <w14:solidFill>
                    <w14:schemeClr w14:val="tx1"/>
                  </w14:solidFill>
                </w14:textFill>
              </w:rPr>
              <w:t>分</w:t>
            </w:r>
          </w:p>
          <w:p w14:paraId="64B7D36E">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在评标基准价以上，每提高一个百分点，在最高分基础上减</w:t>
            </w:r>
            <w:r>
              <w:rPr>
                <w:rFonts w:ascii="仿宋_GB2312" w:hAnsi="宋体" w:eastAsia="仿宋_GB2312"/>
                <w:color w:val="000000" w:themeColor="text1"/>
                <w:sz w:val="24"/>
                <w:szCs w:val="24"/>
                <w14:textFill>
                  <w14:solidFill>
                    <w14:schemeClr w14:val="tx1"/>
                  </w14:solidFill>
                </w14:textFill>
              </w:rPr>
              <w:t>0.1分；</w:t>
            </w:r>
          </w:p>
          <w:p w14:paraId="7B37197F">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在评标基准价以下，每减少一个百分点，在最高分的基础上减</w:t>
            </w:r>
            <w:r>
              <w:rPr>
                <w:rFonts w:ascii="仿宋_GB2312" w:hAnsi="宋体" w:eastAsia="仿宋_GB2312"/>
                <w:color w:val="000000" w:themeColor="text1"/>
                <w:sz w:val="24"/>
                <w:szCs w:val="24"/>
                <w14:textFill>
                  <w14:solidFill>
                    <w14:schemeClr w14:val="tx1"/>
                  </w14:solidFill>
                </w14:textFill>
              </w:rPr>
              <w:t>0.1分，扣完为止。</w:t>
            </w:r>
          </w:p>
          <w:p w14:paraId="0BDA1015">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不足</w:t>
            </w:r>
            <w:r>
              <w:rPr>
                <w:rFonts w:ascii="仿宋_GB2312" w:hAnsi="宋体" w:eastAsia="仿宋_GB2312"/>
                <w:color w:val="000000" w:themeColor="text1"/>
                <w:sz w:val="24"/>
                <w:szCs w:val="24"/>
                <w14:textFill>
                  <w14:solidFill>
                    <w14:schemeClr w14:val="tx1"/>
                  </w14:solidFill>
                </w14:textFill>
              </w:rPr>
              <w:t>1％，内插。报价分值计算保留小数点后两位。</w:t>
            </w:r>
          </w:p>
          <w:p w14:paraId="47A79B51">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投标报价评标基准价确定：当有效报价供应商家数＞</w:t>
            </w:r>
            <w:r>
              <w:rPr>
                <w:rFonts w:ascii="仿宋_GB2312" w:hAnsi="宋体" w:eastAsia="仿宋_GB2312"/>
                <w:color w:val="000000" w:themeColor="text1"/>
                <w:sz w:val="24"/>
                <w:szCs w:val="24"/>
                <w14:textFill>
                  <w14:solidFill>
                    <w14:schemeClr w14:val="tx1"/>
                  </w14:solidFill>
                </w14:textFill>
              </w:rPr>
              <w:t>9家，评标基准价=（所有报价供应商的有效报价之和-有效报价的最高值及次高值-有效报价的最低值及次低值）算术平均值作为评标基准价；当5家≤有效报价供应商≤9家，评标基准价=（所有报价供应商的有效报价之和-有效报</w:t>
            </w:r>
            <w:r>
              <w:rPr>
                <w:rFonts w:hint="eastAsia" w:ascii="仿宋_GB2312" w:hAnsi="宋体" w:eastAsia="仿宋_GB2312"/>
                <w:color w:val="000000" w:themeColor="text1"/>
                <w:sz w:val="24"/>
                <w:szCs w:val="24"/>
                <w14:textFill>
                  <w14:solidFill>
                    <w14:schemeClr w14:val="tx1"/>
                  </w14:solidFill>
                </w14:textFill>
              </w:rPr>
              <w:t>价的最高值</w:t>
            </w:r>
            <w:r>
              <w:rPr>
                <w:rFonts w:ascii="仿宋_GB2312" w:hAnsi="宋体" w:eastAsia="仿宋_GB2312"/>
                <w:color w:val="000000" w:themeColor="text1"/>
                <w:sz w:val="24"/>
                <w:szCs w:val="24"/>
                <w14:textFill>
                  <w14:solidFill>
                    <w14:schemeClr w14:val="tx1"/>
                  </w14:solidFill>
                </w14:textFill>
              </w:rPr>
              <w:t>-有效报价的最低值）算术平均值作为评标基准价；当有效报价供应商数＜5家，评标基准价= 所有报价供应商的有效报价算术平均值作为评标基准价。</w:t>
            </w:r>
          </w:p>
        </w:tc>
        <w:tc>
          <w:tcPr>
            <w:tcW w:w="1026" w:type="dxa"/>
            <w:vAlign w:val="center"/>
          </w:tcPr>
          <w:p w14:paraId="03FE5A48">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客观分</w:t>
            </w:r>
          </w:p>
        </w:tc>
        <w:tc>
          <w:tcPr>
            <w:tcW w:w="773" w:type="dxa"/>
            <w:vAlign w:val="center"/>
          </w:tcPr>
          <w:p w14:paraId="4FDA2631">
            <w:pPr>
              <w:pStyle w:val="12"/>
              <w:ind w:firstLine="0"/>
              <w:jc w:val="center"/>
              <w:rPr>
                <w:rFonts w:hint="default" w:ascii="仿宋_GB2312" w:hAnsi="宋体" w:eastAsia="仿宋_GB2312"/>
                <w:color w:val="000000" w:themeColor="text1"/>
                <w:sz w:val="24"/>
                <w:szCs w:val="24"/>
                <w:lang w:val="en-US"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60</w:t>
            </w:r>
          </w:p>
        </w:tc>
      </w:tr>
      <w:tr w14:paraId="4E5178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A846ED9">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3</w:t>
            </w:r>
          </w:p>
        </w:tc>
        <w:tc>
          <w:tcPr>
            <w:tcW w:w="773" w:type="dxa"/>
            <w:vAlign w:val="center"/>
          </w:tcPr>
          <w:p w14:paraId="159D404B">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商务</w:t>
            </w:r>
          </w:p>
        </w:tc>
        <w:tc>
          <w:tcPr>
            <w:tcW w:w="1665" w:type="dxa"/>
            <w:vAlign w:val="center"/>
          </w:tcPr>
          <w:p w14:paraId="4CB83F55">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企业业绩</w:t>
            </w:r>
          </w:p>
        </w:tc>
        <w:tc>
          <w:tcPr>
            <w:tcW w:w="4689" w:type="dxa"/>
            <w:vAlign w:val="center"/>
          </w:tcPr>
          <w:p w14:paraId="536281A9">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报价供应商近</w:t>
            </w:r>
            <w:r>
              <w:rPr>
                <w:rFonts w:ascii="仿宋_GB2312" w:hAnsi="宋体" w:eastAsia="仿宋_GB2312"/>
                <w:color w:val="000000" w:themeColor="text1"/>
                <w:sz w:val="24"/>
                <w:szCs w:val="24"/>
                <w14:textFill>
                  <w14:solidFill>
                    <w14:schemeClr w14:val="tx1"/>
                  </w14:solidFill>
                </w14:textFill>
              </w:rPr>
              <w:t>3年（指从开标日向前推算，精确到日，以此类推，以合同签订时间为准）完成的类似工程业绩，每有1项得1分，最高得</w:t>
            </w:r>
            <w:r>
              <w:rPr>
                <w:rFonts w:hint="eastAsia" w:ascii="仿宋_GB2312" w:hAnsi="宋体" w:eastAsia="仿宋_GB2312"/>
                <w:color w:val="000000" w:themeColor="text1"/>
                <w:sz w:val="24"/>
                <w:szCs w:val="24"/>
                <w:lang w:val="en-US" w:eastAsia="zh-CN"/>
                <w14:textFill>
                  <w14:solidFill>
                    <w14:schemeClr w14:val="tx1"/>
                  </w14:solidFill>
                </w14:textFill>
              </w:rPr>
              <w:t>3</w:t>
            </w:r>
            <w:r>
              <w:rPr>
                <w:rFonts w:ascii="仿宋_GB2312" w:hAnsi="宋体" w:eastAsia="仿宋_GB2312"/>
                <w:color w:val="000000" w:themeColor="text1"/>
                <w:sz w:val="24"/>
                <w:szCs w:val="24"/>
                <w14:textFill>
                  <w14:solidFill>
                    <w14:schemeClr w14:val="tx1"/>
                  </w14:solidFill>
                </w14:textFill>
              </w:rPr>
              <w:t>分。</w:t>
            </w:r>
          </w:p>
          <w:p w14:paraId="05150BD0">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类似工程业绩是指：配电改造工程相关业绩。</w:t>
            </w:r>
          </w:p>
          <w:p w14:paraId="1372CEC2">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【响应文件附合同扫描件，否则不得分】</w:t>
            </w:r>
          </w:p>
        </w:tc>
        <w:tc>
          <w:tcPr>
            <w:tcW w:w="1026" w:type="dxa"/>
            <w:vAlign w:val="center"/>
          </w:tcPr>
          <w:p w14:paraId="367291B0">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客观分</w:t>
            </w:r>
          </w:p>
        </w:tc>
        <w:tc>
          <w:tcPr>
            <w:tcW w:w="773" w:type="dxa"/>
            <w:vAlign w:val="center"/>
          </w:tcPr>
          <w:p w14:paraId="644BE307">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3</w:t>
            </w:r>
          </w:p>
        </w:tc>
      </w:tr>
      <w:tr w14:paraId="0CB41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685FB97">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4</w:t>
            </w:r>
          </w:p>
        </w:tc>
        <w:tc>
          <w:tcPr>
            <w:tcW w:w="773" w:type="dxa"/>
            <w:vAlign w:val="center"/>
          </w:tcPr>
          <w:p w14:paraId="7D118B58">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251BB7B7">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施工总平面图布置设计合理</w:t>
            </w:r>
          </w:p>
        </w:tc>
        <w:tc>
          <w:tcPr>
            <w:tcW w:w="4689" w:type="dxa"/>
            <w:vAlign w:val="center"/>
          </w:tcPr>
          <w:p w14:paraId="3363ADFD">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对工程整体有深刻认识，表述清晰完整，施工段划分、临时设施、临时道路、施工总平面图布置设计合理。</w:t>
            </w:r>
          </w:p>
          <w:p w14:paraId="121699D5">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评委根据报价供应商施工组织设计编制情况以</w:t>
            </w:r>
            <w:r>
              <w:rPr>
                <w:rFonts w:ascii="仿宋_GB2312" w:hAnsi="宋体" w:eastAsia="仿宋_GB2312"/>
                <w:color w:val="000000" w:themeColor="text1"/>
                <w:sz w:val="24"/>
                <w:szCs w:val="24"/>
                <w14:textFill>
                  <w14:solidFill>
                    <w14:schemeClr w14:val="tx1"/>
                  </w14:solidFill>
                </w14:textFill>
              </w:rPr>
              <w:t>0.1分为单位在0-</w:t>
            </w:r>
            <w:r>
              <w:rPr>
                <w:rFonts w:hint="eastAsia" w:ascii="仿宋_GB2312" w:hAnsi="宋体" w:eastAsia="仿宋_GB2312"/>
                <w:color w:val="000000" w:themeColor="text1"/>
                <w:sz w:val="24"/>
                <w:szCs w:val="24"/>
                <w:lang w:val="en-US" w:eastAsia="zh-CN"/>
                <w14:textFill>
                  <w14:solidFill>
                    <w14:schemeClr w14:val="tx1"/>
                  </w14:solidFill>
                </w14:textFill>
              </w:rPr>
              <w:t>4</w:t>
            </w:r>
            <w:r>
              <w:rPr>
                <w:rFonts w:ascii="仿宋_GB2312" w:hAnsi="宋体" w:eastAsia="仿宋_GB2312"/>
                <w:color w:val="000000" w:themeColor="text1"/>
                <w:sz w:val="24"/>
                <w:szCs w:val="24"/>
                <w14:textFill>
                  <w14:solidFill>
                    <w14:schemeClr w14:val="tx1"/>
                  </w14:solidFill>
                </w14:textFill>
              </w:rPr>
              <w:t>.0分之间进行打分。</w:t>
            </w:r>
          </w:p>
        </w:tc>
        <w:tc>
          <w:tcPr>
            <w:tcW w:w="1026" w:type="dxa"/>
            <w:vAlign w:val="center"/>
          </w:tcPr>
          <w:p w14:paraId="08182878">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21D53DE4">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4</w:t>
            </w:r>
          </w:p>
        </w:tc>
      </w:tr>
      <w:tr w14:paraId="0C5FC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35AB80E">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5</w:t>
            </w:r>
          </w:p>
        </w:tc>
        <w:tc>
          <w:tcPr>
            <w:tcW w:w="773" w:type="dxa"/>
            <w:vAlign w:val="center"/>
          </w:tcPr>
          <w:p w14:paraId="7A53E166">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7EFB110B">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施工方案和技术措施合理，对关键工序有针对性等</w:t>
            </w:r>
          </w:p>
        </w:tc>
        <w:tc>
          <w:tcPr>
            <w:tcW w:w="4689" w:type="dxa"/>
            <w:vAlign w:val="center"/>
          </w:tcPr>
          <w:p w14:paraId="00C9D11B">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施工方案和技术措施合理，对关键工序和关键部位施工具有针对性，措施得力、经济、安全、可行。</w:t>
            </w:r>
          </w:p>
          <w:p w14:paraId="5967A0E5">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评委根据报价供应商施工组织设计编制情况以</w:t>
            </w:r>
            <w:r>
              <w:rPr>
                <w:rFonts w:ascii="仿宋_GB2312" w:hAnsi="宋体" w:eastAsia="仿宋_GB2312"/>
                <w:color w:val="000000" w:themeColor="text1"/>
                <w:sz w:val="24"/>
                <w:szCs w:val="24"/>
                <w14:textFill>
                  <w14:solidFill>
                    <w14:schemeClr w14:val="tx1"/>
                  </w14:solidFill>
                </w14:textFill>
              </w:rPr>
              <w:t>0.1分为单位在0-</w:t>
            </w:r>
            <w:r>
              <w:rPr>
                <w:rFonts w:hint="eastAsia" w:ascii="仿宋_GB2312" w:hAnsi="宋体" w:eastAsia="仿宋_GB2312"/>
                <w:color w:val="000000" w:themeColor="text1"/>
                <w:sz w:val="24"/>
                <w:szCs w:val="24"/>
                <w:lang w:val="en-US" w:eastAsia="zh-CN"/>
                <w14:textFill>
                  <w14:solidFill>
                    <w14:schemeClr w14:val="tx1"/>
                  </w14:solidFill>
                </w14:textFill>
              </w:rPr>
              <w:t>4</w:t>
            </w:r>
            <w:r>
              <w:rPr>
                <w:rFonts w:ascii="仿宋_GB2312" w:hAnsi="宋体" w:eastAsia="仿宋_GB2312"/>
                <w:color w:val="000000" w:themeColor="text1"/>
                <w:sz w:val="24"/>
                <w:szCs w:val="24"/>
                <w14:textFill>
                  <w14:solidFill>
                    <w14:schemeClr w14:val="tx1"/>
                  </w14:solidFill>
                </w14:textFill>
              </w:rPr>
              <w:t>.0分之间进行打分。</w:t>
            </w:r>
          </w:p>
        </w:tc>
        <w:tc>
          <w:tcPr>
            <w:tcW w:w="1026" w:type="dxa"/>
            <w:vAlign w:val="center"/>
          </w:tcPr>
          <w:p w14:paraId="779451D9">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1014E347">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4</w:t>
            </w:r>
          </w:p>
        </w:tc>
      </w:tr>
      <w:tr w14:paraId="7EC64D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2847E38">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6</w:t>
            </w:r>
          </w:p>
        </w:tc>
        <w:tc>
          <w:tcPr>
            <w:tcW w:w="773" w:type="dxa"/>
            <w:vAlign w:val="center"/>
          </w:tcPr>
          <w:p w14:paraId="3FEB199D">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39426BC2">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针对本工程的通病治理措施</w:t>
            </w:r>
          </w:p>
        </w:tc>
        <w:tc>
          <w:tcPr>
            <w:tcW w:w="4689" w:type="dxa"/>
            <w:vAlign w:val="center"/>
          </w:tcPr>
          <w:p w14:paraId="442CD582">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有完整的质量保证措施，先进可行，有针对本工程的通病治理措施。</w:t>
            </w:r>
          </w:p>
          <w:p w14:paraId="0707A283">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评委根据报价供应商施工组织设计编制情况以</w:t>
            </w:r>
            <w:r>
              <w:rPr>
                <w:rFonts w:ascii="仿宋_GB2312" w:hAnsi="宋体" w:eastAsia="仿宋_GB2312"/>
                <w:color w:val="000000" w:themeColor="text1"/>
                <w:sz w:val="24"/>
                <w:szCs w:val="24"/>
                <w14:textFill>
                  <w14:solidFill>
                    <w14:schemeClr w14:val="tx1"/>
                  </w14:solidFill>
                </w14:textFill>
              </w:rPr>
              <w:t>0.1分为单位在0-</w:t>
            </w:r>
            <w:r>
              <w:rPr>
                <w:rFonts w:hint="eastAsia" w:ascii="仿宋_GB2312" w:hAnsi="宋体" w:eastAsia="仿宋_GB2312"/>
                <w:color w:val="000000" w:themeColor="text1"/>
                <w:sz w:val="24"/>
                <w:szCs w:val="24"/>
                <w:lang w:val="en-US" w:eastAsia="zh-CN"/>
                <w14:textFill>
                  <w14:solidFill>
                    <w14:schemeClr w14:val="tx1"/>
                  </w14:solidFill>
                </w14:textFill>
              </w:rPr>
              <w:t>4</w:t>
            </w:r>
            <w:r>
              <w:rPr>
                <w:rFonts w:ascii="仿宋_GB2312" w:hAnsi="宋体" w:eastAsia="仿宋_GB2312"/>
                <w:color w:val="000000" w:themeColor="text1"/>
                <w:sz w:val="24"/>
                <w:szCs w:val="24"/>
                <w14:textFill>
                  <w14:solidFill>
                    <w14:schemeClr w14:val="tx1"/>
                  </w14:solidFill>
                </w14:textFill>
              </w:rPr>
              <w:t>.0分之间进行打分。</w:t>
            </w:r>
          </w:p>
        </w:tc>
        <w:tc>
          <w:tcPr>
            <w:tcW w:w="1026" w:type="dxa"/>
            <w:vAlign w:val="center"/>
          </w:tcPr>
          <w:p w14:paraId="4AF23D9A">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4A3217C2">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4</w:t>
            </w:r>
          </w:p>
        </w:tc>
      </w:tr>
      <w:tr w14:paraId="40D0AF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8853646">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7</w:t>
            </w:r>
          </w:p>
        </w:tc>
        <w:tc>
          <w:tcPr>
            <w:tcW w:w="773" w:type="dxa"/>
            <w:vAlign w:val="center"/>
          </w:tcPr>
          <w:p w14:paraId="497FC850">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46347755">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安全文明措施和应急救援预案</w:t>
            </w:r>
          </w:p>
        </w:tc>
        <w:tc>
          <w:tcPr>
            <w:tcW w:w="4689" w:type="dxa"/>
            <w:vAlign w:val="center"/>
          </w:tcPr>
          <w:p w14:paraId="65D2E2A6">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针对项目实际情况有完整的安全文明措施和应急救援预案，且措施齐全，预案可行。</w:t>
            </w:r>
          </w:p>
          <w:p w14:paraId="664DF449">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评委根据报价供应商施工组织设计编制情况以</w:t>
            </w:r>
            <w:r>
              <w:rPr>
                <w:rFonts w:ascii="仿宋_GB2312" w:hAnsi="宋体" w:eastAsia="仿宋_GB2312"/>
                <w:color w:val="000000" w:themeColor="text1"/>
                <w:sz w:val="24"/>
                <w:szCs w:val="24"/>
                <w14:textFill>
                  <w14:solidFill>
                    <w14:schemeClr w14:val="tx1"/>
                  </w14:solidFill>
                </w14:textFill>
              </w:rPr>
              <w:t>0.1分为单位在0-</w:t>
            </w:r>
            <w:r>
              <w:rPr>
                <w:rFonts w:hint="eastAsia" w:ascii="仿宋_GB2312" w:hAnsi="宋体" w:eastAsia="仿宋_GB2312"/>
                <w:color w:val="000000" w:themeColor="text1"/>
                <w:sz w:val="24"/>
                <w:szCs w:val="24"/>
                <w:lang w:val="en-US" w:eastAsia="zh-CN"/>
                <w14:textFill>
                  <w14:solidFill>
                    <w14:schemeClr w14:val="tx1"/>
                  </w14:solidFill>
                </w14:textFill>
              </w:rPr>
              <w:t>4</w:t>
            </w:r>
            <w:r>
              <w:rPr>
                <w:rFonts w:ascii="仿宋_GB2312" w:hAnsi="宋体" w:eastAsia="仿宋_GB2312"/>
                <w:color w:val="000000" w:themeColor="text1"/>
                <w:sz w:val="24"/>
                <w:szCs w:val="24"/>
                <w14:textFill>
                  <w14:solidFill>
                    <w14:schemeClr w14:val="tx1"/>
                  </w14:solidFill>
                </w14:textFill>
              </w:rPr>
              <w:t>.0分之间进行打分。</w:t>
            </w:r>
          </w:p>
        </w:tc>
        <w:tc>
          <w:tcPr>
            <w:tcW w:w="1026" w:type="dxa"/>
            <w:vAlign w:val="center"/>
          </w:tcPr>
          <w:p w14:paraId="57A189A2">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6B29E204">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4</w:t>
            </w:r>
          </w:p>
        </w:tc>
      </w:tr>
      <w:tr w14:paraId="157A5F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0E24D48">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8</w:t>
            </w:r>
          </w:p>
        </w:tc>
        <w:tc>
          <w:tcPr>
            <w:tcW w:w="773" w:type="dxa"/>
            <w:vAlign w:val="center"/>
          </w:tcPr>
          <w:p w14:paraId="24BB85FF">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49103C03">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环境、地下管网、地上设施保护，冬季、雨季施工方案</w:t>
            </w:r>
          </w:p>
        </w:tc>
        <w:tc>
          <w:tcPr>
            <w:tcW w:w="4689" w:type="dxa"/>
            <w:vAlign w:val="center"/>
          </w:tcPr>
          <w:p w14:paraId="06275656">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环境保护措施安全得力，减少噪音、降低环境污染、扬尘治理措施、地下管线及其他地上地下设施的保护加固措施等，冬季、雨季施工方案。</w:t>
            </w:r>
          </w:p>
          <w:p w14:paraId="2E27CD9A">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评委根据报价供应商施工组织设计编制情况以</w:t>
            </w:r>
            <w:r>
              <w:rPr>
                <w:rFonts w:ascii="仿宋_GB2312" w:hAnsi="宋体" w:eastAsia="仿宋_GB2312"/>
                <w:color w:val="000000" w:themeColor="text1"/>
                <w:sz w:val="24"/>
                <w:szCs w:val="24"/>
                <w14:textFill>
                  <w14:solidFill>
                    <w14:schemeClr w14:val="tx1"/>
                  </w14:solidFill>
                </w14:textFill>
              </w:rPr>
              <w:t>0.1分为单位在0-</w:t>
            </w:r>
            <w:r>
              <w:rPr>
                <w:rFonts w:hint="eastAsia" w:ascii="仿宋_GB2312" w:hAnsi="宋体" w:eastAsia="仿宋_GB2312"/>
                <w:color w:val="000000" w:themeColor="text1"/>
                <w:sz w:val="24"/>
                <w:szCs w:val="24"/>
                <w:lang w:val="en-US" w:eastAsia="zh-CN"/>
                <w14:textFill>
                  <w14:solidFill>
                    <w14:schemeClr w14:val="tx1"/>
                  </w14:solidFill>
                </w14:textFill>
              </w:rPr>
              <w:t>4</w:t>
            </w:r>
            <w:r>
              <w:rPr>
                <w:rFonts w:ascii="仿宋_GB2312" w:hAnsi="宋体" w:eastAsia="仿宋_GB2312"/>
                <w:color w:val="000000" w:themeColor="text1"/>
                <w:sz w:val="24"/>
                <w:szCs w:val="24"/>
                <w14:textFill>
                  <w14:solidFill>
                    <w14:schemeClr w14:val="tx1"/>
                  </w14:solidFill>
                </w14:textFill>
              </w:rPr>
              <w:t>.0分之间进行打分。</w:t>
            </w:r>
          </w:p>
        </w:tc>
        <w:tc>
          <w:tcPr>
            <w:tcW w:w="1026" w:type="dxa"/>
            <w:vAlign w:val="center"/>
          </w:tcPr>
          <w:p w14:paraId="480754CD">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5C4D1DBA">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4</w:t>
            </w:r>
          </w:p>
        </w:tc>
      </w:tr>
      <w:tr w14:paraId="7566BC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2BF14DD">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9</w:t>
            </w:r>
          </w:p>
        </w:tc>
        <w:tc>
          <w:tcPr>
            <w:tcW w:w="773" w:type="dxa"/>
            <w:vAlign w:val="center"/>
          </w:tcPr>
          <w:p w14:paraId="47902F3D">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0170FF8C">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资源配备计划</w:t>
            </w:r>
          </w:p>
        </w:tc>
        <w:tc>
          <w:tcPr>
            <w:tcW w:w="4689" w:type="dxa"/>
            <w:vAlign w:val="center"/>
          </w:tcPr>
          <w:p w14:paraId="4211855A">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资源配备计划。投入的劳动力、机械设备等计划合理，与进度计划呼应，满足施工需求。</w:t>
            </w:r>
          </w:p>
          <w:p w14:paraId="35359CD2">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评委根据报价供应商施工组织设计编制情况以</w:t>
            </w:r>
            <w:r>
              <w:rPr>
                <w:rFonts w:ascii="仿宋_GB2312" w:hAnsi="宋体" w:eastAsia="仿宋_GB2312"/>
                <w:color w:val="000000" w:themeColor="text1"/>
                <w:sz w:val="24"/>
                <w:szCs w:val="24"/>
                <w14:textFill>
                  <w14:solidFill>
                    <w14:schemeClr w14:val="tx1"/>
                  </w14:solidFill>
                </w14:textFill>
              </w:rPr>
              <w:t>0.1分为单位在0-</w:t>
            </w:r>
            <w:r>
              <w:rPr>
                <w:rFonts w:hint="eastAsia" w:ascii="仿宋_GB2312" w:hAnsi="宋体" w:eastAsia="仿宋_GB2312"/>
                <w:color w:val="000000" w:themeColor="text1"/>
                <w:sz w:val="24"/>
                <w:szCs w:val="24"/>
                <w:lang w:val="en-US" w:eastAsia="zh-CN"/>
                <w14:textFill>
                  <w14:solidFill>
                    <w14:schemeClr w14:val="tx1"/>
                  </w14:solidFill>
                </w14:textFill>
              </w:rPr>
              <w:t>4</w:t>
            </w:r>
            <w:r>
              <w:rPr>
                <w:rFonts w:ascii="仿宋_GB2312" w:hAnsi="宋体" w:eastAsia="仿宋_GB2312"/>
                <w:color w:val="000000" w:themeColor="text1"/>
                <w:sz w:val="24"/>
                <w:szCs w:val="24"/>
                <w14:textFill>
                  <w14:solidFill>
                    <w14:schemeClr w14:val="tx1"/>
                  </w14:solidFill>
                </w14:textFill>
              </w:rPr>
              <w:t>.0分之间进行打分。</w:t>
            </w:r>
          </w:p>
        </w:tc>
        <w:tc>
          <w:tcPr>
            <w:tcW w:w="1026" w:type="dxa"/>
            <w:vAlign w:val="center"/>
          </w:tcPr>
          <w:p w14:paraId="64CDF6EF">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4C871613">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4</w:t>
            </w:r>
          </w:p>
        </w:tc>
      </w:tr>
      <w:tr w14:paraId="0169D0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151E6C9">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10</w:t>
            </w:r>
          </w:p>
        </w:tc>
        <w:tc>
          <w:tcPr>
            <w:tcW w:w="773" w:type="dxa"/>
            <w:vAlign w:val="center"/>
          </w:tcPr>
          <w:p w14:paraId="3E0F4B37">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6BC55E89">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项目管理机构人员配备齐全合理</w:t>
            </w:r>
          </w:p>
        </w:tc>
        <w:tc>
          <w:tcPr>
            <w:tcW w:w="4689" w:type="dxa"/>
            <w:vAlign w:val="center"/>
          </w:tcPr>
          <w:p w14:paraId="0DC8A61C">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项目管理机构人员配备齐全合理。</w:t>
            </w:r>
          </w:p>
          <w:p w14:paraId="659928DB">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评委根据报价供应商施工组织设计编制情况以</w:t>
            </w:r>
            <w:r>
              <w:rPr>
                <w:rFonts w:ascii="仿宋_GB2312" w:hAnsi="宋体" w:eastAsia="仿宋_GB2312"/>
                <w:color w:val="000000" w:themeColor="text1"/>
                <w:sz w:val="24"/>
                <w:szCs w:val="24"/>
                <w14:textFill>
                  <w14:solidFill>
                    <w14:schemeClr w14:val="tx1"/>
                  </w14:solidFill>
                </w14:textFill>
              </w:rPr>
              <w:t>0.1分为单位在0-</w:t>
            </w:r>
            <w:r>
              <w:rPr>
                <w:rFonts w:hint="eastAsia" w:ascii="仿宋_GB2312" w:hAnsi="宋体" w:eastAsia="仿宋_GB2312"/>
                <w:color w:val="000000" w:themeColor="text1"/>
                <w:sz w:val="24"/>
                <w:szCs w:val="24"/>
                <w:lang w:val="en-US" w:eastAsia="zh-CN"/>
                <w14:textFill>
                  <w14:solidFill>
                    <w14:schemeClr w14:val="tx1"/>
                  </w14:solidFill>
                </w14:textFill>
              </w:rPr>
              <w:t>4</w:t>
            </w:r>
            <w:bookmarkStart w:id="0" w:name="_GoBack"/>
            <w:bookmarkEnd w:id="0"/>
            <w:r>
              <w:rPr>
                <w:rFonts w:ascii="仿宋_GB2312" w:hAnsi="宋体" w:eastAsia="仿宋_GB2312"/>
                <w:color w:val="000000" w:themeColor="text1"/>
                <w:sz w:val="24"/>
                <w:szCs w:val="24"/>
                <w14:textFill>
                  <w14:solidFill>
                    <w14:schemeClr w14:val="tx1"/>
                  </w14:solidFill>
                </w14:textFill>
              </w:rPr>
              <w:t>.0分之间进行打分。</w:t>
            </w:r>
          </w:p>
        </w:tc>
        <w:tc>
          <w:tcPr>
            <w:tcW w:w="1026" w:type="dxa"/>
            <w:vAlign w:val="center"/>
          </w:tcPr>
          <w:p w14:paraId="3FC14B9A">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757E17F4">
            <w:pPr>
              <w:pStyle w:val="12"/>
              <w:ind w:firstLine="0"/>
              <w:jc w:val="center"/>
              <w:rPr>
                <w:rFonts w:hint="eastAsia" w:ascii="仿宋_GB2312" w:hAnsi="宋体" w:eastAsia="仿宋_GB2312"/>
                <w:color w:val="000000" w:themeColor="text1"/>
                <w:sz w:val="24"/>
                <w:szCs w:val="24"/>
                <w:lang w:eastAsia="zh-CN"/>
                <w14:textFill>
                  <w14:solidFill>
                    <w14:schemeClr w14:val="tx1"/>
                  </w14:solidFill>
                </w14:textFill>
              </w:rPr>
            </w:pPr>
            <w:r>
              <w:rPr>
                <w:rFonts w:hint="eastAsia" w:ascii="仿宋_GB2312" w:hAnsi="宋体" w:eastAsia="仿宋_GB2312"/>
                <w:color w:val="000000" w:themeColor="text1"/>
                <w:sz w:val="24"/>
                <w:szCs w:val="24"/>
                <w:lang w:val="en-US" w:eastAsia="zh-CN"/>
                <w14:textFill>
                  <w14:solidFill>
                    <w14:schemeClr w14:val="tx1"/>
                  </w14:solidFill>
                </w14:textFill>
              </w:rPr>
              <w:t>4</w:t>
            </w:r>
          </w:p>
        </w:tc>
      </w:tr>
      <w:tr w14:paraId="7151F5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3761E16">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11</w:t>
            </w:r>
          </w:p>
        </w:tc>
        <w:tc>
          <w:tcPr>
            <w:tcW w:w="773" w:type="dxa"/>
            <w:vAlign w:val="center"/>
          </w:tcPr>
          <w:p w14:paraId="756D0B28">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7351E8AD">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施工进度计划和进度措施</w:t>
            </w:r>
          </w:p>
        </w:tc>
        <w:tc>
          <w:tcPr>
            <w:tcW w:w="4689" w:type="dxa"/>
            <w:vAlign w:val="center"/>
          </w:tcPr>
          <w:p w14:paraId="28582B76">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施工进度计划和进度措施（包括以横道图或标明关键线路的网络进度计划、</w:t>
            </w:r>
          </w:p>
          <w:p w14:paraId="59881606">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保障进度计划需要的主要施工机械设备、劳动力需求计划及保证措施、材料设备进场</w:t>
            </w:r>
          </w:p>
          <w:p w14:paraId="54C1BAF2">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计划及其他保证措施等）。</w:t>
            </w:r>
          </w:p>
          <w:p w14:paraId="272DBCCB">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评委根据报价供应商施工组织设计编制情况以</w:t>
            </w:r>
            <w:r>
              <w:rPr>
                <w:rFonts w:ascii="仿宋_GB2312" w:hAnsi="宋体" w:eastAsia="仿宋_GB2312"/>
                <w:color w:val="000000" w:themeColor="text1"/>
                <w:sz w:val="24"/>
                <w:szCs w:val="24"/>
                <w14:textFill>
                  <w14:solidFill>
                    <w14:schemeClr w14:val="tx1"/>
                  </w14:solidFill>
                </w14:textFill>
              </w:rPr>
              <w:t>0.1分为单位在0-3.0分之间进行打分。</w:t>
            </w:r>
          </w:p>
        </w:tc>
        <w:tc>
          <w:tcPr>
            <w:tcW w:w="1026" w:type="dxa"/>
            <w:vAlign w:val="center"/>
          </w:tcPr>
          <w:p w14:paraId="20B07A49">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2D500163">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3</w:t>
            </w:r>
          </w:p>
        </w:tc>
      </w:tr>
      <w:tr w14:paraId="2E6A45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049D478">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12</w:t>
            </w:r>
          </w:p>
        </w:tc>
        <w:tc>
          <w:tcPr>
            <w:tcW w:w="773" w:type="dxa"/>
            <w:vAlign w:val="center"/>
          </w:tcPr>
          <w:p w14:paraId="5B68E07A">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61787CEA">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绿色建筑、新技术、新产品、新工艺、新材料应用</w:t>
            </w:r>
          </w:p>
        </w:tc>
        <w:tc>
          <w:tcPr>
            <w:tcW w:w="4689" w:type="dxa"/>
            <w:vAlign w:val="center"/>
          </w:tcPr>
          <w:p w14:paraId="665CF99E">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绿色建筑、新技术、新产品、新工艺、新材料应用。</w:t>
            </w:r>
          </w:p>
          <w:p w14:paraId="17E10FB9">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评委根据报价供应商施工组织设计编制情况以</w:t>
            </w:r>
            <w:r>
              <w:rPr>
                <w:rFonts w:ascii="仿宋_GB2312" w:hAnsi="宋体" w:eastAsia="仿宋_GB2312"/>
                <w:color w:val="000000" w:themeColor="text1"/>
                <w:sz w:val="24"/>
                <w:szCs w:val="24"/>
                <w14:textFill>
                  <w14:solidFill>
                    <w14:schemeClr w14:val="tx1"/>
                  </w14:solidFill>
                </w14:textFill>
              </w:rPr>
              <w:t>0.1分为单位在0-3.0分之间进行打分。</w:t>
            </w:r>
          </w:p>
        </w:tc>
        <w:tc>
          <w:tcPr>
            <w:tcW w:w="1026" w:type="dxa"/>
            <w:vAlign w:val="center"/>
          </w:tcPr>
          <w:p w14:paraId="3024E035">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11BA2D58">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3</w:t>
            </w:r>
          </w:p>
        </w:tc>
      </w:tr>
      <w:tr w14:paraId="176595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DF98370">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13</w:t>
            </w:r>
          </w:p>
        </w:tc>
        <w:tc>
          <w:tcPr>
            <w:tcW w:w="773" w:type="dxa"/>
            <w:vAlign w:val="center"/>
          </w:tcPr>
          <w:p w14:paraId="28343927">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技术</w:t>
            </w:r>
          </w:p>
        </w:tc>
        <w:tc>
          <w:tcPr>
            <w:tcW w:w="1665" w:type="dxa"/>
            <w:vAlign w:val="center"/>
          </w:tcPr>
          <w:p w14:paraId="7681625C">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成品保护、工程保修制度</w:t>
            </w:r>
          </w:p>
        </w:tc>
        <w:tc>
          <w:tcPr>
            <w:tcW w:w="4689" w:type="dxa"/>
            <w:vAlign w:val="center"/>
          </w:tcPr>
          <w:p w14:paraId="5CA7516A">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成品保护、保修方案与工程保险制度措施、总承包单位与监理、设计的配合等。</w:t>
            </w:r>
          </w:p>
          <w:p w14:paraId="19EB423A">
            <w:pPr>
              <w:pStyle w:val="12"/>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评委根据报价供应商施工组织设计编制情况以</w:t>
            </w:r>
            <w:r>
              <w:rPr>
                <w:rFonts w:ascii="仿宋_GB2312" w:hAnsi="宋体" w:eastAsia="仿宋_GB2312"/>
                <w:color w:val="000000" w:themeColor="text1"/>
                <w:sz w:val="24"/>
                <w:szCs w:val="24"/>
                <w14:textFill>
                  <w14:solidFill>
                    <w14:schemeClr w14:val="tx1"/>
                  </w14:solidFill>
                </w14:textFill>
              </w:rPr>
              <w:t>0.1分为单位在0-3.0分之间进行打分。</w:t>
            </w:r>
          </w:p>
        </w:tc>
        <w:tc>
          <w:tcPr>
            <w:tcW w:w="1026" w:type="dxa"/>
            <w:vAlign w:val="center"/>
          </w:tcPr>
          <w:p w14:paraId="71586211">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主观分</w:t>
            </w:r>
          </w:p>
        </w:tc>
        <w:tc>
          <w:tcPr>
            <w:tcW w:w="773" w:type="dxa"/>
            <w:vAlign w:val="center"/>
          </w:tcPr>
          <w:p w14:paraId="66B70C73">
            <w:pPr>
              <w:pStyle w:val="12"/>
              <w:ind w:firstLine="0"/>
              <w:jc w:val="center"/>
              <w:rPr>
                <w:rFonts w:ascii="仿宋_GB2312" w:hAnsi="宋体" w:eastAsia="仿宋_GB2312"/>
                <w:color w:val="000000" w:themeColor="text1"/>
                <w:sz w:val="24"/>
                <w:szCs w:val="24"/>
                <w14:textFill>
                  <w14:solidFill>
                    <w14:schemeClr w14:val="tx1"/>
                  </w14:solidFill>
                </w14:textFill>
              </w:rPr>
            </w:pPr>
            <w:r>
              <w:rPr>
                <w:rFonts w:ascii="仿宋_GB2312" w:hAnsi="宋体" w:eastAsia="仿宋_GB2312"/>
                <w:color w:val="000000" w:themeColor="text1"/>
                <w:sz w:val="24"/>
                <w:szCs w:val="24"/>
                <w14:textFill>
                  <w14:solidFill>
                    <w14:schemeClr w14:val="tx1"/>
                  </w14:solidFill>
                </w14:textFill>
              </w:rPr>
              <w:t>3</w:t>
            </w:r>
          </w:p>
        </w:tc>
      </w:tr>
    </w:tbl>
    <w:p w14:paraId="2F2E0DBD">
      <w:pPr>
        <w:widowControl/>
        <w:spacing w:line="360" w:lineRule="auto"/>
        <w:rPr>
          <w:rFonts w:ascii="宋体" w:hAnsi="宋体"/>
          <w:color w:val="000000" w:themeColor="text1"/>
          <w:sz w:val="24"/>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14D1C73B">
      <w:pPr>
        <w:pStyle w:val="26"/>
        <w:spacing w:before="100" w:beforeAutospacing="1" w:after="100" w:afterAutospacing="1" w:line="415" w:lineRule="auto"/>
        <w:rPr>
          <w:rFonts w:ascii="宋体" w:hAnsi="宋体" w:cs="宋体"/>
          <w:color w:val="000000" w:themeColor="text1"/>
          <w:sz w:val="44"/>
          <w:szCs w:val="44"/>
          <w14:textFill>
            <w14:solidFill>
              <w14:schemeClr w14:val="tx1"/>
            </w14:solidFill>
          </w14:textFill>
        </w:rPr>
      </w:pPr>
      <w:r>
        <w:rPr>
          <w:rFonts w:hint="eastAsia" w:ascii="宋体" w:hAnsi="宋体" w:cs="宋体"/>
          <w:color w:val="000000" w:themeColor="text1"/>
          <w:sz w:val="44"/>
          <w:szCs w:val="44"/>
          <w14:textFill>
            <w14:solidFill>
              <w14:schemeClr w14:val="tx1"/>
            </w14:solidFill>
          </w14:textFill>
        </w:rPr>
        <w:t>第五章 投标（响应）件格式</w:t>
      </w:r>
    </w:p>
    <w:p w14:paraId="4ED4E56B">
      <w:pPr>
        <w:rPr>
          <w:color w:val="000000" w:themeColor="text1"/>
          <w14:textFill>
            <w14:solidFill>
              <w14:schemeClr w14:val="tx1"/>
            </w14:solidFill>
          </w14:textFill>
        </w:rPr>
      </w:pPr>
    </w:p>
    <w:p w14:paraId="5872228B">
      <w:pPr>
        <w:rPr>
          <w:rFonts w:hint="eastAsia"/>
          <w:color w:val="000000" w:themeColor="text1"/>
          <w14:textFill>
            <w14:solidFill>
              <w14:schemeClr w14:val="tx1"/>
            </w14:solidFill>
          </w14:textFill>
        </w:rPr>
        <w:sectPr>
          <w:headerReference r:id="rId17" w:type="default"/>
          <w:footerReference r:id="rId18" w:type="default"/>
          <w:pgSz w:w="11906" w:h="16838"/>
          <w:pgMar w:top="1440" w:right="1077" w:bottom="1440" w:left="1077" w:header="851" w:footer="992" w:gutter="0"/>
          <w:cols w:space="720" w:num="1"/>
          <w:docGrid w:type="linesAndChars" w:linePitch="312" w:charSpace="0"/>
        </w:sectPr>
      </w:pPr>
    </w:p>
    <w:p w14:paraId="2DA4252F">
      <w:pPr>
        <w:rPr>
          <w:rFonts w:ascii="方正小标宋简体" w:hAnsi="仿宋" w:eastAsia="方正小标宋简体"/>
          <w:bCs/>
          <w:color w:val="000000" w:themeColor="text1"/>
          <w:sz w:val="84"/>
          <w14:textFill>
            <w14:solidFill>
              <w14:schemeClr w14:val="tx1"/>
            </w14:solidFill>
          </w14:textFill>
        </w:rPr>
      </w:pPr>
    </w:p>
    <w:p w14:paraId="0D334B21">
      <w:pPr>
        <w:jc w:val="center"/>
        <w:rPr>
          <w:rFonts w:ascii="方正小标宋简体" w:hAnsi="仿宋" w:eastAsia="方正小标宋简体"/>
          <w:bCs/>
          <w:color w:val="000000" w:themeColor="text1"/>
          <w:sz w:val="84"/>
          <w14:textFill>
            <w14:solidFill>
              <w14:schemeClr w14:val="tx1"/>
            </w14:solidFill>
          </w14:textFill>
        </w:rPr>
      </w:pPr>
      <w:r>
        <w:rPr>
          <w:rFonts w:hint="eastAsia" w:ascii="方正小标宋简体" w:hAnsi="仿宋" w:eastAsia="方正小标宋简体"/>
          <w:bCs/>
          <w:color w:val="000000" w:themeColor="text1"/>
          <w:sz w:val="84"/>
          <w14:textFill>
            <w14:solidFill>
              <w14:schemeClr w14:val="tx1"/>
            </w14:solidFill>
          </w14:textFill>
        </w:rPr>
        <w:t>响 应 文 件</w:t>
      </w:r>
    </w:p>
    <w:p w14:paraId="03D5D64E">
      <w:pPr>
        <w:jc w:val="center"/>
        <w:rPr>
          <w:rFonts w:ascii="仿宋" w:hAnsi="仿宋" w:eastAsia="仿宋"/>
          <w:color w:val="000000" w:themeColor="text1"/>
          <w:sz w:val="72"/>
          <w14:textFill>
            <w14:solidFill>
              <w14:schemeClr w14:val="tx1"/>
            </w14:solidFill>
          </w14:textFill>
        </w:rPr>
      </w:pPr>
      <w:r>
        <w:rPr>
          <w:rFonts w:hint="eastAsia" w:ascii="仿宋" w:hAnsi="仿宋" w:eastAsia="仿宋" w:cs="Calibri"/>
          <w:color w:val="000000" w:themeColor="text1"/>
          <w:sz w:val="72"/>
          <w:szCs w:val="20"/>
          <w14:textFill>
            <w14:solidFill>
              <w14:schemeClr w14:val="tx1"/>
            </w14:solidFill>
          </w14:textFill>
        </w:rPr>
        <w:t>（第一册）</w:t>
      </w:r>
    </w:p>
    <w:p w14:paraId="3D8B3358">
      <w:pPr>
        <w:jc w:val="center"/>
        <w:rPr>
          <w:rFonts w:ascii="仿宋" w:hAnsi="仿宋" w:eastAsia="仿宋"/>
          <w:color w:val="000000" w:themeColor="text1"/>
          <w:sz w:val="72"/>
          <w14:textFill>
            <w14:solidFill>
              <w14:schemeClr w14:val="tx1"/>
            </w14:solidFill>
          </w14:textFill>
        </w:rPr>
      </w:pPr>
    </w:p>
    <w:p w14:paraId="203D9BF9">
      <w:pPr>
        <w:jc w:val="left"/>
        <w:rPr>
          <w:rFonts w:ascii="仿宋" w:hAnsi="仿宋" w:eastAsia="仿宋"/>
          <w:color w:val="000000" w:themeColor="text1"/>
          <w:sz w:val="36"/>
          <w:szCs w:val="36"/>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采购项目：</w:t>
      </w:r>
      <w:r>
        <w:rPr>
          <w:rFonts w:ascii="仿宋" w:hAnsi="仿宋" w:eastAsia="仿宋"/>
          <w:bCs/>
          <w:color w:val="000000" w:themeColor="text1"/>
          <w:kern w:val="0"/>
          <w:sz w:val="36"/>
          <w:szCs w:val="36"/>
          <w14:textFill>
            <w14:solidFill>
              <w14:schemeClr w14:val="tx1"/>
            </w14:solidFill>
          </w14:textFill>
        </w:rPr>
        <w:t>乳山市建设大厦10KV配电改造工程</w:t>
      </w:r>
    </w:p>
    <w:p w14:paraId="76957399">
      <w:pPr>
        <w:jc w:val="left"/>
        <w:rPr>
          <w:rFonts w:hint="eastAsia" w:ascii="仿宋" w:hAnsi="仿宋" w:eastAsia="仿宋"/>
          <w:b/>
          <w:color w:val="000000" w:themeColor="text1"/>
          <w:sz w:val="36"/>
          <w:lang w:eastAsia="zh-CN"/>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采购编号</w:t>
      </w:r>
      <w:r>
        <w:rPr>
          <w:rFonts w:hint="eastAsia" w:ascii="仿宋" w:hAnsi="仿宋" w:eastAsia="仿宋"/>
          <w:bCs/>
          <w:color w:val="000000" w:themeColor="text1"/>
          <w:sz w:val="36"/>
          <w:szCs w:val="36"/>
          <w14:textFill>
            <w14:solidFill>
              <w14:schemeClr w14:val="tx1"/>
            </w14:solidFill>
          </w14:textFill>
        </w:rPr>
        <w:t>：</w:t>
      </w:r>
      <w:r>
        <w:rPr>
          <w:rFonts w:hint="eastAsia" w:ascii="仿宋" w:hAnsi="仿宋" w:eastAsia="仿宋"/>
          <w:color w:val="000000" w:themeColor="text1"/>
          <w:sz w:val="36"/>
          <w:szCs w:val="36"/>
          <w:lang w:eastAsia="zh-CN"/>
          <w14:textFill>
            <w14:solidFill>
              <w14:schemeClr w14:val="tx1"/>
            </w14:solidFill>
          </w14:textFill>
        </w:rPr>
        <w:t>WHJX-ZB-2026-039</w:t>
      </w:r>
    </w:p>
    <w:p w14:paraId="5E80B41C">
      <w:pPr>
        <w:jc w:val="left"/>
        <w:rPr>
          <w:rFonts w:ascii="黑体" w:hAnsi="黑体" w:eastAsia="黑体"/>
          <w:bCs/>
          <w:color w:val="000000" w:themeColor="text1"/>
          <w:sz w:val="36"/>
          <w:szCs w:val="36"/>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所投包号：</w:t>
      </w:r>
      <w:r>
        <w:rPr>
          <w:rFonts w:ascii="黑体" w:hAnsi="黑体" w:eastAsia="黑体"/>
          <w:bCs/>
          <w:color w:val="000000" w:themeColor="text1"/>
          <w:sz w:val="36"/>
          <w:szCs w:val="36"/>
          <w14:textFill>
            <w14:solidFill>
              <w14:schemeClr w14:val="tx1"/>
            </w14:solidFill>
          </w14:textFill>
        </w:rPr>
        <w:t>A</w:t>
      </w:r>
    </w:p>
    <w:p w14:paraId="0A8A7602">
      <w:pPr>
        <w:jc w:val="left"/>
        <w:rPr>
          <w:rFonts w:ascii="仿宋" w:hAnsi="仿宋" w:eastAsia="仿宋"/>
          <w:color w:val="000000" w:themeColor="text1"/>
          <w:sz w:val="36"/>
          <w14:textFill>
            <w14:solidFill>
              <w14:schemeClr w14:val="tx1"/>
            </w14:solidFill>
          </w14:textFill>
        </w:rPr>
      </w:pPr>
    </w:p>
    <w:p w14:paraId="7CDDEA6A">
      <w:pPr>
        <w:tabs>
          <w:tab w:val="left" w:pos="580"/>
        </w:tabs>
        <w:ind w:left="185" w:leftChars="88" w:firstLine="1800" w:firstLineChars="500"/>
        <w:rPr>
          <w:rFonts w:ascii="仿宋" w:hAnsi="仿宋" w:eastAsia="仿宋"/>
          <w:color w:val="000000" w:themeColor="text1"/>
          <w:kern w:val="0"/>
          <w:sz w:val="36"/>
          <w:szCs w:val="21"/>
          <w14:textFill>
            <w14:solidFill>
              <w14:schemeClr w14:val="tx1"/>
            </w14:solidFill>
          </w14:textFill>
        </w:rPr>
      </w:pPr>
    </w:p>
    <w:p w14:paraId="6876CD7B">
      <w:pPr>
        <w:tabs>
          <w:tab w:val="left" w:pos="580"/>
        </w:tabs>
        <w:ind w:left="185" w:leftChars="88" w:firstLine="1800" w:firstLineChars="500"/>
        <w:rPr>
          <w:rFonts w:ascii="仿宋_GB2312" w:hAnsi="仿宋" w:eastAsia="仿宋_GB2312"/>
          <w:color w:val="000000" w:themeColor="text1"/>
          <w:kern w:val="0"/>
          <w:sz w:val="36"/>
          <w:szCs w:val="36"/>
          <w14:textFill>
            <w14:solidFill>
              <w14:schemeClr w14:val="tx1"/>
            </w14:solidFill>
          </w14:textFill>
        </w:rPr>
      </w:pPr>
    </w:p>
    <w:p w14:paraId="30B5D3F5">
      <w:pPr>
        <w:tabs>
          <w:tab w:val="left" w:pos="580"/>
        </w:tabs>
        <w:ind w:firstLine="1800" w:firstLineChars="500"/>
        <w:rPr>
          <w:rFonts w:ascii="仿宋_GB2312" w:hAnsi="仿宋" w:eastAsia="仿宋_GB2312"/>
          <w:color w:val="000000" w:themeColor="text1"/>
          <w:kern w:val="0"/>
          <w:sz w:val="36"/>
          <w:szCs w:val="36"/>
          <w14:textFill>
            <w14:solidFill>
              <w14:schemeClr w14:val="tx1"/>
            </w14:solidFill>
          </w14:textFill>
        </w:rPr>
      </w:pPr>
      <w:r>
        <w:rPr>
          <w:rFonts w:hint="eastAsia" w:ascii="仿宋_GB2312" w:hAnsi="仿宋" w:eastAsia="仿宋_GB2312"/>
          <w:color w:val="000000" w:themeColor="text1"/>
          <w:kern w:val="0"/>
          <w:sz w:val="36"/>
          <w:szCs w:val="36"/>
          <w14:textFill>
            <w14:solidFill>
              <w14:schemeClr w14:val="tx1"/>
            </w14:solidFill>
          </w14:textFill>
        </w:rPr>
        <w:t>供应商名称：***有限公司</w:t>
      </w:r>
    </w:p>
    <w:p w14:paraId="4A912389">
      <w:pPr>
        <w:tabs>
          <w:tab w:val="left" w:pos="580"/>
        </w:tabs>
        <w:ind w:firstLine="1800" w:firstLineChars="500"/>
        <w:rPr>
          <w:rFonts w:ascii="仿宋_GB2312" w:hAnsi="仿宋" w:eastAsia="仿宋_GB2312"/>
          <w:color w:val="000000" w:themeColor="text1"/>
          <w:kern w:val="0"/>
          <w:sz w:val="36"/>
          <w:szCs w:val="36"/>
          <w14:textFill>
            <w14:solidFill>
              <w14:schemeClr w14:val="tx1"/>
            </w14:solidFill>
          </w14:textFill>
        </w:rPr>
      </w:pPr>
      <w:r>
        <w:rPr>
          <w:rFonts w:hint="eastAsia" w:ascii="仿宋_GB2312" w:hAnsi="仿宋" w:eastAsia="仿宋_GB2312"/>
          <w:color w:val="000000" w:themeColor="text1"/>
          <w:kern w:val="0"/>
          <w:sz w:val="36"/>
          <w:szCs w:val="36"/>
          <w14:textFill>
            <w14:solidFill>
              <w14:schemeClr w14:val="tx1"/>
            </w14:solidFill>
          </w14:textFill>
        </w:rPr>
        <w:t>日      期：</w:t>
      </w:r>
      <w:r>
        <w:rPr>
          <w:rFonts w:ascii="仿宋_GB2312" w:hAnsi="仿宋" w:eastAsia="仿宋_GB2312"/>
          <w:color w:val="000000" w:themeColor="text1"/>
          <w:kern w:val="0"/>
          <w:sz w:val="36"/>
          <w:szCs w:val="36"/>
          <w14:textFill>
            <w14:solidFill>
              <w14:schemeClr w14:val="tx1"/>
            </w14:solidFill>
          </w14:textFill>
        </w:rPr>
        <w:t xml:space="preserve">   </w:t>
      </w:r>
      <w:r>
        <w:rPr>
          <w:rFonts w:hint="eastAsia" w:ascii="仿宋_GB2312" w:hAnsi="仿宋" w:eastAsia="仿宋_GB2312"/>
          <w:color w:val="000000" w:themeColor="text1"/>
          <w:kern w:val="0"/>
          <w:sz w:val="36"/>
          <w:szCs w:val="36"/>
          <w14:textFill>
            <w14:solidFill>
              <w14:schemeClr w14:val="tx1"/>
            </w14:solidFill>
          </w14:textFill>
        </w:rPr>
        <w:t>年  月  日</w:t>
      </w:r>
    </w:p>
    <w:p w14:paraId="3D0D2E30">
      <w:pPr>
        <w:widowControl/>
        <w:jc w:val="center"/>
        <w:rPr>
          <w:color w:val="000000" w:themeColor="text1"/>
          <w14:textFill>
            <w14:solidFill>
              <w14:schemeClr w14:val="tx1"/>
            </w14:solidFill>
          </w14:textFill>
        </w:rPr>
      </w:pPr>
      <w:r>
        <w:rPr>
          <w:rFonts w:ascii="仿宋_GB2312" w:hAnsi="仿宋" w:eastAsia="仿宋_GB2312"/>
          <w:color w:val="000000" w:themeColor="text1"/>
          <w:sz w:val="36"/>
          <w:szCs w:val="36"/>
          <w14:textFill>
            <w14:solidFill>
              <w14:schemeClr w14:val="tx1"/>
            </w14:solidFill>
          </w14:textFill>
        </w:rPr>
        <w:br w:type="page"/>
      </w:r>
      <w:r>
        <w:rPr>
          <w:rFonts w:ascii="黑体" w:hAnsi="黑体" w:eastAsia="黑体"/>
          <w:color w:val="000000" w:themeColor="text1"/>
          <w:sz w:val="44"/>
          <w:szCs w:val="44"/>
          <w14:textFill>
            <w14:solidFill>
              <w14:schemeClr w14:val="tx1"/>
            </w14:solidFill>
          </w14:textFill>
        </w:rPr>
        <w:t>目录</w:t>
      </w:r>
    </w:p>
    <w:p w14:paraId="3DB1C519">
      <w:pPr>
        <w:tabs>
          <w:tab w:val="right" w:leader="dot" w:pos="8296"/>
        </w:tabs>
        <w:jc w:val="cente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 w:val="32"/>
          <w:szCs w:val="21"/>
          <w14:textFill>
            <w14:solidFill>
              <w14:schemeClr w14:val="tx1"/>
            </w14:solidFill>
          </w14:textFill>
        </w:rPr>
        <w:t>（由供应商自行编制）</w:t>
      </w:r>
    </w:p>
    <w:p w14:paraId="67E32BDE">
      <w:pPr>
        <w:widowControl/>
        <w:jc w:val="right"/>
        <w:rPr>
          <w:rFonts w:ascii="仿宋_GB2312" w:hAnsi="宋体" w:eastAsia="仿宋_GB2312"/>
          <w:b/>
          <w:bCs/>
          <w:color w:val="000000" w:themeColor="text1"/>
          <w:sz w:val="30"/>
          <w:szCs w:val="30"/>
          <w14:textFill>
            <w14:solidFill>
              <w14:schemeClr w14:val="tx1"/>
            </w14:solidFill>
          </w14:textFill>
        </w:rPr>
      </w:pPr>
      <w:r>
        <w:rPr>
          <w:rFonts w:ascii="仿宋_GB2312" w:hAnsi="宋体" w:eastAsia="仿宋_GB2312"/>
          <w:b/>
          <w:bCs/>
          <w:color w:val="000000" w:themeColor="text1"/>
          <w:sz w:val="30"/>
          <w:szCs w:val="30"/>
          <w14:textFill>
            <w14:solidFill>
              <w14:schemeClr w14:val="tx1"/>
            </w14:solidFill>
          </w14:textFill>
        </w:rPr>
        <w:br w:type="page"/>
      </w:r>
    </w:p>
    <w:p w14:paraId="1116D10C">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hint="eastAsia" w:ascii="Arial" w:hAnsi="Arial" w:eastAsia="黑体"/>
          <w:bCs/>
          <w:color w:val="000000" w:themeColor="text1"/>
          <w:sz w:val="44"/>
          <w:szCs w:val="32"/>
          <w14:textFill>
            <w14:solidFill>
              <w14:schemeClr w14:val="tx1"/>
            </w14:solidFill>
          </w14:textFill>
        </w:rPr>
        <w:t>报价承诺函</w:t>
      </w:r>
    </w:p>
    <w:p w14:paraId="335E7454">
      <w:pPr>
        <w:spacing w:line="520" w:lineRule="exac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lang w:eastAsia="zh-CN"/>
          <w14:textFill>
            <w14:solidFill>
              <w14:schemeClr w14:val="tx1"/>
            </w14:solidFill>
          </w14:textFill>
        </w:rPr>
        <w:t>威海市嘉鑫工程检测鉴定有限公司</w:t>
      </w:r>
      <w:r>
        <w:rPr>
          <w:rFonts w:hint="eastAsia" w:ascii="仿宋_GB2312" w:hAnsi="仿宋" w:eastAsia="仿宋_GB2312"/>
          <w:color w:val="000000" w:themeColor="text1"/>
          <w:sz w:val="32"/>
          <w:szCs w:val="32"/>
          <w14:textFill>
            <w14:solidFill>
              <w14:schemeClr w14:val="tx1"/>
            </w14:solidFill>
          </w14:textFill>
        </w:rPr>
        <w:t>：</w:t>
      </w:r>
    </w:p>
    <w:p w14:paraId="49A1927B">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我方根据项目编号为</w:t>
      </w:r>
      <w:r>
        <w:rPr>
          <w:rFonts w:hint="eastAsia" w:ascii="仿宋_GB2312" w:hAnsi="仿宋" w:eastAsia="仿宋_GB2312"/>
          <w:color w:val="000000" w:themeColor="text1"/>
          <w:sz w:val="32"/>
          <w:szCs w:val="32"/>
          <w:lang w:eastAsia="zh-CN"/>
          <w14:textFill>
            <w14:solidFill>
              <w14:schemeClr w14:val="tx1"/>
            </w14:solidFill>
          </w14:textFill>
        </w:rPr>
        <w:t>WHJX-ZB-2026-039</w:t>
      </w:r>
      <w:r>
        <w:rPr>
          <w:rFonts w:hint="eastAsia" w:ascii="仿宋_GB2312" w:hAnsi="仿宋" w:eastAsia="仿宋_GB2312"/>
          <w:color w:val="000000" w:themeColor="text1"/>
          <w:sz w:val="32"/>
          <w:szCs w:val="32"/>
          <w14:textFill>
            <w14:solidFill>
              <w14:schemeClr w14:val="tx1"/>
            </w14:solidFill>
          </w14:textFill>
        </w:rPr>
        <w:t>项目名称为</w:t>
      </w:r>
      <w:r>
        <w:rPr>
          <w:rFonts w:ascii="仿宋_GB2312" w:hAnsi="仿宋" w:eastAsia="仿宋_GB2312"/>
          <w:color w:val="000000" w:themeColor="text1"/>
          <w:sz w:val="32"/>
          <w:szCs w:val="32"/>
          <w14:textFill>
            <w14:solidFill>
              <w14:schemeClr w14:val="tx1"/>
            </w14:solidFill>
          </w14:textFill>
        </w:rPr>
        <w:t>乳山市建设大厦10KV配电改造工程</w:t>
      </w:r>
      <w:r>
        <w:rPr>
          <w:rFonts w:hint="eastAsia" w:ascii="仿宋_GB2312" w:hAnsi="仿宋" w:eastAsia="仿宋_GB2312"/>
          <w:color w:val="000000" w:themeColor="text1"/>
          <w:sz w:val="32"/>
          <w:szCs w:val="32"/>
          <w14:textFill>
            <w14:solidFill>
              <w14:schemeClr w14:val="tx1"/>
            </w14:solidFill>
          </w14:textFill>
        </w:rPr>
        <w:t>谈判文件要求，经详细研究决定参加报价。</w:t>
      </w:r>
    </w:p>
    <w:p w14:paraId="567D5BF6">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1.我方接受本采购文件中关于电子招投标的各项规定，遵守《中华人民共和国电子签名法》关于电子签名的各项规定。我方愿意按照谈判文件的规定和要求提供产品，报价详见《开标（报价）一览表》。</w:t>
      </w:r>
    </w:p>
    <w:p w14:paraId="223DE00F">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2.我方同意90天的报价有效期，严格遵守响应文件的各项承诺。在此期限届满之前，本响应文件始终对我方具有约束力，并随时接受成交。我方承诺在报价有效期内不修改、撤销响应文件。</w:t>
      </w:r>
    </w:p>
    <w:p w14:paraId="3AC9644F">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3.我方愿意遵守本采购文件的规定和要求并提供谈判文件中要求的所有资料，若响应文件中存在虚假资料的，则视为我方隐瞒真实情况、提供虚假资料，我方愿意接受主管部门做出的行政处罚。</w:t>
      </w:r>
    </w:p>
    <w:p w14:paraId="5B1A01C4">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4.我方同意最低价是成交的主要选择标准，但不是唯一的选择标准。</w:t>
      </w:r>
    </w:p>
    <w:p w14:paraId="0FC29898">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5.如果我方成交：</w:t>
      </w:r>
    </w:p>
    <w:p w14:paraId="3764B146">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（1）我方承诺在成交通知书发出后，在规定期限内与采购人签订合同；认同本项目的付款方式并了解其中的风险；</w:t>
      </w:r>
    </w:p>
    <w:p w14:paraId="2CF18ACB">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（2）我方承诺在合同约定的期限内，按期、保质、保量完成施工任务；</w:t>
      </w:r>
    </w:p>
    <w:p w14:paraId="496668B5">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（3）我方承诺将按照谈判文件的规定全额交纳</w:t>
      </w:r>
      <w:r>
        <w:rPr>
          <w:rFonts w:hint="eastAsia" w:ascii="仿宋_GB2312" w:hAnsi="仿宋" w:eastAsia="仿宋_GB2312"/>
          <w:color w:val="000000" w:themeColor="text1"/>
          <w:sz w:val="30"/>
          <w:szCs w:val="30"/>
          <w14:textFill>
            <w14:solidFill>
              <w14:schemeClr w14:val="tx1"/>
            </w14:solidFill>
          </w14:textFill>
        </w:rPr>
        <w:t>代理服务费</w:t>
      </w:r>
      <w:r>
        <w:rPr>
          <w:rFonts w:hint="eastAsia" w:ascii="仿宋_GB2312" w:hAnsi="仿宋" w:eastAsia="仿宋_GB2312"/>
          <w:color w:val="000000" w:themeColor="text1"/>
          <w:sz w:val="32"/>
          <w:szCs w:val="32"/>
          <w14:textFill>
            <w14:solidFill>
              <w14:schemeClr w14:val="tx1"/>
            </w14:solidFill>
          </w14:textFill>
        </w:rPr>
        <w:t>。</w:t>
      </w:r>
    </w:p>
    <w:p w14:paraId="78CBD539">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6.所有有关本报价的函电，请按下列地址联系：</w:t>
      </w:r>
    </w:p>
    <w:p w14:paraId="3EBFD402">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单    位：                     邮政编码：</w:t>
      </w:r>
    </w:p>
    <w:p w14:paraId="60352492">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地    址：                     联 系 人：</w:t>
      </w:r>
    </w:p>
    <w:p w14:paraId="71C8D8B1">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电    话：                     传    真：</w:t>
      </w:r>
    </w:p>
    <w:p w14:paraId="412DEE78">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开户名称：</w:t>
      </w:r>
    </w:p>
    <w:p w14:paraId="1A22484A">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开户银行：</w:t>
      </w:r>
    </w:p>
    <w:p w14:paraId="303BF86E">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开户账号：</w:t>
      </w:r>
    </w:p>
    <w:p w14:paraId="07B65A9F">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供应商（盖章）： </w:t>
      </w:r>
    </w:p>
    <w:p w14:paraId="79BF4440">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法定代表人（依法登记的负责人）或授权代表（签字或签章）：</w:t>
      </w:r>
    </w:p>
    <w:p w14:paraId="39AA37D2">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报价日期：××年××月××日</w:t>
      </w:r>
    </w:p>
    <w:p w14:paraId="522C54C5">
      <w:pPr>
        <w:widowControl/>
        <w:spacing w:line="520" w:lineRule="exact"/>
        <w:jc w:val="right"/>
        <w:rPr>
          <w:rFonts w:ascii="宋体" w:hAnsi="宋体"/>
          <w:b/>
          <w:color w:val="000000" w:themeColor="text1"/>
          <w:sz w:val="44"/>
          <w:szCs w:val="44"/>
          <w14:textFill>
            <w14:solidFill>
              <w14:schemeClr w14:val="tx1"/>
            </w14:solidFill>
          </w14:textFill>
        </w:rPr>
      </w:pPr>
      <w:r>
        <w:rPr>
          <w:rFonts w:ascii="仿宋_GB2312" w:hAnsi="仿宋" w:eastAsia="仿宋_GB2312"/>
          <w:color w:val="000000" w:themeColor="text1"/>
          <w:kern w:val="0"/>
          <w:sz w:val="30"/>
          <w:szCs w:val="30"/>
          <w14:textFill>
            <w14:solidFill>
              <w14:schemeClr w14:val="tx1"/>
            </w14:solidFill>
          </w14:textFill>
        </w:rPr>
        <w:br w:type="page"/>
      </w:r>
    </w:p>
    <w:p w14:paraId="09BCEF79">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hint="eastAsia" w:ascii="Arial" w:hAnsi="Arial" w:eastAsia="黑体"/>
          <w:bCs/>
          <w:color w:val="000000" w:themeColor="text1"/>
          <w:sz w:val="44"/>
          <w:szCs w:val="32"/>
          <w14:textFill>
            <w14:solidFill>
              <w14:schemeClr w14:val="tx1"/>
            </w14:solidFill>
          </w14:textFill>
        </w:rPr>
        <w:t>信用承诺书</w:t>
      </w:r>
    </w:p>
    <w:p w14:paraId="303BA9A2">
      <w:pPr>
        <w:spacing w:line="520" w:lineRule="exac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本人以企业法定代表人的身份郑重承诺:</w:t>
      </w:r>
    </w:p>
    <w:p w14:paraId="7BE779EC">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我公司遵循公开、公正和诚实信用的原则,自愿参加</w:t>
      </w:r>
      <w:r>
        <w:rPr>
          <w:rFonts w:ascii="仿宋_GB2312" w:hAnsi="仿宋" w:eastAsia="仿宋_GB2312"/>
          <w:color w:val="000000" w:themeColor="text1"/>
          <w:sz w:val="32"/>
          <w:szCs w:val="32"/>
          <w14:textFill>
            <w14:solidFill>
              <w14:schemeClr w14:val="tx1"/>
            </w14:solidFill>
          </w14:textFill>
        </w:rPr>
        <w:t>乳山市建设大厦10KV配电改造工程</w:t>
      </w:r>
      <w:r>
        <w:rPr>
          <w:rFonts w:hint="eastAsia" w:ascii="仿宋_GB2312" w:hAnsi="仿宋" w:eastAsia="仿宋_GB2312"/>
          <w:color w:val="000000" w:themeColor="text1"/>
          <w:sz w:val="32"/>
          <w:szCs w:val="32"/>
          <w14:textFill>
            <w14:solidFill>
              <w14:schemeClr w14:val="tx1"/>
            </w14:solidFill>
          </w14:textFill>
        </w:rPr>
        <w:t>竞争谈判项目的报价。</w:t>
      </w:r>
    </w:p>
    <w:p w14:paraId="7A3D5D46">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一、在本项目谈判(或履行合同期间)过程中，严格依照国家有关法律、法规、重合同、守信用。</w:t>
      </w:r>
    </w:p>
    <w:p w14:paraId="1F304117">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二、保证响应文件内容无任何虚假、所提供的一切材料都是真实、有效、合法。</w:t>
      </w:r>
    </w:p>
    <w:p w14:paraId="193DD02C">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三、不出借、转让资质证书，不让他人挂靠资质报价;不以他人名义报价或者以其他方式弄虚作假，骗取成交。</w:t>
      </w:r>
    </w:p>
    <w:p w14:paraId="7367E007">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四、选派符合要求、有丰富经验的在职的项目经理和其他技术管理人员组成相应的项目部，并保证以上人员的社保关系及证书均在本公司注册；严格按照谈判文件及合同等要求，保证拟派人员的到岗率。</w:t>
      </w:r>
    </w:p>
    <w:p w14:paraId="730A67A6">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五、不与其他供应商相互串通报价，不排挤其他供应商的公平竞争，不损害采购人的合法权益。</w:t>
      </w:r>
    </w:p>
    <w:p w14:paraId="713735ED">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六、不向采购人或者评审委员会成员行贿以牟取成交。</w:t>
      </w:r>
    </w:p>
    <w:p w14:paraId="6E1CB137">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七、保证响应文件不存在低于成本的恶意报价行为。若我公司成交，保证按照合同约定的价格进行结算。</w:t>
      </w:r>
    </w:p>
    <w:p w14:paraId="5DC78F61">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八、成交后,保证按照采购文件及成交通知书的规定,签订合同;保证报价内包含所有采购范围内容，确保最终的交付内容满足采购人的使用要求,达到交钥匙标准。</w:t>
      </w:r>
    </w:p>
    <w:p w14:paraId="4BD45494">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九、保证成交后不转包、不使用挂靠施工队伍，若有分包需征得采购人同意。</w:t>
      </w:r>
    </w:p>
    <w:p w14:paraId="2BBD9187">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十、保证成交之后加强施工现场管理，密切配合采购人开展工作，服从采购人及现场项目管理、监理人员的管理。</w:t>
      </w:r>
    </w:p>
    <w:p w14:paraId="2284A0C4">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十一、如在谈判过程和公示期间发生质疑投诉行为，保证不恶意质疑投诉，对本公司提供的质疑投诉线索的真实性负责，否则愿接受有关部门的处罚。</w:t>
      </w:r>
    </w:p>
    <w:p w14:paraId="551845EF">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以上内容我公司已仔细阅读，本公司若有违反承诺内容的行为，或在本项目谈判(或履行合同期间)出现其他违约、违法等过失行为，自愿接受采购文件、合同及法律规定的相关处罚。给采购人造成损失的，依法承担赔偿责任。</w:t>
      </w:r>
    </w:p>
    <w:p w14:paraId="1F3FCDA6">
      <w:pPr>
        <w:spacing w:line="52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特此承诺。</w:t>
      </w:r>
    </w:p>
    <w:p w14:paraId="6DC11B64">
      <w:pPr>
        <w:tabs>
          <w:tab w:val="left" w:pos="5580"/>
        </w:tabs>
        <w:wordWrap w:val="0"/>
        <w:spacing w:line="560" w:lineRule="exact"/>
        <w:ind w:firstLine="560" w:firstLineChars="200"/>
        <w:jc w:val="right"/>
        <w:rPr>
          <w:rFonts w:ascii="仿宋_GB2312" w:hAnsi="宋体" w:eastAsia="仿宋_GB2312"/>
          <w:color w:val="000000" w:themeColor="text1"/>
          <w:kern w:val="0"/>
          <w:sz w:val="28"/>
          <w:szCs w:val="28"/>
          <w14:textFill>
            <w14:solidFill>
              <w14:schemeClr w14:val="tx1"/>
            </w14:solidFill>
          </w14:textFill>
        </w:rPr>
      </w:pPr>
      <w:r>
        <w:rPr>
          <w:rFonts w:hint="eastAsia" w:ascii="仿宋_GB2312" w:eastAsia="仿宋_GB2312"/>
          <w:color w:val="000000" w:themeColor="text1"/>
          <w:kern w:val="0"/>
          <w:sz w:val="28"/>
          <w:szCs w:val="28"/>
          <w14:textFill>
            <w14:solidFill>
              <w14:schemeClr w14:val="tx1"/>
            </w14:solidFill>
          </w14:textFill>
        </w:rPr>
        <w:t xml:space="preserve">供应商全称（公章）：          </w:t>
      </w:r>
    </w:p>
    <w:p w14:paraId="2444AD1D">
      <w:pPr>
        <w:wordWrap w:val="0"/>
        <w:spacing w:line="560" w:lineRule="exact"/>
        <w:ind w:firstLine="560" w:firstLineChars="200"/>
        <w:jc w:val="right"/>
        <w:rPr>
          <w:rFonts w:ascii="仿宋_GB2312" w:eastAsia="仿宋_GB2312"/>
          <w:color w:val="000000" w:themeColor="text1"/>
          <w:kern w:val="0"/>
          <w:sz w:val="28"/>
          <w:szCs w:val="28"/>
          <w14:textFill>
            <w14:solidFill>
              <w14:schemeClr w14:val="tx1"/>
            </w14:solidFill>
          </w14:textFill>
        </w:rPr>
      </w:pPr>
      <w:r>
        <w:rPr>
          <w:rFonts w:hint="eastAsia" w:ascii="仿宋_GB2312" w:hAnsi="仿宋" w:eastAsia="仿宋_GB2312"/>
          <w:color w:val="000000" w:themeColor="text1"/>
          <w:kern w:val="0"/>
          <w:sz w:val="28"/>
          <w:szCs w:val="28"/>
          <w14:textFill>
            <w14:solidFill>
              <w14:schemeClr w14:val="tx1"/>
            </w14:solidFill>
          </w14:textFill>
        </w:rPr>
        <w:t>法定代表人（依法登记的负责人）或授权代表（签字或签章）：</w:t>
      </w:r>
      <w:r>
        <w:rPr>
          <w:rFonts w:hint="eastAsia" w:ascii="仿宋_GB2312" w:eastAsia="仿宋_GB2312"/>
          <w:color w:val="000000" w:themeColor="text1"/>
          <w:kern w:val="0"/>
          <w:sz w:val="28"/>
          <w:szCs w:val="28"/>
          <w14:textFill>
            <w14:solidFill>
              <w14:schemeClr w14:val="tx1"/>
            </w14:solidFill>
          </w14:textFill>
        </w:rPr>
        <w:t xml:space="preserve">          </w:t>
      </w:r>
    </w:p>
    <w:p w14:paraId="79B1E6A8">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ascii="仿宋_GB2312" w:hAnsi="仿宋" w:eastAsia="仿宋_GB2312"/>
          <w:bCs/>
          <w:color w:val="000000" w:themeColor="text1"/>
          <w:sz w:val="30"/>
          <w:szCs w:val="30"/>
          <w14:textFill>
            <w14:solidFill>
              <w14:schemeClr w14:val="tx1"/>
            </w14:solidFill>
          </w14:textFill>
        </w:rPr>
        <w:br w:type="page"/>
      </w:r>
      <w:r>
        <w:rPr>
          <w:rFonts w:hint="eastAsia" w:ascii="Arial" w:hAnsi="Arial" w:eastAsia="黑体"/>
          <w:bCs/>
          <w:color w:val="000000" w:themeColor="text1"/>
          <w:sz w:val="44"/>
          <w:szCs w:val="32"/>
          <w14:textFill>
            <w14:solidFill>
              <w14:schemeClr w14:val="tx1"/>
            </w14:solidFill>
          </w14:textFill>
        </w:rPr>
        <w:t>供应商资格证明文件</w:t>
      </w:r>
    </w:p>
    <w:p w14:paraId="38EAB2EB">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hint="eastAsia" w:eastAsia="黑体"/>
          <w:bCs/>
          <w:color w:val="000000" w:themeColor="text1"/>
          <w:sz w:val="32"/>
          <w:szCs w:val="32"/>
          <w14:textFill>
            <w14:solidFill>
              <w14:schemeClr w14:val="tx1"/>
            </w14:solidFill>
          </w14:textFill>
        </w:rPr>
        <w:t>有效的营业执照副本扫描件</w:t>
      </w:r>
    </w:p>
    <w:p w14:paraId="1EDEACD4">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eastAsia="黑体"/>
          <w:bCs/>
          <w:color w:val="000000" w:themeColor="text1"/>
          <w:sz w:val="32"/>
          <w:szCs w:val="32"/>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资质证明</w:t>
      </w:r>
    </w:p>
    <w:p w14:paraId="5F98F11E">
      <w:pPr>
        <w:rPr>
          <w:color w:val="000000" w:themeColor="text1"/>
          <w14:textFill>
            <w14:solidFill>
              <w14:schemeClr w14:val="tx1"/>
            </w14:solidFill>
          </w14:textFill>
        </w:rPr>
      </w:pPr>
    </w:p>
    <w:p w14:paraId="0966FD45">
      <w:pPr>
        <w:rPr>
          <w:color w:val="000000" w:themeColor="text1"/>
          <w14:textFill>
            <w14:solidFill>
              <w14:schemeClr w14:val="tx1"/>
            </w14:solidFill>
          </w14:textFill>
        </w:rPr>
      </w:pPr>
    </w:p>
    <w:p w14:paraId="4F0EECB9">
      <w:pPr>
        <w:rPr>
          <w:color w:val="000000" w:themeColor="text1"/>
          <w14:textFill>
            <w14:solidFill>
              <w14:schemeClr w14:val="tx1"/>
            </w14:solidFill>
          </w14:textFill>
        </w:rPr>
      </w:pPr>
    </w:p>
    <w:p w14:paraId="0A9C58F1">
      <w:pPr>
        <w:rPr>
          <w:color w:val="000000" w:themeColor="text1"/>
          <w14:textFill>
            <w14:solidFill>
              <w14:schemeClr w14:val="tx1"/>
            </w14:solidFill>
          </w14:textFill>
        </w:rPr>
      </w:pPr>
    </w:p>
    <w:p w14:paraId="2B0CBFF6">
      <w:pPr>
        <w:keepNext/>
        <w:keepLines/>
        <w:spacing w:line="560" w:lineRule="exact"/>
        <w:jc w:val="center"/>
        <w:outlineLvl w:val="2"/>
        <w:rPr>
          <w:rFonts w:eastAsia="黑体"/>
          <w:bCs/>
          <w:color w:val="000000" w:themeColor="text1"/>
          <w:sz w:val="32"/>
          <w:szCs w:val="32"/>
          <w14:textFill>
            <w14:solidFill>
              <w14:schemeClr w14:val="tx1"/>
            </w14:solidFill>
          </w14:textFill>
        </w:rPr>
      </w:pPr>
      <w:r>
        <w:rPr>
          <w:rFonts w:eastAsia="黑体"/>
          <w:bCs/>
          <w:color w:val="000000" w:themeColor="text1"/>
          <w:sz w:val="32"/>
          <w:szCs w:val="32"/>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法定代表人或负责人身份证明书</w:t>
      </w:r>
    </w:p>
    <w:p w14:paraId="232D12DE">
      <w:pPr>
        <w:ind w:right="840"/>
        <w:jc w:val="center"/>
        <w:rPr>
          <w:rFonts w:hAnsi="宋体"/>
          <w:color w:val="000000" w:themeColor="text1"/>
          <w14:textFill>
            <w14:solidFill>
              <w14:schemeClr w14:val="tx1"/>
            </w14:solidFill>
          </w14:textFill>
        </w:rPr>
      </w:pPr>
    </w:p>
    <w:p w14:paraId="1339819A">
      <w:pPr>
        <w:spacing w:line="560" w:lineRule="exac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致</w:t>
      </w:r>
      <w:r>
        <w:rPr>
          <w:rFonts w:hint="eastAsia" w:ascii="仿宋_GB2312" w:hAnsi="仿宋" w:eastAsia="仿宋_GB2312"/>
          <w:color w:val="000000" w:themeColor="text1"/>
          <w:sz w:val="30"/>
          <w:szCs w:val="30"/>
          <w:lang w:eastAsia="zh-CN"/>
          <w14:textFill>
            <w14:solidFill>
              <w14:schemeClr w14:val="tx1"/>
            </w14:solidFill>
          </w14:textFill>
        </w:rPr>
        <w:t>威海市嘉鑫工程检测鉴定有限公司</w:t>
      </w:r>
      <w:r>
        <w:rPr>
          <w:rFonts w:hint="eastAsia" w:ascii="仿宋_GB2312" w:hAnsi="仿宋" w:eastAsia="仿宋_GB2312"/>
          <w:color w:val="000000" w:themeColor="text1"/>
          <w:sz w:val="30"/>
          <w:szCs w:val="30"/>
          <w14:textFill>
            <w14:solidFill>
              <w14:schemeClr w14:val="tx1"/>
            </w14:solidFill>
          </w14:textFill>
        </w:rPr>
        <w:t>：</w:t>
      </w:r>
    </w:p>
    <w:p w14:paraId="202DB834">
      <w:pPr>
        <w:tabs>
          <w:tab w:val="left" w:pos="5580"/>
        </w:tabs>
        <w:spacing w:line="600" w:lineRule="exact"/>
        <w:ind w:left="1100" w:leftChars="-29" w:hanging="1161"/>
        <w:rPr>
          <w:rFonts w:ascii="仿宋_GB2312" w:hAnsi="仿宋" w:eastAsia="仿宋_GB2312"/>
          <w:color w:val="000000" w:themeColor="text1"/>
          <w:sz w:val="32"/>
          <w:szCs w:val="32"/>
          <w14:textFill>
            <w14:solidFill>
              <w14:schemeClr w14:val="tx1"/>
            </w14:solidFill>
          </w14:textFill>
        </w:rPr>
      </w:pPr>
    </w:p>
    <w:p w14:paraId="150072C4">
      <w:pPr>
        <w:tabs>
          <w:tab w:val="left" w:pos="5580"/>
        </w:tabs>
        <w:spacing w:line="600" w:lineRule="exact"/>
        <w:ind w:left="-113" w:leftChars="-54"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（姓名、性别、年龄、身份证号码）在我单位任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（董事长、总经理等）职务，是我单位的法定代表人/负责人。</w:t>
      </w:r>
    </w:p>
    <w:p w14:paraId="4D3F94CE">
      <w:pPr>
        <w:tabs>
          <w:tab w:val="left" w:pos="5580"/>
        </w:tabs>
        <w:spacing w:line="600" w:lineRule="exact"/>
        <w:rPr>
          <w:rFonts w:ascii="仿宋_GB2312" w:hAnsi="仿宋" w:eastAsia="仿宋_GB2312"/>
          <w:color w:val="000000" w:themeColor="text1"/>
          <w:sz w:val="32"/>
          <w:szCs w:val="32"/>
          <w14:textFill>
            <w14:solidFill>
              <w14:schemeClr w14:val="tx1"/>
            </w14:solidFill>
          </w14:textFill>
        </w:rPr>
      </w:pPr>
    </w:p>
    <w:p w14:paraId="1B3C873E">
      <w:pPr>
        <w:tabs>
          <w:tab w:val="left" w:pos="5580"/>
        </w:tabs>
        <w:spacing w:line="600" w:lineRule="exact"/>
        <w:ind w:left="1080" w:leftChars="257" w:hanging="54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特此证明。</w:t>
      </w:r>
    </w:p>
    <w:p w14:paraId="7C1D1848">
      <w:pPr>
        <w:spacing w:line="600" w:lineRule="exact"/>
        <w:rPr>
          <w:rFonts w:ascii="仿宋_GB2312" w:hAnsi="仿宋" w:eastAsia="仿宋_GB2312"/>
          <w:color w:val="000000" w:themeColor="text1"/>
          <w:sz w:val="32"/>
          <w:szCs w:val="32"/>
          <w14:textFill>
            <w14:solidFill>
              <w14:schemeClr w14:val="tx1"/>
            </w14:solidFill>
          </w14:textFill>
        </w:rPr>
      </w:pPr>
    </w:p>
    <w:p w14:paraId="03397C4B">
      <w:pPr>
        <w:tabs>
          <w:tab w:val="left" w:pos="5580"/>
        </w:tabs>
        <w:spacing w:line="600" w:lineRule="exact"/>
        <w:ind w:left="-540" w:leftChars="-257" w:right="960" w:firstLine="1200" w:firstLineChars="375"/>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供应商名称（公</w:t>
      </w:r>
      <w:r>
        <w:rPr>
          <w:rFonts w:ascii="仿宋_GB2312" w:hAnsi="仿宋" w:eastAsia="仿宋_GB2312"/>
          <w:color w:val="000000" w:themeColor="text1"/>
          <w:sz w:val="32"/>
          <w:szCs w:val="32"/>
          <w14:textFill>
            <w14:solidFill>
              <w14:schemeClr w14:val="tx1"/>
            </w14:solidFill>
          </w14:textFill>
        </w:rPr>
        <w:t>章）：</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4F61FFB8">
      <w:pPr>
        <w:rPr>
          <w:rFonts w:hint="eastAsia"/>
          <w:color w:val="000000" w:themeColor="text1"/>
          <w14:textFill>
            <w14:solidFill>
              <w14:schemeClr w14:val="tx1"/>
            </w14:solidFill>
          </w14:textFill>
        </w:rPr>
      </w:pPr>
    </w:p>
    <w:p w14:paraId="7D9C11B4">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法人授权委托书</w:t>
      </w:r>
    </w:p>
    <w:p w14:paraId="676031C1">
      <w:pPr>
        <w:ind w:left="3402" w:leftChars="1620"/>
        <w:rPr>
          <w:rFonts w:hint="eastAsia"/>
          <w:color w:val="000000" w:themeColor="text1"/>
          <w14:textFill>
            <w14:solidFill>
              <w14:schemeClr w14:val="tx1"/>
            </w14:solidFill>
          </w14:textFill>
        </w:rPr>
      </w:pPr>
    </w:p>
    <w:p w14:paraId="7061B39E">
      <w:pPr>
        <w:spacing w:line="520" w:lineRule="exact"/>
        <w:ind w:firstLine="640" w:firstLineChars="200"/>
        <w:rPr>
          <w:color w:val="000000" w:themeColor="text1"/>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本授权书声明：注册于</w:t>
      </w:r>
      <w:r>
        <w:rPr>
          <w:rFonts w:hint="eastAsia" w:ascii="仿宋_GB2312" w:hAnsi="仿宋" w:eastAsia="仿宋_GB2312"/>
          <w:color w:val="000000" w:themeColor="text1"/>
          <w:sz w:val="32"/>
          <w:szCs w:val="32"/>
          <w:u w:val="single"/>
          <w14:textFill>
            <w14:solidFill>
              <w14:schemeClr w14:val="tx1"/>
            </w14:solidFill>
          </w14:textFill>
        </w:rPr>
        <w:t xml:space="preserve">   （国家或地区的名称）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（公司名称）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（法人代表/负责人姓名、职务）  </w:t>
      </w:r>
      <w:r>
        <w:rPr>
          <w:rFonts w:hint="eastAsia" w:ascii="仿宋_GB2312" w:hAnsi="仿宋" w:eastAsia="仿宋_GB2312"/>
          <w:color w:val="000000" w:themeColor="text1"/>
          <w:sz w:val="32"/>
          <w:szCs w:val="32"/>
          <w14:textFill>
            <w14:solidFill>
              <w14:schemeClr w14:val="tx1"/>
            </w14:solidFill>
          </w14:textFill>
        </w:rPr>
        <w:t>，代表本公司授权</w:t>
      </w:r>
      <w:r>
        <w:rPr>
          <w:rFonts w:hint="eastAsia" w:ascii="仿宋_GB2312" w:hAnsi="仿宋" w:eastAsia="仿宋_GB2312"/>
          <w:color w:val="000000" w:themeColor="text1"/>
          <w:sz w:val="32"/>
          <w:szCs w:val="32"/>
          <w:u w:val="single"/>
          <w14:textFill>
            <w14:solidFill>
              <w14:schemeClr w14:val="tx1"/>
            </w14:solidFill>
          </w14:textFill>
        </w:rPr>
        <w:t xml:space="preserve">  （被授权单位名称）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（被授权人的姓名、职务）</w:t>
      </w:r>
      <w:r>
        <w:rPr>
          <w:rFonts w:hint="eastAsia" w:ascii="仿宋_GB2312" w:hAnsi="仿宋" w:eastAsia="仿宋_GB2312"/>
          <w:color w:val="000000" w:themeColor="text1"/>
          <w:sz w:val="32"/>
          <w:szCs w:val="32"/>
          <w14:textFill>
            <w14:solidFill>
              <w14:schemeClr w14:val="tx1"/>
            </w14:solidFill>
          </w14:textFill>
        </w:rPr>
        <w:t>为本公司的合法代理人，参加编号为</w:t>
      </w:r>
      <w:r>
        <w:rPr>
          <w:rFonts w:hint="eastAsia" w:ascii="仿宋_GB2312" w:hAnsi="仿宋" w:eastAsia="仿宋_GB2312"/>
          <w:color w:val="000000" w:themeColor="text1"/>
          <w:sz w:val="32"/>
          <w:szCs w:val="32"/>
          <w:lang w:eastAsia="zh-CN"/>
          <w14:textFill>
            <w14:solidFill>
              <w14:schemeClr w14:val="tx1"/>
            </w14:solidFill>
          </w14:textFill>
        </w:rPr>
        <w:t>WHJX-ZB-2026-039</w:t>
      </w:r>
      <w:r>
        <w:rPr>
          <w:rFonts w:hint="eastAsia" w:ascii="仿宋_GB2312" w:hAnsi="仿宋" w:eastAsia="仿宋_GB2312"/>
          <w:color w:val="000000" w:themeColor="text1"/>
          <w:sz w:val="32"/>
          <w:szCs w:val="32"/>
          <w14:textFill>
            <w14:solidFill>
              <w14:schemeClr w14:val="tx1"/>
            </w14:solidFill>
          </w14:textFill>
        </w:rPr>
        <w:t>号的竞争谈判采购活动，以本公司名义处理一切与之有关的事宜。</w:t>
      </w:r>
    </w:p>
    <w:p w14:paraId="6F34B3ED">
      <w:pPr>
        <w:spacing w:line="52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如果本公司在此次采购活动中成交，被授权人有权代表本公司签署采购合同。</w:t>
      </w:r>
    </w:p>
    <w:p w14:paraId="53E76AEE">
      <w:pPr>
        <w:spacing w:line="52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本授权书于</w:t>
      </w:r>
      <w:r>
        <w:rPr>
          <w:rFonts w:hint="eastAsia" w:ascii="仿宋_GB2312" w:hAnsi="仿宋" w:eastAsia="仿宋_GB2312"/>
          <w:color w:val="000000" w:themeColor="text1"/>
          <w:kern w:val="0"/>
          <w:sz w:val="32"/>
          <w:szCs w:val="32"/>
          <w:u w:val="single"/>
          <w14:textFill>
            <w14:solidFill>
              <w14:schemeClr w14:val="tx1"/>
            </w14:solidFill>
          </w14:textFill>
        </w:rPr>
        <w:t xml:space="preserve">      </w:t>
      </w:r>
      <w:r>
        <w:rPr>
          <w:rFonts w:hint="eastAsia" w:ascii="仿宋_GB2312" w:hAnsi="仿宋" w:eastAsia="仿宋_GB2312"/>
          <w:color w:val="000000" w:themeColor="text1"/>
          <w:kern w:val="0"/>
          <w:sz w:val="32"/>
          <w:szCs w:val="32"/>
          <w14:textFill>
            <w14:solidFill>
              <w14:schemeClr w14:val="tx1"/>
            </w14:solidFill>
          </w14:textFill>
        </w:rPr>
        <w:t>年</w:t>
      </w:r>
      <w:r>
        <w:rPr>
          <w:rFonts w:hint="eastAsia" w:ascii="仿宋_GB2312" w:hAnsi="仿宋" w:eastAsia="仿宋_GB2312"/>
          <w:color w:val="000000" w:themeColor="text1"/>
          <w:kern w:val="0"/>
          <w:sz w:val="32"/>
          <w:szCs w:val="32"/>
          <w:u w:val="single"/>
          <w14:textFill>
            <w14:solidFill>
              <w14:schemeClr w14:val="tx1"/>
            </w14:solidFill>
          </w14:textFill>
        </w:rPr>
        <w:t xml:space="preserve">    </w:t>
      </w:r>
      <w:r>
        <w:rPr>
          <w:rFonts w:hint="eastAsia" w:ascii="仿宋_GB2312" w:hAnsi="仿宋" w:eastAsia="仿宋_GB2312"/>
          <w:color w:val="000000" w:themeColor="text1"/>
          <w:kern w:val="0"/>
          <w:sz w:val="32"/>
          <w:szCs w:val="32"/>
          <w14:textFill>
            <w14:solidFill>
              <w14:schemeClr w14:val="tx1"/>
            </w14:solidFill>
          </w14:textFill>
        </w:rPr>
        <w:t>月</w:t>
      </w:r>
      <w:r>
        <w:rPr>
          <w:rFonts w:hint="eastAsia" w:ascii="仿宋_GB2312" w:hAnsi="仿宋" w:eastAsia="仿宋_GB2312"/>
          <w:color w:val="000000" w:themeColor="text1"/>
          <w:kern w:val="0"/>
          <w:sz w:val="32"/>
          <w:szCs w:val="32"/>
          <w:u w:val="single"/>
          <w14:textFill>
            <w14:solidFill>
              <w14:schemeClr w14:val="tx1"/>
            </w14:solidFill>
          </w14:textFill>
        </w:rPr>
        <w:t xml:space="preserve">    </w:t>
      </w:r>
      <w:r>
        <w:rPr>
          <w:rFonts w:hint="eastAsia" w:ascii="仿宋_GB2312" w:hAnsi="仿宋" w:eastAsia="仿宋_GB2312"/>
          <w:color w:val="000000" w:themeColor="text1"/>
          <w:kern w:val="0"/>
          <w:sz w:val="32"/>
          <w:szCs w:val="32"/>
          <w14:textFill>
            <w14:solidFill>
              <w14:schemeClr w14:val="tx1"/>
            </w14:solidFill>
          </w14:textFill>
        </w:rPr>
        <w:t>日法定代表人（负责人）签字或盖章并由被授权人签字、单位盖章生效，特此声明。</w:t>
      </w:r>
    </w:p>
    <w:p w14:paraId="6FFE1296">
      <w:pPr>
        <w:spacing w:line="520" w:lineRule="exact"/>
        <w:ind w:firstLine="640" w:firstLineChars="200"/>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被授权人无转委托权。</w:t>
      </w:r>
    </w:p>
    <w:p w14:paraId="011BF470">
      <w:pPr>
        <w:spacing w:line="520" w:lineRule="exact"/>
        <w:ind w:firstLine="640" w:firstLineChars="200"/>
        <w:jc w:val="left"/>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法定代表人（依法登记的负责人）签字或签章：</w:t>
      </w:r>
    </w:p>
    <w:p w14:paraId="287D2E8D">
      <w:pPr>
        <w:spacing w:line="520" w:lineRule="exact"/>
        <w:ind w:firstLine="640" w:firstLineChars="200"/>
        <w:jc w:val="left"/>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被 授 权 人 签 字：</w:t>
      </w:r>
    </w:p>
    <w:p w14:paraId="656FA419">
      <w:pPr>
        <w:spacing w:line="520" w:lineRule="exact"/>
        <w:ind w:firstLine="640" w:firstLineChars="200"/>
        <w:jc w:val="left"/>
        <w:rPr>
          <w:rFonts w:ascii="仿宋_GB2312" w:hAnsi="仿宋" w:eastAsia="仿宋_GB2312"/>
          <w:color w:val="000000" w:themeColor="text1"/>
          <w:kern w:val="0"/>
          <w:sz w:val="32"/>
          <w:szCs w:val="32"/>
          <w14:textFill>
            <w14:solidFill>
              <w14:schemeClr w14:val="tx1"/>
            </w14:solidFill>
          </w14:textFill>
        </w:rPr>
      </w:pPr>
      <w:r>
        <w:rPr>
          <w:rFonts w:hint="eastAsia" w:ascii="仿宋_GB2312" w:hAnsi="仿宋" w:eastAsia="仿宋_GB2312"/>
          <w:color w:val="000000" w:themeColor="text1"/>
          <w:kern w:val="0"/>
          <w:sz w:val="32"/>
          <w:szCs w:val="32"/>
          <w14:textFill>
            <w14:solidFill>
              <w14:schemeClr w14:val="tx1"/>
            </w14:solidFill>
          </w14:textFill>
        </w:rPr>
        <w:t>报价供应商（公章）:</w:t>
      </w:r>
    </w:p>
    <w:tbl>
      <w:tblPr>
        <w:tblStyle w:val="28"/>
        <w:tblpPr w:leftFromText="180" w:rightFromText="180" w:vertAnchor="text" w:horzAnchor="margin" w:tblpY="36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2887E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12" w:hRule="atLeast"/>
        </w:trPr>
        <w:tc>
          <w:tcPr>
            <w:tcW w:w="4786" w:type="dxa"/>
            <w:vAlign w:val="center"/>
          </w:tcPr>
          <w:p w14:paraId="06F7465D">
            <w:pPr>
              <w:widowControl/>
              <w:spacing w:beforeAutospacing="1" w:afterAutospacing="1" w:line="360" w:lineRule="auto"/>
              <w:jc w:val="center"/>
              <w:rPr>
                <w:rFonts w:ascii="仿宋_GB2312" w:hAnsi="仿宋" w:eastAsia="仿宋_GB2312" w:cs="宋体"/>
                <w:color w:val="000000" w:themeColor="text1"/>
                <w:kern w:val="0"/>
                <w:sz w:val="32"/>
                <w:szCs w:val="32"/>
                <w14:textFill>
                  <w14:solidFill>
                    <w14:schemeClr w14:val="tx1"/>
                  </w14:solidFill>
                </w14:textFill>
              </w:rPr>
            </w:pPr>
            <w:r>
              <w:rPr>
                <w:rFonts w:hint="eastAsia" w:ascii="仿宋_GB2312" w:hAnsi="仿宋" w:eastAsia="仿宋_GB2312" w:cs="宋体"/>
                <w:color w:val="000000" w:themeColor="text1"/>
                <w:sz w:val="32"/>
                <w:szCs w:val="32"/>
                <w14:textFill>
                  <w14:solidFill>
                    <w14:schemeClr w14:val="tx1"/>
                  </w14:solidFill>
                </w14:textFill>
              </w:rPr>
              <w:t>被授权人身份证扫描件</w:t>
            </w:r>
          </w:p>
        </w:tc>
        <w:tc>
          <w:tcPr>
            <w:tcW w:w="4786" w:type="dxa"/>
            <w:vAlign w:val="center"/>
          </w:tcPr>
          <w:p w14:paraId="57530F89">
            <w:pPr>
              <w:widowControl/>
              <w:spacing w:beforeAutospacing="1" w:afterAutospacing="1" w:line="360" w:lineRule="auto"/>
              <w:jc w:val="center"/>
              <w:rPr>
                <w:rFonts w:hint="eastAsia" w:ascii="仿宋_GB2312" w:hAnsi="仿宋" w:eastAsia="仿宋_GB2312" w:cs="宋体"/>
                <w:color w:val="000000" w:themeColor="text1"/>
                <w:sz w:val="32"/>
                <w:szCs w:val="32"/>
                <w14:textFill>
                  <w14:solidFill>
                    <w14:schemeClr w14:val="tx1"/>
                  </w14:solidFill>
                </w14:textFill>
              </w:rPr>
            </w:pPr>
            <w:r>
              <w:rPr>
                <w:rFonts w:hint="eastAsia" w:ascii="仿宋_GB2312" w:hAnsi="仿宋" w:eastAsia="仿宋_GB2312" w:cs="宋体"/>
                <w:color w:val="000000" w:themeColor="text1"/>
                <w:sz w:val="32"/>
                <w:szCs w:val="32"/>
                <w14:textFill>
                  <w14:solidFill>
                    <w14:schemeClr w14:val="tx1"/>
                  </w14:solidFill>
                </w14:textFill>
              </w:rPr>
              <w:t>被授权人身份证扫描件</w:t>
            </w:r>
          </w:p>
        </w:tc>
      </w:tr>
    </w:tbl>
    <w:p w14:paraId="01750E00">
      <w:pPr>
        <w:rPr>
          <w:vanish/>
          <w:color w:val="000000" w:themeColor="text1"/>
          <w14:textFill>
            <w14:solidFill>
              <w14:schemeClr w14:val="tx1"/>
            </w14:solidFill>
          </w14:textFill>
        </w:rPr>
      </w:pPr>
    </w:p>
    <w:p w14:paraId="02A6B540">
      <w:pPr>
        <w:rPr>
          <w:rFonts w:ascii="仿宋_GB2312" w:hAnsi="仿宋" w:eastAsia="仿宋_GB2312"/>
          <w:b/>
          <w:color w:val="000000" w:themeColor="text1"/>
          <w:kern w:val="0"/>
          <w:sz w:val="36"/>
          <w:szCs w:val="21"/>
          <w14:textFill>
            <w14:solidFill>
              <w14:schemeClr w14:val="tx1"/>
            </w14:solidFill>
          </w14:textFill>
        </w:rPr>
      </w:pPr>
    </w:p>
    <w:p w14:paraId="6C5581C2">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hint="eastAsia" w:ascii="仿宋_GB2312" w:hAnsi="仿宋" w:eastAsia="仿宋_GB2312"/>
          <w:b/>
          <w:bCs/>
          <w:color w:val="000000" w:themeColor="text1"/>
          <w:sz w:val="28"/>
          <w:szCs w:val="28"/>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供应商依法缴纳税收和社会保障资金的声明</w:t>
      </w:r>
    </w:p>
    <w:p w14:paraId="275FF081">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（格式自拟，加盖供应商公章）</w:t>
      </w:r>
    </w:p>
    <w:p w14:paraId="269A569D">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ascii="Arial" w:hAnsi="Arial" w:eastAsia="黑体"/>
          <w:b/>
          <w:bCs/>
          <w:color w:val="000000" w:themeColor="text1"/>
          <w:sz w:val="32"/>
          <w:szCs w:val="32"/>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投标截止日期前4个月内任意某一月的纳税和社会保障资金缴纳证明材料（依法免税或不需要缴纳社会保障资金的供应商，应提供相关材料）</w:t>
      </w:r>
    </w:p>
    <w:p w14:paraId="09F97F09">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（加盖报价供应商公章）</w:t>
      </w:r>
    </w:p>
    <w:p w14:paraId="438B2003">
      <w:pPr>
        <w:jc w:val="center"/>
        <w:rPr>
          <w:rFonts w:hint="eastAsia" w:ascii="仿宋_GB2312" w:eastAsia="仿宋_GB2312"/>
          <w:color w:val="000000" w:themeColor="text1"/>
          <w:sz w:val="28"/>
          <w:szCs w:val="28"/>
          <w14:textFill>
            <w14:solidFill>
              <w14:schemeClr w14:val="tx1"/>
            </w14:solidFill>
          </w14:textFill>
        </w:rPr>
      </w:pPr>
    </w:p>
    <w:p w14:paraId="4B57DF37">
      <w:pPr>
        <w:jc w:val="center"/>
        <w:rPr>
          <w:rFonts w:hint="eastAsia" w:ascii="仿宋_GB2312" w:eastAsia="仿宋_GB2312"/>
          <w:color w:val="000000" w:themeColor="text1"/>
          <w:sz w:val="28"/>
          <w:szCs w:val="28"/>
          <w14:textFill>
            <w14:solidFill>
              <w14:schemeClr w14:val="tx1"/>
            </w14:solidFill>
          </w14:textFill>
        </w:rPr>
      </w:pPr>
    </w:p>
    <w:p w14:paraId="051B2FCE">
      <w:pPr>
        <w:jc w:val="center"/>
        <w:rPr>
          <w:rFonts w:hint="eastAsia" w:ascii="仿宋_GB2312" w:eastAsia="仿宋_GB2312"/>
          <w:color w:val="000000" w:themeColor="text1"/>
          <w:sz w:val="28"/>
          <w:szCs w:val="28"/>
          <w14:textFill>
            <w14:solidFill>
              <w14:schemeClr w14:val="tx1"/>
            </w14:solidFill>
          </w14:textFill>
        </w:rPr>
      </w:pPr>
    </w:p>
    <w:p w14:paraId="7F0597BF">
      <w:pPr>
        <w:jc w:val="center"/>
        <w:rPr>
          <w:rFonts w:hint="eastAsia" w:ascii="仿宋_GB2312" w:eastAsia="仿宋_GB2312"/>
          <w:color w:val="000000" w:themeColor="text1"/>
          <w:sz w:val="28"/>
          <w:szCs w:val="28"/>
          <w14:textFill>
            <w14:solidFill>
              <w14:schemeClr w14:val="tx1"/>
            </w14:solidFill>
          </w14:textFill>
        </w:rPr>
      </w:pPr>
    </w:p>
    <w:p w14:paraId="149B7725">
      <w:pPr>
        <w:jc w:val="center"/>
        <w:rPr>
          <w:rFonts w:hint="eastAsia" w:ascii="仿宋_GB2312" w:eastAsia="仿宋_GB2312"/>
          <w:color w:val="000000" w:themeColor="text1"/>
          <w:sz w:val="28"/>
          <w:szCs w:val="28"/>
          <w14:textFill>
            <w14:solidFill>
              <w14:schemeClr w14:val="tx1"/>
            </w14:solidFill>
          </w14:textFill>
        </w:rPr>
      </w:pPr>
    </w:p>
    <w:p w14:paraId="2B368A8E">
      <w:pPr>
        <w:jc w:val="center"/>
        <w:rPr>
          <w:rFonts w:hint="eastAsia" w:ascii="仿宋_GB2312" w:eastAsia="仿宋_GB2312"/>
          <w:color w:val="000000" w:themeColor="text1"/>
          <w:sz w:val="28"/>
          <w:szCs w:val="28"/>
          <w14:textFill>
            <w14:solidFill>
              <w14:schemeClr w14:val="tx1"/>
            </w14:solidFill>
          </w14:textFill>
        </w:rPr>
      </w:pPr>
    </w:p>
    <w:p w14:paraId="666E2155">
      <w:pPr>
        <w:jc w:val="center"/>
        <w:rPr>
          <w:rFonts w:hint="eastAsia" w:ascii="仿宋_GB2312" w:eastAsia="仿宋_GB2312"/>
          <w:color w:val="000000" w:themeColor="text1"/>
          <w:sz w:val="28"/>
          <w:szCs w:val="28"/>
          <w14:textFill>
            <w14:solidFill>
              <w14:schemeClr w14:val="tx1"/>
            </w14:solidFill>
          </w14:textFill>
        </w:rPr>
      </w:pPr>
    </w:p>
    <w:p w14:paraId="2A01991D">
      <w:pPr>
        <w:jc w:val="center"/>
        <w:rPr>
          <w:rFonts w:hint="eastAsia" w:ascii="仿宋_GB2312" w:eastAsia="仿宋_GB2312"/>
          <w:color w:val="000000" w:themeColor="text1"/>
          <w:sz w:val="28"/>
          <w:szCs w:val="28"/>
          <w14:textFill>
            <w14:solidFill>
              <w14:schemeClr w14:val="tx1"/>
            </w14:solidFill>
          </w14:textFill>
        </w:rPr>
      </w:pPr>
    </w:p>
    <w:p w14:paraId="1A5BC235">
      <w:pPr>
        <w:jc w:val="center"/>
        <w:rPr>
          <w:rFonts w:hint="eastAsia" w:ascii="仿宋_GB2312" w:eastAsia="仿宋_GB2312"/>
          <w:color w:val="000000" w:themeColor="text1"/>
          <w:sz w:val="28"/>
          <w:szCs w:val="28"/>
          <w14:textFill>
            <w14:solidFill>
              <w14:schemeClr w14:val="tx1"/>
            </w14:solidFill>
          </w14:textFill>
        </w:rPr>
      </w:pPr>
    </w:p>
    <w:p w14:paraId="4D362878">
      <w:pPr>
        <w:jc w:val="center"/>
        <w:rPr>
          <w:rFonts w:hint="eastAsia" w:ascii="仿宋_GB2312" w:eastAsia="仿宋_GB2312"/>
          <w:color w:val="000000" w:themeColor="text1"/>
          <w:sz w:val="28"/>
          <w:szCs w:val="28"/>
          <w14:textFill>
            <w14:solidFill>
              <w14:schemeClr w14:val="tx1"/>
            </w14:solidFill>
          </w14:textFill>
        </w:rPr>
      </w:pPr>
    </w:p>
    <w:p w14:paraId="0A6E007D">
      <w:pPr>
        <w:jc w:val="center"/>
        <w:rPr>
          <w:rFonts w:hint="eastAsia" w:ascii="仿宋_GB2312" w:eastAsia="仿宋_GB2312"/>
          <w:color w:val="000000" w:themeColor="text1"/>
          <w:sz w:val="28"/>
          <w:szCs w:val="28"/>
          <w14:textFill>
            <w14:solidFill>
              <w14:schemeClr w14:val="tx1"/>
            </w14:solidFill>
          </w14:textFill>
        </w:rPr>
      </w:pPr>
    </w:p>
    <w:p w14:paraId="391575B5">
      <w:pPr>
        <w:jc w:val="center"/>
        <w:rPr>
          <w:rFonts w:hint="eastAsia" w:ascii="仿宋_GB2312" w:eastAsia="仿宋_GB2312"/>
          <w:color w:val="000000" w:themeColor="text1"/>
          <w:sz w:val="28"/>
          <w:szCs w:val="28"/>
          <w14:textFill>
            <w14:solidFill>
              <w14:schemeClr w14:val="tx1"/>
            </w14:solidFill>
          </w14:textFill>
        </w:rPr>
      </w:pPr>
    </w:p>
    <w:p w14:paraId="0751605F">
      <w:pPr>
        <w:jc w:val="center"/>
        <w:rPr>
          <w:rFonts w:hint="eastAsia" w:ascii="仿宋_GB2312"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注：依法免税的应提供无需缴纳税收期间的加盖公章的财务报表或税务系统下载的无欠税证明，并对真实性负责。</w:t>
      </w:r>
    </w:p>
    <w:p w14:paraId="57EAD827">
      <w:pPr>
        <w:jc w:val="center"/>
        <w:rPr>
          <w:rFonts w:ascii="仿宋_GB2312" w:eastAsia="仿宋_GB2312"/>
          <w:color w:val="000000" w:themeColor="text1"/>
          <w:sz w:val="28"/>
          <w:szCs w:val="28"/>
          <w14:textFill>
            <w14:solidFill>
              <w14:schemeClr w14:val="tx1"/>
            </w14:solidFill>
          </w14:textFill>
        </w:rPr>
      </w:pPr>
    </w:p>
    <w:p w14:paraId="6773407C">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无重大违法记录声明</w:t>
      </w:r>
    </w:p>
    <w:p w14:paraId="4B7DB99A">
      <w:pPr>
        <w:spacing w:line="460" w:lineRule="exact"/>
        <w:ind w:left="1747" w:leftChars="832"/>
        <w:jc w:val="center"/>
        <w:rPr>
          <w:rFonts w:ascii="仿宋_GB2312" w:hAnsi="仿宋" w:eastAsia="仿宋_GB2312"/>
          <w:b/>
          <w:bCs/>
          <w:color w:val="000000" w:themeColor="text1"/>
          <w:sz w:val="28"/>
          <w:szCs w:val="28"/>
          <w14:textFill>
            <w14:solidFill>
              <w14:schemeClr w14:val="tx1"/>
            </w14:solidFill>
          </w14:textFill>
        </w:rPr>
      </w:pPr>
    </w:p>
    <w:p w14:paraId="314619A5">
      <w:pPr>
        <w:spacing w:line="480" w:lineRule="auto"/>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本单位郑重声明：</w:t>
      </w:r>
    </w:p>
    <w:p w14:paraId="69529A78">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我单位在参加采购活动前三年内在经营活动中没有重大违法记录，包括：</w:t>
      </w:r>
    </w:p>
    <w:p w14:paraId="20FCCB08">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我单位或者其法定代表人、董事、监事、高级管理人员未因经营活动中的违法行为受到刑事处罚或者责令停产停业、吊销许可证或者执照、较大数额罚款等行政处罚。</w:t>
      </w:r>
    </w:p>
    <w:p w14:paraId="1D05B8CA">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如有瞒报、虚报，我公司自行承担因此产生的所有法律责任。</w:t>
      </w:r>
    </w:p>
    <w:p w14:paraId="7F8EF0C6">
      <w:pPr>
        <w:spacing w:line="480" w:lineRule="auto"/>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特此声明！</w:t>
      </w:r>
    </w:p>
    <w:p w14:paraId="29B7E281">
      <w:pPr>
        <w:spacing w:line="480" w:lineRule="auto"/>
        <w:rPr>
          <w:rFonts w:ascii="仿宋_GB2312" w:hAnsi="仿宋" w:eastAsia="仿宋_GB2312"/>
          <w:bCs/>
          <w:color w:val="000000" w:themeColor="text1"/>
          <w:sz w:val="28"/>
          <w:szCs w:val="28"/>
          <w14:textFill>
            <w14:solidFill>
              <w14:schemeClr w14:val="tx1"/>
            </w14:solidFill>
          </w14:textFill>
        </w:rPr>
      </w:pPr>
    </w:p>
    <w:p w14:paraId="0E792B09">
      <w:pPr>
        <w:spacing w:line="480" w:lineRule="auto"/>
        <w:rPr>
          <w:rFonts w:ascii="仿宋_GB2312" w:hAnsi="仿宋" w:eastAsia="仿宋_GB2312"/>
          <w:bCs/>
          <w:color w:val="000000" w:themeColor="text1"/>
          <w:sz w:val="28"/>
          <w:szCs w:val="28"/>
          <w14:textFill>
            <w14:solidFill>
              <w14:schemeClr w14:val="tx1"/>
            </w14:solidFill>
          </w14:textFill>
        </w:rPr>
      </w:pPr>
    </w:p>
    <w:p w14:paraId="5974A646">
      <w:pPr>
        <w:spacing w:line="480" w:lineRule="auto"/>
        <w:rPr>
          <w:rFonts w:ascii="仿宋_GB2312" w:hAnsi="仿宋" w:eastAsia="仿宋_GB2312"/>
          <w:bCs/>
          <w:color w:val="000000" w:themeColor="text1"/>
          <w:sz w:val="28"/>
          <w:szCs w:val="28"/>
          <w14:textFill>
            <w14:solidFill>
              <w14:schemeClr w14:val="tx1"/>
            </w14:solidFill>
          </w14:textFill>
        </w:rPr>
      </w:pPr>
    </w:p>
    <w:p w14:paraId="6B1BB97F">
      <w:pPr>
        <w:tabs>
          <w:tab w:val="left" w:pos="5580"/>
        </w:tabs>
        <w:wordWrap w:val="0"/>
        <w:spacing w:line="360" w:lineRule="auto"/>
        <w:jc w:val="right"/>
        <w:rPr>
          <w:rFonts w:ascii="仿宋_GB2312" w:hAnsi="宋体"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 xml:space="preserve">供应商全称（公章）：          </w:t>
      </w:r>
    </w:p>
    <w:p w14:paraId="21A836D3">
      <w:pPr>
        <w:tabs>
          <w:tab w:val="left" w:pos="5580"/>
        </w:tabs>
        <w:spacing w:line="360" w:lineRule="auto"/>
        <w:ind w:firstLine="4132" w:firstLineChars="1476"/>
        <w:jc w:val="right"/>
        <w:rPr>
          <w:rFonts w:ascii="仿宋_GB2312" w:eastAsia="仿宋_GB2312"/>
          <w:color w:val="000000" w:themeColor="text1"/>
          <w:sz w:val="28"/>
          <w:szCs w:val="28"/>
          <w14:textFill>
            <w14:solidFill>
              <w14:schemeClr w14:val="tx1"/>
            </w14:solidFill>
          </w14:textFill>
        </w:rPr>
      </w:pPr>
    </w:p>
    <w:p w14:paraId="4D4BEF87">
      <w:pPr>
        <w:tabs>
          <w:tab w:val="left" w:pos="5580"/>
        </w:tabs>
        <w:wordWrap w:val="0"/>
        <w:spacing w:line="360" w:lineRule="auto"/>
        <w:jc w:val="right"/>
        <w:rPr>
          <w:rFonts w:ascii="仿宋_GB2312" w:eastAsia="仿宋_GB2312"/>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 xml:space="preserve">法定代表人（依法登记的负责人）或授权代表（签字或签章）：         </w:t>
      </w:r>
    </w:p>
    <w:p w14:paraId="7530F4B1">
      <w:pPr>
        <w:tabs>
          <w:tab w:val="left" w:pos="5580"/>
        </w:tabs>
        <w:spacing w:line="360" w:lineRule="auto"/>
        <w:ind w:firstLine="4132" w:firstLineChars="1476"/>
        <w:rPr>
          <w:rFonts w:ascii="仿宋_GB2312" w:eastAsia="仿宋_GB2312"/>
          <w:color w:val="000000" w:themeColor="text1"/>
          <w:sz w:val="28"/>
          <w:szCs w:val="28"/>
          <w14:textFill>
            <w14:solidFill>
              <w14:schemeClr w14:val="tx1"/>
            </w14:solidFill>
          </w14:textFill>
        </w:rPr>
      </w:pPr>
    </w:p>
    <w:p w14:paraId="722824A8">
      <w:pPr>
        <w:widowControl/>
        <w:jc w:val="right"/>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年</w:t>
      </w:r>
      <w:r>
        <w:rPr>
          <w:rFonts w:ascii="仿宋_GB2312" w:eastAsia="仿宋_GB2312"/>
          <w:color w:val="000000" w:themeColor="text1"/>
          <w:sz w:val="28"/>
          <w:szCs w:val="28"/>
          <w14:textFill>
            <w14:solidFill>
              <w14:schemeClr w14:val="tx1"/>
            </w14:solidFill>
          </w14:textFill>
        </w:rPr>
        <w:t xml:space="preserve">   </w:t>
      </w:r>
      <w:r>
        <w:rPr>
          <w:rFonts w:hint="eastAsia" w:ascii="仿宋_GB2312" w:eastAsia="仿宋_GB2312"/>
          <w:color w:val="000000" w:themeColor="text1"/>
          <w:sz w:val="28"/>
          <w:szCs w:val="28"/>
          <w14:textFill>
            <w14:solidFill>
              <w14:schemeClr w14:val="tx1"/>
            </w14:solidFill>
          </w14:textFill>
        </w:rPr>
        <w:t>月</w:t>
      </w:r>
      <w:r>
        <w:rPr>
          <w:rFonts w:ascii="仿宋_GB2312" w:eastAsia="仿宋_GB2312"/>
          <w:color w:val="000000" w:themeColor="text1"/>
          <w:sz w:val="28"/>
          <w:szCs w:val="28"/>
          <w14:textFill>
            <w14:solidFill>
              <w14:schemeClr w14:val="tx1"/>
            </w14:solidFill>
          </w14:textFill>
        </w:rPr>
        <w:t xml:space="preserve">   </w:t>
      </w:r>
      <w:r>
        <w:rPr>
          <w:rFonts w:hint="eastAsia" w:ascii="仿宋_GB2312" w:eastAsia="仿宋_GB2312"/>
          <w:color w:val="000000" w:themeColor="text1"/>
          <w:sz w:val="28"/>
          <w:szCs w:val="28"/>
          <w14:textFill>
            <w14:solidFill>
              <w14:schemeClr w14:val="tx1"/>
            </w14:solidFill>
          </w14:textFill>
        </w:rPr>
        <w:t>日</w:t>
      </w:r>
    </w:p>
    <w:p w14:paraId="091332B3">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ascii="仿宋_GB2312" w:eastAsia="仿宋_GB2312"/>
          <w:color w:val="000000" w:themeColor="text1"/>
          <w:sz w:val="28"/>
          <w:szCs w:val="28"/>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供应商失信查询</w:t>
      </w:r>
    </w:p>
    <w:p w14:paraId="408CC5A2">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（加盖供应商公章）</w:t>
      </w:r>
    </w:p>
    <w:p w14:paraId="7386B21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供应商在工商行政管理机关全国企业信用信息公示系统中未被列入严重违法失信企业名单截图或报告（</w:t>
      </w:r>
      <w:r>
        <w:rPr>
          <w:rFonts w:hint="eastAsia" w:ascii="仿宋_GB2312" w:hAnsi="宋体" w:eastAsia="仿宋_GB2312"/>
          <w:color w:val="000000" w:themeColor="text1"/>
          <w:sz w:val="28"/>
          <w:szCs w:val="28"/>
          <w:lang w:val="zh-CN"/>
          <w14:textFill>
            <w14:solidFill>
              <w14:schemeClr w14:val="tx1"/>
            </w14:solidFill>
          </w14:textFill>
        </w:rPr>
        <w:t>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"http://www.gsxt.gov.cn/index.html" </w:instrText>
      </w:r>
      <w:r>
        <w:rPr>
          <w:color w:val="000000" w:themeColor="text1"/>
          <w14:textFill>
            <w14:solidFill>
              <w14:schemeClr w14:val="tx1"/>
            </w14:solidFill>
          </w14:textFill>
        </w:rPr>
        <w:fldChar w:fldCharType="separate"/>
      </w:r>
      <w:r>
        <w:rPr>
          <w:rStyle w:val="34"/>
          <w:rFonts w:ascii="仿宋_GB2312" w:hAnsi="宋体" w:eastAsia="仿宋_GB2312"/>
          <w:color w:val="000000" w:themeColor="text1"/>
          <w:sz w:val="28"/>
          <w:szCs w:val="28"/>
          <w14:textFill>
            <w14:solidFill>
              <w14:schemeClr w14:val="tx1"/>
            </w14:solidFill>
          </w14:textFill>
        </w:rPr>
        <w:t>http://www.gsxt.gov.cn/index.html</w:t>
      </w:r>
      <w:r>
        <w:rPr>
          <w:rStyle w:val="34"/>
          <w:rFonts w:ascii="仿宋_GB2312" w:hAnsi="宋体" w:eastAsia="仿宋_GB2312"/>
          <w:color w:val="000000" w:themeColor="text1"/>
          <w:sz w:val="28"/>
          <w:szCs w:val="28"/>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w:t>
      </w:r>
    </w:p>
    <w:p w14:paraId="116A0454">
      <w:pPr>
        <w:jc w:val="center"/>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br w:type="page"/>
      </w:r>
      <w:r>
        <w:rPr>
          <w:rFonts w:hint="eastAsia" w:ascii="仿宋_GB2312" w:hAnsi="宋体" w:eastAsia="仿宋_GB2312"/>
          <w:color w:val="000000" w:themeColor="text1"/>
          <w:sz w:val="28"/>
          <w:szCs w:val="28"/>
          <w14:textFill>
            <w14:solidFill>
              <w14:schemeClr w14:val="tx1"/>
            </w14:solidFill>
          </w14:textFill>
        </w:rPr>
        <w:t>供应商、法定代表人(授权委托人)未被最高院列入失信被执行人截图（</w:t>
      </w:r>
      <w:r>
        <w:rPr>
          <w:rFonts w:hint="eastAsia" w:ascii="仿宋_GB2312" w:hAnsi="宋体" w:eastAsia="仿宋_GB2312"/>
          <w:color w:val="000000" w:themeColor="text1"/>
          <w:sz w:val="28"/>
          <w:szCs w:val="28"/>
          <w:lang w:val="zh-CN"/>
          <w14:textFill>
            <w14:solidFill>
              <w14:schemeClr w14:val="tx1"/>
            </w14:solidFill>
          </w14:textFill>
        </w:rPr>
        <w:t>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"http://zxgk.court.gov.cn/shixin%20/" </w:instrText>
      </w:r>
      <w:r>
        <w:rPr>
          <w:color w:val="000000" w:themeColor="text1"/>
          <w14:textFill>
            <w14:solidFill>
              <w14:schemeClr w14:val="tx1"/>
            </w14:solidFill>
          </w14:textFill>
        </w:rPr>
        <w:fldChar w:fldCharType="separate"/>
      </w:r>
      <w:r>
        <w:rPr>
          <w:rStyle w:val="34"/>
          <w:rFonts w:hint="eastAsia" w:ascii="仿宋_GB2312" w:hAnsi="宋体" w:eastAsia="仿宋_GB2312"/>
          <w:color w:val="000000" w:themeColor="text1"/>
          <w:sz w:val="28"/>
          <w:szCs w:val="28"/>
          <w14:textFill>
            <w14:solidFill>
              <w14:schemeClr w14:val="tx1"/>
            </w14:solidFill>
          </w14:textFill>
        </w:rPr>
        <w:t>http://zxgk.court.gov.cn/</w:t>
      </w:r>
      <w:r>
        <w:rPr>
          <w:rStyle w:val="34"/>
          <w:rFonts w:ascii="仿宋_GB2312" w:hAnsi="宋体" w:eastAsia="仿宋_GB2312"/>
          <w:color w:val="000000" w:themeColor="text1"/>
          <w:sz w:val="28"/>
          <w:szCs w:val="28"/>
          <w14:textFill>
            <w14:solidFill>
              <w14:schemeClr w14:val="tx1"/>
            </w14:solidFill>
          </w14:textFill>
        </w:rPr>
        <w:t>shixin</w:t>
      </w:r>
      <w:r>
        <w:rPr>
          <w:rStyle w:val="34"/>
          <w:rFonts w:hint="eastAsia" w:ascii="仿宋_GB2312" w:hAnsi="宋体" w:eastAsia="仿宋_GB2312"/>
          <w:color w:val="000000" w:themeColor="text1"/>
          <w:sz w:val="28"/>
          <w:szCs w:val="28"/>
          <w14:textFill>
            <w14:solidFill>
              <w14:schemeClr w14:val="tx1"/>
            </w14:solidFill>
          </w14:textFill>
        </w:rPr>
        <w:t>/</w:t>
      </w:r>
      <w:r>
        <w:rPr>
          <w:rStyle w:val="34"/>
          <w:rFonts w:hint="eastAsia" w:ascii="仿宋_GB2312" w:hAnsi="宋体" w:eastAsia="仿宋_GB2312"/>
          <w:color w:val="000000" w:themeColor="text1"/>
          <w:sz w:val="28"/>
          <w:szCs w:val="28"/>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w:t>
      </w:r>
    </w:p>
    <w:p w14:paraId="2B34CF60">
      <w:pPr>
        <w:jc w:val="center"/>
        <w:rPr>
          <w:rFonts w:ascii="仿宋_GB2312" w:hAnsi="宋体" w:eastAsia="仿宋_GB2312"/>
          <w:color w:val="000000" w:themeColor="text1"/>
          <w:sz w:val="28"/>
          <w:szCs w:val="28"/>
          <w14:textFill>
            <w14:solidFill>
              <w14:schemeClr w14:val="tx1"/>
            </w14:solidFill>
          </w14:textFill>
        </w:rPr>
      </w:pPr>
    </w:p>
    <w:p w14:paraId="24046CF2">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eastAsia="黑体"/>
          <w:bCs/>
          <w:color w:val="000000" w:themeColor="text1"/>
          <w:sz w:val="32"/>
          <w:szCs w:val="32"/>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财务状况报告等相关材料</w:t>
      </w:r>
    </w:p>
    <w:p w14:paraId="58D435F0">
      <w:pPr>
        <w:jc w:val="center"/>
        <w:rPr>
          <w:rFonts w:hint="eastAsia"/>
          <w:color w:val="000000" w:themeColor="text1"/>
          <w14:textFill>
            <w14:solidFill>
              <w14:schemeClr w14:val="tx1"/>
            </w14:solidFill>
          </w14:textFill>
        </w:rPr>
      </w:pPr>
    </w:p>
    <w:p w14:paraId="6026109A">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供应商具有履行合同所必需的设备和专业技术能力承诺函</w:t>
      </w:r>
    </w:p>
    <w:p w14:paraId="2F57CAAC">
      <w:pPr>
        <w:widowControl/>
        <w:jc w:val="center"/>
        <w:rPr>
          <w:rFonts w:hint="eastAsia"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（格式自拟，加盖供应商公章）</w:t>
      </w:r>
    </w:p>
    <w:p w14:paraId="56070372">
      <w:pPr>
        <w:keepNext/>
        <w:keepLines/>
        <w:spacing w:before="120" w:after="120" w:line="560" w:lineRule="exact"/>
        <w:jc w:val="center"/>
        <w:outlineLvl w:val="2"/>
        <w:rPr>
          <w:rFonts w:eastAsia="黑体"/>
          <w:color w:val="000000" w:themeColor="text1"/>
          <w:sz w:val="32"/>
          <w:szCs w:val="32"/>
          <w14:textFill>
            <w14:solidFill>
              <w14:schemeClr w14:val="tx1"/>
            </w14:solidFill>
          </w14:textFill>
        </w:rPr>
      </w:pPr>
      <w:r>
        <w:rPr>
          <w:rFonts w:hint="eastAsia" w:eastAsia="黑体"/>
          <w:color w:val="000000" w:themeColor="text1"/>
          <w:sz w:val="32"/>
          <w:szCs w:val="32"/>
          <w14:textFill>
            <w14:solidFill>
              <w14:schemeClr w14:val="tx1"/>
            </w14:solidFill>
          </w14:textFill>
        </w:rPr>
        <w:br w:type="page"/>
      </w:r>
      <w:r>
        <w:rPr>
          <w:rFonts w:hint="eastAsia" w:eastAsia="黑体"/>
          <w:color w:val="000000" w:themeColor="text1"/>
          <w:sz w:val="32"/>
          <w:szCs w:val="32"/>
          <w14:textFill>
            <w14:solidFill>
              <w14:schemeClr w14:val="tx1"/>
            </w14:solidFill>
          </w14:textFill>
        </w:rPr>
        <w:t>供应商认为需要提供的资质资格证明文件（如有）</w:t>
      </w:r>
    </w:p>
    <w:p w14:paraId="661C19E2">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（加盖供应商公章）</w:t>
      </w:r>
    </w:p>
    <w:p w14:paraId="5F19DB66">
      <w:pPr>
        <w:jc w:val="center"/>
        <w:rPr>
          <w:rFonts w:hint="eastAsia" w:ascii="仿宋_GB2312" w:eastAsia="仿宋_GB2312"/>
          <w:color w:val="000000" w:themeColor="text1"/>
          <w:sz w:val="28"/>
          <w:szCs w:val="28"/>
          <w14:textFill>
            <w14:solidFill>
              <w14:schemeClr w14:val="tx1"/>
            </w14:solidFill>
          </w14:textFill>
        </w:rPr>
      </w:pPr>
    </w:p>
    <w:p w14:paraId="7E02D242">
      <w:pPr>
        <w:jc w:val="center"/>
        <w:rPr>
          <w:rFonts w:ascii="黑体" w:hAnsi="黑体" w:eastAsia="黑体"/>
          <w:color w:val="000000" w:themeColor="text1"/>
          <w:sz w:val="32"/>
          <w:szCs w:val="32"/>
          <w14:textFill>
            <w14:solidFill>
              <w14:schemeClr w14:val="tx1"/>
            </w14:solidFill>
          </w14:textFill>
        </w:rPr>
      </w:pPr>
      <w:r>
        <w:rPr>
          <w:color w:val="000000" w:themeColor="text1"/>
          <w:sz w:val="32"/>
          <w14:textFill>
            <w14:solidFill>
              <w14:schemeClr w14:val="tx1"/>
            </w14:solidFill>
          </w14:textFill>
        </w:rPr>
        <w:br w:type="page"/>
      </w:r>
    </w:p>
    <w:p w14:paraId="4D4937FE">
      <w:pPr>
        <w:jc w:val="center"/>
        <w:rPr>
          <w:color w:val="000000" w:themeColor="text1"/>
          <w:sz w:val="32"/>
          <w:szCs w:val="32"/>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工程量清单</w:t>
      </w:r>
    </w:p>
    <w:p w14:paraId="0CF5FB98">
      <w:pPr>
        <w:jc w:val="right"/>
        <w:rPr>
          <w:rFonts w:ascii="宋体" w:hAnsi="宋体" w:cs="宋体"/>
          <w:color w:val="000000" w:themeColor="text1"/>
          <w:sz w:val="44"/>
          <w:szCs w:val="44"/>
          <w14:textFill>
            <w14:solidFill>
              <w14:schemeClr w14:val="tx1"/>
            </w14:solidFill>
          </w14:textFill>
        </w:rPr>
      </w:pPr>
      <w:r>
        <w:rPr>
          <w:rFonts w:ascii="仿宋_GB2312" w:eastAsia="仿宋_GB2312"/>
          <w:b/>
          <w:color w:val="000000" w:themeColor="text1"/>
          <w:sz w:val="30"/>
          <w:szCs w:val="30"/>
          <w14:textFill>
            <w14:solidFill>
              <w14:schemeClr w14:val="tx1"/>
            </w14:solidFill>
          </w14:textFill>
        </w:rPr>
        <w:br w:type="page"/>
      </w:r>
      <w:r>
        <w:rPr>
          <w:rFonts w:hint="eastAsia" w:ascii="仿宋_GB2312" w:hAnsi="宋体" w:eastAsia="仿宋_GB2312"/>
          <w:color w:val="000000" w:themeColor="text1"/>
          <w:sz w:val="22"/>
          <w:szCs w:val="28"/>
          <w14:textFill>
            <w14:solidFill>
              <w14:schemeClr w14:val="tx1"/>
            </w14:solidFill>
          </w14:textFill>
        </w:rPr>
        <w:t>如中标（成交），随中标（成交）公告公示</w:t>
      </w:r>
    </w:p>
    <w:p w14:paraId="53C1B469">
      <w:pPr>
        <w:jc w:val="center"/>
        <w:rPr>
          <w:rFonts w:ascii="黑体" w:hAnsi="黑体" w:eastAsia="黑体"/>
          <w:color w:val="000000" w:themeColor="text1"/>
          <w:sz w:val="32"/>
          <w:szCs w:val="32"/>
          <w14:textFill>
            <w14:solidFill>
              <w14:schemeClr w14:val="tx1"/>
            </w14:solidFill>
          </w14:textFill>
        </w:rPr>
      </w:pPr>
    </w:p>
    <w:p w14:paraId="4932F0D8">
      <w:pPr>
        <w:rPr>
          <w:rFonts w:ascii="黑体" w:hAnsi="黑体" w:eastAsia="黑体"/>
          <w:color w:val="000000" w:themeColor="text1"/>
          <w:sz w:val="32"/>
          <w:szCs w:val="32"/>
          <w14:textFill>
            <w14:solidFill>
              <w14:schemeClr w14:val="tx1"/>
            </w14:solidFill>
          </w14:textFill>
        </w:rPr>
      </w:pPr>
    </w:p>
    <w:p w14:paraId="424E59FF">
      <w:pPr>
        <w:jc w:val="center"/>
        <w:rPr>
          <w:rFonts w:ascii="黑体" w:hAnsi="黑体" w:eastAsia="黑体"/>
          <w:color w:val="000000" w:themeColor="text1"/>
          <w:sz w:val="32"/>
          <w:szCs w:val="32"/>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企业业绩情况表</w:t>
      </w:r>
    </w:p>
    <w:p w14:paraId="52DF6912">
      <w:pPr>
        <w:rPr>
          <w:b/>
          <w:color w:val="000000" w:themeColor="text1"/>
          <w:sz w:val="26"/>
          <w14:textFill>
            <w14:solidFill>
              <w14:schemeClr w14:val="tx1"/>
            </w14:solidFill>
          </w14:textFill>
        </w:rPr>
      </w:pPr>
    </w:p>
    <w:tbl>
      <w:tblPr>
        <w:tblStyle w:val="28"/>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2768EB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5FCEC4C8">
            <w:pPr>
              <w:jc w:val="cente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序号</w:t>
            </w:r>
          </w:p>
        </w:tc>
        <w:tc>
          <w:tcPr>
            <w:tcW w:w="976" w:type="dxa"/>
            <w:vAlign w:val="center"/>
          </w:tcPr>
          <w:p w14:paraId="1A60266B">
            <w:pPr>
              <w:jc w:val="cente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项目名称</w:t>
            </w:r>
          </w:p>
        </w:tc>
        <w:tc>
          <w:tcPr>
            <w:tcW w:w="975" w:type="dxa"/>
            <w:vAlign w:val="center"/>
          </w:tcPr>
          <w:p w14:paraId="75AE90B6">
            <w:pPr>
              <w:jc w:val="cente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项目规模</w:t>
            </w:r>
          </w:p>
        </w:tc>
        <w:tc>
          <w:tcPr>
            <w:tcW w:w="975" w:type="dxa"/>
            <w:vAlign w:val="center"/>
          </w:tcPr>
          <w:p w14:paraId="44F29F03">
            <w:pPr>
              <w:jc w:val="cente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发包人名称</w:t>
            </w:r>
          </w:p>
        </w:tc>
        <w:tc>
          <w:tcPr>
            <w:tcW w:w="975" w:type="dxa"/>
            <w:vAlign w:val="center"/>
          </w:tcPr>
          <w:p w14:paraId="2ACB0A89">
            <w:pPr>
              <w:jc w:val="cente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发包人联系人及电话</w:t>
            </w:r>
          </w:p>
        </w:tc>
        <w:tc>
          <w:tcPr>
            <w:tcW w:w="975" w:type="dxa"/>
            <w:vAlign w:val="center"/>
          </w:tcPr>
          <w:p w14:paraId="4A5FF872">
            <w:pPr>
              <w:jc w:val="cente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合同价格</w:t>
            </w:r>
          </w:p>
        </w:tc>
        <w:tc>
          <w:tcPr>
            <w:tcW w:w="975" w:type="dxa"/>
            <w:vAlign w:val="center"/>
          </w:tcPr>
          <w:p w14:paraId="5ECAFC9D">
            <w:pPr>
              <w:jc w:val="cente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开、竣工日期</w:t>
            </w:r>
          </w:p>
        </w:tc>
        <w:tc>
          <w:tcPr>
            <w:tcW w:w="975" w:type="dxa"/>
            <w:vAlign w:val="center"/>
          </w:tcPr>
          <w:p w14:paraId="2C49ECA7">
            <w:pPr>
              <w:jc w:val="cente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工程质量</w:t>
            </w:r>
          </w:p>
        </w:tc>
        <w:tc>
          <w:tcPr>
            <w:tcW w:w="975" w:type="dxa"/>
            <w:vAlign w:val="center"/>
          </w:tcPr>
          <w:p w14:paraId="2B087F70">
            <w:pPr>
              <w:jc w:val="cente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项目经理</w:t>
            </w:r>
          </w:p>
        </w:tc>
        <w:tc>
          <w:tcPr>
            <w:tcW w:w="975" w:type="dxa"/>
            <w:vAlign w:val="center"/>
          </w:tcPr>
          <w:p w14:paraId="000DAB15">
            <w:pPr>
              <w:jc w:val="cente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设计负责人</w:t>
            </w:r>
          </w:p>
        </w:tc>
      </w:tr>
      <w:tr w14:paraId="44E3E3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7F1A4B77">
            <w:pPr>
              <w:rPr>
                <w:b/>
                <w:color w:val="000000" w:themeColor="text1"/>
                <w:sz w:val="19"/>
                <w14:textFill>
                  <w14:solidFill>
                    <w14:schemeClr w14:val="tx1"/>
                  </w14:solidFill>
                </w14:textFill>
              </w:rPr>
            </w:pPr>
          </w:p>
          <w:p w14:paraId="2ECE054C">
            <w:pPr>
              <w:rPr>
                <w:color w:val="000000" w:themeColor="text1"/>
                <w:sz w:val="20"/>
                <w14:textFill>
                  <w14:solidFill>
                    <w14:schemeClr w14:val="tx1"/>
                  </w14:solidFill>
                </w14:textFill>
              </w:rPr>
            </w:pPr>
            <w:r>
              <w:rPr>
                <w:color w:val="000000" w:themeColor="text1"/>
                <w:w w:val="99"/>
                <w:sz w:val="20"/>
                <w14:textFill>
                  <w14:solidFill>
                    <w14:schemeClr w14:val="tx1"/>
                  </w14:solidFill>
                </w14:textFill>
              </w:rPr>
              <w:t>1</w:t>
            </w:r>
          </w:p>
        </w:tc>
        <w:tc>
          <w:tcPr>
            <w:tcW w:w="976" w:type="dxa"/>
          </w:tcPr>
          <w:p w14:paraId="30AE1232">
            <w:pPr>
              <w:rPr>
                <w:color w:val="000000" w:themeColor="text1"/>
                <w:sz w:val="20"/>
                <w14:textFill>
                  <w14:solidFill>
                    <w14:schemeClr w14:val="tx1"/>
                  </w14:solidFill>
                </w14:textFill>
              </w:rPr>
            </w:pPr>
          </w:p>
        </w:tc>
        <w:tc>
          <w:tcPr>
            <w:tcW w:w="975" w:type="dxa"/>
          </w:tcPr>
          <w:p w14:paraId="20FCDCFC">
            <w:pPr>
              <w:rPr>
                <w:color w:val="000000" w:themeColor="text1"/>
                <w:sz w:val="20"/>
                <w14:textFill>
                  <w14:solidFill>
                    <w14:schemeClr w14:val="tx1"/>
                  </w14:solidFill>
                </w14:textFill>
              </w:rPr>
            </w:pPr>
          </w:p>
        </w:tc>
        <w:tc>
          <w:tcPr>
            <w:tcW w:w="975" w:type="dxa"/>
          </w:tcPr>
          <w:p w14:paraId="1FB67AB4">
            <w:pPr>
              <w:rPr>
                <w:color w:val="000000" w:themeColor="text1"/>
                <w:sz w:val="20"/>
                <w14:textFill>
                  <w14:solidFill>
                    <w14:schemeClr w14:val="tx1"/>
                  </w14:solidFill>
                </w14:textFill>
              </w:rPr>
            </w:pPr>
          </w:p>
        </w:tc>
        <w:tc>
          <w:tcPr>
            <w:tcW w:w="975" w:type="dxa"/>
          </w:tcPr>
          <w:p w14:paraId="368E05FC">
            <w:pPr>
              <w:rPr>
                <w:color w:val="000000" w:themeColor="text1"/>
                <w:sz w:val="20"/>
                <w14:textFill>
                  <w14:solidFill>
                    <w14:schemeClr w14:val="tx1"/>
                  </w14:solidFill>
                </w14:textFill>
              </w:rPr>
            </w:pPr>
          </w:p>
        </w:tc>
        <w:tc>
          <w:tcPr>
            <w:tcW w:w="975" w:type="dxa"/>
          </w:tcPr>
          <w:p w14:paraId="0188700A">
            <w:pPr>
              <w:rPr>
                <w:color w:val="000000" w:themeColor="text1"/>
                <w:sz w:val="20"/>
                <w14:textFill>
                  <w14:solidFill>
                    <w14:schemeClr w14:val="tx1"/>
                  </w14:solidFill>
                </w14:textFill>
              </w:rPr>
            </w:pPr>
          </w:p>
        </w:tc>
        <w:tc>
          <w:tcPr>
            <w:tcW w:w="975" w:type="dxa"/>
          </w:tcPr>
          <w:p w14:paraId="6A3EDACA">
            <w:pPr>
              <w:rPr>
                <w:color w:val="000000" w:themeColor="text1"/>
                <w:sz w:val="20"/>
                <w14:textFill>
                  <w14:solidFill>
                    <w14:schemeClr w14:val="tx1"/>
                  </w14:solidFill>
                </w14:textFill>
              </w:rPr>
            </w:pPr>
          </w:p>
        </w:tc>
        <w:tc>
          <w:tcPr>
            <w:tcW w:w="975" w:type="dxa"/>
          </w:tcPr>
          <w:p w14:paraId="085C6934">
            <w:pPr>
              <w:rPr>
                <w:color w:val="000000" w:themeColor="text1"/>
                <w:sz w:val="20"/>
                <w14:textFill>
                  <w14:solidFill>
                    <w14:schemeClr w14:val="tx1"/>
                  </w14:solidFill>
                </w14:textFill>
              </w:rPr>
            </w:pPr>
          </w:p>
        </w:tc>
        <w:tc>
          <w:tcPr>
            <w:tcW w:w="975" w:type="dxa"/>
          </w:tcPr>
          <w:p w14:paraId="5C3CAB75">
            <w:pPr>
              <w:rPr>
                <w:color w:val="000000" w:themeColor="text1"/>
                <w:sz w:val="20"/>
                <w14:textFill>
                  <w14:solidFill>
                    <w14:schemeClr w14:val="tx1"/>
                  </w14:solidFill>
                </w14:textFill>
              </w:rPr>
            </w:pPr>
          </w:p>
        </w:tc>
        <w:tc>
          <w:tcPr>
            <w:tcW w:w="975" w:type="dxa"/>
          </w:tcPr>
          <w:p w14:paraId="1E8A90DB">
            <w:pPr>
              <w:rPr>
                <w:color w:val="000000" w:themeColor="text1"/>
                <w:sz w:val="20"/>
                <w14:textFill>
                  <w14:solidFill>
                    <w14:schemeClr w14:val="tx1"/>
                  </w14:solidFill>
                </w14:textFill>
              </w:rPr>
            </w:pPr>
          </w:p>
        </w:tc>
      </w:tr>
      <w:tr w14:paraId="09BB3D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75A9B255">
            <w:pPr>
              <w:rPr>
                <w:b/>
                <w:color w:val="000000" w:themeColor="text1"/>
                <w:sz w:val="19"/>
                <w14:textFill>
                  <w14:solidFill>
                    <w14:schemeClr w14:val="tx1"/>
                  </w14:solidFill>
                </w14:textFill>
              </w:rPr>
            </w:pPr>
          </w:p>
          <w:p w14:paraId="0A2B5C4C">
            <w:pPr>
              <w:rPr>
                <w:color w:val="000000" w:themeColor="text1"/>
                <w:sz w:val="20"/>
                <w14:textFill>
                  <w14:solidFill>
                    <w14:schemeClr w14:val="tx1"/>
                  </w14:solidFill>
                </w14:textFill>
              </w:rPr>
            </w:pPr>
            <w:r>
              <w:rPr>
                <w:color w:val="000000" w:themeColor="text1"/>
                <w:w w:val="99"/>
                <w:sz w:val="20"/>
                <w14:textFill>
                  <w14:solidFill>
                    <w14:schemeClr w14:val="tx1"/>
                  </w14:solidFill>
                </w14:textFill>
              </w:rPr>
              <w:t>2</w:t>
            </w:r>
          </w:p>
        </w:tc>
        <w:tc>
          <w:tcPr>
            <w:tcW w:w="976" w:type="dxa"/>
          </w:tcPr>
          <w:p w14:paraId="3C807500">
            <w:pPr>
              <w:rPr>
                <w:color w:val="000000" w:themeColor="text1"/>
                <w:sz w:val="20"/>
                <w14:textFill>
                  <w14:solidFill>
                    <w14:schemeClr w14:val="tx1"/>
                  </w14:solidFill>
                </w14:textFill>
              </w:rPr>
            </w:pPr>
          </w:p>
        </w:tc>
        <w:tc>
          <w:tcPr>
            <w:tcW w:w="975" w:type="dxa"/>
          </w:tcPr>
          <w:p w14:paraId="27154CFB">
            <w:pPr>
              <w:rPr>
                <w:color w:val="000000" w:themeColor="text1"/>
                <w:sz w:val="20"/>
                <w14:textFill>
                  <w14:solidFill>
                    <w14:schemeClr w14:val="tx1"/>
                  </w14:solidFill>
                </w14:textFill>
              </w:rPr>
            </w:pPr>
          </w:p>
        </w:tc>
        <w:tc>
          <w:tcPr>
            <w:tcW w:w="975" w:type="dxa"/>
          </w:tcPr>
          <w:p w14:paraId="7736F3B3">
            <w:pPr>
              <w:rPr>
                <w:color w:val="000000" w:themeColor="text1"/>
                <w:sz w:val="20"/>
                <w14:textFill>
                  <w14:solidFill>
                    <w14:schemeClr w14:val="tx1"/>
                  </w14:solidFill>
                </w14:textFill>
              </w:rPr>
            </w:pPr>
          </w:p>
        </w:tc>
        <w:tc>
          <w:tcPr>
            <w:tcW w:w="975" w:type="dxa"/>
          </w:tcPr>
          <w:p w14:paraId="123014EA">
            <w:pPr>
              <w:rPr>
                <w:color w:val="000000" w:themeColor="text1"/>
                <w:sz w:val="20"/>
                <w14:textFill>
                  <w14:solidFill>
                    <w14:schemeClr w14:val="tx1"/>
                  </w14:solidFill>
                </w14:textFill>
              </w:rPr>
            </w:pPr>
          </w:p>
        </w:tc>
        <w:tc>
          <w:tcPr>
            <w:tcW w:w="975" w:type="dxa"/>
          </w:tcPr>
          <w:p w14:paraId="599F0449">
            <w:pPr>
              <w:rPr>
                <w:color w:val="000000" w:themeColor="text1"/>
                <w:sz w:val="20"/>
                <w14:textFill>
                  <w14:solidFill>
                    <w14:schemeClr w14:val="tx1"/>
                  </w14:solidFill>
                </w14:textFill>
              </w:rPr>
            </w:pPr>
          </w:p>
        </w:tc>
        <w:tc>
          <w:tcPr>
            <w:tcW w:w="975" w:type="dxa"/>
          </w:tcPr>
          <w:p w14:paraId="447455F6">
            <w:pPr>
              <w:rPr>
                <w:color w:val="000000" w:themeColor="text1"/>
                <w:sz w:val="20"/>
                <w14:textFill>
                  <w14:solidFill>
                    <w14:schemeClr w14:val="tx1"/>
                  </w14:solidFill>
                </w14:textFill>
              </w:rPr>
            </w:pPr>
          </w:p>
        </w:tc>
        <w:tc>
          <w:tcPr>
            <w:tcW w:w="975" w:type="dxa"/>
          </w:tcPr>
          <w:p w14:paraId="3E12985B">
            <w:pPr>
              <w:rPr>
                <w:color w:val="000000" w:themeColor="text1"/>
                <w:sz w:val="20"/>
                <w14:textFill>
                  <w14:solidFill>
                    <w14:schemeClr w14:val="tx1"/>
                  </w14:solidFill>
                </w14:textFill>
              </w:rPr>
            </w:pPr>
          </w:p>
        </w:tc>
        <w:tc>
          <w:tcPr>
            <w:tcW w:w="975" w:type="dxa"/>
          </w:tcPr>
          <w:p w14:paraId="6A6BBAAA">
            <w:pPr>
              <w:rPr>
                <w:color w:val="000000" w:themeColor="text1"/>
                <w:sz w:val="20"/>
                <w14:textFill>
                  <w14:solidFill>
                    <w14:schemeClr w14:val="tx1"/>
                  </w14:solidFill>
                </w14:textFill>
              </w:rPr>
            </w:pPr>
          </w:p>
        </w:tc>
        <w:tc>
          <w:tcPr>
            <w:tcW w:w="975" w:type="dxa"/>
          </w:tcPr>
          <w:p w14:paraId="41E50345">
            <w:pPr>
              <w:rPr>
                <w:color w:val="000000" w:themeColor="text1"/>
                <w:sz w:val="20"/>
                <w14:textFill>
                  <w14:solidFill>
                    <w14:schemeClr w14:val="tx1"/>
                  </w14:solidFill>
                </w14:textFill>
              </w:rPr>
            </w:pPr>
          </w:p>
        </w:tc>
      </w:tr>
      <w:tr w14:paraId="69698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F2193B4">
            <w:pPr>
              <w:rPr>
                <w:b/>
                <w:color w:val="000000" w:themeColor="text1"/>
                <w:sz w:val="19"/>
                <w14:textFill>
                  <w14:solidFill>
                    <w14:schemeClr w14:val="tx1"/>
                  </w14:solidFill>
                </w14:textFill>
              </w:rPr>
            </w:pPr>
          </w:p>
          <w:p w14:paraId="762C4FE2">
            <w:pPr>
              <w:rPr>
                <w:color w:val="000000" w:themeColor="text1"/>
                <w:sz w:val="20"/>
                <w14:textFill>
                  <w14:solidFill>
                    <w14:schemeClr w14:val="tx1"/>
                  </w14:solidFill>
                </w14:textFill>
              </w:rPr>
            </w:pPr>
            <w:r>
              <w:rPr>
                <w:color w:val="000000" w:themeColor="text1"/>
                <w:w w:val="99"/>
                <w:sz w:val="20"/>
                <w14:textFill>
                  <w14:solidFill>
                    <w14:schemeClr w14:val="tx1"/>
                  </w14:solidFill>
                </w14:textFill>
              </w:rPr>
              <w:t>3</w:t>
            </w:r>
          </w:p>
        </w:tc>
        <w:tc>
          <w:tcPr>
            <w:tcW w:w="976" w:type="dxa"/>
          </w:tcPr>
          <w:p w14:paraId="1D0175BC">
            <w:pPr>
              <w:rPr>
                <w:color w:val="000000" w:themeColor="text1"/>
                <w:sz w:val="20"/>
                <w14:textFill>
                  <w14:solidFill>
                    <w14:schemeClr w14:val="tx1"/>
                  </w14:solidFill>
                </w14:textFill>
              </w:rPr>
            </w:pPr>
          </w:p>
        </w:tc>
        <w:tc>
          <w:tcPr>
            <w:tcW w:w="975" w:type="dxa"/>
          </w:tcPr>
          <w:p w14:paraId="5C0E5EAC">
            <w:pPr>
              <w:rPr>
                <w:color w:val="000000" w:themeColor="text1"/>
                <w:sz w:val="20"/>
                <w14:textFill>
                  <w14:solidFill>
                    <w14:schemeClr w14:val="tx1"/>
                  </w14:solidFill>
                </w14:textFill>
              </w:rPr>
            </w:pPr>
          </w:p>
        </w:tc>
        <w:tc>
          <w:tcPr>
            <w:tcW w:w="975" w:type="dxa"/>
          </w:tcPr>
          <w:p w14:paraId="2E52E139">
            <w:pPr>
              <w:rPr>
                <w:color w:val="000000" w:themeColor="text1"/>
                <w:sz w:val="20"/>
                <w14:textFill>
                  <w14:solidFill>
                    <w14:schemeClr w14:val="tx1"/>
                  </w14:solidFill>
                </w14:textFill>
              </w:rPr>
            </w:pPr>
          </w:p>
        </w:tc>
        <w:tc>
          <w:tcPr>
            <w:tcW w:w="975" w:type="dxa"/>
          </w:tcPr>
          <w:p w14:paraId="3C972166">
            <w:pPr>
              <w:rPr>
                <w:color w:val="000000" w:themeColor="text1"/>
                <w:sz w:val="20"/>
                <w14:textFill>
                  <w14:solidFill>
                    <w14:schemeClr w14:val="tx1"/>
                  </w14:solidFill>
                </w14:textFill>
              </w:rPr>
            </w:pPr>
          </w:p>
        </w:tc>
        <w:tc>
          <w:tcPr>
            <w:tcW w:w="975" w:type="dxa"/>
          </w:tcPr>
          <w:p w14:paraId="0CE909CB">
            <w:pPr>
              <w:rPr>
                <w:color w:val="000000" w:themeColor="text1"/>
                <w:sz w:val="20"/>
                <w14:textFill>
                  <w14:solidFill>
                    <w14:schemeClr w14:val="tx1"/>
                  </w14:solidFill>
                </w14:textFill>
              </w:rPr>
            </w:pPr>
          </w:p>
        </w:tc>
        <w:tc>
          <w:tcPr>
            <w:tcW w:w="975" w:type="dxa"/>
          </w:tcPr>
          <w:p w14:paraId="63296C03">
            <w:pPr>
              <w:rPr>
                <w:color w:val="000000" w:themeColor="text1"/>
                <w:sz w:val="20"/>
                <w14:textFill>
                  <w14:solidFill>
                    <w14:schemeClr w14:val="tx1"/>
                  </w14:solidFill>
                </w14:textFill>
              </w:rPr>
            </w:pPr>
          </w:p>
        </w:tc>
        <w:tc>
          <w:tcPr>
            <w:tcW w:w="975" w:type="dxa"/>
          </w:tcPr>
          <w:p w14:paraId="4721A2EE">
            <w:pPr>
              <w:rPr>
                <w:color w:val="000000" w:themeColor="text1"/>
                <w:sz w:val="20"/>
                <w14:textFill>
                  <w14:solidFill>
                    <w14:schemeClr w14:val="tx1"/>
                  </w14:solidFill>
                </w14:textFill>
              </w:rPr>
            </w:pPr>
          </w:p>
        </w:tc>
        <w:tc>
          <w:tcPr>
            <w:tcW w:w="975" w:type="dxa"/>
          </w:tcPr>
          <w:p w14:paraId="70745741">
            <w:pPr>
              <w:rPr>
                <w:color w:val="000000" w:themeColor="text1"/>
                <w:sz w:val="20"/>
                <w14:textFill>
                  <w14:solidFill>
                    <w14:schemeClr w14:val="tx1"/>
                  </w14:solidFill>
                </w14:textFill>
              </w:rPr>
            </w:pPr>
          </w:p>
        </w:tc>
        <w:tc>
          <w:tcPr>
            <w:tcW w:w="975" w:type="dxa"/>
          </w:tcPr>
          <w:p w14:paraId="3A444DCD">
            <w:pPr>
              <w:rPr>
                <w:color w:val="000000" w:themeColor="text1"/>
                <w:sz w:val="20"/>
                <w14:textFill>
                  <w14:solidFill>
                    <w14:schemeClr w14:val="tx1"/>
                  </w14:solidFill>
                </w14:textFill>
              </w:rPr>
            </w:pPr>
          </w:p>
        </w:tc>
      </w:tr>
      <w:tr w14:paraId="2ECEF6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1190C80C">
            <w:pPr>
              <w:rPr>
                <w:b/>
                <w:color w:val="000000" w:themeColor="text1"/>
                <w:sz w:val="19"/>
                <w14:textFill>
                  <w14:solidFill>
                    <w14:schemeClr w14:val="tx1"/>
                  </w14:solidFill>
                </w14:textFill>
              </w:rPr>
            </w:pPr>
          </w:p>
          <w:p w14:paraId="7A5731DF">
            <w:pPr>
              <w:rPr>
                <w:color w:val="000000" w:themeColor="text1"/>
                <w:sz w:val="20"/>
                <w14:textFill>
                  <w14:solidFill>
                    <w14:schemeClr w14:val="tx1"/>
                  </w14:solidFill>
                </w14:textFill>
              </w:rPr>
            </w:pPr>
            <w:r>
              <w:rPr>
                <w:color w:val="000000" w:themeColor="text1"/>
                <w:w w:val="99"/>
                <w:sz w:val="20"/>
                <w14:textFill>
                  <w14:solidFill>
                    <w14:schemeClr w14:val="tx1"/>
                  </w14:solidFill>
                </w14:textFill>
              </w:rPr>
              <w:t>4</w:t>
            </w:r>
          </w:p>
        </w:tc>
        <w:tc>
          <w:tcPr>
            <w:tcW w:w="976" w:type="dxa"/>
          </w:tcPr>
          <w:p w14:paraId="7E213D15">
            <w:pPr>
              <w:rPr>
                <w:color w:val="000000" w:themeColor="text1"/>
                <w:sz w:val="20"/>
                <w14:textFill>
                  <w14:solidFill>
                    <w14:schemeClr w14:val="tx1"/>
                  </w14:solidFill>
                </w14:textFill>
              </w:rPr>
            </w:pPr>
          </w:p>
        </w:tc>
        <w:tc>
          <w:tcPr>
            <w:tcW w:w="975" w:type="dxa"/>
          </w:tcPr>
          <w:p w14:paraId="5C313F3F">
            <w:pPr>
              <w:rPr>
                <w:color w:val="000000" w:themeColor="text1"/>
                <w:sz w:val="20"/>
                <w14:textFill>
                  <w14:solidFill>
                    <w14:schemeClr w14:val="tx1"/>
                  </w14:solidFill>
                </w14:textFill>
              </w:rPr>
            </w:pPr>
          </w:p>
        </w:tc>
        <w:tc>
          <w:tcPr>
            <w:tcW w:w="975" w:type="dxa"/>
          </w:tcPr>
          <w:p w14:paraId="68542E06">
            <w:pPr>
              <w:rPr>
                <w:color w:val="000000" w:themeColor="text1"/>
                <w:sz w:val="20"/>
                <w14:textFill>
                  <w14:solidFill>
                    <w14:schemeClr w14:val="tx1"/>
                  </w14:solidFill>
                </w14:textFill>
              </w:rPr>
            </w:pPr>
          </w:p>
        </w:tc>
        <w:tc>
          <w:tcPr>
            <w:tcW w:w="975" w:type="dxa"/>
          </w:tcPr>
          <w:p w14:paraId="007689BB">
            <w:pPr>
              <w:rPr>
                <w:color w:val="000000" w:themeColor="text1"/>
                <w:sz w:val="20"/>
                <w14:textFill>
                  <w14:solidFill>
                    <w14:schemeClr w14:val="tx1"/>
                  </w14:solidFill>
                </w14:textFill>
              </w:rPr>
            </w:pPr>
          </w:p>
        </w:tc>
        <w:tc>
          <w:tcPr>
            <w:tcW w:w="975" w:type="dxa"/>
          </w:tcPr>
          <w:p w14:paraId="5E8E6D79">
            <w:pPr>
              <w:rPr>
                <w:color w:val="000000" w:themeColor="text1"/>
                <w:sz w:val="20"/>
                <w14:textFill>
                  <w14:solidFill>
                    <w14:schemeClr w14:val="tx1"/>
                  </w14:solidFill>
                </w14:textFill>
              </w:rPr>
            </w:pPr>
          </w:p>
        </w:tc>
        <w:tc>
          <w:tcPr>
            <w:tcW w:w="975" w:type="dxa"/>
          </w:tcPr>
          <w:p w14:paraId="190AB10C">
            <w:pPr>
              <w:rPr>
                <w:color w:val="000000" w:themeColor="text1"/>
                <w:sz w:val="20"/>
                <w14:textFill>
                  <w14:solidFill>
                    <w14:schemeClr w14:val="tx1"/>
                  </w14:solidFill>
                </w14:textFill>
              </w:rPr>
            </w:pPr>
          </w:p>
        </w:tc>
        <w:tc>
          <w:tcPr>
            <w:tcW w:w="975" w:type="dxa"/>
          </w:tcPr>
          <w:p w14:paraId="4A36E27D">
            <w:pPr>
              <w:rPr>
                <w:color w:val="000000" w:themeColor="text1"/>
                <w:sz w:val="20"/>
                <w14:textFill>
                  <w14:solidFill>
                    <w14:schemeClr w14:val="tx1"/>
                  </w14:solidFill>
                </w14:textFill>
              </w:rPr>
            </w:pPr>
          </w:p>
        </w:tc>
        <w:tc>
          <w:tcPr>
            <w:tcW w:w="975" w:type="dxa"/>
          </w:tcPr>
          <w:p w14:paraId="369BBA0A">
            <w:pPr>
              <w:rPr>
                <w:color w:val="000000" w:themeColor="text1"/>
                <w:sz w:val="20"/>
                <w14:textFill>
                  <w14:solidFill>
                    <w14:schemeClr w14:val="tx1"/>
                  </w14:solidFill>
                </w14:textFill>
              </w:rPr>
            </w:pPr>
          </w:p>
        </w:tc>
        <w:tc>
          <w:tcPr>
            <w:tcW w:w="975" w:type="dxa"/>
          </w:tcPr>
          <w:p w14:paraId="0F3CE94D">
            <w:pPr>
              <w:rPr>
                <w:color w:val="000000" w:themeColor="text1"/>
                <w:sz w:val="20"/>
                <w14:textFill>
                  <w14:solidFill>
                    <w14:schemeClr w14:val="tx1"/>
                  </w14:solidFill>
                </w14:textFill>
              </w:rPr>
            </w:pPr>
          </w:p>
        </w:tc>
      </w:tr>
      <w:tr w14:paraId="3949B9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80" w:hRule="atLeast"/>
        </w:trPr>
        <w:tc>
          <w:tcPr>
            <w:tcW w:w="976" w:type="dxa"/>
          </w:tcPr>
          <w:p w14:paraId="54CEC50C">
            <w:pPr>
              <w:rPr>
                <w:color w:val="000000" w:themeColor="text1"/>
                <w:sz w:val="20"/>
                <w14:textFill>
                  <w14:solidFill>
                    <w14:schemeClr w14:val="tx1"/>
                  </w14:solidFill>
                </w14:textFill>
              </w:rPr>
            </w:pPr>
          </w:p>
        </w:tc>
        <w:tc>
          <w:tcPr>
            <w:tcW w:w="976" w:type="dxa"/>
          </w:tcPr>
          <w:p w14:paraId="1B6A4716">
            <w:pPr>
              <w:rPr>
                <w:color w:val="000000" w:themeColor="text1"/>
                <w:sz w:val="20"/>
                <w14:textFill>
                  <w14:solidFill>
                    <w14:schemeClr w14:val="tx1"/>
                  </w14:solidFill>
                </w14:textFill>
              </w:rPr>
            </w:pPr>
          </w:p>
        </w:tc>
        <w:tc>
          <w:tcPr>
            <w:tcW w:w="975" w:type="dxa"/>
          </w:tcPr>
          <w:p w14:paraId="5735D5C8">
            <w:pPr>
              <w:rPr>
                <w:color w:val="000000" w:themeColor="text1"/>
                <w:sz w:val="20"/>
                <w14:textFill>
                  <w14:solidFill>
                    <w14:schemeClr w14:val="tx1"/>
                  </w14:solidFill>
                </w14:textFill>
              </w:rPr>
            </w:pPr>
          </w:p>
        </w:tc>
        <w:tc>
          <w:tcPr>
            <w:tcW w:w="975" w:type="dxa"/>
          </w:tcPr>
          <w:p w14:paraId="47573BBD">
            <w:pPr>
              <w:rPr>
                <w:color w:val="000000" w:themeColor="text1"/>
                <w:sz w:val="20"/>
                <w14:textFill>
                  <w14:solidFill>
                    <w14:schemeClr w14:val="tx1"/>
                  </w14:solidFill>
                </w14:textFill>
              </w:rPr>
            </w:pPr>
          </w:p>
        </w:tc>
        <w:tc>
          <w:tcPr>
            <w:tcW w:w="975" w:type="dxa"/>
          </w:tcPr>
          <w:p w14:paraId="789B9294">
            <w:pPr>
              <w:rPr>
                <w:color w:val="000000" w:themeColor="text1"/>
                <w:sz w:val="20"/>
                <w14:textFill>
                  <w14:solidFill>
                    <w14:schemeClr w14:val="tx1"/>
                  </w14:solidFill>
                </w14:textFill>
              </w:rPr>
            </w:pPr>
          </w:p>
        </w:tc>
        <w:tc>
          <w:tcPr>
            <w:tcW w:w="975" w:type="dxa"/>
          </w:tcPr>
          <w:p w14:paraId="03533E91">
            <w:pPr>
              <w:rPr>
                <w:color w:val="000000" w:themeColor="text1"/>
                <w:sz w:val="20"/>
                <w14:textFill>
                  <w14:solidFill>
                    <w14:schemeClr w14:val="tx1"/>
                  </w14:solidFill>
                </w14:textFill>
              </w:rPr>
            </w:pPr>
          </w:p>
        </w:tc>
        <w:tc>
          <w:tcPr>
            <w:tcW w:w="975" w:type="dxa"/>
          </w:tcPr>
          <w:p w14:paraId="2B93EB76">
            <w:pPr>
              <w:rPr>
                <w:color w:val="000000" w:themeColor="text1"/>
                <w:sz w:val="20"/>
                <w14:textFill>
                  <w14:solidFill>
                    <w14:schemeClr w14:val="tx1"/>
                  </w14:solidFill>
                </w14:textFill>
              </w:rPr>
            </w:pPr>
          </w:p>
        </w:tc>
        <w:tc>
          <w:tcPr>
            <w:tcW w:w="975" w:type="dxa"/>
          </w:tcPr>
          <w:p w14:paraId="64BCDCD8">
            <w:pPr>
              <w:rPr>
                <w:color w:val="000000" w:themeColor="text1"/>
                <w:sz w:val="20"/>
                <w14:textFill>
                  <w14:solidFill>
                    <w14:schemeClr w14:val="tx1"/>
                  </w14:solidFill>
                </w14:textFill>
              </w:rPr>
            </w:pPr>
          </w:p>
        </w:tc>
        <w:tc>
          <w:tcPr>
            <w:tcW w:w="975" w:type="dxa"/>
          </w:tcPr>
          <w:p w14:paraId="3C71262E">
            <w:pPr>
              <w:rPr>
                <w:color w:val="000000" w:themeColor="text1"/>
                <w:sz w:val="20"/>
                <w14:textFill>
                  <w14:solidFill>
                    <w14:schemeClr w14:val="tx1"/>
                  </w14:solidFill>
                </w14:textFill>
              </w:rPr>
            </w:pPr>
          </w:p>
        </w:tc>
        <w:tc>
          <w:tcPr>
            <w:tcW w:w="975" w:type="dxa"/>
          </w:tcPr>
          <w:p w14:paraId="5BD29923">
            <w:pPr>
              <w:rPr>
                <w:color w:val="000000" w:themeColor="text1"/>
                <w:sz w:val="20"/>
                <w14:textFill>
                  <w14:solidFill>
                    <w14:schemeClr w14:val="tx1"/>
                  </w14:solidFill>
                </w14:textFill>
              </w:rPr>
            </w:pPr>
          </w:p>
        </w:tc>
      </w:tr>
      <w:tr w14:paraId="2258DF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C517E36">
            <w:pPr>
              <w:rPr>
                <w:color w:val="000000" w:themeColor="text1"/>
                <w:sz w:val="20"/>
                <w14:textFill>
                  <w14:solidFill>
                    <w14:schemeClr w14:val="tx1"/>
                  </w14:solidFill>
                </w14:textFill>
              </w:rPr>
            </w:pPr>
          </w:p>
        </w:tc>
        <w:tc>
          <w:tcPr>
            <w:tcW w:w="976" w:type="dxa"/>
          </w:tcPr>
          <w:p w14:paraId="3D63C46B">
            <w:pPr>
              <w:rPr>
                <w:color w:val="000000" w:themeColor="text1"/>
                <w:sz w:val="20"/>
                <w14:textFill>
                  <w14:solidFill>
                    <w14:schemeClr w14:val="tx1"/>
                  </w14:solidFill>
                </w14:textFill>
              </w:rPr>
            </w:pPr>
          </w:p>
        </w:tc>
        <w:tc>
          <w:tcPr>
            <w:tcW w:w="975" w:type="dxa"/>
          </w:tcPr>
          <w:p w14:paraId="37731ECE">
            <w:pPr>
              <w:rPr>
                <w:color w:val="000000" w:themeColor="text1"/>
                <w:sz w:val="20"/>
                <w14:textFill>
                  <w14:solidFill>
                    <w14:schemeClr w14:val="tx1"/>
                  </w14:solidFill>
                </w14:textFill>
              </w:rPr>
            </w:pPr>
          </w:p>
        </w:tc>
        <w:tc>
          <w:tcPr>
            <w:tcW w:w="975" w:type="dxa"/>
          </w:tcPr>
          <w:p w14:paraId="567187D2">
            <w:pPr>
              <w:rPr>
                <w:color w:val="000000" w:themeColor="text1"/>
                <w:sz w:val="20"/>
                <w14:textFill>
                  <w14:solidFill>
                    <w14:schemeClr w14:val="tx1"/>
                  </w14:solidFill>
                </w14:textFill>
              </w:rPr>
            </w:pPr>
          </w:p>
        </w:tc>
        <w:tc>
          <w:tcPr>
            <w:tcW w:w="975" w:type="dxa"/>
          </w:tcPr>
          <w:p w14:paraId="5C746BF6">
            <w:pPr>
              <w:rPr>
                <w:color w:val="000000" w:themeColor="text1"/>
                <w:sz w:val="20"/>
                <w14:textFill>
                  <w14:solidFill>
                    <w14:schemeClr w14:val="tx1"/>
                  </w14:solidFill>
                </w14:textFill>
              </w:rPr>
            </w:pPr>
          </w:p>
        </w:tc>
        <w:tc>
          <w:tcPr>
            <w:tcW w:w="975" w:type="dxa"/>
          </w:tcPr>
          <w:p w14:paraId="795EB30D">
            <w:pPr>
              <w:rPr>
                <w:color w:val="000000" w:themeColor="text1"/>
                <w:sz w:val="20"/>
                <w14:textFill>
                  <w14:solidFill>
                    <w14:schemeClr w14:val="tx1"/>
                  </w14:solidFill>
                </w14:textFill>
              </w:rPr>
            </w:pPr>
          </w:p>
        </w:tc>
        <w:tc>
          <w:tcPr>
            <w:tcW w:w="975" w:type="dxa"/>
          </w:tcPr>
          <w:p w14:paraId="4107EF23">
            <w:pPr>
              <w:rPr>
                <w:color w:val="000000" w:themeColor="text1"/>
                <w:sz w:val="20"/>
                <w14:textFill>
                  <w14:solidFill>
                    <w14:schemeClr w14:val="tx1"/>
                  </w14:solidFill>
                </w14:textFill>
              </w:rPr>
            </w:pPr>
          </w:p>
        </w:tc>
        <w:tc>
          <w:tcPr>
            <w:tcW w:w="975" w:type="dxa"/>
          </w:tcPr>
          <w:p w14:paraId="686DDD77">
            <w:pPr>
              <w:rPr>
                <w:color w:val="000000" w:themeColor="text1"/>
                <w:sz w:val="20"/>
                <w14:textFill>
                  <w14:solidFill>
                    <w14:schemeClr w14:val="tx1"/>
                  </w14:solidFill>
                </w14:textFill>
              </w:rPr>
            </w:pPr>
          </w:p>
        </w:tc>
        <w:tc>
          <w:tcPr>
            <w:tcW w:w="975" w:type="dxa"/>
          </w:tcPr>
          <w:p w14:paraId="59D61092">
            <w:pPr>
              <w:rPr>
                <w:color w:val="000000" w:themeColor="text1"/>
                <w:sz w:val="20"/>
                <w14:textFill>
                  <w14:solidFill>
                    <w14:schemeClr w14:val="tx1"/>
                  </w14:solidFill>
                </w14:textFill>
              </w:rPr>
            </w:pPr>
          </w:p>
        </w:tc>
        <w:tc>
          <w:tcPr>
            <w:tcW w:w="975" w:type="dxa"/>
          </w:tcPr>
          <w:p w14:paraId="044691ED">
            <w:pPr>
              <w:rPr>
                <w:color w:val="000000" w:themeColor="text1"/>
                <w:sz w:val="20"/>
                <w14:textFill>
                  <w14:solidFill>
                    <w14:schemeClr w14:val="tx1"/>
                  </w14:solidFill>
                </w14:textFill>
              </w:rPr>
            </w:pPr>
          </w:p>
        </w:tc>
      </w:tr>
      <w:tr w14:paraId="5C91E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6799642">
            <w:pPr>
              <w:rPr>
                <w:b/>
                <w:color w:val="000000" w:themeColor="text1"/>
                <w:sz w:val="19"/>
                <w14:textFill>
                  <w14:solidFill>
                    <w14:schemeClr w14:val="tx1"/>
                  </w14:solidFill>
                </w14:textFill>
              </w:rPr>
            </w:pPr>
          </w:p>
          <w:p w14:paraId="41862D0E">
            <w:pPr>
              <w:rPr>
                <w:color w:val="000000" w:themeColor="text1"/>
                <w:sz w:val="20"/>
                <w14:textFill>
                  <w14:solidFill>
                    <w14:schemeClr w14:val="tx1"/>
                  </w14:solidFill>
                </w14:textFill>
              </w:rPr>
            </w:pPr>
            <w:r>
              <w:rPr>
                <w:color w:val="000000" w:themeColor="text1"/>
                <w:sz w:val="20"/>
                <w14:textFill>
                  <w14:solidFill>
                    <w14:schemeClr w14:val="tx1"/>
                  </w14:solidFill>
                </w14:textFill>
              </w:rPr>
              <w:t>……</w:t>
            </w:r>
          </w:p>
        </w:tc>
        <w:tc>
          <w:tcPr>
            <w:tcW w:w="976" w:type="dxa"/>
          </w:tcPr>
          <w:p w14:paraId="537B4C13">
            <w:pPr>
              <w:rPr>
                <w:color w:val="000000" w:themeColor="text1"/>
                <w:sz w:val="20"/>
                <w14:textFill>
                  <w14:solidFill>
                    <w14:schemeClr w14:val="tx1"/>
                  </w14:solidFill>
                </w14:textFill>
              </w:rPr>
            </w:pPr>
          </w:p>
        </w:tc>
        <w:tc>
          <w:tcPr>
            <w:tcW w:w="975" w:type="dxa"/>
          </w:tcPr>
          <w:p w14:paraId="3C225483">
            <w:pPr>
              <w:rPr>
                <w:color w:val="000000" w:themeColor="text1"/>
                <w:sz w:val="20"/>
                <w14:textFill>
                  <w14:solidFill>
                    <w14:schemeClr w14:val="tx1"/>
                  </w14:solidFill>
                </w14:textFill>
              </w:rPr>
            </w:pPr>
          </w:p>
        </w:tc>
        <w:tc>
          <w:tcPr>
            <w:tcW w:w="975" w:type="dxa"/>
          </w:tcPr>
          <w:p w14:paraId="0C10F6BE">
            <w:pPr>
              <w:rPr>
                <w:color w:val="000000" w:themeColor="text1"/>
                <w:sz w:val="20"/>
                <w14:textFill>
                  <w14:solidFill>
                    <w14:schemeClr w14:val="tx1"/>
                  </w14:solidFill>
                </w14:textFill>
              </w:rPr>
            </w:pPr>
          </w:p>
        </w:tc>
        <w:tc>
          <w:tcPr>
            <w:tcW w:w="975" w:type="dxa"/>
          </w:tcPr>
          <w:p w14:paraId="01D67FA4">
            <w:pPr>
              <w:rPr>
                <w:color w:val="000000" w:themeColor="text1"/>
                <w:sz w:val="20"/>
                <w14:textFill>
                  <w14:solidFill>
                    <w14:schemeClr w14:val="tx1"/>
                  </w14:solidFill>
                </w14:textFill>
              </w:rPr>
            </w:pPr>
          </w:p>
        </w:tc>
        <w:tc>
          <w:tcPr>
            <w:tcW w:w="975" w:type="dxa"/>
          </w:tcPr>
          <w:p w14:paraId="1CEB54ED">
            <w:pPr>
              <w:rPr>
                <w:color w:val="000000" w:themeColor="text1"/>
                <w:sz w:val="20"/>
                <w14:textFill>
                  <w14:solidFill>
                    <w14:schemeClr w14:val="tx1"/>
                  </w14:solidFill>
                </w14:textFill>
              </w:rPr>
            </w:pPr>
          </w:p>
        </w:tc>
        <w:tc>
          <w:tcPr>
            <w:tcW w:w="975" w:type="dxa"/>
          </w:tcPr>
          <w:p w14:paraId="0B25D13C">
            <w:pPr>
              <w:rPr>
                <w:color w:val="000000" w:themeColor="text1"/>
                <w:sz w:val="20"/>
                <w14:textFill>
                  <w14:solidFill>
                    <w14:schemeClr w14:val="tx1"/>
                  </w14:solidFill>
                </w14:textFill>
              </w:rPr>
            </w:pPr>
          </w:p>
        </w:tc>
        <w:tc>
          <w:tcPr>
            <w:tcW w:w="975" w:type="dxa"/>
          </w:tcPr>
          <w:p w14:paraId="44D899B4">
            <w:pPr>
              <w:rPr>
                <w:color w:val="000000" w:themeColor="text1"/>
                <w:sz w:val="20"/>
                <w14:textFill>
                  <w14:solidFill>
                    <w14:schemeClr w14:val="tx1"/>
                  </w14:solidFill>
                </w14:textFill>
              </w:rPr>
            </w:pPr>
          </w:p>
        </w:tc>
        <w:tc>
          <w:tcPr>
            <w:tcW w:w="975" w:type="dxa"/>
          </w:tcPr>
          <w:p w14:paraId="448D5CFE">
            <w:pPr>
              <w:rPr>
                <w:color w:val="000000" w:themeColor="text1"/>
                <w:sz w:val="20"/>
                <w14:textFill>
                  <w14:solidFill>
                    <w14:schemeClr w14:val="tx1"/>
                  </w14:solidFill>
                </w14:textFill>
              </w:rPr>
            </w:pPr>
          </w:p>
        </w:tc>
        <w:tc>
          <w:tcPr>
            <w:tcW w:w="975" w:type="dxa"/>
          </w:tcPr>
          <w:p w14:paraId="7E354480">
            <w:pPr>
              <w:rPr>
                <w:color w:val="000000" w:themeColor="text1"/>
                <w:sz w:val="20"/>
                <w14:textFill>
                  <w14:solidFill>
                    <w14:schemeClr w14:val="tx1"/>
                  </w14:solidFill>
                </w14:textFill>
              </w:rPr>
            </w:pPr>
          </w:p>
        </w:tc>
      </w:tr>
    </w:tbl>
    <w:p w14:paraId="64485E69">
      <w:pPr>
        <w:rPr>
          <w:color w:val="000000" w:themeColor="text1"/>
          <w:sz w:val="20"/>
          <w14:textFill>
            <w14:solidFill>
              <w14:schemeClr w14:val="tx1"/>
            </w14:solidFill>
          </w14:textFill>
        </w:rPr>
      </w:pPr>
      <w:r>
        <w:rPr>
          <w:color w:val="000000" w:themeColor="text1"/>
          <w:spacing w:val="-7"/>
          <w:sz w:val="20"/>
          <w14:textFill>
            <w14:solidFill>
              <w14:schemeClr w14:val="tx1"/>
            </w14:solidFill>
          </w14:textFill>
        </w:rPr>
        <w:t>备注：须按照谈判文件要求提交相关材料扫描件</w:t>
      </w:r>
      <w:r>
        <w:rPr>
          <w:color w:val="000000" w:themeColor="text1"/>
          <w:sz w:val="20"/>
          <w14:textFill>
            <w14:solidFill>
              <w14:schemeClr w14:val="tx1"/>
            </w14:solidFill>
          </w14:textFill>
        </w:rPr>
        <w:t>。</w:t>
      </w:r>
    </w:p>
    <w:p w14:paraId="475AD263">
      <w:pPr>
        <w:rPr>
          <w:color w:val="000000" w:themeColor="text1"/>
          <w:sz w:val="20"/>
          <w14:textFill>
            <w14:solidFill>
              <w14:schemeClr w14:val="tx1"/>
            </w14:solidFill>
          </w14:textFill>
        </w:rPr>
      </w:pPr>
    </w:p>
    <w:p w14:paraId="0245FD8E">
      <w:pPr>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供应商全称（公章）：</w:t>
      </w:r>
    </w:p>
    <w:p w14:paraId="521CDF0A">
      <w:pPr>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法定代表人（依法登记的负责人）或授权代表（签字或签章）：</w:t>
      </w:r>
    </w:p>
    <w:p w14:paraId="2FB4CBBF">
      <w:pPr>
        <w:jc w:val="right"/>
        <w:rPr>
          <w:rFonts w:ascii="黑体" w:hAnsi="黑体" w:eastAsia="黑体"/>
          <w:color w:val="000000" w:themeColor="text1"/>
          <w:sz w:val="44"/>
          <w:szCs w:val="44"/>
          <w14:textFill>
            <w14:solidFill>
              <w14:schemeClr w14:val="tx1"/>
            </w14:solidFill>
          </w14:textFill>
        </w:rPr>
      </w:pPr>
      <w:r>
        <w:rPr>
          <w:rFonts w:ascii="仿宋_GB2312" w:hAnsi="仿宋" w:eastAsia="仿宋_GB2312"/>
          <w:color w:val="000000" w:themeColor="text1"/>
          <w14:textFill>
            <w14:solidFill>
              <w14:schemeClr w14:val="tx1"/>
            </w14:solidFill>
          </w14:textFill>
        </w:rPr>
        <w:br w:type="page"/>
      </w:r>
    </w:p>
    <w:p w14:paraId="45F93813">
      <w:pPr>
        <w:spacing w:after="240"/>
        <w:jc w:val="center"/>
        <w:rPr>
          <w:rFonts w:ascii="黑体" w:hAnsi="黑体" w:eastAsia="黑体"/>
          <w:color w:val="000000" w:themeColor="text1"/>
          <w:sz w:val="44"/>
          <w:szCs w:val="44"/>
          <w14:textFill>
            <w14:solidFill>
              <w14:schemeClr w14:val="tx1"/>
            </w14:solidFill>
          </w14:textFill>
        </w:rPr>
      </w:pPr>
      <w:r>
        <w:rPr>
          <w:rFonts w:hint="eastAsia" w:ascii="黑体" w:hAnsi="黑体" w:eastAsia="黑体"/>
          <w:color w:val="000000" w:themeColor="text1"/>
          <w:sz w:val="44"/>
          <w:szCs w:val="44"/>
          <w14:textFill>
            <w14:solidFill>
              <w14:schemeClr w14:val="tx1"/>
            </w14:solidFill>
          </w14:textFill>
        </w:rPr>
        <w:t>技术文件</w:t>
      </w:r>
    </w:p>
    <w:p w14:paraId="04E91B01">
      <w:pPr>
        <w:jc w:val="center"/>
        <w:rPr>
          <w:color w:val="000000" w:themeColor="text1"/>
          <w14:textFill>
            <w14:solidFill>
              <w14:schemeClr w14:val="tx1"/>
            </w14:solidFill>
          </w14:textFill>
        </w:rPr>
      </w:pPr>
      <w:r>
        <w:rPr>
          <w:color w:val="000000" w:themeColor="text1"/>
          <w14:textFill>
            <w14:solidFill>
              <w14:schemeClr w14:val="tx1"/>
            </w14:solidFill>
          </w14:textFill>
        </w:rPr>
        <w:br w:type="page"/>
      </w:r>
    </w:p>
    <w:p w14:paraId="7DBDB0A1">
      <w:pPr>
        <w:jc w:val="center"/>
        <w:rPr>
          <w:color w:val="000000" w:themeColor="text1"/>
          <w:lang w:bidi="zh-CN"/>
          <w14:textFill>
            <w14:solidFill>
              <w14:schemeClr w14:val="tx1"/>
            </w14:solidFill>
          </w14:textFill>
        </w:rPr>
      </w:pPr>
      <w:r>
        <w:rPr>
          <w:rFonts w:ascii="黑体" w:hAnsi="黑体" w:eastAsia="黑体"/>
          <w:color w:val="000000" w:themeColor="text1"/>
          <w:sz w:val="32"/>
          <w:szCs w:val="32"/>
          <w14:textFill>
            <w14:solidFill>
              <w14:schemeClr w14:val="tx1"/>
            </w14:solidFill>
          </w14:textFill>
        </w:rPr>
        <w:t>拟投入本工程的主要施工设备表</w:t>
      </w:r>
    </w:p>
    <w:p w14:paraId="712E0453">
      <w:pPr>
        <w:rPr>
          <w:color w:val="000000" w:themeColor="text1"/>
          <w:lang w:bidi="zh-CN"/>
          <w14:textFill>
            <w14:solidFill>
              <w14:schemeClr w14:val="tx1"/>
            </w14:solidFill>
          </w14:textFill>
        </w:rPr>
      </w:pPr>
    </w:p>
    <w:tbl>
      <w:tblPr>
        <w:tblStyle w:val="28"/>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9"/>
        <w:gridCol w:w="1221"/>
        <w:gridCol w:w="770"/>
        <w:gridCol w:w="1172"/>
        <w:gridCol w:w="813"/>
        <w:gridCol w:w="813"/>
        <w:gridCol w:w="1348"/>
        <w:gridCol w:w="1001"/>
        <w:gridCol w:w="1001"/>
        <w:gridCol w:w="874"/>
      </w:tblGrid>
      <w:tr w14:paraId="45C75F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Pr>
          <w:p w14:paraId="0D68DD77">
            <w:pPr>
              <w:rPr>
                <w:color w:val="000000" w:themeColor="text1"/>
                <w14:textFill>
                  <w14:solidFill>
                    <w14:schemeClr w14:val="tx1"/>
                  </w14:solidFill>
                </w14:textFill>
              </w:rPr>
            </w:pPr>
          </w:p>
          <w:p w14:paraId="0B04D4B5">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序号</w:t>
            </w:r>
          </w:p>
        </w:tc>
        <w:tc>
          <w:tcPr>
            <w:tcW w:w="1221" w:type="dxa"/>
          </w:tcPr>
          <w:p w14:paraId="5360D940">
            <w:pPr>
              <w:rPr>
                <w:color w:val="000000" w:themeColor="text1"/>
                <w14:textFill>
                  <w14:solidFill>
                    <w14:schemeClr w14:val="tx1"/>
                  </w14:solidFill>
                </w14:textFill>
              </w:rPr>
            </w:pPr>
          </w:p>
          <w:p w14:paraId="457B609D">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设备名称</w:t>
            </w:r>
          </w:p>
        </w:tc>
        <w:tc>
          <w:tcPr>
            <w:tcW w:w="770" w:type="dxa"/>
          </w:tcPr>
          <w:p w14:paraId="2936443F">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型号规格</w:t>
            </w:r>
          </w:p>
        </w:tc>
        <w:tc>
          <w:tcPr>
            <w:tcW w:w="1172" w:type="dxa"/>
          </w:tcPr>
          <w:p w14:paraId="21E4FD3B">
            <w:pPr>
              <w:rPr>
                <w:color w:val="000000" w:themeColor="text1"/>
                <w14:textFill>
                  <w14:solidFill>
                    <w14:schemeClr w14:val="tx1"/>
                  </w14:solidFill>
                </w14:textFill>
              </w:rPr>
            </w:pPr>
          </w:p>
          <w:p w14:paraId="68D379D4">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数</w:t>
            </w:r>
            <w:r>
              <w:rPr>
                <w:color w:val="000000" w:themeColor="text1"/>
                <w:sz w:val="20"/>
                <w14:textFill>
                  <w14:solidFill>
                    <w14:schemeClr w14:val="tx1"/>
                  </w14:solidFill>
                </w14:textFill>
              </w:rPr>
              <w:tab/>
            </w:r>
            <w:r>
              <w:rPr>
                <w:rFonts w:hint="eastAsia" w:ascii="宋体" w:hAnsi="宋体" w:cs="宋体"/>
                <w:color w:val="000000" w:themeColor="text1"/>
                <w:sz w:val="20"/>
                <w14:textFill>
                  <w14:solidFill>
                    <w14:schemeClr w14:val="tx1"/>
                  </w14:solidFill>
                </w14:textFill>
              </w:rPr>
              <w:t>量</w:t>
            </w:r>
          </w:p>
        </w:tc>
        <w:tc>
          <w:tcPr>
            <w:tcW w:w="813" w:type="dxa"/>
          </w:tcPr>
          <w:p w14:paraId="13F5991A">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国别产地</w:t>
            </w:r>
          </w:p>
        </w:tc>
        <w:tc>
          <w:tcPr>
            <w:tcW w:w="813" w:type="dxa"/>
          </w:tcPr>
          <w:p w14:paraId="4FFF412D">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制造年份</w:t>
            </w:r>
          </w:p>
        </w:tc>
        <w:tc>
          <w:tcPr>
            <w:tcW w:w="1348" w:type="dxa"/>
          </w:tcPr>
          <w:p w14:paraId="0E74472C">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额定功率</w:t>
            </w:r>
          </w:p>
          <w:p w14:paraId="1DDB2513">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w:t>
            </w:r>
            <w:r>
              <w:rPr>
                <w:color w:val="000000" w:themeColor="text1"/>
                <w:sz w:val="20"/>
                <w14:textFill>
                  <w14:solidFill>
                    <w14:schemeClr w14:val="tx1"/>
                  </w14:solidFill>
                </w14:textFill>
              </w:rPr>
              <w:t>KW</w:t>
            </w:r>
            <w:r>
              <w:rPr>
                <w:rFonts w:hint="eastAsia" w:ascii="宋体" w:hAnsi="宋体" w:cs="宋体"/>
                <w:color w:val="000000" w:themeColor="text1"/>
                <w:sz w:val="20"/>
                <w14:textFill>
                  <w14:solidFill>
                    <w14:schemeClr w14:val="tx1"/>
                  </w14:solidFill>
                </w14:textFill>
              </w:rPr>
              <w:t>）</w:t>
            </w:r>
          </w:p>
        </w:tc>
        <w:tc>
          <w:tcPr>
            <w:tcW w:w="1001" w:type="dxa"/>
          </w:tcPr>
          <w:p w14:paraId="7B2A0551">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生产能力</w:t>
            </w:r>
          </w:p>
        </w:tc>
        <w:tc>
          <w:tcPr>
            <w:tcW w:w="1001" w:type="dxa"/>
          </w:tcPr>
          <w:p w14:paraId="161AF634">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用于施工部位</w:t>
            </w:r>
          </w:p>
        </w:tc>
        <w:tc>
          <w:tcPr>
            <w:tcW w:w="874" w:type="dxa"/>
          </w:tcPr>
          <w:p w14:paraId="2363F372">
            <w:pPr>
              <w:rPr>
                <w:color w:val="000000" w:themeColor="text1"/>
                <w14:textFill>
                  <w14:solidFill>
                    <w14:schemeClr w14:val="tx1"/>
                  </w14:solidFill>
                </w14:textFill>
              </w:rPr>
            </w:pPr>
          </w:p>
          <w:p w14:paraId="4C7F2BFD">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备注</w:t>
            </w:r>
          </w:p>
        </w:tc>
      </w:tr>
      <w:tr w14:paraId="71ADF7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Pr>
          <w:p w14:paraId="0C9477E4">
            <w:pPr>
              <w:rPr>
                <w:color w:val="000000" w:themeColor="text1"/>
                <w:sz w:val="20"/>
                <w14:textFill>
                  <w14:solidFill>
                    <w14:schemeClr w14:val="tx1"/>
                  </w14:solidFill>
                </w14:textFill>
              </w:rPr>
            </w:pPr>
          </w:p>
        </w:tc>
        <w:tc>
          <w:tcPr>
            <w:tcW w:w="1221" w:type="dxa"/>
          </w:tcPr>
          <w:p w14:paraId="36C82717">
            <w:pPr>
              <w:rPr>
                <w:color w:val="000000" w:themeColor="text1"/>
                <w:sz w:val="20"/>
                <w14:textFill>
                  <w14:solidFill>
                    <w14:schemeClr w14:val="tx1"/>
                  </w14:solidFill>
                </w14:textFill>
              </w:rPr>
            </w:pPr>
          </w:p>
        </w:tc>
        <w:tc>
          <w:tcPr>
            <w:tcW w:w="770" w:type="dxa"/>
          </w:tcPr>
          <w:p w14:paraId="37907F36">
            <w:pPr>
              <w:rPr>
                <w:color w:val="000000" w:themeColor="text1"/>
                <w:sz w:val="20"/>
                <w14:textFill>
                  <w14:solidFill>
                    <w14:schemeClr w14:val="tx1"/>
                  </w14:solidFill>
                </w14:textFill>
              </w:rPr>
            </w:pPr>
          </w:p>
        </w:tc>
        <w:tc>
          <w:tcPr>
            <w:tcW w:w="1172" w:type="dxa"/>
          </w:tcPr>
          <w:p w14:paraId="3D6D1D00">
            <w:pPr>
              <w:rPr>
                <w:color w:val="000000" w:themeColor="text1"/>
                <w:sz w:val="20"/>
                <w14:textFill>
                  <w14:solidFill>
                    <w14:schemeClr w14:val="tx1"/>
                  </w14:solidFill>
                </w14:textFill>
              </w:rPr>
            </w:pPr>
          </w:p>
        </w:tc>
        <w:tc>
          <w:tcPr>
            <w:tcW w:w="813" w:type="dxa"/>
          </w:tcPr>
          <w:p w14:paraId="1DFE4F6F">
            <w:pPr>
              <w:rPr>
                <w:color w:val="000000" w:themeColor="text1"/>
                <w:sz w:val="20"/>
                <w14:textFill>
                  <w14:solidFill>
                    <w14:schemeClr w14:val="tx1"/>
                  </w14:solidFill>
                </w14:textFill>
              </w:rPr>
            </w:pPr>
          </w:p>
        </w:tc>
        <w:tc>
          <w:tcPr>
            <w:tcW w:w="813" w:type="dxa"/>
          </w:tcPr>
          <w:p w14:paraId="403A2546">
            <w:pPr>
              <w:rPr>
                <w:color w:val="000000" w:themeColor="text1"/>
                <w:sz w:val="20"/>
                <w14:textFill>
                  <w14:solidFill>
                    <w14:schemeClr w14:val="tx1"/>
                  </w14:solidFill>
                </w14:textFill>
              </w:rPr>
            </w:pPr>
          </w:p>
        </w:tc>
        <w:tc>
          <w:tcPr>
            <w:tcW w:w="1348" w:type="dxa"/>
          </w:tcPr>
          <w:p w14:paraId="11B4C101">
            <w:pPr>
              <w:rPr>
                <w:color w:val="000000" w:themeColor="text1"/>
                <w:sz w:val="20"/>
                <w14:textFill>
                  <w14:solidFill>
                    <w14:schemeClr w14:val="tx1"/>
                  </w14:solidFill>
                </w14:textFill>
              </w:rPr>
            </w:pPr>
          </w:p>
        </w:tc>
        <w:tc>
          <w:tcPr>
            <w:tcW w:w="1001" w:type="dxa"/>
          </w:tcPr>
          <w:p w14:paraId="5E5CFD48">
            <w:pPr>
              <w:rPr>
                <w:color w:val="000000" w:themeColor="text1"/>
                <w:sz w:val="20"/>
                <w14:textFill>
                  <w14:solidFill>
                    <w14:schemeClr w14:val="tx1"/>
                  </w14:solidFill>
                </w14:textFill>
              </w:rPr>
            </w:pPr>
          </w:p>
        </w:tc>
        <w:tc>
          <w:tcPr>
            <w:tcW w:w="1001" w:type="dxa"/>
          </w:tcPr>
          <w:p w14:paraId="306D9CA8">
            <w:pPr>
              <w:rPr>
                <w:color w:val="000000" w:themeColor="text1"/>
                <w:sz w:val="20"/>
                <w14:textFill>
                  <w14:solidFill>
                    <w14:schemeClr w14:val="tx1"/>
                  </w14:solidFill>
                </w14:textFill>
              </w:rPr>
            </w:pPr>
          </w:p>
        </w:tc>
        <w:tc>
          <w:tcPr>
            <w:tcW w:w="874" w:type="dxa"/>
          </w:tcPr>
          <w:p w14:paraId="781FA947">
            <w:pPr>
              <w:rPr>
                <w:color w:val="000000" w:themeColor="text1"/>
                <w:sz w:val="20"/>
                <w14:textFill>
                  <w14:solidFill>
                    <w14:schemeClr w14:val="tx1"/>
                  </w14:solidFill>
                </w14:textFill>
              </w:rPr>
            </w:pPr>
          </w:p>
        </w:tc>
      </w:tr>
      <w:tr w14:paraId="3A747D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9F2AF1C">
            <w:pPr>
              <w:rPr>
                <w:color w:val="000000" w:themeColor="text1"/>
                <w:sz w:val="20"/>
                <w14:textFill>
                  <w14:solidFill>
                    <w14:schemeClr w14:val="tx1"/>
                  </w14:solidFill>
                </w14:textFill>
              </w:rPr>
            </w:pPr>
          </w:p>
        </w:tc>
        <w:tc>
          <w:tcPr>
            <w:tcW w:w="1221" w:type="dxa"/>
          </w:tcPr>
          <w:p w14:paraId="2E3497D2">
            <w:pPr>
              <w:rPr>
                <w:color w:val="000000" w:themeColor="text1"/>
                <w:sz w:val="20"/>
                <w14:textFill>
                  <w14:solidFill>
                    <w14:schemeClr w14:val="tx1"/>
                  </w14:solidFill>
                </w14:textFill>
              </w:rPr>
            </w:pPr>
          </w:p>
        </w:tc>
        <w:tc>
          <w:tcPr>
            <w:tcW w:w="770" w:type="dxa"/>
          </w:tcPr>
          <w:p w14:paraId="32B1142E">
            <w:pPr>
              <w:rPr>
                <w:color w:val="000000" w:themeColor="text1"/>
                <w:sz w:val="20"/>
                <w14:textFill>
                  <w14:solidFill>
                    <w14:schemeClr w14:val="tx1"/>
                  </w14:solidFill>
                </w14:textFill>
              </w:rPr>
            </w:pPr>
          </w:p>
        </w:tc>
        <w:tc>
          <w:tcPr>
            <w:tcW w:w="1172" w:type="dxa"/>
          </w:tcPr>
          <w:p w14:paraId="4E5FE7BA">
            <w:pPr>
              <w:rPr>
                <w:color w:val="000000" w:themeColor="text1"/>
                <w:sz w:val="20"/>
                <w14:textFill>
                  <w14:solidFill>
                    <w14:schemeClr w14:val="tx1"/>
                  </w14:solidFill>
                </w14:textFill>
              </w:rPr>
            </w:pPr>
          </w:p>
        </w:tc>
        <w:tc>
          <w:tcPr>
            <w:tcW w:w="813" w:type="dxa"/>
          </w:tcPr>
          <w:p w14:paraId="50499B31">
            <w:pPr>
              <w:rPr>
                <w:color w:val="000000" w:themeColor="text1"/>
                <w:sz w:val="20"/>
                <w14:textFill>
                  <w14:solidFill>
                    <w14:schemeClr w14:val="tx1"/>
                  </w14:solidFill>
                </w14:textFill>
              </w:rPr>
            </w:pPr>
          </w:p>
        </w:tc>
        <w:tc>
          <w:tcPr>
            <w:tcW w:w="813" w:type="dxa"/>
          </w:tcPr>
          <w:p w14:paraId="32D391B9">
            <w:pPr>
              <w:rPr>
                <w:color w:val="000000" w:themeColor="text1"/>
                <w:sz w:val="20"/>
                <w14:textFill>
                  <w14:solidFill>
                    <w14:schemeClr w14:val="tx1"/>
                  </w14:solidFill>
                </w14:textFill>
              </w:rPr>
            </w:pPr>
          </w:p>
        </w:tc>
        <w:tc>
          <w:tcPr>
            <w:tcW w:w="1348" w:type="dxa"/>
          </w:tcPr>
          <w:p w14:paraId="798A47C3">
            <w:pPr>
              <w:rPr>
                <w:color w:val="000000" w:themeColor="text1"/>
                <w:sz w:val="20"/>
                <w14:textFill>
                  <w14:solidFill>
                    <w14:schemeClr w14:val="tx1"/>
                  </w14:solidFill>
                </w14:textFill>
              </w:rPr>
            </w:pPr>
          </w:p>
        </w:tc>
        <w:tc>
          <w:tcPr>
            <w:tcW w:w="1001" w:type="dxa"/>
          </w:tcPr>
          <w:p w14:paraId="48EFF0B6">
            <w:pPr>
              <w:rPr>
                <w:color w:val="000000" w:themeColor="text1"/>
                <w:sz w:val="20"/>
                <w14:textFill>
                  <w14:solidFill>
                    <w14:schemeClr w14:val="tx1"/>
                  </w14:solidFill>
                </w14:textFill>
              </w:rPr>
            </w:pPr>
          </w:p>
        </w:tc>
        <w:tc>
          <w:tcPr>
            <w:tcW w:w="1001" w:type="dxa"/>
          </w:tcPr>
          <w:p w14:paraId="37F24D1C">
            <w:pPr>
              <w:rPr>
                <w:color w:val="000000" w:themeColor="text1"/>
                <w:sz w:val="20"/>
                <w14:textFill>
                  <w14:solidFill>
                    <w14:schemeClr w14:val="tx1"/>
                  </w14:solidFill>
                </w14:textFill>
              </w:rPr>
            </w:pPr>
          </w:p>
        </w:tc>
        <w:tc>
          <w:tcPr>
            <w:tcW w:w="874" w:type="dxa"/>
          </w:tcPr>
          <w:p w14:paraId="65850097">
            <w:pPr>
              <w:rPr>
                <w:color w:val="000000" w:themeColor="text1"/>
                <w:sz w:val="20"/>
                <w14:textFill>
                  <w14:solidFill>
                    <w14:schemeClr w14:val="tx1"/>
                  </w14:solidFill>
                </w14:textFill>
              </w:rPr>
            </w:pPr>
          </w:p>
        </w:tc>
      </w:tr>
      <w:tr w14:paraId="1C6650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21FB4BAF">
            <w:pPr>
              <w:rPr>
                <w:color w:val="000000" w:themeColor="text1"/>
                <w:sz w:val="20"/>
                <w14:textFill>
                  <w14:solidFill>
                    <w14:schemeClr w14:val="tx1"/>
                  </w14:solidFill>
                </w14:textFill>
              </w:rPr>
            </w:pPr>
          </w:p>
        </w:tc>
        <w:tc>
          <w:tcPr>
            <w:tcW w:w="1221" w:type="dxa"/>
          </w:tcPr>
          <w:p w14:paraId="409330B2">
            <w:pPr>
              <w:rPr>
                <w:color w:val="000000" w:themeColor="text1"/>
                <w:sz w:val="20"/>
                <w14:textFill>
                  <w14:solidFill>
                    <w14:schemeClr w14:val="tx1"/>
                  </w14:solidFill>
                </w14:textFill>
              </w:rPr>
            </w:pPr>
          </w:p>
        </w:tc>
        <w:tc>
          <w:tcPr>
            <w:tcW w:w="770" w:type="dxa"/>
          </w:tcPr>
          <w:p w14:paraId="69BFF860">
            <w:pPr>
              <w:rPr>
                <w:color w:val="000000" w:themeColor="text1"/>
                <w:sz w:val="20"/>
                <w14:textFill>
                  <w14:solidFill>
                    <w14:schemeClr w14:val="tx1"/>
                  </w14:solidFill>
                </w14:textFill>
              </w:rPr>
            </w:pPr>
          </w:p>
        </w:tc>
        <w:tc>
          <w:tcPr>
            <w:tcW w:w="1172" w:type="dxa"/>
          </w:tcPr>
          <w:p w14:paraId="04A8614E">
            <w:pPr>
              <w:rPr>
                <w:color w:val="000000" w:themeColor="text1"/>
                <w:sz w:val="20"/>
                <w14:textFill>
                  <w14:solidFill>
                    <w14:schemeClr w14:val="tx1"/>
                  </w14:solidFill>
                </w14:textFill>
              </w:rPr>
            </w:pPr>
          </w:p>
        </w:tc>
        <w:tc>
          <w:tcPr>
            <w:tcW w:w="813" w:type="dxa"/>
          </w:tcPr>
          <w:p w14:paraId="4AA9AC6D">
            <w:pPr>
              <w:rPr>
                <w:color w:val="000000" w:themeColor="text1"/>
                <w:sz w:val="20"/>
                <w14:textFill>
                  <w14:solidFill>
                    <w14:schemeClr w14:val="tx1"/>
                  </w14:solidFill>
                </w14:textFill>
              </w:rPr>
            </w:pPr>
          </w:p>
        </w:tc>
        <w:tc>
          <w:tcPr>
            <w:tcW w:w="813" w:type="dxa"/>
          </w:tcPr>
          <w:p w14:paraId="6A48A930">
            <w:pPr>
              <w:rPr>
                <w:color w:val="000000" w:themeColor="text1"/>
                <w:sz w:val="20"/>
                <w14:textFill>
                  <w14:solidFill>
                    <w14:schemeClr w14:val="tx1"/>
                  </w14:solidFill>
                </w14:textFill>
              </w:rPr>
            </w:pPr>
          </w:p>
        </w:tc>
        <w:tc>
          <w:tcPr>
            <w:tcW w:w="1348" w:type="dxa"/>
          </w:tcPr>
          <w:p w14:paraId="008F7D3E">
            <w:pPr>
              <w:rPr>
                <w:color w:val="000000" w:themeColor="text1"/>
                <w:sz w:val="20"/>
                <w14:textFill>
                  <w14:solidFill>
                    <w14:schemeClr w14:val="tx1"/>
                  </w14:solidFill>
                </w14:textFill>
              </w:rPr>
            </w:pPr>
          </w:p>
        </w:tc>
        <w:tc>
          <w:tcPr>
            <w:tcW w:w="1001" w:type="dxa"/>
          </w:tcPr>
          <w:p w14:paraId="1BC46F18">
            <w:pPr>
              <w:rPr>
                <w:color w:val="000000" w:themeColor="text1"/>
                <w:sz w:val="20"/>
                <w14:textFill>
                  <w14:solidFill>
                    <w14:schemeClr w14:val="tx1"/>
                  </w14:solidFill>
                </w14:textFill>
              </w:rPr>
            </w:pPr>
          </w:p>
        </w:tc>
        <w:tc>
          <w:tcPr>
            <w:tcW w:w="1001" w:type="dxa"/>
          </w:tcPr>
          <w:p w14:paraId="59E6AEB4">
            <w:pPr>
              <w:rPr>
                <w:color w:val="000000" w:themeColor="text1"/>
                <w:sz w:val="20"/>
                <w14:textFill>
                  <w14:solidFill>
                    <w14:schemeClr w14:val="tx1"/>
                  </w14:solidFill>
                </w14:textFill>
              </w:rPr>
            </w:pPr>
          </w:p>
        </w:tc>
        <w:tc>
          <w:tcPr>
            <w:tcW w:w="874" w:type="dxa"/>
          </w:tcPr>
          <w:p w14:paraId="01C92392">
            <w:pPr>
              <w:rPr>
                <w:color w:val="000000" w:themeColor="text1"/>
                <w:sz w:val="20"/>
                <w14:textFill>
                  <w14:solidFill>
                    <w14:schemeClr w14:val="tx1"/>
                  </w14:solidFill>
                </w14:textFill>
              </w:rPr>
            </w:pPr>
          </w:p>
        </w:tc>
      </w:tr>
      <w:tr w14:paraId="6F3CC1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C322FB5">
            <w:pPr>
              <w:rPr>
                <w:color w:val="000000" w:themeColor="text1"/>
                <w:sz w:val="20"/>
                <w14:textFill>
                  <w14:solidFill>
                    <w14:schemeClr w14:val="tx1"/>
                  </w14:solidFill>
                </w14:textFill>
              </w:rPr>
            </w:pPr>
          </w:p>
        </w:tc>
        <w:tc>
          <w:tcPr>
            <w:tcW w:w="1221" w:type="dxa"/>
          </w:tcPr>
          <w:p w14:paraId="4C5CECF9">
            <w:pPr>
              <w:rPr>
                <w:color w:val="000000" w:themeColor="text1"/>
                <w:sz w:val="20"/>
                <w14:textFill>
                  <w14:solidFill>
                    <w14:schemeClr w14:val="tx1"/>
                  </w14:solidFill>
                </w14:textFill>
              </w:rPr>
            </w:pPr>
          </w:p>
        </w:tc>
        <w:tc>
          <w:tcPr>
            <w:tcW w:w="770" w:type="dxa"/>
          </w:tcPr>
          <w:p w14:paraId="23FBEB78">
            <w:pPr>
              <w:rPr>
                <w:color w:val="000000" w:themeColor="text1"/>
                <w:sz w:val="20"/>
                <w14:textFill>
                  <w14:solidFill>
                    <w14:schemeClr w14:val="tx1"/>
                  </w14:solidFill>
                </w14:textFill>
              </w:rPr>
            </w:pPr>
          </w:p>
        </w:tc>
        <w:tc>
          <w:tcPr>
            <w:tcW w:w="1172" w:type="dxa"/>
          </w:tcPr>
          <w:p w14:paraId="12851A5C">
            <w:pPr>
              <w:rPr>
                <w:color w:val="000000" w:themeColor="text1"/>
                <w:sz w:val="20"/>
                <w14:textFill>
                  <w14:solidFill>
                    <w14:schemeClr w14:val="tx1"/>
                  </w14:solidFill>
                </w14:textFill>
              </w:rPr>
            </w:pPr>
          </w:p>
        </w:tc>
        <w:tc>
          <w:tcPr>
            <w:tcW w:w="813" w:type="dxa"/>
          </w:tcPr>
          <w:p w14:paraId="17510501">
            <w:pPr>
              <w:rPr>
                <w:color w:val="000000" w:themeColor="text1"/>
                <w:sz w:val="20"/>
                <w14:textFill>
                  <w14:solidFill>
                    <w14:schemeClr w14:val="tx1"/>
                  </w14:solidFill>
                </w14:textFill>
              </w:rPr>
            </w:pPr>
          </w:p>
        </w:tc>
        <w:tc>
          <w:tcPr>
            <w:tcW w:w="813" w:type="dxa"/>
          </w:tcPr>
          <w:p w14:paraId="1A39B914">
            <w:pPr>
              <w:rPr>
                <w:color w:val="000000" w:themeColor="text1"/>
                <w:sz w:val="20"/>
                <w14:textFill>
                  <w14:solidFill>
                    <w14:schemeClr w14:val="tx1"/>
                  </w14:solidFill>
                </w14:textFill>
              </w:rPr>
            </w:pPr>
          </w:p>
        </w:tc>
        <w:tc>
          <w:tcPr>
            <w:tcW w:w="1348" w:type="dxa"/>
          </w:tcPr>
          <w:p w14:paraId="337DF335">
            <w:pPr>
              <w:rPr>
                <w:color w:val="000000" w:themeColor="text1"/>
                <w:sz w:val="20"/>
                <w14:textFill>
                  <w14:solidFill>
                    <w14:schemeClr w14:val="tx1"/>
                  </w14:solidFill>
                </w14:textFill>
              </w:rPr>
            </w:pPr>
          </w:p>
        </w:tc>
        <w:tc>
          <w:tcPr>
            <w:tcW w:w="1001" w:type="dxa"/>
          </w:tcPr>
          <w:p w14:paraId="01E801EA">
            <w:pPr>
              <w:rPr>
                <w:color w:val="000000" w:themeColor="text1"/>
                <w:sz w:val="20"/>
                <w14:textFill>
                  <w14:solidFill>
                    <w14:schemeClr w14:val="tx1"/>
                  </w14:solidFill>
                </w14:textFill>
              </w:rPr>
            </w:pPr>
          </w:p>
        </w:tc>
        <w:tc>
          <w:tcPr>
            <w:tcW w:w="1001" w:type="dxa"/>
          </w:tcPr>
          <w:p w14:paraId="3C9E1053">
            <w:pPr>
              <w:rPr>
                <w:color w:val="000000" w:themeColor="text1"/>
                <w:sz w:val="20"/>
                <w14:textFill>
                  <w14:solidFill>
                    <w14:schemeClr w14:val="tx1"/>
                  </w14:solidFill>
                </w14:textFill>
              </w:rPr>
            </w:pPr>
          </w:p>
        </w:tc>
        <w:tc>
          <w:tcPr>
            <w:tcW w:w="874" w:type="dxa"/>
          </w:tcPr>
          <w:p w14:paraId="16E52157">
            <w:pPr>
              <w:rPr>
                <w:color w:val="000000" w:themeColor="text1"/>
                <w:sz w:val="20"/>
                <w14:textFill>
                  <w14:solidFill>
                    <w14:schemeClr w14:val="tx1"/>
                  </w14:solidFill>
                </w14:textFill>
              </w:rPr>
            </w:pPr>
          </w:p>
        </w:tc>
      </w:tr>
      <w:tr w14:paraId="2ECAF6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Pr>
          <w:p w14:paraId="08CF7CE4">
            <w:pPr>
              <w:rPr>
                <w:color w:val="000000" w:themeColor="text1"/>
                <w:sz w:val="20"/>
                <w14:textFill>
                  <w14:solidFill>
                    <w14:schemeClr w14:val="tx1"/>
                  </w14:solidFill>
                </w14:textFill>
              </w:rPr>
            </w:pPr>
          </w:p>
        </w:tc>
        <w:tc>
          <w:tcPr>
            <w:tcW w:w="1221" w:type="dxa"/>
          </w:tcPr>
          <w:p w14:paraId="1AF6DE05">
            <w:pPr>
              <w:rPr>
                <w:color w:val="000000" w:themeColor="text1"/>
                <w:sz w:val="20"/>
                <w14:textFill>
                  <w14:solidFill>
                    <w14:schemeClr w14:val="tx1"/>
                  </w14:solidFill>
                </w14:textFill>
              </w:rPr>
            </w:pPr>
          </w:p>
        </w:tc>
        <w:tc>
          <w:tcPr>
            <w:tcW w:w="770" w:type="dxa"/>
          </w:tcPr>
          <w:p w14:paraId="0BB01939">
            <w:pPr>
              <w:rPr>
                <w:color w:val="000000" w:themeColor="text1"/>
                <w:sz w:val="20"/>
                <w14:textFill>
                  <w14:solidFill>
                    <w14:schemeClr w14:val="tx1"/>
                  </w14:solidFill>
                </w14:textFill>
              </w:rPr>
            </w:pPr>
          </w:p>
        </w:tc>
        <w:tc>
          <w:tcPr>
            <w:tcW w:w="1172" w:type="dxa"/>
          </w:tcPr>
          <w:p w14:paraId="7DC4440B">
            <w:pPr>
              <w:rPr>
                <w:color w:val="000000" w:themeColor="text1"/>
                <w:sz w:val="20"/>
                <w14:textFill>
                  <w14:solidFill>
                    <w14:schemeClr w14:val="tx1"/>
                  </w14:solidFill>
                </w14:textFill>
              </w:rPr>
            </w:pPr>
          </w:p>
        </w:tc>
        <w:tc>
          <w:tcPr>
            <w:tcW w:w="813" w:type="dxa"/>
          </w:tcPr>
          <w:p w14:paraId="6D735DDE">
            <w:pPr>
              <w:rPr>
                <w:color w:val="000000" w:themeColor="text1"/>
                <w:sz w:val="20"/>
                <w14:textFill>
                  <w14:solidFill>
                    <w14:schemeClr w14:val="tx1"/>
                  </w14:solidFill>
                </w14:textFill>
              </w:rPr>
            </w:pPr>
          </w:p>
        </w:tc>
        <w:tc>
          <w:tcPr>
            <w:tcW w:w="813" w:type="dxa"/>
          </w:tcPr>
          <w:p w14:paraId="7DE501DC">
            <w:pPr>
              <w:rPr>
                <w:color w:val="000000" w:themeColor="text1"/>
                <w:sz w:val="20"/>
                <w14:textFill>
                  <w14:solidFill>
                    <w14:schemeClr w14:val="tx1"/>
                  </w14:solidFill>
                </w14:textFill>
              </w:rPr>
            </w:pPr>
          </w:p>
        </w:tc>
        <w:tc>
          <w:tcPr>
            <w:tcW w:w="1348" w:type="dxa"/>
          </w:tcPr>
          <w:p w14:paraId="55854AA2">
            <w:pPr>
              <w:rPr>
                <w:color w:val="000000" w:themeColor="text1"/>
                <w:sz w:val="20"/>
                <w14:textFill>
                  <w14:solidFill>
                    <w14:schemeClr w14:val="tx1"/>
                  </w14:solidFill>
                </w14:textFill>
              </w:rPr>
            </w:pPr>
          </w:p>
        </w:tc>
        <w:tc>
          <w:tcPr>
            <w:tcW w:w="1001" w:type="dxa"/>
          </w:tcPr>
          <w:p w14:paraId="758D1079">
            <w:pPr>
              <w:rPr>
                <w:color w:val="000000" w:themeColor="text1"/>
                <w:sz w:val="20"/>
                <w14:textFill>
                  <w14:solidFill>
                    <w14:schemeClr w14:val="tx1"/>
                  </w14:solidFill>
                </w14:textFill>
              </w:rPr>
            </w:pPr>
          </w:p>
        </w:tc>
        <w:tc>
          <w:tcPr>
            <w:tcW w:w="1001" w:type="dxa"/>
          </w:tcPr>
          <w:p w14:paraId="3FBDFA2D">
            <w:pPr>
              <w:rPr>
                <w:color w:val="000000" w:themeColor="text1"/>
                <w:sz w:val="20"/>
                <w14:textFill>
                  <w14:solidFill>
                    <w14:schemeClr w14:val="tx1"/>
                  </w14:solidFill>
                </w14:textFill>
              </w:rPr>
            </w:pPr>
          </w:p>
        </w:tc>
        <w:tc>
          <w:tcPr>
            <w:tcW w:w="874" w:type="dxa"/>
          </w:tcPr>
          <w:p w14:paraId="763372E0">
            <w:pPr>
              <w:rPr>
                <w:color w:val="000000" w:themeColor="text1"/>
                <w:sz w:val="20"/>
                <w14:textFill>
                  <w14:solidFill>
                    <w14:schemeClr w14:val="tx1"/>
                  </w14:solidFill>
                </w14:textFill>
              </w:rPr>
            </w:pPr>
          </w:p>
        </w:tc>
      </w:tr>
      <w:tr w14:paraId="5BE42D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B505807">
            <w:pPr>
              <w:rPr>
                <w:color w:val="000000" w:themeColor="text1"/>
                <w:sz w:val="20"/>
                <w14:textFill>
                  <w14:solidFill>
                    <w14:schemeClr w14:val="tx1"/>
                  </w14:solidFill>
                </w14:textFill>
              </w:rPr>
            </w:pPr>
          </w:p>
        </w:tc>
        <w:tc>
          <w:tcPr>
            <w:tcW w:w="1221" w:type="dxa"/>
          </w:tcPr>
          <w:p w14:paraId="144DE5CE">
            <w:pPr>
              <w:rPr>
                <w:color w:val="000000" w:themeColor="text1"/>
                <w:sz w:val="20"/>
                <w14:textFill>
                  <w14:solidFill>
                    <w14:schemeClr w14:val="tx1"/>
                  </w14:solidFill>
                </w14:textFill>
              </w:rPr>
            </w:pPr>
          </w:p>
        </w:tc>
        <w:tc>
          <w:tcPr>
            <w:tcW w:w="770" w:type="dxa"/>
          </w:tcPr>
          <w:p w14:paraId="0B75BA79">
            <w:pPr>
              <w:rPr>
                <w:color w:val="000000" w:themeColor="text1"/>
                <w:sz w:val="20"/>
                <w14:textFill>
                  <w14:solidFill>
                    <w14:schemeClr w14:val="tx1"/>
                  </w14:solidFill>
                </w14:textFill>
              </w:rPr>
            </w:pPr>
          </w:p>
        </w:tc>
        <w:tc>
          <w:tcPr>
            <w:tcW w:w="1172" w:type="dxa"/>
          </w:tcPr>
          <w:p w14:paraId="3E7F74FF">
            <w:pPr>
              <w:rPr>
                <w:color w:val="000000" w:themeColor="text1"/>
                <w:sz w:val="20"/>
                <w14:textFill>
                  <w14:solidFill>
                    <w14:schemeClr w14:val="tx1"/>
                  </w14:solidFill>
                </w14:textFill>
              </w:rPr>
            </w:pPr>
          </w:p>
        </w:tc>
        <w:tc>
          <w:tcPr>
            <w:tcW w:w="813" w:type="dxa"/>
          </w:tcPr>
          <w:p w14:paraId="3AB82797">
            <w:pPr>
              <w:rPr>
                <w:color w:val="000000" w:themeColor="text1"/>
                <w:sz w:val="20"/>
                <w14:textFill>
                  <w14:solidFill>
                    <w14:schemeClr w14:val="tx1"/>
                  </w14:solidFill>
                </w14:textFill>
              </w:rPr>
            </w:pPr>
          </w:p>
        </w:tc>
        <w:tc>
          <w:tcPr>
            <w:tcW w:w="813" w:type="dxa"/>
          </w:tcPr>
          <w:p w14:paraId="45D3943C">
            <w:pPr>
              <w:rPr>
                <w:color w:val="000000" w:themeColor="text1"/>
                <w:sz w:val="20"/>
                <w14:textFill>
                  <w14:solidFill>
                    <w14:schemeClr w14:val="tx1"/>
                  </w14:solidFill>
                </w14:textFill>
              </w:rPr>
            </w:pPr>
          </w:p>
        </w:tc>
        <w:tc>
          <w:tcPr>
            <w:tcW w:w="1348" w:type="dxa"/>
          </w:tcPr>
          <w:p w14:paraId="60EAAD78">
            <w:pPr>
              <w:rPr>
                <w:color w:val="000000" w:themeColor="text1"/>
                <w:sz w:val="20"/>
                <w14:textFill>
                  <w14:solidFill>
                    <w14:schemeClr w14:val="tx1"/>
                  </w14:solidFill>
                </w14:textFill>
              </w:rPr>
            </w:pPr>
          </w:p>
        </w:tc>
        <w:tc>
          <w:tcPr>
            <w:tcW w:w="1001" w:type="dxa"/>
          </w:tcPr>
          <w:p w14:paraId="260DAF1C">
            <w:pPr>
              <w:rPr>
                <w:color w:val="000000" w:themeColor="text1"/>
                <w:sz w:val="20"/>
                <w14:textFill>
                  <w14:solidFill>
                    <w14:schemeClr w14:val="tx1"/>
                  </w14:solidFill>
                </w14:textFill>
              </w:rPr>
            </w:pPr>
          </w:p>
        </w:tc>
        <w:tc>
          <w:tcPr>
            <w:tcW w:w="1001" w:type="dxa"/>
          </w:tcPr>
          <w:p w14:paraId="760388D4">
            <w:pPr>
              <w:rPr>
                <w:color w:val="000000" w:themeColor="text1"/>
                <w:sz w:val="20"/>
                <w14:textFill>
                  <w14:solidFill>
                    <w14:schemeClr w14:val="tx1"/>
                  </w14:solidFill>
                </w14:textFill>
              </w:rPr>
            </w:pPr>
          </w:p>
        </w:tc>
        <w:tc>
          <w:tcPr>
            <w:tcW w:w="874" w:type="dxa"/>
          </w:tcPr>
          <w:p w14:paraId="00A52E0C">
            <w:pPr>
              <w:rPr>
                <w:color w:val="000000" w:themeColor="text1"/>
                <w:sz w:val="20"/>
                <w14:textFill>
                  <w14:solidFill>
                    <w14:schemeClr w14:val="tx1"/>
                  </w14:solidFill>
                </w14:textFill>
              </w:rPr>
            </w:pPr>
          </w:p>
        </w:tc>
      </w:tr>
      <w:tr w14:paraId="67C803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BBBB262">
            <w:pPr>
              <w:rPr>
                <w:color w:val="000000" w:themeColor="text1"/>
                <w:sz w:val="20"/>
                <w14:textFill>
                  <w14:solidFill>
                    <w14:schemeClr w14:val="tx1"/>
                  </w14:solidFill>
                </w14:textFill>
              </w:rPr>
            </w:pPr>
          </w:p>
        </w:tc>
        <w:tc>
          <w:tcPr>
            <w:tcW w:w="1221" w:type="dxa"/>
          </w:tcPr>
          <w:p w14:paraId="4AB72F2B">
            <w:pPr>
              <w:rPr>
                <w:color w:val="000000" w:themeColor="text1"/>
                <w:sz w:val="20"/>
                <w14:textFill>
                  <w14:solidFill>
                    <w14:schemeClr w14:val="tx1"/>
                  </w14:solidFill>
                </w14:textFill>
              </w:rPr>
            </w:pPr>
          </w:p>
        </w:tc>
        <w:tc>
          <w:tcPr>
            <w:tcW w:w="770" w:type="dxa"/>
          </w:tcPr>
          <w:p w14:paraId="70996F17">
            <w:pPr>
              <w:rPr>
                <w:color w:val="000000" w:themeColor="text1"/>
                <w:sz w:val="20"/>
                <w14:textFill>
                  <w14:solidFill>
                    <w14:schemeClr w14:val="tx1"/>
                  </w14:solidFill>
                </w14:textFill>
              </w:rPr>
            </w:pPr>
          </w:p>
        </w:tc>
        <w:tc>
          <w:tcPr>
            <w:tcW w:w="1172" w:type="dxa"/>
          </w:tcPr>
          <w:p w14:paraId="4947C9D4">
            <w:pPr>
              <w:rPr>
                <w:color w:val="000000" w:themeColor="text1"/>
                <w:sz w:val="20"/>
                <w14:textFill>
                  <w14:solidFill>
                    <w14:schemeClr w14:val="tx1"/>
                  </w14:solidFill>
                </w14:textFill>
              </w:rPr>
            </w:pPr>
          </w:p>
        </w:tc>
        <w:tc>
          <w:tcPr>
            <w:tcW w:w="813" w:type="dxa"/>
          </w:tcPr>
          <w:p w14:paraId="6216A93F">
            <w:pPr>
              <w:rPr>
                <w:color w:val="000000" w:themeColor="text1"/>
                <w:sz w:val="20"/>
                <w14:textFill>
                  <w14:solidFill>
                    <w14:schemeClr w14:val="tx1"/>
                  </w14:solidFill>
                </w14:textFill>
              </w:rPr>
            </w:pPr>
          </w:p>
        </w:tc>
        <w:tc>
          <w:tcPr>
            <w:tcW w:w="813" w:type="dxa"/>
          </w:tcPr>
          <w:p w14:paraId="1A67D0EC">
            <w:pPr>
              <w:rPr>
                <w:color w:val="000000" w:themeColor="text1"/>
                <w:sz w:val="20"/>
                <w14:textFill>
                  <w14:solidFill>
                    <w14:schemeClr w14:val="tx1"/>
                  </w14:solidFill>
                </w14:textFill>
              </w:rPr>
            </w:pPr>
          </w:p>
        </w:tc>
        <w:tc>
          <w:tcPr>
            <w:tcW w:w="1348" w:type="dxa"/>
          </w:tcPr>
          <w:p w14:paraId="1BC6AAF4">
            <w:pPr>
              <w:rPr>
                <w:color w:val="000000" w:themeColor="text1"/>
                <w:sz w:val="20"/>
                <w14:textFill>
                  <w14:solidFill>
                    <w14:schemeClr w14:val="tx1"/>
                  </w14:solidFill>
                </w14:textFill>
              </w:rPr>
            </w:pPr>
          </w:p>
        </w:tc>
        <w:tc>
          <w:tcPr>
            <w:tcW w:w="1001" w:type="dxa"/>
          </w:tcPr>
          <w:p w14:paraId="2F99157A">
            <w:pPr>
              <w:rPr>
                <w:color w:val="000000" w:themeColor="text1"/>
                <w:sz w:val="20"/>
                <w14:textFill>
                  <w14:solidFill>
                    <w14:schemeClr w14:val="tx1"/>
                  </w14:solidFill>
                </w14:textFill>
              </w:rPr>
            </w:pPr>
          </w:p>
        </w:tc>
        <w:tc>
          <w:tcPr>
            <w:tcW w:w="1001" w:type="dxa"/>
          </w:tcPr>
          <w:p w14:paraId="1ED9C410">
            <w:pPr>
              <w:rPr>
                <w:color w:val="000000" w:themeColor="text1"/>
                <w:sz w:val="20"/>
                <w14:textFill>
                  <w14:solidFill>
                    <w14:schemeClr w14:val="tx1"/>
                  </w14:solidFill>
                </w14:textFill>
              </w:rPr>
            </w:pPr>
          </w:p>
        </w:tc>
        <w:tc>
          <w:tcPr>
            <w:tcW w:w="874" w:type="dxa"/>
          </w:tcPr>
          <w:p w14:paraId="23434C04">
            <w:pPr>
              <w:rPr>
                <w:color w:val="000000" w:themeColor="text1"/>
                <w:sz w:val="20"/>
                <w14:textFill>
                  <w14:solidFill>
                    <w14:schemeClr w14:val="tx1"/>
                  </w14:solidFill>
                </w14:textFill>
              </w:rPr>
            </w:pPr>
          </w:p>
        </w:tc>
      </w:tr>
      <w:tr w14:paraId="5F3867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7F44D5D5">
            <w:pPr>
              <w:rPr>
                <w:color w:val="000000" w:themeColor="text1"/>
                <w:sz w:val="20"/>
                <w14:textFill>
                  <w14:solidFill>
                    <w14:schemeClr w14:val="tx1"/>
                  </w14:solidFill>
                </w14:textFill>
              </w:rPr>
            </w:pPr>
          </w:p>
        </w:tc>
        <w:tc>
          <w:tcPr>
            <w:tcW w:w="1221" w:type="dxa"/>
          </w:tcPr>
          <w:p w14:paraId="0ECC3A9A">
            <w:pPr>
              <w:rPr>
                <w:color w:val="000000" w:themeColor="text1"/>
                <w:sz w:val="20"/>
                <w14:textFill>
                  <w14:solidFill>
                    <w14:schemeClr w14:val="tx1"/>
                  </w14:solidFill>
                </w14:textFill>
              </w:rPr>
            </w:pPr>
          </w:p>
        </w:tc>
        <w:tc>
          <w:tcPr>
            <w:tcW w:w="770" w:type="dxa"/>
          </w:tcPr>
          <w:p w14:paraId="4BF0E0EA">
            <w:pPr>
              <w:rPr>
                <w:color w:val="000000" w:themeColor="text1"/>
                <w:sz w:val="20"/>
                <w14:textFill>
                  <w14:solidFill>
                    <w14:schemeClr w14:val="tx1"/>
                  </w14:solidFill>
                </w14:textFill>
              </w:rPr>
            </w:pPr>
          </w:p>
        </w:tc>
        <w:tc>
          <w:tcPr>
            <w:tcW w:w="1172" w:type="dxa"/>
          </w:tcPr>
          <w:p w14:paraId="72F148F9">
            <w:pPr>
              <w:rPr>
                <w:color w:val="000000" w:themeColor="text1"/>
                <w:sz w:val="20"/>
                <w14:textFill>
                  <w14:solidFill>
                    <w14:schemeClr w14:val="tx1"/>
                  </w14:solidFill>
                </w14:textFill>
              </w:rPr>
            </w:pPr>
          </w:p>
        </w:tc>
        <w:tc>
          <w:tcPr>
            <w:tcW w:w="813" w:type="dxa"/>
          </w:tcPr>
          <w:p w14:paraId="2D895BBD">
            <w:pPr>
              <w:rPr>
                <w:color w:val="000000" w:themeColor="text1"/>
                <w:sz w:val="20"/>
                <w14:textFill>
                  <w14:solidFill>
                    <w14:schemeClr w14:val="tx1"/>
                  </w14:solidFill>
                </w14:textFill>
              </w:rPr>
            </w:pPr>
          </w:p>
        </w:tc>
        <w:tc>
          <w:tcPr>
            <w:tcW w:w="813" w:type="dxa"/>
          </w:tcPr>
          <w:p w14:paraId="09912F11">
            <w:pPr>
              <w:rPr>
                <w:color w:val="000000" w:themeColor="text1"/>
                <w:sz w:val="20"/>
                <w14:textFill>
                  <w14:solidFill>
                    <w14:schemeClr w14:val="tx1"/>
                  </w14:solidFill>
                </w14:textFill>
              </w:rPr>
            </w:pPr>
          </w:p>
        </w:tc>
        <w:tc>
          <w:tcPr>
            <w:tcW w:w="1348" w:type="dxa"/>
          </w:tcPr>
          <w:p w14:paraId="21C744A4">
            <w:pPr>
              <w:rPr>
                <w:color w:val="000000" w:themeColor="text1"/>
                <w:sz w:val="20"/>
                <w14:textFill>
                  <w14:solidFill>
                    <w14:schemeClr w14:val="tx1"/>
                  </w14:solidFill>
                </w14:textFill>
              </w:rPr>
            </w:pPr>
          </w:p>
        </w:tc>
        <w:tc>
          <w:tcPr>
            <w:tcW w:w="1001" w:type="dxa"/>
          </w:tcPr>
          <w:p w14:paraId="74A11A85">
            <w:pPr>
              <w:rPr>
                <w:color w:val="000000" w:themeColor="text1"/>
                <w:sz w:val="20"/>
                <w14:textFill>
                  <w14:solidFill>
                    <w14:schemeClr w14:val="tx1"/>
                  </w14:solidFill>
                </w14:textFill>
              </w:rPr>
            </w:pPr>
          </w:p>
        </w:tc>
        <w:tc>
          <w:tcPr>
            <w:tcW w:w="1001" w:type="dxa"/>
          </w:tcPr>
          <w:p w14:paraId="63836370">
            <w:pPr>
              <w:rPr>
                <w:color w:val="000000" w:themeColor="text1"/>
                <w:sz w:val="20"/>
                <w14:textFill>
                  <w14:solidFill>
                    <w14:schemeClr w14:val="tx1"/>
                  </w14:solidFill>
                </w14:textFill>
              </w:rPr>
            </w:pPr>
          </w:p>
        </w:tc>
        <w:tc>
          <w:tcPr>
            <w:tcW w:w="874" w:type="dxa"/>
          </w:tcPr>
          <w:p w14:paraId="428ABB18">
            <w:pPr>
              <w:rPr>
                <w:color w:val="000000" w:themeColor="text1"/>
                <w:sz w:val="20"/>
                <w14:textFill>
                  <w14:solidFill>
                    <w14:schemeClr w14:val="tx1"/>
                  </w14:solidFill>
                </w14:textFill>
              </w:rPr>
            </w:pPr>
          </w:p>
        </w:tc>
      </w:tr>
      <w:tr w14:paraId="4D3337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1F211E4">
            <w:pPr>
              <w:rPr>
                <w:color w:val="000000" w:themeColor="text1"/>
                <w:sz w:val="20"/>
                <w14:textFill>
                  <w14:solidFill>
                    <w14:schemeClr w14:val="tx1"/>
                  </w14:solidFill>
                </w14:textFill>
              </w:rPr>
            </w:pPr>
          </w:p>
        </w:tc>
        <w:tc>
          <w:tcPr>
            <w:tcW w:w="1221" w:type="dxa"/>
          </w:tcPr>
          <w:p w14:paraId="0EA50E14">
            <w:pPr>
              <w:rPr>
                <w:color w:val="000000" w:themeColor="text1"/>
                <w:sz w:val="20"/>
                <w14:textFill>
                  <w14:solidFill>
                    <w14:schemeClr w14:val="tx1"/>
                  </w14:solidFill>
                </w14:textFill>
              </w:rPr>
            </w:pPr>
          </w:p>
        </w:tc>
        <w:tc>
          <w:tcPr>
            <w:tcW w:w="770" w:type="dxa"/>
          </w:tcPr>
          <w:p w14:paraId="6D19DC38">
            <w:pPr>
              <w:rPr>
                <w:color w:val="000000" w:themeColor="text1"/>
                <w:sz w:val="20"/>
                <w14:textFill>
                  <w14:solidFill>
                    <w14:schemeClr w14:val="tx1"/>
                  </w14:solidFill>
                </w14:textFill>
              </w:rPr>
            </w:pPr>
          </w:p>
        </w:tc>
        <w:tc>
          <w:tcPr>
            <w:tcW w:w="1172" w:type="dxa"/>
          </w:tcPr>
          <w:p w14:paraId="14225113">
            <w:pPr>
              <w:rPr>
                <w:color w:val="000000" w:themeColor="text1"/>
                <w:sz w:val="20"/>
                <w14:textFill>
                  <w14:solidFill>
                    <w14:schemeClr w14:val="tx1"/>
                  </w14:solidFill>
                </w14:textFill>
              </w:rPr>
            </w:pPr>
          </w:p>
        </w:tc>
        <w:tc>
          <w:tcPr>
            <w:tcW w:w="813" w:type="dxa"/>
          </w:tcPr>
          <w:p w14:paraId="038CFBC8">
            <w:pPr>
              <w:rPr>
                <w:color w:val="000000" w:themeColor="text1"/>
                <w:sz w:val="20"/>
                <w14:textFill>
                  <w14:solidFill>
                    <w14:schemeClr w14:val="tx1"/>
                  </w14:solidFill>
                </w14:textFill>
              </w:rPr>
            </w:pPr>
          </w:p>
        </w:tc>
        <w:tc>
          <w:tcPr>
            <w:tcW w:w="813" w:type="dxa"/>
          </w:tcPr>
          <w:p w14:paraId="52A3CBC5">
            <w:pPr>
              <w:rPr>
                <w:color w:val="000000" w:themeColor="text1"/>
                <w:sz w:val="20"/>
                <w14:textFill>
                  <w14:solidFill>
                    <w14:schemeClr w14:val="tx1"/>
                  </w14:solidFill>
                </w14:textFill>
              </w:rPr>
            </w:pPr>
          </w:p>
        </w:tc>
        <w:tc>
          <w:tcPr>
            <w:tcW w:w="1348" w:type="dxa"/>
          </w:tcPr>
          <w:p w14:paraId="70CD3388">
            <w:pPr>
              <w:rPr>
                <w:color w:val="000000" w:themeColor="text1"/>
                <w:sz w:val="20"/>
                <w14:textFill>
                  <w14:solidFill>
                    <w14:schemeClr w14:val="tx1"/>
                  </w14:solidFill>
                </w14:textFill>
              </w:rPr>
            </w:pPr>
          </w:p>
        </w:tc>
        <w:tc>
          <w:tcPr>
            <w:tcW w:w="1001" w:type="dxa"/>
          </w:tcPr>
          <w:p w14:paraId="0B3EE8FD">
            <w:pPr>
              <w:rPr>
                <w:color w:val="000000" w:themeColor="text1"/>
                <w:sz w:val="20"/>
                <w14:textFill>
                  <w14:solidFill>
                    <w14:schemeClr w14:val="tx1"/>
                  </w14:solidFill>
                </w14:textFill>
              </w:rPr>
            </w:pPr>
          </w:p>
        </w:tc>
        <w:tc>
          <w:tcPr>
            <w:tcW w:w="1001" w:type="dxa"/>
          </w:tcPr>
          <w:p w14:paraId="077CD9B3">
            <w:pPr>
              <w:rPr>
                <w:color w:val="000000" w:themeColor="text1"/>
                <w:sz w:val="20"/>
                <w14:textFill>
                  <w14:solidFill>
                    <w14:schemeClr w14:val="tx1"/>
                  </w14:solidFill>
                </w14:textFill>
              </w:rPr>
            </w:pPr>
          </w:p>
        </w:tc>
        <w:tc>
          <w:tcPr>
            <w:tcW w:w="874" w:type="dxa"/>
          </w:tcPr>
          <w:p w14:paraId="5BB86CCF">
            <w:pPr>
              <w:rPr>
                <w:color w:val="000000" w:themeColor="text1"/>
                <w:sz w:val="20"/>
                <w14:textFill>
                  <w14:solidFill>
                    <w14:schemeClr w14:val="tx1"/>
                  </w14:solidFill>
                </w14:textFill>
              </w:rPr>
            </w:pPr>
          </w:p>
        </w:tc>
      </w:tr>
      <w:tr w14:paraId="63AEFE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40EB2EE7">
            <w:pPr>
              <w:rPr>
                <w:color w:val="000000" w:themeColor="text1"/>
                <w:sz w:val="20"/>
                <w14:textFill>
                  <w14:solidFill>
                    <w14:schemeClr w14:val="tx1"/>
                  </w14:solidFill>
                </w14:textFill>
              </w:rPr>
            </w:pPr>
          </w:p>
        </w:tc>
        <w:tc>
          <w:tcPr>
            <w:tcW w:w="1221" w:type="dxa"/>
          </w:tcPr>
          <w:p w14:paraId="19732BF6">
            <w:pPr>
              <w:rPr>
                <w:color w:val="000000" w:themeColor="text1"/>
                <w:sz w:val="20"/>
                <w14:textFill>
                  <w14:solidFill>
                    <w14:schemeClr w14:val="tx1"/>
                  </w14:solidFill>
                </w14:textFill>
              </w:rPr>
            </w:pPr>
          </w:p>
        </w:tc>
        <w:tc>
          <w:tcPr>
            <w:tcW w:w="770" w:type="dxa"/>
          </w:tcPr>
          <w:p w14:paraId="726A4040">
            <w:pPr>
              <w:rPr>
                <w:color w:val="000000" w:themeColor="text1"/>
                <w:sz w:val="20"/>
                <w14:textFill>
                  <w14:solidFill>
                    <w14:schemeClr w14:val="tx1"/>
                  </w14:solidFill>
                </w14:textFill>
              </w:rPr>
            </w:pPr>
          </w:p>
        </w:tc>
        <w:tc>
          <w:tcPr>
            <w:tcW w:w="1172" w:type="dxa"/>
          </w:tcPr>
          <w:p w14:paraId="712FC6D1">
            <w:pPr>
              <w:rPr>
                <w:color w:val="000000" w:themeColor="text1"/>
                <w:sz w:val="20"/>
                <w14:textFill>
                  <w14:solidFill>
                    <w14:schemeClr w14:val="tx1"/>
                  </w14:solidFill>
                </w14:textFill>
              </w:rPr>
            </w:pPr>
          </w:p>
        </w:tc>
        <w:tc>
          <w:tcPr>
            <w:tcW w:w="813" w:type="dxa"/>
          </w:tcPr>
          <w:p w14:paraId="50EB2B99">
            <w:pPr>
              <w:rPr>
                <w:color w:val="000000" w:themeColor="text1"/>
                <w:sz w:val="20"/>
                <w14:textFill>
                  <w14:solidFill>
                    <w14:schemeClr w14:val="tx1"/>
                  </w14:solidFill>
                </w14:textFill>
              </w:rPr>
            </w:pPr>
          </w:p>
        </w:tc>
        <w:tc>
          <w:tcPr>
            <w:tcW w:w="813" w:type="dxa"/>
          </w:tcPr>
          <w:p w14:paraId="68F4672B">
            <w:pPr>
              <w:rPr>
                <w:color w:val="000000" w:themeColor="text1"/>
                <w:sz w:val="20"/>
                <w14:textFill>
                  <w14:solidFill>
                    <w14:schemeClr w14:val="tx1"/>
                  </w14:solidFill>
                </w14:textFill>
              </w:rPr>
            </w:pPr>
          </w:p>
        </w:tc>
        <w:tc>
          <w:tcPr>
            <w:tcW w:w="1348" w:type="dxa"/>
          </w:tcPr>
          <w:p w14:paraId="0326CD9E">
            <w:pPr>
              <w:rPr>
                <w:color w:val="000000" w:themeColor="text1"/>
                <w:sz w:val="20"/>
                <w14:textFill>
                  <w14:solidFill>
                    <w14:schemeClr w14:val="tx1"/>
                  </w14:solidFill>
                </w14:textFill>
              </w:rPr>
            </w:pPr>
          </w:p>
        </w:tc>
        <w:tc>
          <w:tcPr>
            <w:tcW w:w="1001" w:type="dxa"/>
          </w:tcPr>
          <w:p w14:paraId="02AAD695">
            <w:pPr>
              <w:rPr>
                <w:color w:val="000000" w:themeColor="text1"/>
                <w:sz w:val="20"/>
                <w14:textFill>
                  <w14:solidFill>
                    <w14:schemeClr w14:val="tx1"/>
                  </w14:solidFill>
                </w14:textFill>
              </w:rPr>
            </w:pPr>
          </w:p>
        </w:tc>
        <w:tc>
          <w:tcPr>
            <w:tcW w:w="1001" w:type="dxa"/>
          </w:tcPr>
          <w:p w14:paraId="6EF6BDBD">
            <w:pPr>
              <w:rPr>
                <w:color w:val="000000" w:themeColor="text1"/>
                <w:sz w:val="20"/>
                <w14:textFill>
                  <w14:solidFill>
                    <w14:schemeClr w14:val="tx1"/>
                  </w14:solidFill>
                </w14:textFill>
              </w:rPr>
            </w:pPr>
          </w:p>
        </w:tc>
        <w:tc>
          <w:tcPr>
            <w:tcW w:w="874" w:type="dxa"/>
          </w:tcPr>
          <w:p w14:paraId="0AD9E190">
            <w:pPr>
              <w:rPr>
                <w:color w:val="000000" w:themeColor="text1"/>
                <w:sz w:val="20"/>
                <w14:textFill>
                  <w14:solidFill>
                    <w14:schemeClr w14:val="tx1"/>
                  </w14:solidFill>
                </w14:textFill>
              </w:rPr>
            </w:pPr>
          </w:p>
        </w:tc>
      </w:tr>
      <w:tr w14:paraId="5338EB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4B6615EB">
            <w:pPr>
              <w:rPr>
                <w:color w:val="000000" w:themeColor="text1"/>
                <w:sz w:val="20"/>
                <w14:textFill>
                  <w14:solidFill>
                    <w14:schemeClr w14:val="tx1"/>
                  </w14:solidFill>
                </w14:textFill>
              </w:rPr>
            </w:pPr>
          </w:p>
        </w:tc>
        <w:tc>
          <w:tcPr>
            <w:tcW w:w="1221" w:type="dxa"/>
          </w:tcPr>
          <w:p w14:paraId="2663B2A9">
            <w:pPr>
              <w:rPr>
                <w:color w:val="000000" w:themeColor="text1"/>
                <w:sz w:val="20"/>
                <w14:textFill>
                  <w14:solidFill>
                    <w14:schemeClr w14:val="tx1"/>
                  </w14:solidFill>
                </w14:textFill>
              </w:rPr>
            </w:pPr>
          </w:p>
        </w:tc>
        <w:tc>
          <w:tcPr>
            <w:tcW w:w="770" w:type="dxa"/>
          </w:tcPr>
          <w:p w14:paraId="59C9D283">
            <w:pPr>
              <w:rPr>
                <w:color w:val="000000" w:themeColor="text1"/>
                <w:sz w:val="20"/>
                <w14:textFill>
                  <w14:solidFill>
                    <w14:schemeClr w14:val="tx1"/>
                  </w14:solidFill>
                </w14:textFill>
              </w:rPr>
            </w:pPr>
          </w:p>
        </w:tc>
        <w:tc>
          <w:tcPr>
            <w:tcW w:w="1172" w:type="dxa"/>
          </w:tcPr>
          <w:p w14:paraId="2E9DD29E">
            <w:pPr>
              <w:rPr>
                <w:color w:val="000000" w:themeColor="text1"/>
                <w:sz w:val="20"/>
                <w14:textFill>
                  <w14:solidFill>
                    <w14:schemeClr w14:val="tx1"/>
                  </w14:solidFill>
                </w14:textFill>
              </w:rPr>
            </w:pPr>
          </w:p>
        </w:tc>
        <w:tc>
          <w:tcPr>
            <w:tcW w:w="813" w:type="dxa"/>
          </w:tcPr>
          <w:p w14:paraId="77A5C7DE">
            <w:pPr>
              <w:rPr>
                <w:color w:val="000000" w:themeColor="text1"/>
                <w:sz w:val="20"/>
                <w14:textFill>
                  <w14:solidFill>
                    <w14:schemeClr w14:val="tx1"/>
                  </w14:solidFill>
                </w14:textFill>
              </w:rPr>
            </w:pPr>
          </w:p>
        </w:tc>
        <w:tc>
          <w:tcPr>
            <w:tcW w:w="813" w:type="dxa"/>
          </w:tcPr>
          <w:p w14:paraId="2DF19300">
            <w:pPr>
              <w:rPr>
                <w:color w:val="000000" w:themeColor="text1"/>
                <w:sz w:val="20"/>
                <w14:textFill>
                  <w14:solidFill>
                    <w14:schemeClr w14:val="tx1"/>
                  </w14:solidFill>
                </w14:textFill>
              </w:rPr>
            </w:pPr>
          </w:p>
        </w:tc>
        <w:tc>
          <w:tcPr>
            <w:tcW w:w="1348" w:type="dxa"/>
          </w:tcPr>
          <w:p w14:paraId="27A12A83">
            <w:pPr>
              <w:rPr>
                <w:color w:val="000000" w:themeColor="text1"/>
                <w:sz w:val="20"/>
                <w14:textFill>
                  <w14:solidFill>
                    <w14:schemeClr w14:val="tx1"/>
                  </w14:solidFill>
                </w14:textFill>
              </w:rPr>
            </w:pPr>
          </w:p>
        </w:tc>
        <w:tc>
          <w:tcPr>
            <w:tcW w:w="1001" w:type="dxa"/>
          </w:tcPr>
          <w:p w14:paraId="6CE8B050">
            <w:pPr>
              <w:rPr>
                <w:color w:val="000000" w:themeColor="text1"/>
                <w:sz w:val="20"/>
                <w14:textFill>
                  <w14:solidFill>
                    <w14:schemeClr w14:val="tx1"/>
                  </w14:solidFill>
                </w14:textFill>
              </w:rPr>
            </w:pPr>
          </w:p>
        </w:tc>
        <w:tc>
          <w:tcPr>
            <w:tcW w:w="1001" w:type="dxa"/>
          </w:tcPr>
          <w:p w14:paraId="35C0ED44">
            <w:pPr>
              <w:rPr>
                <w:color w:val="000000" w:themeColor="text1"/>
                <w:sz w:val="20"/>
                <w14:textFill>
                  <w14:solidFill>
                    <w14:schemeClr w14:val="tx1"/>
                  </w14:solidFill>
                </w14:textFill>
              </w:rPr>
            </w:pPr>
          </w:p>
        </w:tc>
        <w:tc>
          <w:tcPr>
            <w:tcW w:w="874" w:type="dxa"/>
          </w:tcPr>
          <w:p w14:paraId="455B1B73">
            <w:pPr>
              <w:rPr>
                <w:color w:val="000000" w:themeColor="text1"/>
                <w:sz w:val="20"/>
                <w14:textFill>
                  <w14:solidFill>
                    <w14:schemeClr w14:val="tx1"/>
                  </w14:solidFill>
                </w14:textFill>
              </w:rPr>
            </w:pPr>
          </w:p>
        </w:tc>
      </w:tr>
      <w:tr w14:paraId="2A8A1A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49A167D2">
            <w:pPr>
              <w:rPr>
                <w:color w:val="000000" w:themeColor="text1"/>
                <w:sz w:val="20"/>
                <w14:textFill>
                  <w14:solidFill>
                    <w14:schemeClr w14:val="tx1"/>
                  </w14:solidFill>
                </w14:textFill>
              </w:rPr>
            </w:pPr>
          </w:p>
        </w:tc>
        <w:tc>
          <w:tcPr>
            <w:tcW w:w="1221" w:type="dxa"/>
          </w:tcPr>
          <w:p w14:paraId="5018AF6A">
            <w:pPr>
              <w:rPr>
                <w:color w:val="000000" w:themeColor="text1"/>
                <w:sz w:val="20"/>
                <w14:textFill>
                  <w14:solidFill>
                    <w14:schemeClr w14:val="tx1"/>
                  </w14:solidFill>
                </w14:textFill>
              </w:rPr>
            </w:pPr>
          </w:p>
        </w:tc>
        <w:tc>
          <w:tcPr>
            <w:tcW w:w="770" w:type="dxa"/>
          </w:tcPr>
          <w:p w14:paraId="5E0E6453">
            <w:pPr>
              <w:rPr>
                <w:color w:val="000000" w:themeColor="text1"/>
                <w:sz w:val="20"/>
                <w14:textFill>
                  <w14:solidFill>
                    <w14:schemeClr w14:val="tx1"/>
                  </w14:solidFill>
                </w14:textFill>
              </w:rPr>
            </w:pPr>
          </w:p>
        </w:tc>
        <w:tc>
          <w:tcPr>
            <w:tcW w:w="1172" w:type="dxa"/>
          </w:tcPr>
          <w:p w14:paraId="692BB6CA">
            <w:pPr>
              <w:rPr>
                <w:color w:val="000000" w:themeColor="text1"/>
                <w:sz w:val="20"/>
                <w14:textFill>
                  <w14:solidFill>
                    <w14:schemeClr w14:val="tx1"/>
                  </w14:solidFill>
                </w14:textFill>
              </w:rPr>
            </w:pPr>
          </w:p>
        </w:tc>
        <w:tc>
          <w:tcPr>
            <w:tcW w:w="813" w:type="dxa"/>
          </w:tcPr>
          <w:p w14:paraId="4D106023">
            <w:pPr>
              <w:rPr>
                <w:color w:val="000000" w:themeColor="text1"/>
                <w:sz w:val="20"/>
                <w14:textFill>
                  <w14:solidFill>
                    <w14:schemeClr w14:val="tx1"/>
                  </w14:solidFill>
                </w14:textFill>
              </w:rPr>
            </w:pPr>
          </w:p>
        </w:tc>
        <w:tc>
          <w:tcPr>
            <w:tcW w:w="813" w:type="dxa"/>
          </w:tcPr>
          <w:p w14:paraId="0845091E">
            <w:pPr>
              <w:rPr>
                <w:color w:val="000000" w:themeColor="text1"/>
                <w:sz w:val="20"/>
                <w14:textFill>
                  <w14:solidFill>
                    <w14:schemeClr w14:val="tx1"/>
                  </w14:solidFill>
                </w14:textFill>
              </w:rPr>
            </w:pPr>
          </w:p>
        </w:tc>
        <w:tc>
          <w:tcPr>
            <w:tcW w:w="1348" w:type="dxa"/>
          </w:tcPr>
          <w:p w14:paraId="5B7B74AD">
            <w:pPr>
              <w:rPr>
                <w:color w:val="000000" w:themeColor="text1"/>
                <w:sz w:val="20"/>
                <w14:textFill>
                  <w14:solidFill>
                    <w14:schemeClr w14:val="tx1"/>
                  </w14:solidFill>
                </w14:textFill>
              </w:rPr>
            </w:pPr>
          </w:p>
        </w:tc>
        <w:tc>
          <w:tcPr>
            <w:tcW w:w="1001" w:type="dxa"/>
          </w:tcPr>
          <w:p w14:paraId="2A37F434">
            <w:pPr>
              <w:rPr>
                <w:color w:val="000000" w:themeColor="text1"/>
                <w:sz w:val="20"/>
                <w14:textFill>
                  <w14:solidFill>
                    <w14:schemeClr w14:val="tx1"/>
                  </w14:solidFill>
                </w14:textFill>
              </w:rPr>
            </w:pPr>
          </w:p>
        </w:tc>
        <w:tc>
          <w:tcPr>
            <w:tcW w:w="1001" w:type="dxa"/>
          </w:tcPr>
          <w:p w14:paraId="3FA0432F">
            <w:pPr>
              <w:rPr>
                <w:color w:val="000000" w:themeColor="text1"/>
                <w:sz w:val="20"/>
                <w14:textFill>
                  <w14:solidFill>
                    <w14:schemeClr w14:val="tx1"/>
                  </w14:solidFill>
                </w14:textFill>
              </w:rPr>
            </w:pPr>
          </w:p>
        </w:tc>
        <w:tc>
          <w:tcPr>
            <w:tcW w:w="874" w:type="dxa"/>
          </w:tcPr>
          <w:p w14:paraId="023E492E">
            <w:pPr>
              <w:rPr>
                <w:color w:val="000000" w:themeColor="text1"/>
                <w:sz w:val="20"/>
                <w14:textFill>
                  <w14:solidFill>
                    <w14:schemeClr w14:val="tx1"/>
                  </w14:solidFill>
                </w14:textFill>
              </w:rPr>
            </w:pPr>
          </w:p>
        </w:tc>
      </w:tr>
      <w:tr w14:paraId="0A3627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0F329041">
            <w:pPr>
              <w:rPr>
                <w:color w:val="000000" w:themeColor="text1"/>
                <w:sz w:val="20"/>
                <w14:textFill>
                  <w14:solidFill>
                    <w14:schemeClr w14:val="tx1"/>
                  </w14:solidFill>
                </w14:textFill>
              </w:rPr>
            </w:pPr>
          </w:p>
        </w:tc>
        <w:tc>
          <w:tcPr>
            <w:tcW w:w="1221" w:type="dxa"/>
          </w:tcPr>
          <w:p w14:paraId="21D4C211">
            <w:pPr>
              <w:rPr>
                <w:color w:val="000000" w:themeColor="text1"/>
                <w:sz w:val="20"/>
                <w14:textFill>
                  <w14:solidFill>
                    <w14:schemeClr w14:val="tx1"/>
                  </w14:solidFill>
                </w14:textFill>
              </w:rPr>
            </w:pPr>
          </w:p>
        </w:tc>
        <w:tc>
          <w:tcPr>
            <w:tcW w:w="770" w:type="dxa"/>
          </w:tcPr>
          <w:p w14:paraId="7A25BF58">
            <w:pPr>
              <w:rPr>
                <w:color w:val="000000" w:themeColor="text1"/>
                <w:sz w:val="20"/>
                <w14:textFill>
                  <w14:solidFill>
                    <w14:schemeClr w14:val="tx1"/>
                  </w14:solidFill>
                </w14:textFill>
              </w:rPr>
            </w:pPr>
          </w:p>
        </w:tc>
        <w:tc>
          <w:tcPr>
            <w:tcW w:w="1172" w:type="dxa"/>
          </w:tcPr>
          <w:p w14:paraId="152A8384">
            <w:pPr>
              <w:rPr>
                <w:color w:val="000000" w:themeColor="text1"/>
                <w:sz w:val="20"/>
                <w14:textFill>
                  <w14:solidFill>
                    <w14:schemeClr w14:val="tx1"/>
                  </w14:solidFill>
                </w14:textFill>
              </w:rPr>
            </w:pPr>
          </w:p>
        </w:tc>
        <w:tc>
          <w:tcPr>
            <w:tcW w:w="813" w:type="dxa"/>
          </w:tcPr>
          <w:p w14:paraId="1B040BD6">
            <w:pPr>
              <w:rPr>
                <w:color w:val="000000" w:themeColor="text1"/>
                <w:sz w:val="20"/>
                <w14:textFill>
                  <w14:solidFill>
                    <w14:schemeClr w14:val="tx1"/>
                  </w14:solidFill>
                </w14:textFill>
              </w:rPr>
            </w:pPr>
          </w:p>
        </w:tc>
        <w:tc>
          <w:tcPr>
            <w:tcW w:w="813" w:type="dxa"/>
          </w:tcPr>
          <w:p w14:paraId="0546E304">
            <w:pPr>
              <w:rPr>
                <w:color w:val="000000" w:themeColor="text1"/>
                <w:sz w:val="20"/>
                <w14:textFill>
                  <w14:solidFill>
                    <w14:schemeClr w14:val="tx1"/>
                  </w14:solidFill>
                </w14:textFill>
              </w:rPr>
            </w:pPr>
          </w:p>
        </w:tc>
        <w:tc>
          <w:tcPr>
            <w:tcW w:w="1348" w:type="dxa"/>
          </w:tcPr>
          <w:p w14:paraId="0B7FD4DE">
            <w:pPr>
              <w:rPr>
                <w:color w:val="000000" w:themeColor="text1"/>
                <w:sz w:val="20"/>
                <w14:textFill>
                  <w14:solidFill>
                    <w14:schemeClr w14:val="tx1"/>
                  </w14:solidFill>
                </w14:textFill>
              </w:rPr>
            </w:pPr>
          </w:p>
        </w:tc>
        <w:tc>
          <w:tcPr>
            <w:tcW w:w="1001" w:type="dxa"/>
          </w:tcPr>
          <w:p w14:paraId="4215F5E8">
            <w:pPr>
              <w:rPr>
                <w:color w:val="000000" w:themeColor="text1"/>
                <w:sz w:val="20"/>
                <w14:textFill>
                  <w14:solidFill>
                    <w14:schemeClr w14:val="tx1"/>
                  </w14:solidFill>
                </w14:textFill>
              </w:rPr>
            </w:pPr>
          </w:p>
        </w:tc>
        <w:tc>
          <w:tcPr>
            <w:tcW w:w="1001" w:type="dxa"/>
          </w:tcPr>
          <w:p w14:paraId="5F879407">
            <w:pPr>
              <w:rPr>
                <w:color w:val="000000" w:themeColor="text1"/>
                <w:sz w:val="20"/>
                <w14:textFill>
                  <w14:solidFill>
                    <w14:schemeClr w14:val="tx1"/>
                  </w14:solidFill>
                </w14:textFill>
              </w:rPr>
            </w:pPr>
          </w:p>
        </w:tc>
        <w:tc>
          <w:tcPr>
            <w:tcW w:w="874" w:type="dxa"/>
          </w:tcPr>
          <w:p w14:paraId="6F46CD12">
            <w:pPr>
              <w:rPr>
                <w:color w:val="000000" w:themeColor="text1"/>
                <w:sz w:val="20"/>
                <w14:textFill>
                  <w14:solidFill>
                    <w14:schemeClr w14:val="tx1"/>
                  </w14:solidFill>
                </w14:textFill>
              </w:rPr>
            </w:pPr>
          </w:p>
        </w:tc>
      </w:tr>
      <w:tr w14:paraId="157E9B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A923145">
            <w:pPr>
              <w:rPr>
                <w:color w:val="000000" w:themeColor="text1"/>
                <w:sz w:val="20"/>
                <w14:textFill>
                  <w14:solidFill>
                    <w14:schemeClr w14:val="tx1"/>
                  </w14:solidFill>
                </w14:textFill>
              </w:rPr>
            </w:pPr>
          </w:p>
        </w:tc>
        <w:tc>
          <w:tcPr>
            <w:tcW w:w="1221" w:type="dxa"/>
          </w:tcPr>
          <w:p w14:paraId="35790D44">
            <w:pPr>
              <w:rPr>
                <w:color w:val="000000" w:themeColor="text1"/>
                <w:sz w:val="20"/>
                <w14:textFill>
                  <w14:solidFill>
                    <w14:schemeClr w14:val="tx1"/>
                  </w14:solidFill>
                </w14:textFill>
              </w:rPr>
            </w:pPr>
          </w:p>
        </w:tc>
        <w:tc>
          <w:tcPr>
            <w:tcW w:w="770" w:type="dxa"/>
          </w:tcPr>
          <w:p w14:paraId="7FFEC470">
            <w:pPr>
              <w:rPr>
                <w:color w:val="000000" w:themeColor="text1"/>
                <w:sz w:val="20"/>
                <w14:textFill>
                  <w14:solidFill>
                    <w14:schemeClr w14:val="tx1"/>
                  </w14:solidFill>
                </w14:textFill>
              </w:rPr>
            </w:pPr>
          </w:p>
        </w:tc>
        <w:tc>
          <w:tcPr>
            <w:tcW w:w="1172" w:type="dxa"/>
          </w:tcPr>
          <w:p w14:paraId="6BC2FB9D">
            <w:pPr>
              <w:rPr>
                <w:color w:val="000000" w:themeColor="text1"/>
                <w:sz w:val="20"/>
                <w14:textFill>
                  <w14:solidFill>
                    <w14:schemeClr w14:val="tx1"/>
                  </w14:solidFill>
                </w14:textFill>
              </w:rPr>
            </w:pPr>
          </w:p>
        </w:tc>
        <w:tc>
          <w:tcPr>
            <w:tcW w:w="813" w:type="dxa"/>
          </w:tcPr>
          <w:p w14:paraId="323BAAD9">
            <w:pPr>
              <w:rPr>
                <w:color w:val="000000" w:themeColor="text1"/>
                <w:sz w:val="20"/>
                <w14:textFill>
                  <w14:solidFill>
                    <w14:schemeClr w14:val="tx1"/>
                  </w14:solidFill>
                </w14:textFill>
              </w:rPr>
            </w:pPr>
          </w:p>
        </w:tc>
        <w:tc>
          <w:tcPr>
            <w:tcW w:w="813" w:type="dxa"/>
          </w:tcPr>
          <w:p w14:paraId="36162791">
            <w:pPr>
              <w:rPr>
                <w:color w:val="000000" w:themeColor="text1"/>
                <w:sz w:val="20"/>
                <w14:textFill>
                  <w14:solidFill>
                    <w14:schemeClr w14:val="tx1"/>
                  </w14:solidFill>
                </w14:textFill>
              </w:rPr>
            </w:pPr>
          </w:p>
        </w:tc>
        <w:tc>
          <w:tcPr>
            <w:tcW w:w="1348" w:type="dxa"/>
          </w:tcPr>
          <w:p w14:paraId="0AF8AC43">
            <w:pPr>
              <w:rPr>
                <w:color w:val="000000" w:themeColor="text1"/>
                <w:sz w:val="20"/>
                <w14:textFill>
                  <w14:solidFill>
                    <w14:schemeClr w14:val="tx1"/>
                  </w14:solidFill>
                </w14:textFill>
              </w:rPr>
            </w:pPr>
          </w:p>
        </w:tc>
        <w:tc>
          <w:tcPr>
            <w:tcW w:w="1001" w:type="dxa"/>
          </w:tcPr>
          <w:p w14:paraId="00F53DDE">
            <w:pPr>
              <w:rPr>
                <w:color w:val="000000" w:themeColor="text1"/>
                <w:sz w:val="20"/>
                <w14:textFill>
                  <w14:solidFill>
                    <w14:schemeClr w14:val="tx1"/>
                  </w14:solidFill>
                </w14:textFill>
              </w:rPr>
            </w:pPr>
          </w:p>
        </w:tc>
        <w:tc>
          <w:tcPr>
            <w:tcW w:w="1001" w:type="dxa"/>
          </w:tcPr>
          <w:p w14:paraId="5B53119D">
            <w:pPr>
              <w:rPr>
                <w:color w:val="000000" w:themeColor="text1"/>
                <w:sz w:val="20"/>
                <w14:textFill>
                  <w14:solidFill>
                    <w14:schemeClr w14:val="tx1"/>
                  </w14:solidFill>
                </w14:textFill>
              </w:rPr>
            </w:pPr>
          </w:p>
        </w:tc>
        <w:tc>
          <w:tcPr>
            <w:tcW w:w="874" w:type="dxa"/>
          </w:tcPr>
          <w:p w14:paraId="1CD79512">
            <w:pPr>
              <w:rPr>
                <w:color w:val="000000" w:themeColor="text1"/>
                <w:sz w:val="20"/>
                <w14:textFill>
                  <w14:solidFill>
                    <w14:schemeClr w14:val="tx1"/>
                  </w14:solidFill>
                </w14:textFill>
              </w:rPr>
            </w:pPr>
          </w:p>
        </w:tc>
      </w:tr>
      <w:tr w14:paraId="471583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510D377">
            <w:pPr>
              <w:rPr>
                <w:color w:val="000000" w:themeColor="text1"/>
                <w:sz w:val="20"/>
                <w14:textFill>
                  <w14:solidFill>
                    <w14:schemeClr w14:val="tx1"/>
                  </w14:solidFill>
                </w14:textFill>
              </w:rPr>
            </w:pPr>
          </w:p>
        </w:tc>
        <w:tc>
          <w:tcPr>
            <w:tcW w:w="1221" w:type="dxa"/>
          </w:tcPr>
          <w:p w14:paraId="618D5DB6">
            <w:pPr>
              <w:rPr>
                <w:color w:val="000000" w:themeColor="text1"/>
                <w:sz w:val="20"/>
                <w14:textFill>
                  <w14:solidFill>
                    <w14:schemeClr w14:val="tx1"/>
                  </w14:solidFill>
                </w14:textFill>
              </w:rPr>
            </w:pPr>
          </w:p>
        </w:tc>
        <w:tc>
          <w:tcPr>
            <w:tcW w:w="770" w:type="dxa"/>
          </w:tcPr>
          <w:p w14:paraId="0750F506">
            <w:pPr>
              <w:rPr>
                <w:color w:val="000000" w:themeColor="text1"/>
                <w:sz w:val="20"/>
                <w14:textFill>
                  <w14:solidFill>
                    <w14:schemeClr w14:val="tx1"/>
                  </w14:solidFill>
                </w14:textFill>
              </w:rPr>
            </w:pPr>
          </w:p>
        </w:tc>
        <w:tc>
          <w:tcPr>
            <w:tcW w:w="1172" w:type="dxa"/>
          </w:tcPr>
          <w:p w14:paraId="47D49BDB">
            <w:pPr>
              <w:rPr>
                <w:color w:val="000000" w:themeColor="text1"/>
                <w:sz w:val="20"/>
                <w14:textFill>
                  <w14:solidFill>
                    <w14:schemeClr w14:val="tx1"/>
                  </w14:solidFill>
                </w14:textFill>
              </w:rPr>
            </w:pPr>
          </w:p>
        </w:tc>
        <w:tc>
          <w:tcPr>
            <w:tcW w:w="813" w:type="dxa"/>
          </w:tcPr>
          <w:p w14:paraId="426BEEA2">
            <w:pPr>
              <w:rPr>
                <w:color w:val="000000" w:themeColor="text1"/>
                <w:sz w:val="20"/>
                <w14:textFill>
                  <w14:solidFill>
                    <w14:schemeClr w14:val="tx1"/>
                  </w14:solidFill>
                </w14:textFill>
              </w:rPr>
            </w:pPr>
          </w:p>
        </w:tc>
        <w:tc>
          <w:tcPr>
            <w:tcW w:w="813" w:type="dxa"/>
          </w:tcPr>
          <w:p w14:paraId="41AEA108">
            <w:pPr>
              <w:rPr>
                <w:color w:val="000000" w:themeColor="text1"/>
                <w:sz w:val="20"/>
                <w14:textFill>
                  <w14:solidFill>
                    <w14:schemeClr w14:val="tx1"/>
                  </w14:solidFill>
                </w14:textFill>
              </w:rPr>
            </w:pPr>
          </w:p>
        </w:tc>
        <w:tc>
          <w:tcPr>
            <w:tcW w:w="1348" w:type="dxa"/>
          </w:tcPr>
          <w:p w14:paraId="63648420">
            <w:pPr>
              <w:rPr>
                <w:color w:val="000000" w:themeColor="text1"/>
                <w:sz w:val="20"/>
                <w14:textFill>
                  <w14:solidFill>
                    <w14:schemeClr w14:val="tx1"/>
                  </w14:solidFill>
                </w14:textFill>
              </w:rPr>
            </w:pPr>
          </w:p>
        </w:tc>
        <w:tc>
          <w:tcPr>
            <w:tcW w:w="1001" w:type="dxa"/>
          </w:tcPr>
          <w:p w14:paraId="222D9FC3">
            <w:pPr>
              <w:rPr>
                <w:color w:val="000000" w:themeColor="text1"/>
                <w:sz w:val="20"/>
                <w14:textFill>
                  <w14:solidFill>
                    <w14:schemeClr w14:val="tx1"/>
                  </w14:solidFill>
                </w14:textFill>
              </w:rPr>
            </w:pPr>
          </w:p>
        </w:tc>
        <w:tc>
          <w:tcPr>
            <w:tcW w:w="1001" w:type="dxa"/>
          </w:tcPr>
          <w:p w14:paraId="4B56B10A">
            <w:pPr>
              <w:rPr>
                <w:color w:val="000000" w:themeColor="text1"/>
                <w:sz w:val="20"/>
                <w14:textFill>
                  <w14:solidFill>
                    <w14:schemeClr w14:val="tx1"/>
                  </w14:solidFill>
                </w14:textFill>
              </w:rPr>
            </w:pPr>
          </w:p>
        </w:tc>
        <w:tc>
          <w:tcPr>
            <w:tcW w:w="874" w:type="dxa"/>
          </w:tcPr>
          <w:p w14:paraId="57D2A51F">
            <w:pPr>
              <w:rPr>
                <w:color w:val="000000" w:themeColor="text1"/>
                <w:sz w:val="20"/>
                <w14:textFill>
                  <w14:solidFill>
                    <w14:schemeClr w14:val="tx1"/>
                  </w14:solidFill>
                </w14:textFill>
              </w:rPr>
            </w:pPr>
          </w:p>
        </w:tc>
      </w:tr>
      <w:tr w14:paraId="204B08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F7424D9">
            <w:pPr>
              <w:rPr>
                <w:color w:val="000000" w:themeColor="text1"/>
                <w:sz w:val="20"/>
                <w14:textFill>
                  <w14:solidFill>
                    <w14:schemeClr w14:val="tx1"/>
                  </w14:solidFill>
                </w14:textFill>
              </w:rPr>
            </w:pPr>
          </w:p>
        </w:tc>
        <w:tc>
          <w:tcPr>
            <w:tcW w:w="1221" w:type="dxa"/>
          </w:tcPr>
          <w:p w14:paraId="45B66050">
            <w:pPr>
              <w:rPr>
                <w:color w:val="000000" w:themeColor="text1"/>
                <w:sz w:val="20"/>
                <w14:textFill>
                  <w14:solidFill>
                    <w14:schemeClr w14:val="tx1"/>
                  </w14:solidFill>
                </w14:textFill>
              </w:rPr>
            </w:pPr>
          </w:p>
        </w:tc>
        <w:tc>
          <w:tcPr>
            <w:tcW w:w="770" w:type="dxa"/>
          </w:tcPr>
          <w:p w14:paraId="0099C1D8">
            <w:pPr>
              <w:rPr>
                <w:color w:val="000000" w:themeColor="text1"/>
                <w:sz w:val="20"/>
                <w14:textFill>
                  <w14:solidFill>
                    <w14:schemeClr w14:val="tx1"/>
                  </w14:solidFill>
                </w14:textFill>
              </w:rPr>
            </w:pPr>
          </w:p>
        </w:tc>
        <w:tc>
          <w:tcPr>
            <w:tcW w:w="1172" w:type="dxa"/>
          </w:tcPr>
          <w:p w14:paraId="25AE3AB6">
            <w:pPr>
              <w:rPr>
                <w:color w:val="000000" w:themeColor="text1"/>
                <w:sz w:val="20"/>
                <w14:textFill>
                  <w14:solidFill>
                    <w14:schemeClr w14:val="tx1"/>
                  </w14:solidFill>
                </w14:textFill>
              </w:rPr>
            </w:pPr>
          </w:p>
        </w:tc>
        <w:tc>
          <w:tcPr>
            <w:tcW w:w="813" w:type="dxa"/>
          </w:tcPr>
          <w:p w14:paraId="280F1749">
            <w:pPr>
              <w:rPr>
                <w:color w:val="000000" w:themeColor="text1"/>
                <w:sz w:val="20"/>
                <w14:textFill>
                  <w14:solidFill>
                    <w14:schemeClr w14:val="tx1"/>
                  </w14:solidFill>
                </w14:textFill>
              </w:rPr>
            </w:pPr>
          </w:p>
        </w:tc>
        <w:tc>
          <w:tcPr>
            <w:tcW w:w="813" w:type="dxa"/>
          </w:tcPr>
          <w:p w14:paraId="65FD0F37">
            <w:pPr>
              <w:rPr>
                <w:color w:val="000000" w:themeColor="text1"/>
                <w:sz w:val="20"/>
                <w14:textFill>
                  <w14:solidFill>
                    <w14:schemeClr w14:val="tx1"/>
                  </w14:solidFill>
                </w14:textFill>
              </w:rPr>
            </w:pPr>
          </w:p>
        </w:tc>
        <w:tc>
          <w:tcPr>
            <w:tcW w:w="1348" w:type="dxa"/>
          </w:tcPr>
          <w:p w14:paraId="383DA24F">
            <w:pPr>
              <w:rPr>
                <w:color w:val="000000" w:themeColor="text1"/>
                <w:sz w:val="20"/>
                <w14:textFill>
                  <w14:solidFill>
                    <w14:schemeClr w14:val="tx1"/>
                  </w14:solidFill>
                </w14:textFill>
              </w:rPr>
            </w:pPr>
          </w:p>
        </w:tc>
        <w:tc>
          <w:tcPr>
            <w:tcW w:w="1001" w:type="dxa"/>
          </w:tcPr>
          <w:p w14:paraId="2F889375">
            <w:pPr>
              <w:rPr>
                <w:color w:val="000000" w:themeColor="text1"/>
                <w:sz w:val="20"/>
                <w14:textFill>
                  <w14:solidFill>
                    <w14:schemeClr w14:val="tx1"/>
                  </w14:solidFill>
                </w14:textFill>
              </w:rPr>
            </w:pPr>
          </w:p>
        </w:tc>
        <w:tc>
          <w:tcPr>
            <w:tcW w:w="1001" w:type="dxa"/>
          </w:tcPr>
          <w:p w14:paraId="258DB26B">
            <w:pPr>
              <w:rPr>
                <w:color w:val="000000" w:themeColor="text1"/>
                <w:sz w:val="20"/>
                <w14:textFill>
                  <w14:solidFill>
                    <w14:schemeClr w14:val="tx1"/>
                  </w14:solidFill>
                </w14:textFill>
              </w:rPr>
            </w:pPr>
          </w:p>
        </w:tc>
        <w:tc>
          <w:tcPr>
            <w:tcW w:w="874" w:type="dxa"/>
          </w:tcPr>
          <w:p w14:paraId="48026E37">
            <w:pPr>
              <w:rPr>
                <w:color w:val="000000" w:themeColor="text1"/>
                <w:sz w:val="20"/>
                <w14:textFill>
                  <w14:solidFill>
                    <w14:schemeClr w14:val="tx1"/>
                  </w14:solidFill>
                </w14:textFill>
              </w:rPr>
            </w:pPr>
          </w:p>
        </w:tc>
      </w:tr>
      <w:tr w14:paraId="189CFC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798F0C45">
            <w:pPr>
              <w:rPr>
                <w:color w:val="000000" w:themeColor="text1"/>
                <w:sz w:val="20"/>
                <w14:textFill>
                  <w14:solidFill>
                    <w14:schemeClr w14:val="tx1"/>
                  </w14:solidFill>
                </w14:textFill>
              </w:rPr>
            </w:pPr>
          </w:p>
        </w:tc>
        <w:tc>
          <w:tcPr>
            <w:tcW w:w="1221" w:type="dxa"/>
          </w:tcPr>
          <w:p w14:paraId="7FD6A8A0">
            <w:pPr>
              <w:rPr>
                <w:color w:val="000000" w:themeColor="text1"/>
                <w:sz w:val="20"/>
                <w14:textFill>
                  <w14:solidFill>
                    <w14:schemeClr w14:val="tx1"/>
                  </w14:solidFill>
                </w14:textFill>
              </w:rPr>
            </w:pPr>
          </w:p>
        </w:tc>
        <w:tc>
          <w:tcPr>
            <w:tcW w:w="770" w:type="dxa"/>
          </w:tcPr>
          <w:p w14:paraId="6910022D">
            <w:pPr>
              <w:rPr>
                <w:color w:val="000000" w:themeColor="text1"/>
                <w:sz w:val="20"/>
                <w14:textFill>
                  <w14:solidFill>
                    <w14:schemeClr w14:val="tx1"/>
                  </w14:solidFill>
                </w14:textFill>
              </w:rPr>
            </w:pPr>
          </w:p>
        </w:tc>
        <w:tc>
          <w:tcPr>
            <w:tcW w:w="1172" w:type="dxa"/>
          </w:tcPr>
          <w:p w14:paraId="26306286">
            <w:pPr>
              <w:rPr>
                <w:color w:val="000000" w:themeColor="text1"/>
                <w:sz w:val="20"/>
                <w14:textFill>
                  <w14:solidFill>
                    <w14:schemeClr w14:val="tx1"/>
                  </w14:solidFill>
                </w14:textFill>
              </w:rPr>
            </w:pPr>
          </w:p>
        </w:tc>
        <w:tc>
          <w:tcPr>
            <w:tcW w:w="813" w:type="dxa"/>
          </w:tcPr>
          <w:p w14:paraId="294070EB">
            <w:pPr>
              <w:rPr>
                <w:color w:val="000000" w:themeColor="text1"/>
                <w:sz w:val="20"/>
                <w14:textFill>
                  <w14:solidFill>
                    <w14:schemeClr w14:val="tx1"/>
                  </w14:solidFill>
                </w14:textFill>
              </w:rPr>
            </w:pPr>
          </w:p>
        </w:tc>
        <w:tc>
          <w:tcPr>
            <w:tcW w:w="813" w:type="dxa"/>
          </w:tcPr>
          <w:p w14:paraId="2838B0BA">
            <w:pPr>
              <w:rPr>
                <w:color w:val="000000" w:themeColor="text1"/>
                <w:sz w:val="20"/>
                <w14:textFill>
                  <w14:solidFill>
                    <w14:schemeClr w14:val="tx1"/>
                  </w14:solidFill>
                </w14:textFill>
              </w:rPr>
            </w:pPr>
          </w:p>
        </w:tc>
        <w:tc>
          <w:tcPr>
            <w:tcW w:w="1348" w:type="dxa"/>
          </w:tcPr>
          <w:p w14:paraId="21E0A2BE">
            <w:pPr>
              <w:rPr>
                <w:color w:val="000000" w:themeColor="text1"/>
                <w:sz w:val="20"/>
                <w14:textFill>
                  <w14:solidFill>
                    <w14:schemeClr w14:val="tx1"/>
                  </w14:solidFill>
                </w14:textFill>
              </w:rPr>
            </w:pPr>
          </w:p>
        </w:tc>
        <w:tc>
          <w:tcPr>
            <w:tcW w:w="1001" w:type="dxa"/>
          </w:tcPr>
          <w:p w14:paraId="41D01E54">
            <w:pPr>
              <w:rPr>
                <w:color w:val="000000" w:themeColor="text1"/>
                <w:sz w:val="20"/>
                <w14:textFill>
                  <w14:solidFill>
                    <w14:schemeClr w14:val="tx1"/>
                  </w14:solidFill>
                </w14:textFill>
              </w:rPr>
            </w:pPr>
          </w:p>
        </w:tc>
        <w:tc>
          <w:tcPr>
            <w:tcW w:w="1001" w:type="dxa"/>
          </w:tcPr>
          <w:p w14:paraId="6828450B">
            <w:pPr>
              <w:rPr>
                <w:color w:val="000000" w:themeColor="text1"/>
                <w:sz w:val="20"/>
                <w14:textFill>
                  <w14:solidFill>
                    <w14:schemeClr w14:val="tx1"/>
                  </w14:solidFill>
                </w14:textFill>
              </w:rPr>
            </w:pPr>
          </w:p>
        </w:tc>
        <w:tc>
          <w:tcPr>
            <w:tcW w:w="874" w:type="dxa"/>
          </w:tcPr>
          <w:p w14:paraId="6BEDB09A">
            <w:pPr>
              <w:rPr>
                <w:color w:val="000000" w:themeColor="text1"/>
                <w:sz w:val="20"/>
                <w14:textFill>
                  <w14:solidFill>
                    <w14:schemeClr w14:val="tx1"/>
                  </w14:solidFill>
                </w14:textFill>
              </w:rPr>
            </w:pPr>
          </w:p>
        </w:tc>
      </w:tr>
      <w:tr w14:paraId="5F077E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992A4B0">
            <w:pPr>
              <w:rPr>
                <w:color w:val="000000" w:themeColor="text1"/>
                <w:sz w:val="20"/>
                <w14:textFill>
                  <w14:solidFill>
                    <w14:schemeClr w14:val="tx1"/>
                  </w14:solidFill>
                </w14:textFill>
              </w:rPr>
            </w:pPr>
          </w:p>
        </w:tc>
        <w:tc>
          <w:tcPr>
            <w:tcW w:w="1221" w:type="dxa"/>
          </w:tcPr>
          <w:p w14:paraId="69C4D57E">
            <w:pPr>
              <w:rPr>
                <w:color w:val="000000" w:themeColor="text1"/>
                <w:sz w:val="20"/>
                <w14:textFill>
                  <w14:solidFill>
                    <w14:schemeClr w14:val="tx1"/>
                  </w14:solidFill>
                </w14:textFill>
              </w:rPr>
            </w:pPr>
          </w:p>
        </w:tc>
        <w:tc>
          <w:tcPr>
            <w:tcW w:w="770" w:type="dxa"/>
          </w:tcPr>
          <w:p w14:paraId="3F3F2FA5">
            <w:pPr>
              <w:rPr>
                <w:color w:val="000000" w:themeColor="text1"/>
                <w:sz w:val="20"/>
                <w14:textFill>
                  <w14:solidFill>
                    <w14:schemeClr w14:val="tx1"/>
                  </w14:solidFill>
                </w14:textFill>
              </w:rPr>
            </w:pPr>
          </w:p>
        </w:tc>
        <w:tc>
          <w:tcPr>
            <w:tcW w:w="1172" w:type="dxa"/>
          </w:tcPr>
          <w:p w14:paraId="7613A3DB">
            <w:pPr>
              <w:rPr>
                <w:color w:val="000000" w:themeColor="text1"/>
                <w:sz w:val="20"/>
                <w14:textFill>
                  <w14:solidFill>
                    <w14:schemeClr w14:val="tx1"/>
                  </w14:solidFill>
                </w14:textFill>
              </w:rPr>
            </w:pPr>
          </w:p>
        </w:tc>
        <w:tc>
          <w:tcPr>
            <w:tcW w:w="813" w:type="dxa"/>
          </w:tcPr>
          <w:p w14:paraId="6A81FD5F">
            <w:pPr>
              <w:rPr>
                <w:color w:val="000000" w:themeColor="text1"/>
                <w:sz w:val="20"/>
                <w14:textFill>
                  <w14:solidFill>
                    <w14:schemeClr w14:val="tx1"/>
                  </w14:solidFill>
                </w14:textFill>
              </w:rPr>
            </w:pPr>
          </w:p>
        </w:tc>
        <w:tc>
          <w:tcPr>
            <w:tcW w:w="813" w:type="dxa"/>
          </w:tcPr>
          <w:p w14:paraId="17E2063F">
            <w:pPr>
              <w:rPr>
                <w:color w:val="000000" w:themeColor="text1"/>
                <w:sz w:val="20"/>
                <w14:textFill>
                  <w14:solidFill>
                    <w14:schemeClr w14:val="tx1"/>
                  </w14:solidFill>
                </w14:textFill>
              </w:rPr>
            </w:pPr>
          </w:p>
        </w:tc>
        <w:tc>
          <w:tcPr>
            <w:tcW w:w="1348" w:type="dxa"/>
          </w:tcPr>
          <w:p w14:paraId="55166578">
            <w:pPr>
              <w:rPr>
                <w:color w:val="000000" w:themeColor="text1"/>
                <w:sz w:val="20"/>
                <w14:textFill>
                  <w14:solidFill>
                    <w14:schemeClr w14:val="tx1"/>
                  </w14:solidFill>
                </w14:textFill>
              </w:rPr>
            </w:pPr>
          </w:p>
        </w:tc>
        <w:tc>
          <w:tcPr>
            <w:tcW w:w="1001" w:type="dxa"/>
          </w:tcPr>
          <w:p w14:paraId="573F8A7A">
            <w:pPr>
              <w:rPr>
                <w:color w:val="000000" w:themeColor="text1"/>
                <w:sz w:val="20"/>
                <w14:textFill>
                  <w14:solidFill>
                    <w14:schemeClr w14:val="tx1"/>
                  </w14:solidFill>
                </w14:textFill>
              </w:rPr>
            </w:pPr>
          </w:p>
        </w:tc>
        <w:tc>
          <w:tcPr>
            <w:tcW w:w="1001" w:type="dxa"/>
          </w:tcPr>
          <w:p w14:paraId="3BB05B03">
            <w:pPr>
              <w:rPr>
                <w:color w:val="000000" w:themeColor="text1"/>
                <w:sz w:val="20"/>
                <w14:textFill>
                  <w14:solidFill>
                    <w14:schemeClr w14:val="tx1"/>
                  </w14:solidFill>
                </w14:textFill>
              </w:rPr>
            </w:pPr>
          </w:p>
        </w:tc>
        <w:tc>
          <w:tcPr>
            <w:tcW w:w="874" w:type="dxa"/>
          </w:tcPr>
          <w:p w14:paraId="77A0631E">
            <w:pPr>
              <w:rPr>
                <w:color w:val="000000" w:themeColor="text1"/>
                <w:sz w:val="20"/>
                <w14:textFill>
                  <w14:solidFill>
                    <w14:schemeClr w14:val="tx1"/>
                  </w14:solidFill>
                </w14:textFill>
              </w:rPr>
            </w:pPr>
          </w:p>
        </w:tc>
      </w:tr>
      <w:tr w14:paraId="20F30F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3D952665">
            <w:pPr>
              <w:rPr>
                <w:color w:val="000000" w:themeColor="text1"/>
                <w:sz w:val="20"/>
                <w14:textFill>
                  <w14:solidFill>
                    <w14:schemeClr w14:val="tx1"/>
                  </w14:solidFill>
                </w14:textFill>
              </w:rPr>
            </w:pPr>
          </w:p>
        </w:tc>
        <w:tc>
          <w:tcPr>
            <w:tcW w:w="1221" w:type="dxa"/>
          </w:tcPr>
          <w:p w14:paraId="1DEECA75">
            <w:pPr>
              <w:rPr>
                <w:color w:val="000000" w:themeColor="text1"/>
                <w:sz w:val="20"/>
                <w14:textFill>
                  <w14:solidFill>
                    <w14:schemeClr w14:val="tx1"/>
                  </w14:solidFill>
                </w14:textFill>
              </w:rPr>
            </w:pPr>
          </w:p>
        </w:tc>
        <w:tc>
          <w:tcPr>
            <w:tcW w:w="770" w:type="dxa"/>
          </w:tcPr>
          <w:p w14:paraId="6CD9B534">
            <w:pPr>
              <w:rPr>
                <w:color w:val="000000" w:themeColor="text1"/>
                <w:sz w:val="20"/>
                <w14:textFill>
                  <w14:solidFill>
                    <w14:schemeClr w14:val="tx1"/>
                  </w14:solidFill>
                </w14:textFill>
              </w:rPr>
            </w:pPr>
          </w:p>
        </w:tc>
        <w:tc>
          <w:tcPr>
            <w:tcW w:w="1172" w:type="dxa"/>
          </w:tcPr>
          <w:p w14:paraId="77098FC3">
            <w:pPr>
              <w:rPr>
                <w:color w:val="000000" w:themeColor="text1"/>
                <w:sz w:val="20"/>
                <w14:textFill>
                  <w14:solidFill>
                    <w14:schemeClr w14:val="tx1"/>
                  </w14:solidFill>
                </w14:textFill>
              </w:rPr>
            </w:pPr>
          </w:p>
        </w:tc>
        <w:tc>
          <w:tcPr>
            <w:tcW w:w="813" w:type="dxa"/>
          </w:tcPr>
          <w:p w14:paraId="44DD200E">
            <w:pPr>
              <w:rPr>
                <w:color w:val="000000" w:themeColor="text1"/>
                <w:sz w:val="20"/>
                <w14:textFill>
                  <w14:solidFill>
                    <w14:schemeClr w14:val="tx1"/>
                  </w14:solidFill>
                </w14:textFill>
              </w:rPr>
            </w:pPr>
          </w:p>
        </w:tc>
        <w:tc>
          <w:tcPr>
            <w:tcW w:w="813" w:type="dxa"/>
          </w:tcPr>
          <w:p w14:paraId="7223886F">
            <w:pPr>
              <w:rPr>
                <w:color w:val="000000" w:themeColor="text1"/>
                <w:sz w:val="20"/>
                <w14:textFill>
                  <w14:solidFill>
                    <w14:schemeClr w14:val="tx1"/>
                  </w14:solidFill>
                </w14:textFill>
              </w:rPr>
            </w:pPr>
          </w:p>
        </w:tc>
        <w:tc>
          <w:tcPr>
            <w:tcW w:w="1348" w:type="dxa"/>
          </w:tcPr>
          <w:p w14:paraId="5835F1E0">
            <w:pPr>
              <w:rPr>
                <w:color w:val="000000" w:themeColor="text1"/>
                <w:sz w:val="20"/>
                <w14:textFill>
                  <w14:solidFill>
                    <w14:schemeClr w14:val="tx1"/>
                  </w14:solidFill>
                </w14:textFill>
              </w:rPr>
            </w:pPr>
          </w:p>
        </w:tc>
        <w:tc>
          <w:tcPr>
            <w:tcW w:w="1001" w:type="dxa"/>
          </w:tcPr>
          <w:p w14:paraId="288CF96A">
            <w:pPr>
              <w:rPr>
                <w:color w:val="000000" w:themeColor="text1"/>
                <w:sz w:val="20"/>
                <w14:textFill>
                  <w14:solidFill>
                    <w14:schemeClr w14:val="tx1"/>
                  </w14:solidFill>
                </w14:textFill>
              </w:rPr>
            </w:pPr>
          </w:p>
        </w:tc>
        <w:tc>
          <w:tcPr>
            <w:tcW w:w="1001" w:type="dxa"/>
          </w:tcPr>
          <w:p w14:paraId="43492595">
            <w:pPr>
              <w:rPr>
                <w:color w:val="000000" w:themeColor="text1"/>
                <w:sz w:val="20"/>
                <w14:textFill>
                  <w14:solidFill>
                    <w14:schemeClr w14:val="tx1"/>
                  </w14:solidFill>
                </w14:textFill>
              </w:rPr>
            </w:pPr>
          </w:p>
        </w:tc>
        <w:tc>
          <w:tcPr>
            <w:tcW w:w="874" w:type="dxa"/>
          </w:tcPr>
          <w:p w14:paraId="6833A94E">
            <w:pPr>
              <w:rPr>
                <w:color w:val="000000" w:themeColor="text1"/>
                <w:sz w:val="20"/>
                <w14:textFill>
                  <w14:solidFill>
                    <w14:schemeClr w14:val="tx1"/>
                  </w14:solidFill>
                </w14:textFill>
              </w:rPr>
            </w:pPr>
          </w:p>
        </w:tc>
      </w:tr>
      <w:tr w14:paraId="4E7AB5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27B68A82">
            <w:pPr>
              <w:rPr>
                <w:color w:val="000000" w:themeColor="text1"/>
                <w:sz w:val="20"/>
                <w14:textFill>
                  <w14:solidFill>
                    <w14:schemeClr w14:val="tx1"/>
                  </w14:solidFill>
                </w14:textFill>
              </w:rPr>
            </w:pPr>
          </w:p>
        </w:tc>
        <w:tc>
          <w:tcPr>
            <w:tcW w:w="1221" w:type="dxa"/>
          </w:tcPr>
          <w:p w14:paraId="20EC526E">
            <w:pPr>
              <w:rPr>
                <w:color w:val="000000" w:themeColor="text1"/>
                <w:sz w:val="20"/>
                <w14:textFill>
                  <w14:solidFill>
                    <w14:schemeClr w14:val="tx1"/>
                  </w14:solidFill>
                </w14:textFill>
              </w:rPr>
            </w:pPr>
          </w:p>
        </w:tc>
        <w:tc>
          <w:tcPr>
            <w:tcW w:w="770" w:type="dxa"/>
          </w:tcPr>
          <w:p w14:paraId="2522F817">
            <w:pPr>
              <w:rPr>
                <w:color w:val="000000" w:themeColor="text1"/>
                <w:sz w:val="20"/>
                <w14:textFill>
                  <w14:solidFill>
                    <w14:schemeClr w14:val="tx1"/>
                  </w14:solidFill>
                </w14:textFill>
              </w:rPr>
            </w:pPr>
          </w:p>
        </w:tc>
        <w:tc>
          <w:tcPr>
            <w:tcW w:w="1172" w:type="dxa"/>
          </w:tcPr>
          <w:p w14:paraId="499451B0">
            <w:pPr>
              <w:rPr>
                <w:color w:val="000000" w:themeColor="text1"/>
                <w:sz w:val="20"/>
                <w14:textFill>
                  <w14:solidFill>
                    <w14:schemeClr w14:val="tx1"/>
                  </w14:solidFill>
                </w14:textFill>
              </w:rPr>
            </w:pPr>
          </w:p>
        </w:tc>
        <w:tc>
          <w:tcPr>
            <w:tcW w:w="813" w:type="dxa"/>
          </w:tcPr>
          <w:p w14:paraId="5A0EA3C7">
            <w:pPr>
              <w:rPr>
                <w:color w:val="000000" w:themeColor="text1"/>
                <w:sz w:val="20"/>
                <w14:textFill>
                  <w14:solidFill>
                    <w14:schemeClr w14:val="tx1"/>
                  </w14:solidFill>
                </w14:textFill>
              </w:rPr>
            </w:pPr>
          </w:p>
        </w:tc>
        <w:tc>
          <w:tcPr>
            <w:tcW w:w="813" w:type="dxa"/>
          </w:tcPr>
          <w:p w14:paraId="7EADF722">
            <w:pPr>
              <w:rPr>
                <w:color w:val="000000" w:themeColor="text1"/>
                <w:sz w:val="20"/>
                <w14:textFill>
                  <w14:solidFill>
                    <w14:schemeClr w14:val="tx1"/>
                  </w14:solidFill>
                </w14:textFill>
              </w:rPr>
            </w:pPr>
          </w:p>
        </w:tc>
        <w:tc>
          <w:tcPr>
            <w:tcW w:w="1348" w:type="dxa"/>
          </w:tcPr>
          <w:p w14:paraId="72EEDE7E">
            <w:pPr>
              <w:rPr>
                <w:color w:val="000000" w:themeColor="text1"/>
                <w:sz w:val="20"/>
                <w14:textFill>
                  <w14:solidFill>
                    <w14:schemeClr w14:val="tx1"/>
                  </w14:solidFill>
                </w14:textFill>
              </w:rPr>
            </w:pPr>
          </w:p>
        </w:tc>
        <w:tc>
          <w:tcPr>
            <w:tcW w:w="1001" w:type="dxa"/>
          </w:tcPr>
          <w:p w14:paraId="50DA6D73">
            <w:pPr>
              <w:rPr>
                <w:color w:val="000000" w:themeColor="text1"/>
                <w:sz w:val="20"/>
                <w14:textFill>
                  <w14:solidFill>
                    <w14:schemeClr w14:val="tx1"/>
                  </w14:solidFill>
                </w14:textFill>
              </w:rPr>
            </w:pPr>
          </w:p>
        </w:tc>
        <w:tc>
          <w:tcPr>
            <w:tcW w:w="1001" w:type="dxa"/>
          </w:tcPr>
          <w:p w14:paraId="66A5C159">
            <w:pPr>
              <w:rPr>
                <w:color w:val="000000" w:themeColor="text1"/>
                <w:sz w:val="20"/>
                <w14:textFill>
                  <w14:solidFill>
                    <w14:schemeClr w14:val="tx1"/>
                  </w14:solidFill>
                </w14:textFill>
              </w:rPr>
            </w:pPr>
          </w:p>
        </w:tc>
        <w:tc>
          <w:tcPr>
            <w:tcW w:w="874" w:type="dxa"/>
          </w:tcPr>
          <w:p w14:paraId="7FF754BC">
            <w:pPr>
              <w:rPr>
                <w:color w:val="000000" w:themeColor="text1"/>
                <w:sz w:val="20"/>
                <w14:textFill>
                  <w14:solidFill>
                    <w14:schemeClr w14:val="tx1"/>
                  </w14:solidFill>
                </w14:textFill>
              </w:rPr>
            </w:pPr>
          </w:p>
        </w:tc>
      </w:tr>
      <w:tr w14:paraId="5A5235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54956774">
            <w:pPr>
              <w:rPr>
                <w:color w:val="000000" w:themeColor="text1"/>
                <w:sz w:val="20"/>
                <w14:textFill>
                  <w14:solidFill>
                    <w14:schemeClr w14:val="tx1"/>
                  </w14:solidFill>
                </w14:textFill>
              </w:rPr>
            </w:pPr>
          </w:p>
        </w:tc>
        <w:tc>
          <w:tcPr>
            <w:tcW w:w="1221" w:type="dxa"/>
          </w:tcPr>
          <w:p w14:paraId="02AEA1D0">
            <w:pPr>
              <w:rPr>
                <w:color w:val="000000" w:themeColor="text1"/>
                <w:sz w:val="20"/>
                <w14:textFill>
                  <w14:solidFill>
                    <w14:schemeClr w14:val="tx1"/>
                  </w14:solidFill>
                </w14:textFill>
              </w:rPr>
            </w:pPr>
          </w:p>
        </w:tc>
        <w:tc>
          <w:tcPr>
            <w:tcW w:w="770" w:type="dxa"/>
          </w:tcPr>
          <w:p w14:paraId="008265C8">
            <w:pPr>
              <w:rPr>
                <w:color w:val="000000" w:themeColor="text1"/>
                <w:sz w:val="20"/>
                <w14:textFill>
                  <w14:solidFill>
                    <w14:schemeClr w14:val="tx1"/>
                  </w14:solidFill>
                </w14:textFill>
              </w:rPr>
            </w:pPr>
          </w:p>
        </w:tc>
        <w:tc>
          <w:tcPr>
            <w:tcW w:w="1172" w:type="dxa"/>
          </w:tcPr>
          <w:p w14:paraId="25876C7F">
            <w:pPr>
              <w:rPr>
                <w:color w:val="000000" w:themeColor="text1"/>
                <w:sz w:val="20"/>
                <w14:textFill>
                  <w14:solidFill>
                    <w14:schemeClr w14:val="tx1"/>
                  </w14:solidFill>
                </w14:textFill>
              </w:rPr>
            </w:pPr>
          </w:p>
        </w:tc>
        <w:tc>
          <w:tcPr>
            <w:tcW w:w="813" w:type="dxa"/>
          </w:tcPr>
          <w:p w14:paraId="575A0F82">
            <w:pPr>
              <w:rPr>
                <w:color w:val="000000" w:themeColor="text1"/>
                <w:sz w:val="20"/>
                <w14:textFill>
                  <w14:solidFill>
                    <w14:schemeClr w14:val="tx1"/>
                  </w14:solidFill>
                </w14:textFill>
              </w:rPr>
            </w:pPr>
          </w:p>
        </w:tc>
        <w:tc>
          <w:tcPr>
            <w:tcW w:w="813" w:type="dxa"/>
          </w:tcPr>
          <w:p w14:paraId="3511D0F2">
            <w:pPr>
              <w:rPr>
                <w:color w:val="000000" w:themeColor="text1"/>
                <w:sz w:val="20"/>
                <w14:textFill>
                  <w14:solidFill>
                    <w14:schemeClr w14:val="tx1"/>
                  </w14:solidFill>
                </w14:textFill>
              </w:rPr>
            </w:pPr>
          </w:p>
        </w:tc>
        <w:tc>
          <w:tcPr>
            <w:tcW w:w="1348" w:type="dxa"/>
          </w:tcPr>
          <w:p w14:paraId="0789A67D">
            <w:pPr>
              <w:rPr>
                <w:color w:val="000000" w:themeColor="text1"/>
                <w:sz w:val="20"/>
                <w14:textFill>
                  <w14:solidFill>
                    <w14:schemeClr w14:val="tx1"/>
                  </w14:solidFill>
                </w14:textFill>
              </w:rPr>
            </w:pPr>
          </w:p>
        </w:tc>
        <w:tc>
          <w:tcPr>
            <w:tcW w:w="1001" w:type="dxa"/>
          </w:tcPr>
          <w:p w14:paraId="46C4C354">
            <w:pPr>
              <w:rPr>
                <w:color w:val="000000" w:themeColor="text1"/>
                <w:sz w:val="20"/>
                <w14:textFill>
                  <w14:solidFill>
                    <w14:schemeClr w14:val="tx1"/>
                  </w14:solidFill>
                </w14:textFill>
              </w:rPr>
            </w:pPr>
          </w:p>
        </w:tc>
        <w:tc>
          <w:tcPr>
            <w:tcW w:w="1001" w:type="dxa"/>
          </w:tcPr>
          <w:p w14:paraId="05865705">
            <w:pPr>
              <w:rPr>
                <w:color w:val="000000" w:themeColor="text1"/>
                <w:sz w:val="20"/>
                <w14:textFill>
                  <w14:solidFill>
                    <w14:schemeClr w14:val="tx1"/>
                  </w14:solidFill>
                </w14:textFill>
              </w:rPr>
            </w:pPr>
          </w:p>
        </w:tc>
        <w:tc>
          <w:tcPr>
            <w:tcW w:w="874" w:type="dxa"/>
          </w:tcPr>
          <w:p w14:paraId="0DC504B4">
            <w:pPr>
              <w:rPr>
                <w:color w:val="000000" w:themeColor="text1"/>
                <w:sz w:val="20"/>
                <w14:textFill>
                  <w14:solidFill>
                    <w14:schemeClr w14:val="tx1"/>
                  </w14:solidFill>
                </w14:textFill>
              </w:rPr>
            </w:pPr>
          </w:p>
        </w:tc>
      </w:tr>
      <w:tr w14:paraId="1767AE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1EDA32C2">
            <w:pPr>
              <w:rPr>
                <w:color w:val="000000" w:themeColor="text1"/>
                <w:sz w:val="20"/>
                <w14:textFill>
                  <w14:solidFill>
                    <w14:schemeClr w14:val="tx1"/>
                  </w14:solidFill>
                </w14:textFill>
              </w:rPr>
            </w:pPr>
          </w:p>
        </w:tc>
        <w:tc>
          <w:tcPr>
            <w:tcW w:w="1221" w:type="dxa"/>
          </w:tcPr>
          <w:p w14:paraId="33DA011D">
            <w:pPr>
              <w:rPr>
                <w:color w:val="000000" w:themeColor="text1"/>
                <w:sz w:val="20"/>
                <w14:textFill>
                  <w14:solidFill>
                    <w14:schemeClr w14:val="tx1"/>
                  </w14:solidFill>
                </w14:textFill>
              </w:rPr>
            </w:pPr>
          </w:p>
        </w:tc>
        <w:tc>
          <w:tcPr>
            <w:tcW w:w="770" w:type="dxa"/>
          </w:tcPr>
          <w:p w14:paraId="4D6977B2">
            <w:pPr>
              <w:rPr>
                <w:color w:val="000000" w:themeColor="text1"/>
                <w:sz w:val="20"/>
                <w14:textFill>
                  <w14:solidFill>
                    <w14:schemeClr w14:val="tx1"/>
                  </w14:solidFill>
                </w14:textFill>
              </w:rPr>
            </w:pPr>
          </w:p>
        </w:tc>
        <w:tc>
          <w:tcPr>
            <w:tcW w:w="1172" w:type="dxa"/>
          </w:tcPr>
          <w:p w14:paraId="6221D069">
            <w:pPr>
              <w:rPr>
                <w:color w:val="000000" w:themeColor="text1"/>
                <w:sz w:val="20"/>
                <w14:textFill>
                  <w14:solidFill>
                    <w14:schemeClr w14:val="tx1"/>
                  </w14:solidFill>
                </w14:textFill>
              </w:rPr>
            </w:pPr>
          </w:p>
        </w:tc>
        <w:tc>
          <w:tcPr>
            <w:tcW w:w="813" w:type="dxa"/>
          </w:tcPr>
          <w:p w14:paraId="464549CD">
            <w:pPr>
              <w:rPr>
                <w:color w:val="000000" w:themeColor="text1"/>
                <w:sz w:val="20"/>
                <w14:textFill>
                  <w14:solidFill>
                    <w14:schemeClr w14:val="tx1"/>
                  </w14:solidFill>
                </w14:textFill>
              </w:rPr>
            </w:pPr>
          </w:p>
        </w:tc>
        <w:tc>
          <w:tcPr>
            <w:tcW w:w="813" w:type="dxa"/>
          </w:tcPr>
          <w:p w14:paraId="6B2D0866">
            <w:pPr>
              <w:rPr>
                <w:color w:val="000000" w:themeColor="text1"/>
                <w:sz w:val="20"/>
                <w14:textFill>
                  <w14:solidFill>
                    <w14:schemeClr w14:val="tx1"/>
                  </w14:solidFill>
                </w14:textFill>
              </w:rPr>
            </w:pPr>
          </w:p>
        </w:tc>
        <w:tc>
          <w:tcPr>
            <w:tcW w:w="1348" w:type="dxa"/>
          </w:tcPr>
          <w:p w14:paraId="39A82379">
            <w:pPr>
              <w:rPr>
                <w:color w:val="000000" w:themeColor="text1"/>
                <w:sz w:val="20"/>
                <w14:textFill>
                  <w14:solidFill>
                    <w14:schemeClr w14:val="tx1"/>
                  </w14:solidFill>
                </w14:textFill>
              </w:rPr>
            </w:pPr>
          </w:p>
        </w:tc>
        <w:tc>
          <w:tcPr>
            <w:tcW w:w="1001" w:type="dxa"/>
          </w:tcPr>
          <w:p w14:paraId="02659A86">
            <w:pPr>
              <w:rPr>
                <w:color w:val="000000" w:themeColor="text1"/>
                <w:sz w:val="20"/>
                <w14:textFill>
                  <w14:solidFill>
                    <w14:schemeClr w14:val="tx1"/>
                  </w14:solidFill>
                </w14:textFill>
              </w:rPr>
            </w:pPr>
          </w:p>
        </w:tc>
        <w:tc>
          <w:tcPr>
            <w:tcW w:w="1001" w:type="dxa"/>
          </w:tcPr>
          <w:p w14:paraId="0EE5B7B0">
            <w:pPr>
              <w:rPr>
                <w:color w:val="000000" w:themeColor="text1"/>
                <w:sz w:val="20"/>
                <w14:textFill>
                  <w14:solidFill>
                    <w14:schemeClr w14:val="tx1"/>
                  </w14:solidFill>
                </w14:textFill>
              </w:rPr>
            </w:pPr>
          </w:p>
        </w:tc>
        <w:tc>
          <w:tcPr>
            <w:tcW w:w="874" w:type="dxa"/>
          </w:tcPr>
          <w:p w14:paraId="1DC4867A">
            <w:pPr>
              <w:rPr>
                <w:color w:val="000000" w:themeColor="text1"/>
                <w:sz w:val="20"/>
                <w14:textFill>
                  <w14:solidFill>
                    <w14:schemeClr w14:val="tx1"/>
                  </w14:solidFill>
                </w14:textFill>
              </w:rPr>
            </w:pPr>
          </w:p>
        </w:tc>
      </w:tr>
      <w:tr w14:paraId="7BE984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Pr>
          <w:p w14:paraId="7FAD3FFC">
            <w:pPr>
              <w:rPr>
                <w:color w:val="000000" w:themeColor="text1"/>
                <w:sz w:val="20"/>
                <w14:textFill>
                  <w14:solidFill>
                    <w14:schemeClr w14:val="tx1"/>
                  </w14:solidFill>
                </w14:textFill>
              </w:rPr>
            </w:pPr>
          </w:p>
        </w:tc>
        <w:tc>
          <w:tcPr>
            <w:tcW w:w="1221" w:type="dxa"/>
          </w:tcPr>
          <w:p w14:paraId="347C9A9D">
            <w:pPr>
              <w:rPr>
                <w:color w:val="000000" w:themeColor="text1"/>
                <w:sz w:val="20"/>
                <w14:textFill>
                  <w14:solidFill>
                    <w14:schemeClr w14:val="tx1"/>
                  </w14:solidFill>
                </w14:textFill>
              </w:rPr>
            </w:pPr>
          </w:p>
        </w:tc>
        <w:tc>
          <w:tcPr>
            <w:tcW w:w="770" w:type="dxa"/>
          </w:tcPr>
          <w:p w14:paraId="2B443A73">
            <w:pPr>
              <w:rPr>
                <w:color w:val="000000" w:themeColor="text1"/>
                <w:sz w:val="20"/>
                <w14:textFill>
                  <w14:solidFill>
                    <w14:schemeClr w14:val="tx1"/>
                  </w14:solidFill>
                </w14:textFill>
              </w:rPr>
            </w:pPr>
          </w:p>
        </w:tc>
        <w:tc>
          <w:tcPr>
            <w:tcW w:w="1172" w:type="dxa"/>
          </w:tcPr>
          <w:p w14:paraId="73831734">
            <w:pPr>
              <w:rPr>
                <w:color w:val="000000" w:themeColor="text1"/>
                <w:sz w:val="20"/>
                <w14:textFill>
                  <w14:solidFill>
                    <w14:schemeClr w14:val="tx1"/>
                  </w14:solidFill>
                </w14:textFill>
              </w:rPr>
            </w:pPr>
          </w:p>
        </w:tc>
        <w:tc>
          <w:tcPr>
            <w:tcW w:w="813" w:type="dxa"/>
          </w:tcPr>
          <w:p w14:paraId="071E2665">
            <w:pPr>
              <w:rPr>
                <w:color w:val="000000" w:themeColor="text1"/>
                <w:sz w:val="20"/>
                <w14:textFill>
                  <w14:solidFill>
                    <w14:schemeClr w14:val="tx1"/>
                  </w14:solidFill>
                </w14:textFill>
              </w:rPr>
            </w:pPr>
          </w:p>
        </w:tc>
        <w:tc>
          <w:tcPr>
            <w:tcW w:w="813" w:type="dxa"/>
          </w:tcPr>
          <w:p w14:paraId="2AB3B7F3">
            <w:pPr>
              <w:rPr>
                <w:color w:val="000000" w:themeColor="text1"/>
                <w:sz w:val="20"/>
                <w14:textFill>
                  <w14:solidFill>
                    <w14:schemeClr w14:val="tx1"/>
                  </w14:solidFill>
                </w14:textFill>
              </w:rPr>
            </w:pPr>
          </w:p>
        </w:tc>
        <w:tc>
          <w:tcPr>
            <w:tcW w:w="1348" w:type="dxa"/>
          </w:tcPr>
          <w:p w14:paraId="4BA4B527">
            <w:pPr>
              <w:rPr>
                <w:color w:val="000000" w:themeColor="text1"/>
                <w:sz w:val="20"/>
                <w14:textFill>
                  <w14:solidFill>
                    <w14:schemeClr w14:val="tx1"/>
                  </w14:solidFill>
                </w14:textFill>
              </w:rPr>
            </w:pPr>
          </w:p>
        </w:tc>
        <w:tc>
          <w:tcPr>
            <w:tcW w:w="1001" w:type="dxa"/>
          </w:tcPr>
          <w:p w14:paraId="08C664C6">
            <w:pPr>
              <w:rPr>
                <w:color w:val="000000" w:themeColor="text1"/>
                <w:sz w:val="20"/>
                <w14:textFill>
                  <w14:solidFill>
                    <w14:schemeClr w14:val="tx1"/>
                  </w14:solidFill>
                </w14:textFill>
              </w:rPr>
            </w:pPr>
          </w:p>
        </w:tc>
        <w:tc>
          <w:tcPr>
            <w:tcW w:w="1001" w:type="dxa"/>
          </w:tcPr>
          <w:p w14:paraId="3E14BDF9">
            <w:pPr>
              <w:rPr>
                <w:color w:val="000000" w:themeColor="text1"/>
                <w:sz w:val="20"/>
                <w14:textFill>
                  <w14:solidFill>
                    <w14:schemeClr w14:val="tx1"/>
                  </w14:solidFill>
                </w14:textFill>
              </w:rPr>
            </w:pPr>
          </w:p>
        </w:tc>
        <w:tc>
          <w:tcPr>
            <w:tcW w:w="874" w:type="dxa"/>
          </w:tcPr>
          <w:p w14:paraId="3CC8BC38">
            <w:pPr>
              <w:rPr>
                <w:color w:val="000000" w:themeColor="text1"/>
                <w:sz w:val="20"/>
                <w14:textFill>
                  <w14:solidFill>
                    <w14:schemeClr w14:val="tx1"/>
                  </w14:solidFill>
                </w14:textFill>
              </w:rPr>
            </w:pPr>
          </w:p>
        </w:tc>
      </w:tr>
    </w:tbl>
    <w:p w14:paraId="487E2939">
      <w:pPr>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报价供应商(盖章): </w:t>
      </w:r>
    </w:p>
    <w:p w14:paraId="2B003DB6">
      <w:pPr>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法定代表人（依法登记的负责人）或授权代表（签字或签章）：</w:t>
      </w:r>
    </w:p>
    <w:p w14:paraId="434C25F7">
      <w:pPr>
        <w:jc w:val="right"/>
        <w:rPr>
          <w:color w:val="000000" w:themeColor="text1"/>
          <w14:textFill>
            <w14:solidFill>
              <w14:schemeClr w14:val="tx1"/>
            </w14:solidFill>
          </w14:textFill>
        </w:rPr>
      </w:pPr>
      <w:r>
        <w:rPr>
          <w:color w:val="000000" w:themeColor="text1"/>
          <w14:textFill>
            <w14:solidFill>
              <w14:schemeClr w14:val="tx1"/>
            </w14:solidFill>
          </w14:textFill>
        </w:rPr>
        <w:br w:type="page"/>
      </w:r>
      <w:r>
        <w:rPr>
          <w:color w:val="000000" w:themeColor="text1"/>
          <w14:textFill>
            <w14:solidFill>
              <w14:schemeClr w14:val="tx1"/>
            </w14:solidFill>
          </w14:textFill>
        </w:rPr>
        <w:t xml:space="preserve"> </w:t>
      </w:r>
    </w:p>
    <w:p w14:paraId="5B594D12">
      <w:pPr>
        <w:jc w:val="center"/>
        <w:rPr>
          <w:color w:val="000000" w:themeColor="text1"/>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劳动力计划表</w:t>
      </w:r>
    </w:p>
    <w:p w14:paraId="0BEE8B4D">
      <w:pPr>
        <w:jc w:val="right"/>
        <w:rPr>
          <w:color w:val="000000" w:themeColor="text1"/>
          <w:sz w:val="20"/>
          <w14:textFill>
            <w14:solidFill>
              <w14:schemeClr w14:val="tx1"/>
            </w14:solidFill>
          </w14:textFill>
        </w:rPr>
      </w:pPr>
      <w:r>
        <w:rPr>
          <w:color w:val="000000" w:themeColor="text1"/>
          <w:sz w:val="20"/>
          <w14:textFill>
            <w14:solidFill>
              <w14:schemeClr w14:val="tx1"/>
            </w14:solidFill>
          </w14:textFill>
        </w:rPr>
        <w:t>单位：人</w:t>
      </w:r>
    </w:p>
    <w:tbl>
      <w:tblPr>
        <w:tblStyle w:val="28"/>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3"/>
        <w:gridCol w:w="1625"/>
        <w:gridCol w:w="1219"/>
        <w:gridCol w:w="1219"/>
        <w:gridCol w:w="1219"/>
        <w:gridCol w:w="1219"/>
        <w:gridCol w:w="1219"/>
        <w:gridCol w:w="1219"/>
      </w:tblGrid>
      <w:tr w14:paraId="69895E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Pr>
          <w:p w14:paraId="5962C1B1">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工种</w:t>
            </w:r>
          </w:p>
        </w:tc>
        <w:tc>
          <w:tcPr>
            <w:tcW w:w="8939" w:type="dxa"/>
            <w:gridSpan w:val="7"/>
          </w:tcPr>
          <w:p w14:paraId="3CAD9066">
            <w:pPr>
              <w:rPr>
                <w:color w:val="000000" w:themeColor="text1"/>
                <w:sz w:val="20"/>
                <w14:textFill>
                  <w14:solidFill>
                    <w14:schemeClr w14:val="tx1"/>
                  </w14:solidFill>
                </w14:textFill>
              </w:rPr>
            </w:pPr>
            <w:r>
              <w:rPr>
                <w:rFonts w:hint="eastAsia" w:ascii="宋体" w:hAnsi="宋体" w:cs="宋体"/>
                <w:color w:val="000000" w:themeColor="text1"/>
                <w:sz w:val="20"/>
                <w14:textFill>
                  <w14:solidFill>
                    <w14:schemeClr w14:val="tx1"/>
                  </w14:solidFill>
                </w14:textFill>
              </w:rPr>
              <w:t>按项目专业、进展阶段投入劳动力情况</w:t>
            </w:r>
          </w:p>
        </w:tc>
      </w:tr>
      <w:tr w14:paraId="518125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55FBB00A">
            <w:pPr>
              <w:rPr>
                <w:color w:val="000000" w:themeColor="text1"/>
                <w:sz w:val="20"/>
                <w14:textFill>
                  <w14:solidFill>
                    <w14:schemeClr w14:val="tx1"/>
                  </w14:solidFill>
                </w14:textFill>
              </w:rPr>
            </w:pPr>
          </w:p>
        </w:tc>
        <w:tc>
          <w:tcPr>
            <w:tcW w:w="1625" w:type="dxa"/>
          </w:tcPr>
          <w:p w14:paraId="339D516A">
            <w:pPr>
              <w:rPr>
                <w:color w:val="000000" w:themeColor="text1"/>
                <w:sz w:val="20"/>
                <w14:textFill>
                  <w14:solidFill>
                    <w14:schemeClr w14:val="tx1"/>
                  </w14:solidFill>
                </w14:textFill>
              </w:rPr>
            </w:pPr>
          </w:p>
        </w:tc>
        <w:tc>
          <w:tcPr>
            <w:tcW w:w="1219" w:type="dxa"/>
          </w:tcPr>
          <w:p w14:paraId="35492AEC">
            <w:pPr>
              <w:rPr>
                <w:color w:val="000000" w:themeColor="text1"/>
                <w:sz w:val="20"/>
                <w14:textFill>
                  <w14:solidFill>
                    <w14:schemeClr w14:val="tx1"/>
                  </w14:solidFill>
                </w14:textFill>
              </w:rPr>
            </w:pPr>
          </w:p>
        </w:tc>
        <w:tc>
          <w:tcPr>
            <w:tcW w:w="1219" w:type="dxa"/>
          </w:tcPr>
          <w:p w14:paraId="53006A4A">
            <w:pPr>
              <w:rPr>
                <w:color w:val="000000" w:themeColor="text1"/>
                <w:sz w:val="20"/>
                <w14:textFill>
                  <w14:solidFill>
                    <w14:schemeClr w14:val="tx1"/>
                  </w14:solidFill>
                </w14:textFill>
              </w:rPr>
            </w:pPr>
          </w:p>
        </w:tc>
        <w:tc>
          <w:tcPr>
            <w:tcW w:w="1219" w:type="dxa"/>
          </w:tcPr>
          <w:p w14:paraId="51FA6875">
            <w:pPr>
              <w:rPr>
                <w:color w:val="000000" w:themeColor="text1"/>
                <w:sz w:val="20"/>
                <w14:textFill>
                  <w14:solidFill>
                    <w14:schemeClr w14:val="tx1"/>
                  </w14:solidFill>
                </w14:textFill>
              </w:rPr>
            </w:pPr>
          </w:p>
        </w:tc>
        <w:tc>
          <w:tcPr>
            <w:tcW w:w="1219" w:type="dxa"/>
          </w:tcPr>
          <w:p w14:paraId="0E86269A">
            <w:pPr>
              <w:rPr>
                <w:color w:val="000000" w:themeColor="text1"/>
                <w:sz w:val="20"/>
                <w14:textFill>
                  <w14:solidFill>
                    <w14:schemeClr w14:val="tx1"/>
                  </w14:solidFill>
                </w14:textFill>
              </w:rPr>
            </w:pPr>
          </w:p>
        </w:tc>
        <w:tc>
          <w:tcPr>
            <w:tcW w:w="1219" w:type="dxa"/>
          </w:tcPr>
          <w:p w14:paraId="4B838A1B">
            <w:pPr>
              <w:rPr>
                <w:color w:val="000000" w:themeColor="text1"/>
                <w:sz w:val="20"/>
                <w14:textFill>
                  <w14:solidFill>
                    <w14:schemeClr w14:val="tx1"/>
                  </w14:solidFill>
                </w14:textFill>
              </w:rPr>
            </w:pPr>
          </w:p>
        </w:tc>
        <w:tc>
          <w:tcPr>
            <w:tcW w:w="1219" w:type="dxa"/>
          </w:tcPr>
          <w:p w14:paraId="10561570">
            <w:pPr>
              <w:rPr>
                <w:color w:val="000000" w:themeColor="text1"/>
                <w:sz w:val="20"/>
                <w14:textFill>
                  <w14:solidFill>
                    <w14:schemeClr w14:val="tx1"/>
                  </w14:solidFill>
                </w14:textFill>
              </w:rPr>
            </w:pPr>
          </w:p>
        </w:tc>
      </w:tr>
      <w:tr w14:paraId="1AA6F9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627C3817">
            <w:pPr>
              <w:rPr>
                <w:color w:val="000000" w:themeColor="text1"/>
                <w:sz w:val="20"/>
                <w14:textFill>
                  <w14:solidFill>
                    <w14:schemeClr w14:val="tx1"/>
                  </w14:solidFill>
                </w14:textFill>
              </w:rPr>
            </w:pPr>
          </w:p>
        </w:tc>
        <w:tc>
          <w:tcPr>
            <w:tcW w:w="1625" w:type="dxa"/>
          </w:tcPr>
          <w:p w14:paraId="5280B727">
            <w:pPr>
              <w:rPr>
                <w:color w:val="000000" w:themeColor="text1"/>
                <w:sz w:val="20"/>
                <w14:textFill>
                  <w14:solidFill>
                    <w14:schemeClr w14:val="tx1"/>
                  </w14:solidFill>
                </w14:textFill>
              </w:rPr>
            </w:pPr>
          </w:p>
        </w:tc>
        <w:tc>
          <w:tcPr>
            <w:tcW w:w="1219" w:type="dxa"/>
          </w:tcPr>
          <w:p w14:paraId="2EFF231E">
            <w:pPr>
              <w:rPr>
                <w:color w:val="000000" w:themeColor="text1"/>
                <w:sz w:val="20"/>
                <w14:textFill>
                  <w14:solidFill>
                    <w14:schemeClr w14:val="tx1"/>
                  </w14:solidFill>
                </w14:textFill>
              </w:rPr>
            </w:pPr>
          </w:p>
        </w:tc>
        <w:tc>
          <w:tcPr>
            <w:tcW w:w="1219" w:type="dxa"/>
          </w:tcPr>
          <w:p w14:paraId="0CF30879">
            <w:pPr>
              <w:rPr>
                <w:color w:val="000000" w:themeColor="text1"/>
                <w:sz w:val="20"/>
                <w14:textFill>
                  <w14:solidFill>
                    <w14:schemeClr w14:val="tx1"/>
                  </w14:solidFill>
                </w14:textFill>
              </w:rPr>
            </w:pPr>
          </w:p>
        </w:tc>
        <w:tc>
          <w:tcPr>
            <w:tcW w:w="1219" w:type="dxa"/>
          </w:tcPr>
          <w:p w14:paraId="6298C3E0">
            <w:pPr>
              <w:rPr>
                <w:color w:val="000000" w:themeColor="text1"/>
                <w:sz w:val="20"/>
                <w14:textFill>
                  <w14:solidFill>
                    <w14:schemeClr w14:val="tx1"/>
                  </w14:solidFill>
                </w14:textFill>
              </w:rPr>
            </w:pPr>
          </w:p>
        </w:tc>
        <w:tc>
          <w:tcPr>
            <w:tcW w:w="1219" w:type="dxa"/>
          </w:tcPr>
          <w:p w14:paraId="199F51E0">
            <w:pPr>
              <w:rPr>
                <w:color w:val="000000" w:themeColor="text1"/>
                <w:sz w:val="20"/>
                <w14:textFill>
                  <w14:solidFill>
                    <w14:schemeClr w14:val="tx1"/>
                  </w14:solidFill>
                </w14:textFill>
              </w:rPr>
            </w:pPr>
          </w:p>
        </w:tc>
        <w:tc>
          <w:tcPr>
            <w:tcW w:w="1219" w:type="dxa"/>
          </w:tcPr>
          <w:p w14:paraId="1014CEA0">
            <w:pPr>
              <w:rPr>
                <w:color w:val="000000" w:themeColor="text1"/>
                <w:sz w:val="20"/>
                <w14:textFill>
                  <w14:solidFill>
                    <w14:schemeClr w14:val="tx1"/>
                  </w14:solidFill>
                </w14:textFill>
              </w:rPr>
            </w:pPr>
          </w:p>
        </w:tc>
        <w:tc>
          <w:tcPr>
            <w:tcW w:w="1219" w:type="dxa"/>
          </w:tcPr>
          <w:p w14:paraId="09479836">
            <w:pPr>
              <w:rPr>
                <w:color w:val="000000" w:themeColor="text1"/>
                <w:sz w:val="20"/>
                <w14:textFill>
                  <w14:solidFill>
                    <w14:schemeClr w14:val="tx1"/>
                  </w14:solidFill>
                </w14:textFill>
              </w:rPr>
            </w:pPr>
          </w:p>
        </w:tc>
      </w:tr>
      <w:tr w14:paraId="50C279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Pr>
          <w:p w14:paraId="12AD52B9">
            <w:pPr>
              <w:rPr>
                <w:color w:val="000000" w:themeColor="text1"/>
                <w:sz w:val="20"/>
                <w14:textFill>
                  <w14:solidFill>
                    <w14:schemeClr w14:val="tx1"/>
                  </w14:solidFill>
                </w14:textFill>
              </w:rPr>
            </w:pPr>
          </w:p>
        </w:tc>
        <w:tc>
          <w:tcPr>
            <w:tcW w:w="1625" w:type="dxa"/>
          </w:tcPr>
          <w:p w14:paraId="1E4B455F">
            <w:pPr>
              <w:rPr>
                <w:color w:val="000000" w:themeColor="text1"/>
                <w:sz w:val="20"/>
                <w14:textFill>
                  <w14:solidFill>
                    <w14:schemeClr w14:val="tx1"/>
                  </w14:solidFill>
                </w14:textFill>
              </w:rPr>
            </w:pPr>
          </w:p>
        </w:tc>
        <w:tc>
          <w:tcPr>
            <w:tcW w:w="1219" w:type="dxa"/>
          </w:tcPr>
          <w:p w14:paraId="48B10FE6">
            <w:pPr>
              <w:rPr>
                <w:color w:val="000000" w:themeColor="text1"/>
                <w:sz w:val="20"/>
                <w14:textFill>
                  <w14:solidFill>
                    <w14:schemeClr w14:val="tx1"/>
                  </w14:solidFill>
                </w14:textFill>
              </w:rPr>
            </w:pPr>
          </w:p>
        </w:tc>
        <w:tc>
          <w:tcPr>
            <w:tcW w:w="1219" w:type="dxa"/>
          </w:tcPr>
          <w:p w14:paraId="4BBBC1D9">
            <w:pPr>
              <w:rPr>
                <w:color w:val="000000" w:themeColor="text1"/>
                <w:sz w:val="20"/>
                <w14:textFill>
                  <w14:solidFill>
                    <w14:schemeClr w14:val="tx1"/>
                  </w14:solidFill>
                </w14:textFill>
              </w:rPr>
            </w:pPr>
          </w:p>
        </w:tc>
        <w:tc>
          <w:tcPr>
            <w:tcW w:w="1219" w:type="dxa"/>
          </w:tcPr>
          <w:p w14:paraId="7D086CC2">
            <w:pPr>
              <w:rPr>
                <w:color w:val="000000" w:themeColor="text1"/>
                <w:sz w:val="20"/>
                <w14:textFill>
                  <w14:solidFill>
                    <w14:schemeClr w14:val="tx1"/>
                  </w14:solidFill>
                </w14:textFill>
              </w:rPr>
            </w:pPr>
          </w:p>
        </w:tc>
        <w:tc>
          <w:tcPr>
            <w:tcW w:w="1219" w:type="dxa"/>
          </w:tcPr>
          <w:p w14:paraId="474140E4">
            <w:pPr>
              <w:rPr>
                <w:color w:val="000000" w:themeColor="text1"/>
                <w:sz w:val="20"/>
                <w14:textFill>
                  <w14:solidFill>
                    <w14:schemeClr w14:val="tx1"/>
                  </w14:solidFill>
                </w14:textFill>
              </w:rPr>
            </w:pPr>
          </w:p>
        </w:tc>
        <w:tc>
          <w:tcPr>
            <w:tcW w:w="1219" w:type="dxa"/>
          </w:tcPr>
          <w:p w14:paraId="2D6352C1">
            <w:pPr>
              <w:rPr>
                <w:color w:val="000000" w:themeColor="text1"/>
                <w:sz w:val="20"/>
                <w14:textFill>
                  <w14:solidFill>
                    <w14:schemeClr w14:val="tx1"/>
                  </w14:solidFill>
                </w14:textFill>
              </w:rPr>
            </w:pPr>
          </w:p>
        </w:tc>
        <w:tc>
          <w:tcPr>
            <w:tcW w:w="1219" w:type="dxa"/>
          </w:tcPr>
          <w:p w14:paraId="566A8D7B">
            <w:pPr>
              <w:rPr>
                <w:color w:val="000000" w:themeColor="text1"/>
                <w:sz w:val="20"/>
                <w14:textFill>
                  <w14:solidFill>
                    <w14:schemeClr w14:val="tx1"/>
                  </w14:solidFill>
                </w14:textFill>
              </w:rPr>
            </w:pPr>
          </w:p>
        </w:tc>
      </w:tr>
      <w:tr w14:paraId="5D0AF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4FBF110F">
            <w:pPr>
              <w:rPr>
                <w:color w:val="000000" w:themeColor="text1"/>
                <w:sz w:val="20"/>
                <w14:textFill>
                  <w14:solidFill>
                    <w14:schemeClr w14:val="tx1"/>
                  </w14:solidFill>
                </w14:textFill>
              </w:rPr>
            </w:pPr>
          </w:p>
        </w:tc>
        <w:tc>
          <w:tcPr>
            <w:tcW w:w="1625" w:type="dxa"/>
          </w:tcPr>
          <w:p w14:paraId="6FFE54AC">
            <w:pPr>
              <w:rPr>
                <w:color w:val="000000" w:themeColor="text1"/>
                <w:sz w:val="20"/>
                <w14:textFill>
                  <w14:solidFill>
                    <w14:schemeClr w14:val="tx1"/>
                  </w14:solidFill>
                </w14:textFill>
              </w:rPr>
            </w:pPr>
          </w:p>
        </w:tc>
        <w:tc>
          <w:tcPr>
            <w:tcW w:w="1219" w:type="dxa"/>
          </w:tcPr>
          <w:p w14:paraId="0B033DBA">
            <w:pPr>
              <w:rPr>
                <w:color w:val="000000" w:themeColor="text1"/>
                <w:sz w:val="20"/>
                <w14:textFill>
                  <w14:solidFill>
                    <w14:schemeClr w14:val="tx1"/>
                  </w14:solidFill>
                </w14:textFill>
              </w:rPr>
            </w:pPr>
          </w:p>
        </w:tc>
        <w:tc>
          <w:tcPr>
            <w:tcW w:w="1219" w:type="dxa"/>
          </w:tcPr>
          <w:p w14:paraId="1663CA23">
            <w:pPr>
              <w:rPr>
                <w:color w:val="000000" w:themeColor="text1"/>
                <w:sz w:val="20"/>
                <w14:textFill>
                  <w14:solidFill>
                    <w14:schemeClr w14:val="tx1"/>
                  </w14:solidFill>
                </w14:textFill>
              </w:rPr>
            </w:pPr>
          </w:p>
        </w:tc>
        <w:tc>
          <w:tcPr>
            <w:tcW w:w="1219" w:type="dxa"/>
          </w:tcPr>
          <w:p w14:paraId="0D4E51B9">
            <w:pPr>
              <w:rPr>
                <w:color w:val="000000" w:themeColor="text1"/>
                <w:sz w:val="20"/>
                <w14:textFill>
                  <w14:solidFill>
                    <w14:schemeClr w14:val="tx1"/>
                  </w14:solidFill>
                </w14:textFill>
              </w:rPr>
            </w:pPr>
          </w:p>
        </w:tc>
        <w:tc>
          <w:tcPr>
            <w:tcW w:w="1219" w:type="dxa"/>
          </w:tcPr>
          <w:p w14:paraId="10A1D1BE">
            <w:pPr>
              <w:rPr>
                <w:color w:val="000000" w:themeColor="text1"/>
                <w:sz w:val="20"/>
                <w14:textFill>
                  <w14:solidFill>
                    <w14:schemeClr w14:val="tx1"/>
                  </w14:solidFill>
                </w14:textFill>
              </w:rPr>
            </w:pPr>
          </w:p>
        </w:tc>
        <w:tc>
          <w:tcPr>
            <w:tcW w:w="1219" w:type="dxa"/>
          </w:tcPr>
          <w:p w14:paraId="2AF82DF5">
            <w:pPr>
              <w:rPr>
                <w:color w:val="000000" w:themeColor="text1"/>
                <w:sz w:val="20"/>
                <w14:textFill>
                  <w14:solidFill>
                    <w14:schemeClr w14:val="tx1"/>
                  </w14:solidFill>
                </w14:textFill>
              </w:rPr>
            </w:pPr>
          </w:p>
        </w:tc>
        <w:tc>
          <w:tcPr>
            <w:tcW w:w="1219" w:type="dxa"/>
          </w:tcPr>
          <w:p w14:paraId="0E07D1DF">
            <w:pPr>
              <w:rPr>
                <w:color w:val="000000" w:themeColor="text1"/>
                <w:sz w:val="20"/>
                <w14:textFill>
                  <w14:solidFill>
                    <w14:schemeClr w14:val="tx1"/>
                  </w14:solidFill>
                </w14:textFill>
              </w:rPr>
            </w:pPr>
          </w:p>
        </w:tc>
      </w:tr>
      <w:tr w14:paraId="64374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9D34276">
            <w:pPr>
              <w:rPr>
                <w:color w:val="000000" w:themeColor="text1"/>
                <w:sz w:val="20"/>
                <w14:textFill>
                  <w14:solidFill>
                    <w14:schemeClr w14:val="tx1"/>
                  </w14:solidFill>
                </w14:textFill>
              </w:rPr>
            </w:pPr>
          </w:p>
        </w:tc>
        <w:tc>
          <w:tcPr>
            <w:tcW w:w="1625" w:type="dxa"/>
          </w:tcPr>
          <w:p w14:paraId="08A94BF0">
            <w:pPr>
              <w:rPr>
                <w:color w:val="000000" w:themeColor="text1"/>
                <w:sz w:val="20"/>
                <w14:textFill>
                  <w14:solidFill>
                    <w14:schemeClr w14:val="tx1"/>
                  </w14:solidFill>
                </w14:textFill>
              </w:rPr>
            </w:pPr>
          </w:p>
        </w:tc>
        <w:tc>
          <w:tcPr>
            <w:tcW w:w="1219" w:type="dxa"/>
          </w:tcPr>
          <w:p w14:paraId="61D2E9F6">
            <w:pPr>
              <w:rPr>
                <w:color w:val="000000" w:themeColor="text1"/>
                <w:sz w:val="20"/>
                <w14:textFill>
                  <w14:solidFill>
                    <w14:schemeClr w14:val="tx1"/>
                  </w14:solidFill>
                </w14:textFill>
              </w:rPr>
            </w:pPr>
          </w:p>
        </w:tc>
        <w:tc>
          <w:tcPr>
            <w:tcW w:w="1219" w:type="dxa"/>
          </w:tcPr>
          <w:p w14:paraId="73666FE9">
            <w:pPr>
              <w:rPr>
                <w:color w:val="000000" w:themeColor="text1"/>
                <w:sz w:val="20"/>
                <w14:textFill>
                  <w14:solidFill>
                    <w14:schemeClr w14:val="tx1"/>
                  </w14:solidFill>
                </w14:textFill>
              </w:rPr>
            </w:pPr>
          </w:p>
        </w:tc>
        <w:tc>
          <w:tcPr>
            <w:tcW w:w="1219" w:type="dxa"/>
          </w:tcPr>
          <w:p w14:paraId="3BE02CEA">
            <w:pPr>
              <w:rPr>
                <w:color w:val="000000" w:themeColor="text1"/>
                <w:sz w:val="20"/>
                <w14:textFill>
                  <w14:solidFill>
                    <w14:schemeClr w14:val="tx1"/>
                  </w14:solidFill>
                </w14:textFill>
              </w:rPr>
            </w:pPr>
          </w:p>
        </w:tc>
        <w:tc>
          <w:tcPr>
            <w:tcW w:w="1219" w:type="dxa"/>
          </w:tcPr>
          <w:p w14:paraId="2227DCCF">
            <w:pPr>
              <w:rPr>
                <w:color w:val="000000" w:themeColor="text1"/>
                <w:sz w:val="20"/>
                <w14:textFill>
                  <w14:solidFill>
                    <w14:schemeClr w14:val="tx1"/>
                  </w14:solidFill>
                </w14:textFill>
              </w:rPr>
            </w:pPr>
          </w:p>
        </w:tc>
        <w:tc>
          <w:tcPr>
            <w:tcW w:w="1219" w:type="dxa"/>
          </w:tcPr>
          <w:p w14:paraId="6E4EB5D5">
            <w:pPr>
              <w:rPr>
                <w:color w:val="000000" w:themeColor="text1"/>
                <w:sz w:val="20"/>
                <w14:textFill>
                  <w14:solidFill>
                    <w14:schemeClr w14:val="tx1"/>
                  </w14:solidFill>
                </w14:textFill>
              </w:rPr>
            </w:pPr>
          </w:p>
        </w:tc>
        <w:tc>
          <w:tcPr>
            <w:tcW w:w="1219" w:type="dxa"/>
          </w:tcPr>
          <w:p w14:paraId="5CA294E7">
            <w:pPr>
              <w:rPr>
                <w:color w:val="000000" w:themeColor="text1"/>
                <w:sz w:val="20"/>
                <w14:textFill>
                  <w14:solidFill>
                    <w14:schemeClr w14:val="tx1"/>
                  </w14:solidFill>
                </w14:textFill>
              </w:rPr>
            </w:pPr>
          </w:p>
        </w:tc>
      </w:tr>
      <w:tr w14:paraId="011F71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383B3949">
            <w:pPr>
              <w:rPr>
                <w:color w:val="000000" w:themeColor="text1"/>
                <w:sz w:val="20"/>
                <w14:textFill>
                  <w14:solidFill>
                    <w14:schemeClr w14:val="tx1"/>
                  </w14:solidFill>
                </w14:textFill>
              </w:rPr>
            </w:pPr>
          </w:p>
        </w:tc>
        <w:tc>
          <w:tcPr>
            <w:tcW w:w="1625" w:type="dxa"/>
          </w:tcPr>
          <w:p w14:paraId="53116C53">
            <w:pPr>
              <w:rPr>
                <w:color w:val="000000" w:themeColor="text1"/>
                <w:sz w:val="20"/>
                <w14:textFill>
                  <w14:solidFill>
                    <w14:schemeClr w14:val="tx1"/>
                  </w14:solidFill>
                </w14:textFill>
              </w:rPr>
            </w:pPr>
          </w:p>
        </w:tc>
        <w:tc>
          <w:tcPr>
            <w:tcW w:w="1219" w:type="dxa"/>
          </w:tcPr>
          <w:p w14:paraId="5E759EF1">
            <w:pPr>
              <w:rPr>
                <w:color w:val="000000" w:themeColor="text1"/>
                <w:sz w:val="20"/>
                <w14:textFill>
                  <w14:solidFill>
                    <w14:schemeClr w14:val="tx1"/>
                  </w14:solidFill>
                </w14:textFill>
              </w:rPr>
            </w:pPr>
          </w:p>
        </w:tc>
        <w:tc>
          <w:tcPr>
            <w:tcW w:w="1219" w:type="dxa"/>
          </w:tcPr>
          <w:p w14:paraId="615F67E1">
            <w:pPr>
              <w:rPr>
                <w:color w:val="000000" w:themeColor="text1"/>
                <w:sz w:val="20"/>
                <w14:textFill>
                  <w14:solidFill>
                    <w14:schemeClr w14:val="tx1"/>
                  </w14:solidFill>
                </w14:textFill>
              </w:rPr>
            </w:pPr>
          </w:p>
        </w:tc>
        <w:tc>
          <w:tcPr>
            <w:tcW w:w="1219" w:type="dxa"/>
          </w:tcPr>
          <w:p w14:paraId="242104E5">
            <w:pPr>
              <w:rPr>
                <w:color w:val="000000" w:themeColor="text1"/>
                <w:sz w:val="20"/>
                <w14:textFill>
                  <w14:solidFill>
                    <w14:schemeClr w14:val="tx1"/>
                  </w14:solidFill>
                </w14:textFill>
              </w:rPr>
            </w:pPr>
          </w:p>
        </w:tc>
        <w:tc>
          <w:tcPr>
            <w:tcW w:w="1219" w:type="dxa"/>
          </w:tcPr>
          <w:p w14:paraId="21C59D16">
            <w:pPr>
              <w:rPr>
                <w:color w:val="000000" w:themeColor="text1"/>
                <w:sz w:val="20"/>
                <w14:textFill>
                  <w14:solidFill>
                    <w14:schemeClr w14:val="tx1"/>
                  </w14:solidFill>
                </w14:textFill>
              </w:rPr>
            </w:pPr>
          </w:p>
        </w:tc>
        <w:tc>
          <w:tcPr>
            <w:tcW w:w="1219" w:type="dxa"/>
          </w:tcPr>
          <w:p w14:paraId="35280AF1">
            <w:pPr>
              <w:rPr>
                <w:color w:val="000000" w:themeColor="text1"/>
                <w:sz w:val="20"/>
                <w14:textFill>
                  <w14:solidFill>
                    <w14:schemeClr w14:val="tx1"/>
                  </w14:solidFill>
                </w14:textFill>
              </w:rPr>
            </w:pPr>
          </w:p>
        </w:tc>
        <w:tc>
          <w:tcPr>
            <w:tcW w:w="1219" w:type="dxa"/>
          </w:tcPr>
          <w:p w14:paraId="5C3890FF">
            <w:pPr>
              <w:rPr>
                <w:color w:val="000000" w:themeColor="text1"/>
                <w:sz w:val="20"/>
                <w14:textFill>
                  <w14:solidFill>
                    <w14:schemeClr w14:val="tx1"/>
                  </w14:solidFill>
                </w14:textFill>
              </w:rPr>
            </w:pPr>
          </w:p>
        </w:tc>
      </w:tr>
      <w:tr w14:paraId="60F76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2E517CA3">
            <w:pPr>
              <w:rPr>
                <w:color w:val="000000" w:themeColor="text1"/>
                <w:sz w:val="20"/>
                <w14:textFill>
                  <w14:solidFill>
                    <w14:schemeClr w14:val="tx1"/>
                  </w14:solidFill>
                </w14:textFill>
              </w:rPr>
            </w:pPr>
          </w:p>
        </w:tc>
        <w:tc>
          <w:tcPr>
            <w:tcW w:w="1625" w:type="dxa"/>
          </w:tcPr>
          <w:p w14:paraId="072743D9">
            <w:pPr>
              <w:rPr>
                <w:color w:val="000000" w:themeColor="text1"/>
                <w:sz w:val="20"/>
                <w14:textFill>
                  <w14:solidFill>
                    <w14:schemeClr w14:val="tx1"/>
                  </w14:solidFill>
                </w14:textFill>
              </w:rPr>
            </w:pPr>
          </w:p>
        </w:tc>
        <w:tc>
          <w:tcPr>
            <w:tcW w:w="1219" w:type="dxa"/>
          </w:tcPr>
          <w:p w14:paraId="08629784">
            <w:pPr>
              <w:rPr>
                <w:color w:val="000000" w:themeColor="text1"/>
                <w:sz w:val="20"/>
                <w14:textFill>
                  <w14:solidFill>
                    <w14:schemeClr w14:val="tx1"/>
                  </w14:solidFill>
                </w14:textFill>
              </w:rPr>
            </w:pPr>
          </w:p>
        </w:tc>
        <w:tc>
          <w:tcPr>
            <w:tcW w:w="1219" w:type="dxa"/>
          </w:tcPr>
          <w:p w14:paraId="495B5D36">
            <w:pPr>
              <w:rPr>
                <w:color w:val="000000" w:themeColor="text1"/>
                <w:sz w:val="20"/>
                <w14:textFill>
                  <w14:solidFill>
                    <w14:schemeClr w14:val="tx1"/>
                  </w14:solidFill>
                </w14:textFill>
              </w:rPr>
            </w:pPr>
          </w:p>
        </w:tc>
        <w:tc>
          <w:tcPr>
            <w:tcW w:w="1219" w:type="dxa"/>
          </w:tcPr>
          <w:p w14:paraId="5113AFEE">
            <w:pPr>
              <w:rPr>
                <w:color w:val="000000" w:themeColor="text1"/>
                <w:sz w:val="20"/>
                <w14:textFill>
                  <w14:solidFill>
                    <w14:schemeClr w14:val="tx1"/>
                  </w14:solidFill>
                </w14:textFill>
              </w:rPr>
            </w:pPr>
          </w:p>
        </w:tc>
        <w:tc>
          <w:tcPr>
            <w:tcW w:w="1219" w:type="dxa"/>
          </w:tcPr>
          <w:p w14:paraId="7B510E61">
            <w:pPr>
              <w:rPr>
                <w:color w:val="000000" w:themeColor="text1"/>
                <w:sz w:val="20"/>
                <w14:textFill>
                  <w14:solidFill>
                    <w14:schemeClr w14:val="tx1"/>
                  </w14:solidFill>
                </w14:textFill>
              </w:rPr>
            </w:pPr>
          </w:p>
        </w:tc>
        <w:tc>
          <w:tcPr>
            <w:tcW w:w="1219" w:type="dxa"/>
          </w:tcPr>
          <w:p w14:paraId="6FA1A608">
            <w:pPr>
              <w:rPr>
                <w:color w:val="000000" w:themeColor="text1"/>
                <w:sz w:val="20"/>
                <w14:textFill>
                  <w14:solidFill>
                    <w14:schemeClr w14:val="tx1"/>
                  </w14:solidFill>
                </w14:textFill>
              </w:rPr>
            </w:pPr>
          </w:p>
        </w:tc>
        <w:tc>
          <w:tcPr>
            <w:tcW w:w="1219" w:type="dxa"/>
          </w:tcPr>
          <w:p w14:paraId="276B786B">
            <w:pPr>
              <w:rPr>
                <w:color w:val="000000" w:themeColor="text1"/>
                <w:sz w:val="20"/>
                <w14:textFill>
                  <w14:solidFill>
                    <w14:schemeClr w14:val="tx1"/>
                  </w14:solidFill>
                </w14:textFill>
              </w:rPr>
            </w:pPr>
          </w:p>
        </w:tc>
      </w:tr>
      <w:tr w14:paraId="20804B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Pr>
          <w:p w14:paraId="0F8D7C6A">
            <w:pPr>
              <w:rPr>
                <w:color w:val="000000" w:themeColor="text1"/>
                <w:sz w:val="20"/>
                <w14:textFill>
                  <w14:solidFill>
                    <w14:schemeClr w14:val="tx1"/>
                  </w14:solidFill>
                </w14:textFill>
              </w:rPr>
            </w:pPr>
          </w:p>
        </w:tc>
        <w:tc>
          <w:tcPr>
            <w:tcW w:w="1625" w:type="dxa"/>
          </w:tcPr>
          <w:p w14:paraId="41EAB384">
            <w:pPr>
              <w:rPr>
                <w:color w:val="000000" w:themeColor="text1"/>
                <w:sz w:val="20"/>
                <w14:textFill>
                  <w14:solidFill>
                    <w14:schemeClr w14:val="tx1"/>
                  </w14:solidFill>
                </w14:textFill>
              </w:rPr>
            </w:pPr>
          </w:p>
        </w:tc>
        <w:tc>
          <w:tcPr>
            <w:tcW w:w="1219" w:type="dxa"/>
          </w:tcPr>
          <w:p w14:paraId="63F5B3F4">
            <w:pPr>
              <w:rPr>
                <w:color w:val="000000" w:themeColor="text1"/>
                <w:sz w:val="20"/>
                <w14:textFill>
                  <w14:solidFill>
                    <w14:schemeClr w14:val="tx1"/>
                  </w14:solidFill>
                </w14:textFill>
              </w:rPr>
            </w:pPr>
          </w:p>
        </w:tc>
        <w:tc>
          <w:tcPr>
            <w:tcW w:w="1219" w:type="dxa"/>
          </w:tcPr>
          <w:p w14:paraId="64059226">
            <w:pPr>
              <w:rPr>
                <w:color w:val="000000" w:themeColor="text1"/>
                <w:sz w:val="20"/>
                <w14:textFill>
                  <w14:solidFill>
                    <w14:schemeClr w14:val="tx1"/>
                  </w14:solidFill>
                </w14:textFill>
              </w:rPr>
            </w:pPr>
          </w:p>
        </w:tc>
        <w:tc>
          <w:tcPr>
            <w:tcW w:w="1219" w:type="dxa"/>
          </w:tcPr>
          <w:p w14:paraId="44C494F8">
            <w:pPr>
              <w:rPr>
                <w:color w:val="000000" w:themeColor="text1"/>
                <w:sz w:val="20"/>
                <w14:textFill>
                  <w14:solidFill>
                    <w14:schemeClr w14:val="tx1"/>
                  </w14:solidFill>
                </w14:textFill>
              </w:rPr>
            </w:pPr>
          </w:p>
        </w:tc>
        <w:tc>
          <w:tcPr>
            <w:tcW w:w="1219" w:type="dxa"/>
          </w:tcPr>
          <w:p w14:paraId="4493CDC7">
            <w:pPr>
              <w:rPr>
                <w:color w:val="000000" w:themeColor="text1"/>
                <w:sz w:val="20"/>
                <w14:textFill>
                  <w14:solidFill>
                    <w14:schemeClr w14:val="tx1"/>
                  </w14:solidFill>
                </w14:textFill>
              </w:rPr>
            </w:pPr>
          </w:p>
        </w:tc>
        <w:tc>
          <w:tcPr>
            <w:tcW w:w="1219" w:type="dxa"/>
          </w:tcPr>
          <w:p w14:paraId="754A2368">
            <w:pPr>
              <w:rPr>
                <w:color w:val="000000" w:themeColor="text1"/>
                <w:sz w:val="20"/>
                <w14:textFill>
                  <w14:solidFill>
                    <w14:schemeClr w14:val="tx1"/>
                  </w14:solidFill>
                </w14:textFill>
              </w:rPr>
            </w:pPr>
          </w:p>
        </w:tc>
        <w:tc>
          <w:tcPr>
            <w:tcW w:w="1219" w:type="dxa"/>
          </w:tcPr>
          <w:p w14:paraId="383D3E00">
            <w:pPr>
              <w:rPr>
                <w:color w:val="000000" w:themeColor="text1"/>
                <w:sz w:val="20"/>
                <w14:textFill>
                  <w14:solidFill>
                    <w14:schemeClr w14:val="tx1"/>
                  </w14:solidFill>
                </w14:textFill>
              </w:rPr>
            </w:pPr>
          </w:p>
        </w:tc>
      </w:tr>
      <w:tr w14:paraId="3EB458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Pr>
          <w:p w14:paraId="74D03078">
            <w:pPr>
              <w:rPr>
                <w:color w:val="000000" w:themeColor="text1"/>
                <w:sz w:val="20"/>
                <w14:textFill>
                  <w14:solidFill>
                    <w14:schemeClr w14:val="tx1"/>
                  </w14:solidFill>
                </w14:textFill>
              </w:rPr>
            </w:pPr>
          </w:p>
        </w:tc>
        <w:tc>
          <w:tcPr>
            <w:tcW w:w="1625" w:type="dxa"/>
          </w:tcPr>
          <w:p w14:paraId="71E05DDB">
            <w:pPr>
              <w:rPr>
                <w:color w:val="000000" w:themeColor="text1"/>
                <w:sz w:val="20"/>
                <w14:textFill>
                  <w14:solidFill>
                    <w14:schemeClr w14:val="tx1"/>
                  </w14:solidFill>
                </w14:textFill>
              </w:rPr>
            </w:pPr>
          </w:p>
        </w:tc>
        <w:tc>
          <w:tcPr>
            <w:tcW w:w="1219" w:type="dxa"/>
          </w:tcPr>
          <w:p w14:paraId="477D9AE9">
            <w:pPr>
              <w:rPr>
                <w:color w:val="000000" w:themeColor="text1"/>
                <w:sz w:val="20"/>
                <w14:textFill>
                  <w14:solidFill>
                    <w14:schemeClr w14:val="tx1"/>
                  </w14:solidFill>
                </w14:textFill>
              </w:rPr>
            </w:pPr>
          </w:p>
        </w:tc>
        <w:tc>
          <w:tcPr>
            <w:tcW w:w="1219" w:type="dxa"/>
          </w:tcPr>
          <w:p w14:paraId="38ACBC54">
            <w:pPr>
              <w:rPr>
                <w:color w:val="000000" w:themeColor="text1"/>
                <w:sz w:val="20"/>
                <w14:textFill>
                  <w14:solidFill>
                    <w14:schemeClr w14:val="tx1"/>
                  </w14:solidFill>
                </w14:textFill>
              </w:rPr>
            </w:pPr>
          </w:p>
        </w:tc>
        <w:tc>
          <w:tcPr>
            <w:tcW w:w="1219" w:type="dxa"/>
          </w:tcPr>
          <w:p w14:paraId="55C1BAA1">
            <w:pPr>
              <w:rPr>
                <w:color w:val="000000" w:themeColor="text1"/>
                <w:sz w:val="20"/>
                <w14:textFill>
                  <w14:solidFill>
                    <w14:schemeClr w14:val="tx1"/>
                  </w14:solidFill>
                </w14:textFill>
              </w:rPr>
            </w:pPr>
          </w:p>
        </w:tc>
        <w:tc>
          <w:tcPr>
            <w:tcW w:w="1219" w:type="dxa"/>
          </w:tcPr>
          <w:p w14:paraId="0421A3B5">
            <w:pPr>
              <w:rPr>
                <w:color w:val="000000" w:themeColor="text1"/>
                <w:sz w:val="20"/>
                <w14:textFill>
                  <w14:solidFill>
                    <w14:schemeClr w14:val="tx1"/>
                  </w14:solidFill>
                </w14:textFill>
              </w:rPr>
            </w:pPr>
          </w:p>
        </w:tc>
        <w:tc>
          <w:tcPr>
            <w:tcW w:w="1219" w:type="dxa"/>
          </w:tcPr>
          <w:p w14:paraId="19921BD7">
            <w:pPr>
              <w:rPr>
                <w:color w:val="000000" w:themeColor="text1"/>
                <w:sz w:val="20"/>
                <w14:textFill>
                  <w14:solidFill>
                    <w14:schemeClr w14:val="tx1"/>
                  </w14:solidFill>
                </w14:textFill>
              </w:rPr>
            </w:pPr>
          </w:p>
        </w:tc>
        <w:tc>
          <w:tcPr>
            <w:tcW w:w="1219" w:type="dxa"/>
          </w:tcPr>
          <w:p w14:paraId="1542CCB7">
            <w:pPr>
              <w:rPr>
                <w:color w:val="000000" w:themeColor="text1"/>
                <w:sz w:val="20"/>
                <w14:textFill>
                  <w14:solidFill>
                    <w14:schemeClr w14:val="tx1"/>
                  </w14:solidFill>
                </w14:textFill>
              </w:rPr>
            </w:pPr>
          </w:p>
        </w:tc>
      </w:tr>
      <w:tr w14:paraId="22AC3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27B42668">
            <w:pPr>
              <w:rPr>
                <w:color w:val="000000" w:themeColor="text1"/>
                <w:sz w:val="20"/>
                <w14:textFill>
                  <w14:solidFill>
                    <w14:schemeClr w14:val="tx1"/>
                  </w14:solidFill>
                </w14:textFill>
              </w:rPr>
            </w:pPr>
          </w:p>
        </w:tc>
        <w:tc>
          <w:tcPr>
            <w:tcW w:w="1625" w:type="dxa"/>
          </w:tcPr>
          <w:p w14:paraId="45321994">
            <w:pPr>
              <w:rPr>
                <w:color w:val="000000" w:themeColor="text1"/>
                <w:sz w:val="20"/>
                <w14:textFill>
                  <w14:solidFill>
                    <w14:schemeClr w14:val="tx1"/>
                  </w14:solidFill>
                </w14:textFill>
              </w:rPr>
            </w:pPr>
          </w:p>
        </w:tc>
        <w:tc>
          <w:tcPr>
            <w:tcW w:w="1219" w:type="dxa"/>
          </w:tcPr>
          <w:p w14:paraId="2E0C2CA4">
            <w:pPr>
              <w:rPr>
                <w:color w:val="000000" w:themeColor="text1"/>
                <w:sz w:val="20"/>
                <w14:textFill>
                  <w14:solidFill>
                    <w14:schemeClr w14:val="tx1"/>
                  </w14:solidFill>
                </w14:textFill>
              </w:rPr>
            </w:pPr>
          </w:p>
        </w:tc>
        <w:tc>
          <w:tcPr>
            <w:tcW w:w="1219" w:type="dxa"/>
          </w:tcPr>
          <w:p w14:paraId="24195C4F">
            <w:pPr>
              <w:rPr>
                <w:color w:val="000000" w:themeColor="text1"/>
                <w:sz w:val="20"/>
                <w14:textFill>
                  <w14:solidFill>
                    <w14:schemeClr w14:val="tx1"/>
                  </w14:solidFill>
                </w14:textFill>
              </w:rPr>
            </w:pPr>
          </w:p>
        </w:tc>
        <w:tc>
          <w:tcPr>
            <w:tcW w:w="1219" w:type="dxa"/>
          </w:tcPr>
          <w:p w14:paraId="7BF6F62C">
            <w:pPr>
              <w:rPr>
                <w:color w:val="000000" w:themeColor="text1"/>
                <w:sz w:val="20"/>
                <w14:textFill>
                  <w14:solidFill>
                    <w14:schemeClr w14:val="tx1"/>
                  </w14:solidFill>
                </w14:textFill>
              </w:rPr>
            </w:pPr>
          </w:p>
        </w:tc>
        <w:tc>
          <w:tcPr>
            <w:tcW w:w="1219" w:type="dxa"/>
          </w:tcPr>
          <w:p w14:paraId="4C4EEE05">
            <w:pPr>
              <w:rPr>
                <w:color w:val="000000" w:themeColor="text1"/>
                <w:sz w:val="20"/>
                <w14:textFill>
                  <w14:solidFill>
                    <w14:schemeClr w14:val="tx1"/>
                  </w14:solidFill>
                </w14:textFill>
              </w:rPr>
            </w:pPr>
          </w:p>
        </w:tc>
        <w:tc>
          <w:tcPr>
            <w:tcW w:w="1219" w:type="dxa"/>
          </w:tcPr>
          <w:p w14:paraId="0B0E0F5C">
            <w:pPr>
              <w:rPr>
                <w:color w:val="000000" w:themeColor="text1"/>
                <w:sz w:val="20"/>
                <w14:textFill>
                  <w14:solidFill>
                    <w14:schemeClr w14:val="tx1"/>
                  </w14:solidFill>
                </w14:textFill>
              </w:rPr>
            </w:pPr>
          </w:p>
        </w:tc>
        <w:tc>
          <w:tcPr>
            <w:tcW w:w="1219" w:type="dxa"/>
          </w:tcPr>
          <w:p w14:paraId="356FF239">
            <w:pPr>
              <w:rPr>
                <w:color w:val="000000" w:themeColor="text1"/>
                <w:sz w:val="20"/>
                <w14:textFill>
                  <w14:solidFill>
                    <w14:schemeClr w14:val="tx1"/>
                  </w14:solidFill>
                </w14:textFill>
              </w:rPr>
            </w:pPr>
          </w:p>
        </w:tc>
      </w:tr>
      <w:tr w14:paraId="220BC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43F58912">
            <w:pPr>
              <w:rPr>
                <w:color w:val="000000" w:themeColor="text1"/>
                <w:sz w:val="20"/>
                <w14:textFill>
                  <w14:solidFill>
                    <w14:schemeClr w14:val="tx1"/>
                  </w14:solidFill>
                </w14:textFill>
              </w:rPr>
            </w:pPr>
          </w:p>
        </w:tc>
        <w:tc>
          <w:tcPr>
            <w:tcW w:w="1625" w:type="dxa"/>
          </w:tcPr>
          <w:p w14:paraId="3D985161">
            <w:pPr>
              <w:rPr>
                <w:color w:val="000000" w:themeColor="text1"/>
                <w:sz w:val="20"/>
                <w14:textFill>
                  <w14:solidFill>
                    <w14:schemeClr w14:val="tx1"/>
                  </w14:solidFill>
                </w14:textFill>
              </w:rPr>
            </w:pPr>
          </w:p>
        </w:tc>
        <w:tc>
          <w:tcPr>
            <w:tcW w:w="1219" w:type="dxa"/>
          </w:tcPr>
          <w:p w14:paraId="1776C7EA">
            <w:pPr>
              <w:rPr>
                <w:color w:val="000000" w:themeColor="text1"/>
                <w:sz w:val="20"/>
                <w14:textFill>
                  <w14:solidFill>
                    <w14:schemeClr w14:val="tx1"/>
                  </w14:solidFill>
                </w14:textFill>
              </w:rPr>
            </w:pPr>
          </w:p>
        </w:tc>
        <w:tc>
          <w:tcPr>
            <w:tcW w:w="1219" w:type="dxa"/>
          </w:tcPr>
          <w:p w14:paraId="42E00F09">
            <w:pPr>
              <w:rPr>
                <w:color w:val="000000" w:themeColor="text1"/>
                <w:sz w:val="20"/>
                <w14:textFill>
                  <w14:solidFill>
                    <w14:schemeClr w14:val="tx1"/>
                  </w14:solidFill>
                </w14:textFill>
              </w:rPr>
            </w:pPr>
          </w:p>
        </w:tc>
        <w:tc>
          <w:tcPr>
            <w:tcW w:w="1219" w:type="dxa"/>
          </w:tcPr>
          <w:p w14:paraId="28AD9A7F">
            <w:pPr>
              <w:rPr>
                <w:color w:val="000000" w:themeColor="text1"/>
                <w:sz w:val="20"/>
                <w14:textFill>
                  <w14:solidFill>
                    <w14:schemeClr w14:val="tx1"/>
                  </w14:solidFill>
                </w14:textFill>
              </w:rPr>
            </w:pPr>
          </w:p>
        </w:tc>
        <w:tc>
          <w:tcPr>
            <w:tcW w:w="1219" w:type="dxa"/>
          </w:tcPr>
          <w:p w14:paraId="270CC5E4">
            <w:pPr>
              <w:rPr>
                <w:color w:val="000000" w:themeColor="text1"/>
                <w:sz w:val="20"/>
                <w14:textFill>
                  <w14:solidFill>
                    <w14:schemeClr w14:val="tx1"/>
                  </w14:solidFill>
                </w14:textFill>
              </w:rPr>
            </w:pPr>
          </w:p>
        </w:tc>
        <w:tc>
          <w:tcPr>
            <w:tcW w:w="1219" w:type="dxa"/>
          </w:tcPr>
          <w:p w14:paraId="301087CF">
            <w:pPr>
              <w:rPr>
                <w:color w:val="000000" w:themeColor="text1"/>
                <w:sz w:val="20"/>
                <w14:textFill>
                  <w14:solidFill>
                    <w14:schemeClr w14:val="tx1"/>
                  </w14:solidFill>
                </w14:textFill>
              </w:rPr>
            </w:pPr>
          </w:p>
        </w:tc>
        <w:tc>
          <w:tcPr>
            <w:tcW w:w="1219" w:type="dxa"/>
          </w:tcPr>
          <w:p w14:paraId="0536CAB9">
            <w:pPr>
              <w:rPr>
                <w:color w:val="000000" w:themeColor="text1"/>
                <w:sz w:val="20"/>
                <w14:textFill>
                  <w14:solidFill>
                    <w14:schemeClr w14:val="tx1"/>
                  </w14:solidFill>
                </w14:textFill>
              </w:rPr>
            </w:pPr>
          </w:p>
        </w:tc>
      </w:tr>
      <w:tr w14:paraId="3DB5C2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3938CA6E">
            <w:pPr>
              <w:rPr>
                <w:color w:val="000000" w:themeColor="text1"/>
                <w:sz w:val="20"/>
                <w14:textFill>
                  <w14:solidFill>
                    <w14:schemeClr w14:val="tx1"/>
                  </w14:solidFill>
                </w14:textFill>
              </w:rPr>
            </w:pPr>
          </w:p>
        </w:tc>
        <w:tc>
          <w:tcPr>
            <w:tcW w:w="1625" w:type="dxa"/>
          </w:tcPr>
          <w:p w14:paraId="52BAA90A">
            <w:pPr>
              <w:rPr>
                <w:color w:val="000000" w:themeColor="text1"/>
                <w:sz w:val="20"/>
                <w14:textFill>
                  <w14:solidFill>
                    <w14:schemeClr w14:val="tx1"/>
                  </w14:solidFill>
                </w14:textFill>
              </w:rPr>
            </w:pPr>
          </w:p>
        </w:tc>
        <w:tc>
          <w:tcPr>
            <w:tcW w:w="1219" w:type="dxa"/>
          </w:tcPr>
          <w:p w14:paraId="5DF3BE9F">
            <w:pPr>
              <w:rPr>
                <w:color w:val="000000" w:themeColor="text1"/>
                <w:sz w:val="20"/>
                <w14:textFill>
                  <w14:solidFill>
                    <w14:schemeClr w14:val="tx1"/>
                  </w14:solidFill>
                </w14:textFill>
              </w:rPr>
            </w:pPr>
          </w:p>
        </w:tc>
        <w:tc>
          <w:tcPr>
            <w:tcW w:w="1219" w:type="dxa"/>
          </w:tcPr>
          <w:p w14:paraId="6AE4B95E">
            <w:pPr>
              <w:rPr>
                <w:color w:val="000000" w:themeColor="text1"/>
                <w:sz w:val="20"/>
                <w14:textFill>
                  <w14:solidFill>
                    <w14:schemeClr w14:val="tx1"/>
                  </w14:solidFill>
                </w14:textFill>
              </w:rPr>
            </w:pPr>
          </w:p>
        </w:tc>
        <w:tc>
          <w:tcPr>
            <w:tcW w:w="1219" w:type="dxa"/>
          </w:tcPr>
          <w:p w14:paraId="63A842A8">
            <w:pPr>
              <w:rPr>
                <w:color w:val="000000" w:themeColor="text1"/>
                <w:sz w:val="20"/>
                <w14:textFill>
                  <w14:solidFill>
                    <w14:schemeClr w14:val="tx1"/>
                  </w14:solidFill>
                </w14:textFill>
              </w:rPr>
            </w:pPr>
          </w:p>
        </w:tc>
        <w:tc>
          <w:tcPr>
            <w:tcW w:w="1219" w:type="dxa"/>
          </w:tcPr>
          <w:p w14:paraId="49121C72">
            <w:pPr>
              <w:rPr>
                <w:color w:val="000000" w:themeColor="text1"/>
                <w:sz w:val="20"/>
                <w14:textFill>
                  <w14:solidFill>
                    <w14:schemeClr w14:val="tx1"/>
                  </w14:solidFill>
                </w14:textFill>
              </w:rPr>
            </w:pPr>
          </w:p>
        </w:tc>
        <w:tc>
          <w:tcPr>
            <w:tcW w:w="1219" w:type="dxa"/>
          </w:tcPr>
          <w:p w14:paraId="56DA0D17">
            <w:pPr>
              <w:rPr>
                <w:color w:val="000000" w:themeColor="text1"/>
                <w:sz w:val="20"/>
                <w14:textFill>
                  <w14:solidFill>
                    <w14:schemeClr w14:val="tx1"/>
                  </w14:solidFill>
                </w14:textFill>
              </w:rPr>
            </w:pPr>
          </w:p>
        </w:tc>
        <w:tc>
          <w:tcPr>
            <w:tcW w:w="1219" w:type="dxa"/>
          </w:tcPr>
          <w:p w14:paraId="063516BB">
            <w:pPr>
              <w:rPr>
                <w:color w:val="000000" w:themeColor="text1"/>
                <w:sz w:val="20"/>
                <w14:textFill>
                  <w14:solidFill>
                    <w14:schemeClr w14:val="tx1"/>
                  </w14:solidFill>
                </w14:textFill>
              </w:rPr>
            </w:pPr>
          </w:p>
        </w:tc>
      </w:tr>
      <w:tr w14:paraId="61EFB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0F6558D">
            <w:pPr>
              <w:rPr>
                <w:color w:val="000000" w:themeColor="text1"/>
                <w:sz w:val="20"/>
                <w14:textFill>
                  <w14:solidFill>
                    <w14:schemeClr w14:val="tx1"/>
                  </w14:solidFill>
                </w14:textFill>
              </w:rPr>
            </w:pPr>
          </w:p>
        </w:tc>
        <w:tc>
          <w:tcPr>
            <w:tcW w:w="1625" w:type="dxa"/>
          </w:tcPr>
          <w:p w14:paraId="053CB507">
            <w:pPr>
              <w:rPr>
                <w:color w:val="000000" w:themeColor="text1"/>
                <w:sz w:val="20"/>
                <w14:textFill>
                  <w14:solidFill>
                    <w14:schemeClr w14:val="tx1"/>
                  </w14:solidFill>
                </w14:textFill>
              </w:rPr>
            </w:pPr>
          </w:p>
        </w:tc>
        <w:tc>
          <w:tcPr>
            <w:tcW w:w="1219" w:type="dxa"/>
          </w:tcPr>
          <w:p w14:paraId="04F986DE">
            <w:pPr>
              <w:rPr>
                <w:color w:val="000000" w:themeColor="text1"/>
                <w:sz w:val="20"/>
                <w14:textFill>
                  <w14:solidFill>
                    <w14:schemeClr w14:val="tx1"/>
                  </w14:solidFill>
                </w14:textFill>
              </w:rPr>
            </w:pPr>
          </w:p>
        </w:tc>
        <w:tc>
          <w:tcPr>
            <w:tcW w:w="1219" w:type="dxa"/>
          </w:tcPr>
          <w:p w14:paraId="73B7AFE5">
            <w:pPr>
              <w:rPr>
                <w:color w:val="000000" w:themeColor="text1"/>
                <w:sz w:val="20"/>
                <w14:textFill>
                  <w14:solidFill>
                    <w14:schemeClr w14:val="tx1"/>
                  </w14:solidFill>
                </w14:textFill>
              </w:rPr>
            </w:pPr>
          </w:p>
        </w:tc>
        <w:tc>
          <w:tcPr>
            <w:tcW w:w="1219" w:type="dxa"/>
          </w:tcPr>
          <w:p w14:paraId="68E3DC6D">
            <w:pPr>
              <w:rPr>
                <w:color w:val="000000" w:themeColor="text1"/>
                <w:sz w:val="20"/>
                <w14:textFill>
                  <w14:solidFill>
                    <w14:schemeClr w14:val="tx1"/>
                  </w14:solidFill>
                </w14:textFill>
              </w:rPr>
            </w:pPr>
          </w:p>
        </w:tc>
        <w:tc>
          <w:tcPr>
            <w:tcW w:w="1219" w:type="dxa"/>
          </w:tcPr>
          <w:p w14:paraId="088C301F">
            <w:pPr>
              <w:rPr>
                <w:color w:val="000000" w:themeColor="text1"/>
                <w:sz w:val="20"/>
                <w14:textFill>
                  <w14:solidFill>
                    <w14:schemeClr w14:val="tx1"/>
                  </w14:solidFill>
                </w14:textFill>
              </w:rPr>
            </w:pPr>
          </w:p>
        </w:tc>
        <w:tc>
          <w:tcPr>
            <w:tcW w:w="1219" w:type="dxa"/>
          </w:tcPr>
          <w:p w14:paraId="051EC5AB">
            <w:pPr>
              <w:rPr>
                <w:color w:val="000000" w:themeColor="text1"/>
                <w:sz w:val="20"/>
                <w14:textFill>
                  <w14:solidFill>
                    <w14:schemeClr w14:val="tx1"/>
                  </w14:solidFill>
                </w14:textFill>
              </w:rPr>
            </w:pPr>
          </w:p>
        </w:tc>
        <w:tc>
          <w:tcPr>
            <w:tcW w:w="1219" w:type="dxa"/>
          </w:tcPr>
          <w:p w14:paraId="0891F1A3">
            <w:pPr>
              <w:rPr>
                <w:color w:val="000000" w:themeColor="text1"/>
                <w:sz w:val="20"/>
                <w14:textFill>
                  <w14:solidFill>
                    <w14:schemeClr w14:val="tx1"/>
                  </w14:solidFill>
                </w14:textFill>
              </w:rPr>
            </w:pPr>
          </w:p>
        </w:tc>
      </w:tr>
      <w:tr w14:paraId="1B35C7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4528F6FA">
            <w:pPr>
              <w:rPr>
                <w:color w:val="000000" w:themeColor="text1"/>
                <w:sz w:val="20"/>
                <w14:textFill>
                  <w14:solidFill>
                    <w14:schemeClr w14:val="tx1"/>
                  </w14:solidFill>
                </w14:textFill>
              </w:rPr>
            </w:pPr>
          </w:p>
        </w:tc>
        <w:tc>
          <w:tcPr>
            <w:tcW w:w="1625" w:type="dxa"/>
          </w:tcPr>
          <w:p w14:paraId="4F97BDDF">
            <w:pPr>
              <w:rPr>
                <w:color w:val="000000" w:themeColor="text1"/>
                <w:sz w:val="20"/>
                <w14:textFill>
                  <w14:solidFill>
                    <w14:schemeClr w14:val="tx1"/>
                  </w14:solidFill>
                </w14:textFill>
              </w:rPr>
            </w:pPr>
          </w:p>
        </w:tc>
        <w:tc>
          <w:tcPr>
            <w:tcW w:w="1219" w:type="dxa"/>
          </w:tcPr>
          <w:p w14:paraId="0B5BE0D1">
            <w:pPr>
              <w:rPr>
                <w:color w:val="000000" w:themeColor="text1"/>
                <w:sz w:val="20"/>
                <w14:textFill>
                  <w14:solidFill>
                    <w14:schemeClr w14:val="tx1"/>
                  </w14:solidFill>
                </w14:textFill>
              </w:rPr>
            </w:pPr>
          </w:p>
        </w:tc>
        <w:tc>
          <w:tcPr>
            <w:tcW w:w="1219" w:type="dxa"/>
          </w:tcPr>
          <w:p w14:paraId="5ECC6C5E">
            <w:pPr>
              <w:rPr>
                <w:color w:val="000000" w:themeColor="text1"/>
                <w:sz w:val="20"/>
                <w14:textFill>
                  <w14:solidFill>
                    <w14:schemeClr w14:val="tx1"/>
                  </w14:solidFill>
                </w14:textFill>
              </w:rPr>
            </w:pPr>
          </w:p>
        </w:tc>
        <w:tc>
          <w:tcPr>
            <w:tcW w:w="1219" w:type="dxa"/>
          </w:tcPr>
          <w:p w14:paraId="63664610">
            <w:pPr>
              <w:rPr>
                <w:color w:val="000000" w:themeColor="text1"/>
                <w:sz w:val="20"/>
                <w14:textFill>
                  <w14:solidFill>
                    <w14:schemeClr w14:val="tx1"/>
                  </w14:solidFill>
                </w14:textFill>
              </w:rPr>
            </w:pPr>
          </w:p>
        </w:tc>
        <w:tc>
          <w:tcPr>
            <w:tcW w:w="1219" w:type="dxa"/>
          </w:tcPr>
          <w:p w14:paraId="659AAD93">
            <w:pPr>
              <w:rPr>
                <w:color w:val="000000" w:themeColor="text1"/>
                <w:sz w:val="20"/>
                <w14:textFill>
                  <w14:solidFill>
                    <w14:schemeClr w14:val="tx1"/>
                  </w14:solidFill>
                </w14:textFill>
              </w:rPr>
            </w:pPr>
          </w:p>
        </w:tc>
        <w:tc>
          <w:tcPr>
            <w:tcW w:w="1219" w:type="dxa"/>
          </w:tcPr>
          <w:p w14:paraId="7A01D177">
            <w:pPr>
              <w:rPr>
                <w:color w:val="000000" w:themeColor="text1"/>
                <w:sz w:val="20"/>
                <w14:textFill>
                  <w14:solidFill>
                    <w14:schemeClr w14:val="tx1"/>
                  </w14:solidFill>
                </w14:textFill>
              </w:rPr>
            </w:pPr>
          </w:p>
        </w:tc>
        <w:tc>
          <w:tcPr>
            <w:tcW w:w="1219" w:type="dxa"/>
          </w:tcPr>
          <w:p w14:paraId="32CDC61B">
            <w:pPr>
              <w:rPr>
                <w:color w:val="000000" w:themeColor="text1"/>
                <w:sz w:val="20"/>
                <w14:textFill>
                  <w14:solidFill>
                    <w14:schemeClr w14:val="tx1"/>
                  </w14:solidFill>
                </w14:textFill>
              </w:rPr>
            </w:pPr>
          </w:p>
        </w:tc>
      </w:tr>
      <w:tr w14:paraId="496830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79396DAA">
            <w:pPr>
              <w:rPr>
                <w:color w:val="000000" w:themeColor="text1"/>
                <w:sz w:val="20"/>
                <w14:textFill>
                  <w14:solidFill>
                    <w14:schemeClr w14:val="tx1"/>
                  </w14:solidFill>
                </w14:textFill>
              </w:rPr>
            </w:pPr>
          </w:p>
        </w:tc>
        <w:tc>
          <w:tcPr>
            <w:tcW w:w="1625" w:type="dxa"/>
          </w:tcPr>
          <w:p w14:paraId="2B3119B5">
            <w:pPr>
              <w:rPr>
                <w:color w:val="000000" w:themeColor="text1"/>
                <w:sz w:val="20"/>
                <w14:textFill>
                  <w14:solidFill>
                    <w14:schemeClr w14:val="tx1"/>
                  </w14:solidFill>
                </w14:textFill>
              </w:rPr>
            </w:pPr>
          </w:p>
        </w:tc>
        <w:tc>
          <w:tcPr>
            <w:tcW w:w="1219" w:type="dxa"/>
          </w:tcPr>
          <w:p w14:paraId="15B3ED7A">
            <w:pPr>
              <w:rPr>
                <w:color w:val="000000" w:themeColor="text1"/>
                <w:sz w:val="20"/>
                <w14:textFill>
                  <w14:solidFill>
                    <w14:schemeClr w14:val="tx1"/>
                  </w14:solidFill>
                </w14:textFill>
              </w:rPr>
            </w:pPr>
          </w:p>
        </w:tc>
        <w:tc>
          <w:tcPr>
            <w:tcW w:w="1219" w:type="dxa"/>
          </w:tcPr>
          <w:p w14:paraId="32AA280E">
            <w:pPr>
              <w:rPr>
                <w:color w:val="000000" w:themeColor="text1"/>
                <w:sz w:val="20"/>
                <w14:textFill>
                  <w14:solidFill>
                    <w14:schemeClr w14:val="tx1"/>
                  </w14:solidFill>
                </w14:textFill>
              </w:rPr>
            </w:pPr>
          </w:p>
        </w:tc>
        <w:tc>
          <w:tcPr>
            <w:tcW w:w="1219" w:type="dxa"/>
          </w:tcPr>
          <w:p w14:paraId="44CF668B">
            <w:pPr>
              <w:rPr>
                <w:color w:val="000000" w:themeColor="text1"/>
                <w:sz w:val="20"/>
                <w14:textFill>
                  <w14:solidFill>
                    <w14:schemeClr w14:val="tx1"/>
                  </w14:solidFill>
                </w14:textFill>
              </w:rPr>
            </w:pPr>
          </w:p>
        </w:tc>
        <w:tc>
          <w:tcPr>
            <w:tcW w:w="1219" w:type="dxa"/>
          </w:tcPr>
          <w:p w14:paraId="639DCAF2">
            <w:pPr>
              <w:rPr>
                <w:color w:val="000000" w:themeColor="text1"/>
                <w:sz w:val="20"/>
                <w14:textFill>
                  <w14:solidFill>
                    <w14:schemeClr w14:val="tx1"/>
                  </w14:solidFill>
                </w14:textFill>
              </w:rPr>
            </w:pPr>
          </w:p>
        </w:tc>
        <w:tc>
          <w:tcPr>
            <w:tcW w:w="1219" w:type="dxa"/>
          </w:tcPr>
          <w:p w14:paraId="377F87B2">
            <w:pPr>
              <w:rPr>
                <w:color w:val="000000" w:themeColor="text1"/>
                <w:sz w:val="20"/>
                <w14:textFill>
                  <w14:solidFill>
                    <w14:schemeClr w14:val="tx1"/>
                  </w14:solidFill>
                </w14:textFill>
              </w:rPr>
            </w:pPr>
          </w:p>
        </w:tc>
        <w:tc>
          <w:tcPr>
            <w:tcW w:w="1219" w:type="dxa"/>
          </w:tcPr>
          <w:p w14:paraId="32859314">
            <w:pPr>
              <w:rPr>
                <w:color w:val="000000" w:themeColor="text1"/>
                <w:sz w:val="20"/>
                <w14:textFill>
                  <w14:solidFill>
                    <w14:schemeClr w14:val="tx1"/>
                  </w14:solidFill>
                </w14:textFill>
              </w:rPr>
            </w:pPr>
          </w:p>
        </w:tc>
      </w:tr>
      <w:tr w14:paraId="3157B8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3D25B7DD">
            <w:pPr>
              <w:rPr>
                <w:color w:val="000000" w:themeColor="text1"/>
                <w:sz w:val="20"/>
                <w14:textFill>
                  <w14:solidFill>
                    <w14:schemeClr w14:val="tx1"/>
                  </w14:solidFill>
                </w14:textFill>
              </w:rPr>
            </w:pPr>
          </w:p>
        </w:tc>
        <w:tc>
          <w:tcPr>
            <w:tcW w:w="1625" w:type="dxa"/>
          </w:tcPr>
          <w:p w14:paraId="6B0B6F60">
            <w:pPr>
              <w:rPr>
                <w:color w:val="000000" w:themeColor="text1"/>
                <w:sz w:val="20"/>
                <w14:textFill>
                  <w14:solidFill>
                    <w14:schemeClr w14:val="tx1"/>
                  </w14:solidFill>
                </w14:textFill>
              </w:rPr>
            </w:pPr>
          </w:p>
        </w:tc>
        <w:tc>
          <w:tcPr>
            <w:tcW w:w="1219" w:type="dxa"/>
          </w:tcPr>
          <w:p w14:paraId="30BCAAC4">
            <w:pPr>
              <w:rPr>
                <w:color w:val="000000" w:themeColor="text1"/>
                <w:sz w:val="20"/>
                <w14:textFill>
                  <w14:solidFill>
                    <w14:schemeClr w14:val="tx1"/>
                  </w14:solidFill>
                </w14:textFill>
              </w:rPr>
            </w:pPr>
          </w:p>
        </w:tc>
        <w:tc>
          <w:tcPr>
            <w:tcW w:w="1219" w:type="dxa"/>
          </w:tcPr>
          <w:p w14:paraId="50EFE277">
            <w:pPr>
              <w:rPr>
                <w:color w:val="000000" w:themeColor="text1"/>
                <w:sz w:val="20"/>
                <w14:textFill>
                  <w14:solidFill>
                    <w14:schemeClr w14:val="tx1"/>
                  </w14:solidFill>
                </w14:textFill>
              </w:rPr>
            </w:pPr>
          </w:p>
        </w:tc>
        <w:tc>
          <w:tcPr>
            <w:tcW w:w="1219" w:type="dxa"/>
          </w:tcPr>
          <w:p w14:paraId="1DCFD117">
            <w:pPr>
              <w:rPr>
                <w:color w:val="000000" w:themeColor="text1"/>
                <w:sz w:val="20"/>
                <w14:textFill>
                  <w14:solidFill>
                    <w14:schemeClr w14:val="tx1"/>
                  </w14:solidFill>
                </w14:textFill>
              </w:rPr>
            </w:pPr>
          </w:p>
        </w:tc>
        <w:tc>
          <w:tcPr>
            <w:tcW w:w="1219" w:type="dxa"/>
          </w:tcPr>
          <w:p w14:paraId="48951B5F">
            <w:pPr>
              <w:rPr>
                <w:color w:val="000000" w:themeColor="text1"/>
                <w:sz w:val="20"/>
                <w14:textFill>
                  <w14:solidFill>
                    <w14:schemeClr w14:val="tx1"/>
                  </w14:solidFill>
                </w14:textFill>
              </w:rPr>
            </w:pPr>
          </w:p>
        </w:tc>
        <w:tc>
          <w:tcPr>
            <w:tcW w:w="1219" w:type="dxa"/>
          </w:tcPr>
          <w:p w14:paraId="1B47F84F">
            <w:pPr>
              <w:rPr>
                <w:color w:val="000000" w:themeColor="text1"/>
                <w:sz w:val="20"/>
                <w14:textFill>
                  <w14:solidFill>
                    <w14:schemeClr w14:val="tx1"/>
                  </w14:solidFill>
                </w14:textFill>
              </w:rPr>
            </w:pPr>
          </w:p>
        </w:tc>
        <w:tc>
          <w:tcPr>
            <w:tcW w:w="1219" w:type="dxa"/>
          </w:tcPr>
          <w:p w14:paraId="330DBEA6">
            <w:pPr>
              <w:rPr>
                <w:color w:val="000000" w:themeColor="text1"/>
                <w:sz w:val="20"/>
                <w14:textFill>
                  <w14:solidFill>
                    <w14:schemeClr w14:val="tx1"/>
                  </w14:solidFill>
                </w14:textFill>
              </w:rPr>
            </w:pPr>
          </w:p>
        </w:tc>
      </w:tr>
      <w:tr w14:paraId="641E84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D5C49A9">
            <w:pPr>
              <w:rPr>
                <w:color w:val="000000" w:themeColor="text1"/>
                <w:sz w:val="20"/>
                <w14:textFill>
                  <w14:solidFill>
                    <w14:schemeClr w14:val="tx1"/>
                  </w14:solidFill>
                </w14:textFill>
              </w:rPr>
            </w:pPr>
          </w:p>
        </w:tc>
        <w:tc>
          <w:tcPr>
            <w:tcW w:w="1625" w:type="dxa"/>
          </w:tcPr>
          <w:p w14:paraId="28829B88">
            <w:pPr>
              <w:rPr>
                <w:color w:val="000000" w:themeColor="text1"/>
                <w:sz w:val="20"/>
                <w14:textFill>
                  <w14:solidFill>
                    <w14:schemeClr w14:val="tx1"/>
                  </w14:solidFill>
                </w14:textFill>
              </w:rPr>
            </w:pPr>
          </w:p>
        </w:tc>
        <w:tc>
          <w:tcPr>
            <w:tcW w:w="1219" w:type="dxa"/>
          </w:tcPr>
          <w:p w14:paraId="359580A8">
            <w:pPr>
              <w:rPr>
                <w:color w:val="000000" w:themeColor="text1"/>
                <w:sz w:val="20"/>
                <w14:textFill>
                  <w14:solidFill>
                    <w14:schemeClr w14:val="tx1"/>
                  </w14:solidFill>
                </w14:textFill>
              </w:rPr>
            </w:pPr>
          </w:p>
        </w:tc>
        <w:tc>
          <w:tcPr>
            <w:tcW w:w="1219" w:type="dxa"/>
          </w:tcPr>
          <w:p w14:paraId="4375751D">
            <w:pPr>
              <w:rPr>
                <w:color w:val="000000" w:themeColor="text1"/>
                <w:sz w:val="20"/>
                <w14:textFill>
                  <w14:solidFill>
                    <w14:schemeClr w14:val="tx1"/>
                  </w14:solidFill>
                </w14:textFill>
              </w:rPr>
            </w:pPr>
          </w:p>
        </w:tc>
        <w:tc>
          <w:tcPr>
            <w:tcW w:w="1219" w:type="dxa"/>
          </w:tcPr>
          <w:p w14:paraId="0C1AA956">
            <w:pPr>
              <w:rPr>
                <w:color w:val="000000" w:themeColor="text1"/>
                <w:sz w:val="20"/>
                <w14:textFill>
                  <w14:solidFill>
                    <w14:schemeClr w14:val="tx1"/>
                  </w14:solidFill>
                </w14:textFill>
              </w:rPr>
            </w:pPr>
          </w:p>
        </w:tc>
        <w:tc>
          <w:tcPr>
            <w:tcW w:w="1219" w:type="dxa"/>
          </w:tcPr>
          <w:p w14:paraId="75DF0CE0">
            <w:pPr>
              <w:rPr>
                <w:color w:val="000000" w:themeColor="text1"/>
                <w:sz w:val="20"/>
                <w14:textFill>
                  <w14:solidFill>
                    <w14:schemeClr w14:val="tx1"/>
                  </w14:solidFill>
                </w14:textFill>
              </w:rPr>
            </w:pPr>
          </w:p>
        </w:tc>
        <w:tc>
          <w:tcPr>
            <w:tcW w:w="1219" w:type="dxa"/>
          </w:tcPr>
          <w:p w14:paraId="08FDD5E7">
            <w:pPr>
              <w:rPr>
                <w:color w:val="000000" w:themeColor="text1"/>
                <w:sz w:val="20"/>
                <w14:textFill>
                  <w14:solidFill>
                    <w14:schemeClr w14:val="tx1"/>
                  </w14:solidFill>
                </w14:textFill>
              </w:rPr>
            </w:pPr>
          </w:p>
        </w:tc>
        <w:tc>
          <w:tcPr>
            <w:tcW w:w="1219" w:type="dxa"/>
          </w:tcPr>
          <w:p w14:paraId="0D03C162">
            <w:pPr>
              <w:rPr>
                <w:color w:val="000000" w:themeColor="text1"/>
                <w:sz w:val="20"/>
                <w14:textFill>
                  <w14:solidFill>
                    <w14:schemeClr w14:val="tx1"/>
                  </w14:solidFill>
                </w14:textFill>
              </w:rPr>
            </w:pPr>
          </w:p>
        </w:tc>
      </w:tr>
      <w:tr w14:paraId="47351A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01CDE950">
            <w:pPr>
              <w:rPr>
                <w:color w:val="000000" w:themeColor="text1"/>
                <w:sz w:val="20"/>
                <w14:textFill>
                  <w14:solidFill>
                    <w14:schemeClr w14:val="tx1"/>
                  </w14:solidFill>
                </w14:textFill>
              </w:rPr>
            </w:pPr>
          </w:p>
        </w:tc>
        <w:tc>
          <w:tcPr>
            <w:tcW w:w="1625" w:type="dxa"/>
          </w:tcPr>
          <w:p w14:paraId="537C4820">
            <w:pPr>
              <w:rPr>
                <w:color w:val="000000" w:themeColor="text1"/>
                <w:sz w:val="20"/>
                <w14:textFill>
                  <w14:solidFill>
                    <w14:schemeClr w14:val="tx1"/>
                  </w14:solidFill>
                </w14:textFill>
              </w:rPr>
            </w:pPr>
          </w:p>
        </w:tc>
        <w:tc>
          <w:tcPr>
            <w:tcW w:w="1219" w:type="dxa"/>
          </w:tcPr>
          <w:p w14:paraId="61E7D7F4">
            <w:pPr>
              <w:rPr>
                <w:color w:val="000000" w:themeColor="text1"/>
                <w:sz w:val="20"/>
                <w14:textFill>
                  <w14:solidFill>
                    <w14:schemeClr w14:val="tx1"/>
                  </w14:solidFill>
                </w14:textFill>
              </w:rPr>
            </w:pPr>
          </w:p>
        </w:tc>
        <w:tc>
          <w:tcPr>
            <w:tcW w:w="1219" w:type="dxa"/>
          </w:tcPr>
          <w:p w14:paraId="1654A4CD">
            <w:pPr>
              <w:rPr>
                <w:color w:val="000000" w:themeColor="text1"/>
                <w:sz w:val="20"/>
                <w14:textFill>
                  <w14:solidFill>
                    <w14:schemeClr w14:val="tx1"/>
                  </w14:solidFill>
                </w14:textFill>
              </w:rPr>
            </w:pPr>
          </w:p>
        </w:tc>
        <w:tc>
          <w:tcPr>
            <w:tcW w:w="1219" w:type="dxa"/>
          </w:tcPr>
          <w:p w14:paraId="48431B4C">
            <w:pPr>
              <w:rPr>
                <w:color w:val="000000" w:themeColor="text1"/>
                <w:sz w:val="20"/>
                <w14:textFill>
                  <w14:solidFill>
                    <w14:schemeClr w14:val="tx1"/>
                  </w14:solidFill>
                </w14:textFill>
              </w:rPr>
            </w:pPr>
          </w:p>
        </w:tc>
        <w:tc>
          <w:tcPr>
            <w:tcW w:w="1219" w:type="dxa"/>
          </w:tcPr>
          <w:p w14:paraId="517B0FBF">
            <w:pPr>
              <w:rPr>
                <w:color w:val="000000" w:themeColor="text1"/>
                <w:sz w:val="20"/>
                <w14:textFill>
                  <w14:solidFill>
                    <w14:schemeClr w14:val="tx1"/>
                  </w14:solidFill>
                </w14:textFill>
              </w:rPr>
            </w:pPr>
          </w:p>
        </w:tc>
        <w:tc>
          <w:tcPr>
            <w:tcW w:w="1219" w:type="dxa"/>
          </w:tcPr>
          <w:p w14:paraId="7917E3C1">
            <w:pPr>
              <w:rPr>
                <w:color w:val="000000" w:themeColor="text1"/>
                <w:sz w:val="20"/>
                <w14:textFill>
                  <w14:solidFill>
                    <w14:schemeClr w14:val="tx1"/>
                  </w14:solidFill>
                </w14:textFill>
              </w:rPr>
            </w:pPr>
          </w:p>
        </w:tc>
        <w:tc>
          <w:tcPr>
            <w:tcW w:w="1219" w:type="dxa"/>
          </w:tcPr>
          <w:p w14:paraId="24896D5C">
            <w:pPr>
              <w:rPr>
                <w:color w:val="000000" w:themeColor="text1"/>
                <w:sz w:val="20"/>
                <w14:textFill>
                  <w14:solidFill>
                    <w14:schemeClr w14:val="tx1"/>
                  </w14:solidFill>
                </w14:textFill>
              </w:rPr>
            </w:pPr>
          </w:p>
        </w:tc>
      </w:tr>
      <w:tr w14:paraId="4A174D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5B53A1B1">
            <w:pPr>
              <w:rPr>
                <w:color w:val="000000" w:themeColor="text1"/>
                <w:sz w:val="20"/>
                <w14:textFill>
                  <w14:solidFill>
                    <w14:schemeClr w14:val="tx1"/>
                  </w14:solidFill>
                </w14:textFill>
              </w:rPr>
            </w:pPr>
          </w:p>
        </w:tc>
        <w:tc>
          <w:tcPr>
            <w:tcW w:w="1625" w:type="dxa"/>
          </w:tcPr>
          <w:p w14:paraId="326ED93F">
            <w:pPr>
              <w:rPr>
                <w:color w:val="000000" w:themeColor="text1"/>
                <w:sz w:val="20"/>
                <w14:textFill>
                  <w14:solidFill>
                    <w14:schemeClr w14:val="tx1"/>
                  </w14:solidFill>
                </w14:textFill>
              </w:rPr>
            </w:pPr>
          </w:p>
        </w:tc>
        <w:tc>
          <w:tcPr>
            <w:tcW w:w="1219" w:type="dxa"/>
          </w:tcPr>
          <w:p w14:paraId="61910679">
            <w:pPr>
              <w:rPr>
                <w:color w:val="000000" w:themeColor="text1"/>
                <w:sz w:val="20"/>
                <w14:textFill>
                  <w14:solidFill>
                    <w14:schemeClr w14:val="tx1"/>
                  </w14:solidFill>
                </w14:textFill>
              </w:rPr>
            </w:pPr>
          </w:p>
        </w:tc>
        <w:tc>
          <w:tcPr>
            <w:tcW w:w="1219" w:type="dxa"/>
          </w:tcPr>
          <w:p w14:paraId="13B23FD4">
            <w:pPr>
              <w:rPr>
                <w:color w:val="000000" w:themeColor="text1"/>
                <w:sz w:val="20"/>
                <w14:textFill>
                  <w14:solidFill>
                    <w14:schemeClr w14:val="tx1"/>
                  </w14:solidFill>
                </w14:textFill>
              </w:rPr>
            </w:pPr>
          </w:p>
        </w:tc>
        <w:tc>
          <w:tcPr>
            <w:tcW w:w="1219" w:type="dxa"/>
          </w:tcPr>
          <w:p w14:paraId="384762C3">
            <w:pPr>
              <w:rPr>
                <w:color w:val="000000" w:themeColor="text1"/>
                <w:sz w:val="20"/>
                <w14:textFill>
                  <w14:solidFill>
                    <w14:schemeClr w14:val="tx1"/>
                  </w14:solidFill>
                </w14:textFill>
              </w:rPr>
            </w:pPr>
          </w:p>
        </w:tc>
        <w:tc>
          <w:tcPr>
            <w:tcW w:w="1219" w:type="dxa"/>
          </w:tcPr>
          <w:p w14:paraId="25A495E7">
            <w:pPr>
              <w:rPr>
                <w:color w:val="000000" w:themeColor="text1"/>
                <w:sz w:val="20"/>
                <w14:textFill>
                  <w14:solidFill>
                    <w14:schemeClr w14:val="tx1"/>
                  </w14:solidFill>
                </w14:textFill>
              </w:rPr>
            </w:pPr>
          </w:p>
        </w:tc>
        <w:tc>
          <w:tcPr>
            <w:tcW w:w="1219" w:type="dxa"/>
          </w:tcPr>
          <w:p w14:paraId="36178833">
            <w:pPr>
              <w:rPr>
                <w:color w:val="000000" w:themeColor="text1"/>
                <w:sz w:val="20"/>
                <w14:textFill>
                  <w14:solidFill>
                    <w14:schemeClr w14:val="tx1"/>
                  </w14:solidFill>
                </w14:textFill>
              </w:rPr>
            </w:pPr>
          </w:p>
        </w:tc>
        <w:tc>
          <w:tcPr>
            <w:tcW w:w="1219" w:type="dxa"/>
          </w:tcPr>
          <w:p w14:paraId="3FD0D8BB">
            <w:pPr>
              <w:rPr>
                <w:color w:val="000000" w:themeColor="text1"/>
                <w:sz w:val="20"/>
                <w14:textFill>
                  <w14:solidFill>
                    <w14:schemeClr w14:val="tx1"/>
                  </w14:solidFill>
                </w14:textFill>
              </w:rPr>
            </w:pPr>
          </w:p>
        </w:tc>
      </w:tr>
      <w:tr w14:paraId="65781A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Pr>
          <w:p w14:paraId="7AFF8A93">
            <w:pPr>
              <w:rPr>
                <w:color w:val="000000" w:themeColor="text1"/>
                <w:sz w:val="20"/>
                <w14:textFill>
                  <w14:solidFill>
                    <w14:schemeClr w14:val="tx1"/>
                  </w14:solidFill>
                </w14:textFill>
              </w:rPr>
            </w:pPr>
          </w:p>
        </w:tc>
        <w:tc>
          <w:tcPr>
            <w:tcW w:w="1625" w:type="dxa"/>
          </w:tcPr>
          <w:p w14:paraId="38742689">
            <w:pPr>
              <w:rPr>
                <w:color w:val="000000" w:themeColor="text1"/>
                <w:sz w:val="20"/>
                <w14:textFill>
                  <w14:solidFill>
                    <w14:schemeClr w14:val="tx1"/>
                  </w14:solidFill>
                </w14:textFill>
              </w:rPr>
            </w:pPr>
          </w:p>
        </w:tc>
        <w:tc>
          <w:tcPr>
            <w:tcW w:w="1219" w:type="dxa"/>
          </w:tcPr>
          <w:p w14:paraId="5AF7166E">
            <w:pPr>
              <w:rPr>
                <w:color w:val="000000" w:themeColor="text1"/>
                <w:sz w:val="20"/>
                <w14:textFill>
                  <w14:solidFill>
                    <w14:schemeClr w14:val="tx1"/>
                  </w14:solidFill>
                </w14:textFill>
              </w:rPr>
            </w:pPr>
          </w:p>
        </w:tc>
        <w:tc>
          <w:tcPr>
            <w:tcW w:w="1219" w:type="dxa"/>
          </w:tcPr>
          <w:p w14:paraId="542470CC">
            <w:pPr>
              <w:rPr>
                <w:color w:val="000000" w:themeColor="text1"/>
                <w:sz w:val="20"/>
                <w14:textFill>
                  <w14:solidFill>
                    <w14:schemeClr w14:val="tx1"/>
                  </w14:solidFill>
                </w14:textFill>
              </w:rPr>
            </w:pPr>
          </w:p>
        </w:tc>
        <w:tc>
          <w:tcPr>
            <w:tcW w:w="1219" w:type="dxa"/>
          </w:tcPr>
          <w:p w14:paraId="15081F19">
            <w:pPr>
              <w:rPr>
                <w:color w:val="000000" w:themeColor="text1"/>
                <w:sz w:val="20"/>
                <w14:textFill>
                  <w14:solidFill>
                    <w14:schemeClr w14:val="tx1"/>
                  </w14:solidFill>
                </w14:textFill>
              </w:rPr>
            </w:pPr>
          </w:p>
        </w:tc>
        <w:tc>
          <w:tcPr>
            <w:tcW w:w="1219" w:type="dxa"/>
          </w:tcPr>
          <w:p w14:paraId="739DC584">
            <w:pPr>
              <w:rPr>
                <w:color w:val="000000" w:themeColor="text1"/>
                <w:sz w:val="20"/>
                <w14:textFill>
                  <w14:solidFill>
                    <w14:schemeClr w14:val="tx1"/>
                  </w14:solidFill>
                </w14:textFill>
              </w:rPr>
            </w:pPr>
          </w:p>
        </w:tc>
        <w:tc>
          <w:tcPr>
            <w:tcW w:w="1219" w:type="dxa"/>
          </w:tcPr>
          <w:p w14:paraId="06AF4514">
            <w:pPr>
              <w:rPr>
                <w:color w:val="000000" w:themeColor="text1"/>
                <w:sz w:val="20"/>
                <w14:textFill>
                  <w14:solidFill>
                    <w14:schemeClr w14:val="tx1"/>
                  </w14:solidFill>
                </w14:textFill>
              </w:rPr>
            </w:pPr>
          </w:p>
        </w:tc>
        <w:tc>
          <w:tcPr>
            <w:tcW w:w="1219" w:type="dxa"/>
          </w:tcPr>
          <w:p w14:paraId="0CF9C7F1">
            <w:pPr>
              <w:rPr>
                <w:color w:val="000000" w:themeColor="text1"/>
                <w:sz w:val="20"/>
                <w14:textFill>
                  <w14:solidFill>
                    <w14:schemeClr w14:val="tx1"/>
                  </w14:solidFill>
                </w14:textFill>
              </w:rPr>
            </w:pPr>
          </w:p>
        </w:tc>
      </w:tr>
    </w:tbl>
    <w:p w14:paraId="4B9BACEE">
      <w:pPr>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报价供应商(盖章):</w:t>
      </w:r>
    </w:p>
    <w:p w14:paraId="2E4609AB">
      <w:pPr>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法定代表人（依法登记的负责人）或授权代表（签字或签章）：</w:t>
      </w:r>
    </w:p>
    <w:p w14:paraId="4FEDAB7A">
      <w:pPr>
        <w:jc w:val="center"/>
        <w:rPr>
          <w:rFonts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ascii="黑体" w:hAnsi="黑体" w:eastAsia="黑体"/>
          <w:color w:val="000000" w:themeColor="text1"/>
          <w:sz w:val="32"/>
          <w:szCs w:val="32"/>
          <w14:textFill>
            <w14:solidFill>
              <w14:schemeClr w14:val="tx1"/>
            </w14:solidFill>
          </w14:textFill>
        </w:rPr>
        <w:t>供应商认为说明的其他内容</w:t>
      </w:r>
    </w:p>
    <w:p w14:paraId="6BD856A9">
      <w:pPr>
        <w:jc w:val="right"/>
        <w:rPr>
          <w:rFonts w:ascii="仿宋_GB2312" w:hAnsi="宋体" w:eastAsia="仿宋_GB2312"/>
          <w:b/>
          <w:bCs/>
          <w:color w:val="000000" w:themeColor="text1"/>
          <w:sz w:val="30"/>
          <w:szCs w:val="30"/>
          <w14:textFill>
            <w14:solidFill>
              <w14:schemeClr w14:val="tx1"/>
            </w14:solidFill>
          </w14:textFill>
        </w:rPr>
      </w:pPr>
      <w:r>
        <w:rPr>
          <w:color w:val="000000" w:themeColor="text1"/>
          <w:sz w:val="32"/>
          <w:szCs w:val="32"/>
          <w14:textFill>
            <w14:solidFill>
              <w14:schemeClr w14:val="tx1"/>
            </w14:solidFill>
          </w14:textFill>
        </w:rPr>
        <w:br w:type="page"/>
      </w:r>
    </w:p>
    <w:p w14:paraId="65818E73">
      <w:pPr>
        <w:jc w:val="center"/>
        <w:rPr>
          <w:rFonts w:ascii="黑体" w:hAnsi="黑体" w:eastAsia="黑体"/>
          <w:color w:val="000000" w:themeColor="text1"/>
          <w:sz w:val="32"/>
          <w:szCs w:val="32"/>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供应商基本情况表</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7213F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642B1C3">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单位名称</w:t>
            </w:r>
          </w:p>
        </w:tc>
        <w:tc>
          <w:tcPr>
            <w:tcW w:w="2889" w:type="dxa"/>
            <w:gridSpan w:val="4"/>
            <w:vAlign w:val="center"/>
          </w:tcPr>
          <w:p w14:paraId="37AA5377">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c>
          <w:tcPr>
            <w:tcW w:w="2106" w:type="dxa"/>
            <w:gridSpan w:val="3"/>
            <w:vAlign w:val="center"/>
          </w:tcPr>
          <w:p w14:paraId="1C50DCF7">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地址</w:t>
            </w:r>
          </w:p>
        </w:tc>
        <w:tc>
          <w:tcPr>
            <w:tcW w:w="2049" w:type="dxa"/>
            <w:vAlign w:val="center"/>
          </w:tcPr>
          <w:p w14:paraId="6539B650">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06B5E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3424C9C">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办公电话/传真</w:t>
            </w:r>
          </w:p>
        </w:tc>
        <w:tc>
          <w:tcPr>
            <w:tcW w:w="2889" w:type="dxa"/>
            <w:gridSpan w:val="4"/>
            <w:vAlign w:val="center"/>
          </w:tcPr>
          <w:p w14:paraId="2181B758">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c>
          <w:tcPr>
            <w:tcW w:w="2106" w:type="dxa"/>
            <w:gridSpan w:val="3"/>
            <w:vAlign w:val="center"/>
          </w:tcPr>
          <w:p w14:paraId="08636711">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联系人</w:t>
            </w:r>
          </w:p>
        </w:tc>
        <w:tc>
          <w:tcPr>
            <w:tcW w:w="2049" w:type="dxa"/>
            <w:vAlign w:val="center"/>
          </w:tcPr>
          <w:p w14:paraId="6875B537">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37047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B962795">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所属/主管部门</w:t>
            </w:r>
          </w:p>
        </w:tc>
        <w:tc>
          <w:tcPr>
            <w:tcW w:w="7044" w:type="dxa"/>
            <w:gridSpan w:val="8"/>
            <w:vAlign w:val="center"/>
          </w:tcPr>
          <w:p w14:paraId="1A793574">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4E627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0726F6B">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总经理</w:t>
            </w:r>
          </w:p>
        </w:tc>
        <w:tc>
          <w:tcPr>
            <w:tcW w:w="1665" w:type="dxa"/>
            <w:gridSpan w:val="2"/>
            <w:vAlign w:val="center"/>
          </w:tcPr>
          <w:p w14:paraId="01293856">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c>
          <w:tcPr>
            <w:tcW w:w="2827" w:type="dxa"/>
            <w:gridSpan w:val="4"/>
            <w:vAlign w:val="center"/>
          </w:tcPr>
          <w:p w14:paraId="2562F444">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固定办公面积（平米）</w:t>
            </w:r>
          </w:p>
        </w:tc>
        <w:tc>
          <w:tcPr>
            <w:tcW w:w="2552" w:type="dxa"/>
            <w:gridSpan w:val="2"/>
            <w:vAlign w:val="center"/>
          </w:tcPr>
          <w:p w14:paraId="604190F2">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2920A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330C1063">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注册情况</w:t>
            </w:r>
          </w:p>
        </w:tc>
        <w:tc>
          <w:tcPr>
            <w:tcW w:w="2214" w:type="dxa"/>
            <w:gridSpan w:val="2"/>
            <w:vAlign w:val="center"/>
          </w:tcPr>
          <w:p w14:paraId="70DD6A5F">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工商注册号</w:t>
            </w:r>
          </w:p>
        </w:tc>
        <w:tc>
          <w:tcPr>
            <w:tcW w:w="6477" w:type="dxa"/>
            <w:gridSpan w:val="7"/>
            <w:vAlign w:val="center"/>
          </w:tcPr>
          <w:p w14:paraId="7946B87E">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396F8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5E210B5">
            <w:pP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2CA7CC38">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注册资本（万元）</w:t>
            </w:r>
          </w:p>
        </w:tc>
        <w:tc>
          <w:tcPr>
            <w:tcW w:w="6477" w:type="dxa"/>
            <w:gridSpan w:val="7"/>
            <w:vAlign w:val="center"/>
          </w:tcPr>
          <w:p w14:paraId="3C52395D">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68343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06A9E2AB">
            <w:pP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3E697DB5">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法定代表人</w:t>
            </w:r>
          </w:p>
        </w:tc>
        <w:tc>
          <w:tcPr>
            <w:tcW w:w="1665" w:type="dxa"/>
            <w:gridSpan w:val="2"/>
            <w:vAlign w:val="center"/>
          </w:tcPr>
          <w:p w14:paraId="70085C72">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c>
          <w:tcPr>
            <w:tcW w:w="2214" w:type="dxa"/>
            <w:gridSpan w:val="2"/>
            <w:vAlign w:val="center"/>
          </w:tcPr>
          <w:p w14:paraId="0BCF7D80">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单位类型</w:t>
            </w:r>
          </w:p>
        </w:tc>
        <w:tc>
          <w:tcPr>
            <w:tcW w:w="2598" w:type="dxa"/>
            <w:gridSpan w:val="3"/>
            <w:vAlign w:val="center"/>
          </w:tcPr>
          <w:p w14:paraId="320E432F">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66E13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652F889">
            <w:pP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28156D66">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成立时间</w:t>
            </w:r>
          </w:p>
        </w:tc>
        <w:tc>
          <w:tcPr>
            <w:tcW w:w="1665" w:type="dxa"/>
            <w:gridSpan w:val="2"/>
            <w:vAlign w:val="center"/>
          </w:tcPr>
          <w:p w14:paraId="59129C6C">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c>
          <w:tcPr>
            <w:tcW w:w="2214" w:type="dxa"/>
            <w:gridSpan w:val="2"/>
            <w:vAlign w:val="center"/>
          </w:tcPr>
          <w:p w14:paraId="3A07C82E">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营业期限</w:t>
            </w:r>
          </w:p>
        </w:tc>
        <w:tc>
          <w:tcPr>
            <w:tcW w:w="2598" w:type="dxa"/>
            <w:gridSpan w:val="3"/>
            <w:vAlign w:val="center"/>
          </w:tcPr>
          <w:p w14:paraId="57976A98">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6A3D8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97780AD">
            <w:pP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28904F4E">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经营范围</w:t>
            </w:r>
          </w:p>
        </w:tc>
        <w:tc>
          <w:tcPr>
            <w:tcW w:w="6477" w:type="dxa"/>
            <w:gridSpan w:val="7"/>
            <w:vAlign w:val="center"/>
          </w:tcPr>
          <w:p w14:paraId="433F30BD">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72CF9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5690245B">
            <w:pP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报价供应商情况简介</w:t>
            </w:r>
          </w:p>
        </w:tc>
      </w:tr>
      <w:tr w14:paraId="1F1B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2066B42F">
            <w:pP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bl>
    <w:p w14:paraId="73A3D7DE">
      <w:pPr>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报价供应商（盖章）：</w:t>
      </w:r>
    </w:p>
    <w:p w14:paraId="6F9D5DC0">
      <w:pPr>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法定代表人（依法登记的负责人）或授权代表（签字或签章）：</w:t>
      </w:r>
    </w:p>
    <w:p w14:paraId="03228391">
      <w:pPr>
        <w:jc w:val="right"/>
        <w:rPr>
          <w:rFonts w:ascii="仿宋_GB2312" w:hAnsi="仿宋" w:eastAsia="仿宋_GB2312"/>
          <w:color w:val="000000" w:themeColor="text1"/>
          <w14:textFill>
            <w14:solidFill>
              <w14:schemeClr w14:val="tx1"/>
            </w14:solidFill>
          </w14:textFill>
        </w:rPr>
      </w:pPr>
      <w:r>
        <w:rPr>
          <w:rFonts w:ascii="仿宋_GB2312" w:hAnsi="仿宋" w:eastAsia="仿宋_GB2312"/>
          <w:color w:val="000000" w:themeColor="text1"/>
          <w14:textFill>
            <w14:solidFill>
              <w14:schemeClr w14:val="tx1"/>
            </w14:solidFill>
          </w14:textFill>
        </w:rPr>
        <w:br w:type="page"/>
      </w:r>
    </w:p>
    <w:p w14:paraId="5E1E0C0B">
      <w:pPr>
        <w:jc w:val="center"/>
        <w:rPr>
          <w:b/>
          <w:color w:val="000000" w:themeColor="text1"/>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要求采购人提供的配合</w:t>
      </w:r>
    </w:p>
    <w:p w14:paraId="41C0EEF2">
      <w:pPr>
        <w:jc w:val="center"/>
        <w:rPr>
          <w:b/>
          <w:color w:val="000000" w:themeColor="text1"/>
          <w14:textFill>
            <w14:solidFill>
              <w14:schemeClr w14:val="tx1"/>
            </w14:solidFill>
          </w14:textFill>
        </w:rPr>
      </w:pPr>
      <w:r>
        <w:rPr>
          <w:color w:val="000000" w:themeColor="text1"/>
          <w14:textFill>
            <w14:solidFill>
              <w14:schemeClr w14:val="tx1"/>
            </w14:solidFill>
          </w14:textFill>
        </w:rPr>
        <w:br w:type="page"/>
      </w:r>
      <w:r>
        <w:rPr>
          <w:rFonts w:hint="eastAsia" w:ascii="黑体" w:hAnsi="黑体" w:eastAsia="黑体"/>
          <w:color w:val="000000" w:themeColor="text1"/>
          <w:sz w:val="32"/>
          <w:szCs w:val="32"/>
          <w14:textFill>
            <w14:solidFill>
              <w14:schemeClr w14:val="tx1"/>
            </w14:solidFill>
          </w14:textFill>
        </w:rPr>
        <w:t>供应商认为需要提供的其他资料（如有）</w:t>
      </w:r>
    </w:p>
    <w:p w14:paraId="219B8871">
      <w:pPr>
        <w:rPr>
          <w:color w:val="000000" w:themeColor="text1"/>
          <w14:textFill>
            <w14:solidFill>
              <w14:schemeClr w14:val="tx1"/>
            </w14:solidFill>
          </w14:textFill>
        </w:rPr>
        <w:sectPr>
          <w:headerReference r:id="rId21" w:type="first"/>
          <w:headerReference r:id="rId19" w:type="default"/>
          <w:footerReference r:id="rId22" w:type="default"/>
          <w:headerReference r:id="rId20" w:type="even"/>
          <w:pgSz w:w="11906" w:h="16838"/>
          <w:pgMar w:top="1440" w:right="1080" w:bottom="1440" w:left="1080" w:header="851" w:footer="992" w:gutter="0"/>
          <w:cols w:space="720" w:num="1"/>
          <w:docGrid w:type="lines" w:linePitch="312" w:charSpace="0"/>
        </w:sectPr>
      </w:pPr>
    </w:p>
    <w:p w14:paraId="66CE1850">
      <w:pPr>
        <w:pStyle w:val="26"/>
        <w:spacing w:before="100" w:beforeAutospacing="1" w:after="100" w:afterAutospacing="1" w:line="415" w:lineRule="auto"/>
        <w:ind w:left="1440"/>
        <w:jc w:val="both"/>
        <w:rPr>
          <w:rFonts w:ascii="楷体_GB2312" w:hAnsi="宋体" w:eastAsia="楷体_GB2312" w:cs="宋体"/>
          <w:color w:val="000000" w:themeColor="text1"/>
          <w:sz w:val="44"/>
          <w:szCs w:val="44"/>
          <w14:textFill>
            <w14:solidFill>
              <w14:schemeClr w14:val="tx1"/>
            </w14:solidFill>
          </w14:textFill>
        </w:rPr>
      </w:pPr>
      <w:r>
        <w:rPr>
          <w:rFonts w:hint="eastAsia" w:ascii="宋体" w:hAnsi="宋体" w:cs="宋体"/>
          <w:color w:val="000000" w:themeColor="text1"/>
          <w:sz w:val="44"/>
          <w:szCs w:val="44"/>
          <w14:textFill>
            <w14:solidFill>
              <w14:schemeClr w14:val="tx1"/>
            </w14:solidFill>
          </w14:textFill>
        </w:rPr>
        <w:t xml:space="preserve">第六章 </w:t>
      </w:r>
      <w:r>
        <w:rPr>
          <w:rFonts w:hint="eastAsia" w:ascii="楷体_GB2312" w:hAnsi="宋体" w:eastAsia="楷体_GB2312" w:cs="宋体"/>
          <w:color w:val="000000" w:themeColor="text1"/>
          <w:sz w:val="44"/>
          <w:szCs w:val="44"/>
          <w14:textFill>
            <w14:solidFill>
              <w14:schemeClr w14:val="tx1"/>
            </w14:solidFill>
          </w14:textFill>
        </w:rPr>
        <w:t>采购合同（范本）</w:t>
      </w:r>
    </w:p>
    <w:p w14:paraId="0B8796EC">
      <w:pPr>
        <w:rPr>
          <w:color w:val="000000" w:themeColor="text1"/>
          <w14:textFill>
            <w14:solidFill>
              <w14:schemeClr w14:val="tx1"/>
            </w14:solidFill>
          </w14:textFill>
        </w:rPr>
      </w:pPr>
    </w:p>
    <w:p w14:paraId="6BB597C0">
      <w:pPr>
        <w:rPr>
          <w:color w:val="000000" w:themeColor="text1"/>
          <w14:textFill>
            <w14:solidFill>
              <w14:schemeClr w14:val="tx1"/>
            </w14:solidFill>
          </w14:textFill>
        </w:r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308B8D8C">
      <w:pPr>
        <w:pStyle w:val="17"/>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000000" w:themeColor="text1"/>
          <w:sz w:val="30"/>
          <w:szCs w:val="30"/>
          <w:lang w:eastAsia="zh-CN"/>
          <w14:textFill>
            <w14:solidFill>
              <w14:schemeClr w14:val="tx1"/>
            </w14:solidFill>
          </w14:textFill>
        </w:rPr>
      </w:pPr>
      <w:r>
        <w:rPr>
          <w:rFonts w:hint="eastAsia" w:ascii="仿宋_GB2312" w:hAnsi="宋体" w:eastAsia="仿宋_GB2312" w:cs="宋体"/>
          <w:b/>
          <w:bCs/>
          <w:color w:val="000000" w:themeColor="text1"/>
          <w:sz w:val="30"/>
          <w:szCs w:val="30"/>
          <w:shd w:val="solid" w:color="EEECE1" w:fill="FFFFFF"/>
          <w14:textFill>
            <w14:solidFill>
              <w14:schemeClr w14:val="tx1"/>
            </w14:solidFill>
          </w14:textFill>
        </w:rPr>
        <w:t>合同编号：</w:t>
      </w:r>
      <w:r>
        <w:rPr>
          <w:rFonts w:hint="eastAsia" w:ascii="仿宋_GB2312" w:hAnsi="宋体" w:eastAsia="仿宋_GB2312" w:cs="宋体"/>
          <w:b/>
          <w:bCs/>
          <w:color w:val="000000" w:themeColor="text1"/>
          <w:sz w:val="30"/>
          <w:szCs w:val="30"/>
          <w:shd w:val="solid" w:color="EEECE1" w:fill="FFFFFF"/>
          <w:lang w:eastAsia="zh-CN"/>
          <w14:textFill>
            <w14:solidFill>
              <w14:schemeClr w14:val="tx1"/>
            </w14:solidFill>
          </w14:textFill>
        </w:rPr>
        <w:t>WHJX-ZB-2026-039</w:t>
      </w:r>
    </w:p>
    <w:p w14:paraId="74C203CE">
      <w:pPr>
        <w:pStyle w:val="27"/>
        <w:rPr>
          <w:rFonts w:ascii="仿宋_GB2312" w:eastAsia="仿宋_GB2312"/>
          <w:color w:val="000000" w:themeColor="text1"/>
          <w14:textFill>
            <w14:solidFill>
              <w14:schemeClr w14:val="tx1"/>
            </w14:solidFill>
          </w14:textFill>
        </w:rPr>
      </w:pPr>
    </w:p>
    <w:p w14:paraId="5218EEC5">
      <w:pPr>
        <w:pStyle w:val="27"/>
        <w:rPr>
          <w:rFonts w:hint="eastAsia" w:ascii="仿宋_GB2312" w:eastAsia="仿宋_GB2312"/>
          <w:color w:val="000000" w:themeColor="text1"/>
          <w14:textFill>
            <w14:solidFill>
              <w14:schemeClr w14:val="tx1"/>
            </w14:solidFill>
          </w14:textFill>
        </w:rPr>
      </w:pPr>
    </w:p>
    <w:p w14:paraId="218CDC00">
      <w:pPr>
        <w:pStyle w:val="27"/>
        <w:ind w:left="0" w:leftChars="0"/>
        <w:rPr>
          <w:rFonts w:hint="eastAsia" w:ascii="仿宋_GB2312" w:eastAsia="仿宋_GB2312"/>
          <w:color w:val="000000" w:themeColor="text1"/>
          <w14:textFill>
            <w14:solidFill>
              <w14:schemeClr w14:val="tx1"/>
            </w14:solidFill>
          </w14:textFill>
        </w:rPr>
      </w:pPr>
    </w:p>
    <w:p w14:paraId="33E0BD13">
      <w:pPr>
        <w:jc w:val="center"/>
        <w:rPr>
          <w:rFonts w:hint="eastAsia" w:ascii="仿宋_GB2312" w:hAnsi="宋体" w:eastAsia="仿宋_GB2312"/>
          <w:b/>
          <w:color w:val="000000" w:themeColor="text1"/>
          <w:sz w:val="48"/>
          <w:szCs w:val="48"/>
          <w14:textFill>
            <w14:solidFill>
              <w14:schemeClr w14:val="tx1"/>
            </w14:solidFill>
          </w14:textFill>
        </w:rPr>
      </w:pPr>
      <w:r>
        <w:rPr>
          <w:rFonts w:ascii="仿宋_GB2312" w:hAnsi="宋体" w:eastAsia="仿宋_GB2312"/>
          <w:b/>
          <w:color w:val="000000" w:themeColor="text1"/>
          <w:sz w:val="52"/>
          <w:szCs w:val="52"/>
          <w14:textFill>
            <w14:solidFill>
              <w14:schemeClr w14:val="tx1"/>
            </w14:solidFill>
          </w14:textFill>
        </w:rPr>
        <w:t>乳山市建设大厦10KV配电改造工程</w:t>
      </w:r>
      <w:r>
        <w:rPr>
          <w:rFonts w:hint="eastAsia" w:ascii="仿宋_GB2312" w:hAnsi="宋体" w:eastAsia="仿宋_GB2312"/>
          <w:b/>
          <w:color w:val="000000" w:themeColor="text1"/>
          <w:sz w:val="48"/>
          <w:szCs w:val="48"/>
          <w14:textFill>
            <w14:solidFill>
              <w14:schemeClr w14:val="tx1"/>
            </w14:solidFill>
          </w14:textFill>
        </w:rPr>
        <w:t>合同</w:t>
      </w:r>
    </w:p>
    <w:p w14:paraId="4FC249E8">
      <w:pPr>
        <w:ind w:firstLine="2240" w:firstLineChars="700"/>
        <w:rPr>
          <w:rFonts w:hint="eastAsia" w:ascii="仿宋_GB2312" w:eastAsia="仿宋_GB2312"/>
          <w:color w:val="000000" w:themeColor="text1"/>
          <w:sz w:val="32"/>
          <w14:textFill>
            <w14:solidFill>
              <w14:schemeClr w14:val="tx1"/>
            </w14:solidFill>
          </w14:textFill>
        </w:rPr>
      </w:pPr>
    </w:p>
    <w:p w14:paraId="6B9A3879">
      <w:pPr>
        <w:pStyle w:val="27"/>
        <w:rPr>
          <w:rFonts w:hint="eastAsia" w:ascii="仿宋_GB2312" w:eastAsia="仿宋_GB2312"/>
          <w:color w:val="000000" w:themeColor="text1"/>
          <w14:textFill>
            <w14:solidFill>
              <w14:schemeClr w14:val="tx1"/>
            </w14:solidFill>
          </w14:textFill>
        </w:rPr>
      </w:pPr>
    </w:p>
    <w:p w14:paraId="16756914">
      <w:pPr>
        <w:pStyle w:val="27"/>
        <w:rPr>
          <w:rFonts w:hint="eastAsia" w:ascii="仿宋_GB2312" w:eastAsia="仿宋_GB2312"/>
          <w:color w:val="000000" w:themeColor="text1"/>
          <w14:textFill>
            <w14:solidFill>
              <w14:schemeClr w14:val="tx1"/>
            </w14:solidFill>
          </w14:textFill>
        </w:rPr>
      </w:pPr>
    </w:p>
    <w:p w14:paraId="314CE621">
      <w:pPr>
        <w:pStyle w:val="27"/>
        <w:rPr>
          <w:rFonts w:ascii="仿宋_GB2312" w:eastAsia="仿宋_GB2312"/>
          <w:color w:val="000000" w:themeColor="text1"/>
          <w14:textFill>
            <w14:solidFill>
              <w14:schemeClr w14:val="tx1"/>
            </w14:solidFill>
          </w14:textFill>
        </w:rPr>
      </w:pPr>
    </w:p>
    <w:p w14:paraId="6E254CDD">
      <w:pPr>
        <w:pStyle w:val="27"/>
        <w:rPr>
          <w:rFonts w:ascii="仿宋_GB2312" w:eastAsia="仿宋_GB2312"/>
          <w:color w:val="000000" w:themeColor="text1"/>
          <w14:textFill>
            <w14:solidFill>
              <w14:schemeClr w14:val="tx1"/>
            </w14:solidFill>
          </w14:textFill>
        </w:rPr>
      </w:pPr>
    </w:p>
    <w:p w14:paraId="2802A210">
      <w:pPr>
        <w:pStyle w:val="27"/>
        <w:rPr>
          <w:rFonts w:ascii="仿宋_GB2312" w:eastAsia="仿宋_GB2312"/>
          <w:color w:val="000000" w:themeColor="text1"/>
          <w14:textFill>
            <w14:solidFill>
              <w14:schemeClr w14:val="tx1"/>
            </w14:solidFill>
          </w14:textFill>
        </w:rPr>
      </w:pPr>
    </w:p>
    <w:p w14:paraId="08100952">
      <w:pPr>
        <w:pStyle w:val="27"/>
        <w:rPr>
          <w:rFonts w:ascii="仿宋_GB2312" w:eastAsia="仿宋_GB2312"/>
          <w:color w:val="000000" w:themeColor="text1"/>
          <w14:textFill>
            <w14:solidFill>
              <w14:schemeClr w14:val="tx1"/>
            </w14:solidFill>
          </w14:textFill>
        </w:rPr>
      </w:pPr>
    </w:p>
    <w:p w14:paraId="6A424988">
      <w:pPr>
        <w:pStyle w:val="27"/>
        <w:rPr>
          <w:rFonts w:ascii="仿宋_GB2312" w:eastAsia="仿宋_GB2312"/>
          <w:color w:val="000000" w:themeColor="text1"/>
          <w14:textFill>
            <w14:solidFill>
              <w14:schemeClr w14:val="tx1"/>
            </w14:solidFill>
          </w14:textFill>
        </w:rPr>
      </w:pPr>
    </w:p>
    <w:p w14:paraId="0C0BCFD5">
      <w:pPr>
        <w:pStyle w:val="27"/>
        <w:rPr>
          <w:rFonts w:hint="eastAsia" w:ascii="仿宋_GB2312" w:eastAsia="仿宋_GB2312"/>
          <w:color w:val="000000" w:themeColor="text1"/>
          <w14:textFill>
            <w14:solidFill>
              <w14:schemeClr w14:val="tx1"/>
            </w14:solidFill>
          </w14:textFill>
        </w:rPr>
      </w:pPr>
    </w:p>
    <w:p w14:paraId="3C30E7A9">
      <w:pPr>
        <w:ind w:firstLine="2080" w:firstLineChars="650"/>
        <w:rPr>
          <w:rFonts w:hint="eastAsia" w:ascii="仿宋_GB2312" w:hAnsi="宋体" w:eastAsia="仿宋_GB2312"/>
          <w:color w:val="000000" w:themeColor="text1"/>
          <w:sz w:val="32"/>
          <w14:textFill>
            <w14:solidFill>
              <w14:schemeClr w14:val="tx1"/>
            </w14:solidFill>
          </w14:textFill>
        </w:rPr>
      </w:pPr>
      <w:r>
        <w:rPr>
          <w:rFonts w:hint="eastAsia" w:ascii="仿宋_GB2312" w:hAnsi="宋体" w:eastAsia="仿宋_GB2312"/>
          <w:color w:val="000000" w:themeColor="text1"/>
          <w:sz w:val="32"/>
          <w14:textFill>
            <w14:solidFill>
              <w14:schemeClr w14:val="tx1"/>
            </w14:solidFill>
          </w14:textFill>
        </w:rPr>
        <w:t xml:space="preserve">甲    方: </w:t>
      </w:r>
      <w:r>
        <w:rPr>
          <w:rFonts w:ascii="仿宋_GB2312" w:hAnsi="宋体" w:eastAsia="仿宋_GB2312"/>
          <w:color w:val="000000" w:themeColor="text1"/>
          <w:sz w:val="32"/>
          <w14:textFill>
            <w14:solidFill>
              <w14:schemeClr w14:val="tx1"/>
            </w14:solidFill>
          </w14:textFill>
        </w:rPr>
        <w:t>乳山市水务集团有限公司</w:t>
      </w:r>
    </w:p>
    <w:p w14:paraId="3B340A99">
      <w:pPr>
        <w:pStyle w:val="27"/>
        <w:rPr>
          <w:rFonts w:hint="eastAsia" w:ascii="仿宋_GB2312" w:hAnsi="宋体" w:eastAsia="仿宋_GB2312"/>
          <w:color w:val="000000" w:themeColor="text1"/>
          <w14:textFill>
            <w14:solidFill>
              <w14:schemeClr w14:val="tx1"/>
            </w14:solidFill>
          </w14:textFill>
        </w:rPr>
      </w:pPr>
    </w:p>
    <w:p w14:paraId="56875F01">
      <w:pPr>
        <w:ind w:firstLine="2080" w:firstLineChars="650"/>
        <w:rPr>
          <w:rFonts w:hint="eastAsia" w:ascii="仿宋_GB2312" w:hAnsi="宋体" w:eastAsia="仿宋_GB2312"/>
          <w:color w:val="000000" w:themeColor="text1"/>
          <w:sz w:val="32"/>
          <w14:textFill>
            <w14:solidFill>
              <w14:schemeClr w14:val="tx1"/>
            </w14:solidFill>
          </w14:textFill>
        </w:rPr>
      </w:pPr>
      <w:r>
        <w:rPr>
          <w:rFonts w:hint="eastAsia" w:ascii="仿宋_GB2312" w:hAnsi="宋体" w:eastAsia="仿宋_GB2312"/>
          <w:color w:val="000000" w:themeColor="text1"/>
          <w:sz w:val="32"/>
          <w14:textFill>
            <w14:solidFill>
              <w14:schemeClr w14:val="tx1"/>
            </w14:solidFill>
          </w14:textFill>
        </w:rPr>
        <w:t xml:space="preserve">乙    方: </w:t>
      </w:r>
    </w:p>
    <w:p w14:paraId="225497E2">
      <w:pPr>
        <w:pStyle w:val="27"/>
        <w:rPr>
          <w:rFonts w:hint="eastAsia" w:ascii="仿宋_GB2312" w:hAnsi="宋体" w:eastAsia="仿宋_GB2312"/>
          <w:color w:val="000000" w:themeColor="text1"/>
          <w14:textFill>
            <w14:solidFill>
              <w14:schemeClr w14:val="tx1"/>
            </w14:solidFill>
          </w14:textFill>
        </w:rPr>
      </w:pPr>
    </w:p>
    <w:p w14:paraId="22538FDF">
      <w:pPr>
        <w:pStyle w:val="27"/>
        <w:rPr>
          <w:rFonts w:hint="eastAsia" w:ascii="仿宋_GB2312" w:hAnsi="宋体" w:eastAsia="仿宋_GB2312"/>
          <w:color w:val="000000" w:themeColor="text1"/>
          <w14:textFill>
            <w14:solidFill>
              <w14:schemeClr w14:val="tx1"/>
            </w14:solidFill>
          </w14:textFill>
        </w:rPr>
      </w:pPr>
    </w:p>
    <w:p w14:paraId="7AC31E86">
      <w:pPr>
        <w:pStyle w:val="27"/>
        <w:rPr>
          <w:rFonts w:ascii="仿宋_GB2312" w:hAnsi="宋体" w:eastAsia="仿宋_GB2312"/>
          <w:color w:val="000000" w:themeColor="text1"/>
          <w14:textFill>
            <w14:solidFill>
              <w14:schemeClr w14:val="tx1"/>
            </w14:solidFill>
          </w14:textFill>
        </w:rPr>
      </w:pPr>
    </w:p>
    <w:p w14:paraId="2A76E395">
      <w:pPr>
        <w:pStyle w:val="27"/>
        <w:rPr>
          <w:rFonts w:hint="eastAsia" w:ascii="仿宋_GB2312" w:hAnsi="宋体" w:eastAsia="仿宋_GB2312"/>
          <w:color w:val="000000" w:themeColor="text1"/>
          <w14:textFill>
            <w14:solidFill>
              <w14:schemeClr w14:val="tx1"/>
            </w14:solidFill>
          </w14:textFill>
        </w:rPr>
      </w:pPr>
    </w:p>
    <w:p w14:paraId="2E0589FF">
      <w:pPr>
        <w:pStyle w:val="19"/>
        <w:ind w:firstLine="2080" w:firstLineChars="650"/>
        <w:rPr>
          <w:rFonts w:hint="eastAsia"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sz w:val="32"/>
          <w14:textFill>
            <w14:solidFill>
              <w14:schemeClr w14:val="tx1"/>
            </w14:solidFill>
          </w14:textFill>
        </w:rPr>
        <w:t>签订日期: 二○二</w:t>
      </w:r>
      <w:r>
        <w:rPr>
          <w:rFonts w:ascii="仿宋_GB2312" w:hAnsi="宋体" w:eastAsia="仿宋_GB2312"/>
          <w:color w:val="000000" w:themeColor="text1"/>
          <w:sz w:val="32"/>
          <w14:textFill>
            <w14:solidFill>
              <w14:schemeClr w14:val="tx1"/>
            </w14:solidFill>
          </w14:textFill>
        </w:rPr>
        <w:t xml:space="preserve">   </w:t>
      </w:r>
      <w:r>
        <w:rPr>
          <w:rFonts w:hint="eastAsia" w:ascii="仿宋_GB2312" w:hAnsi="宋体" w:eastAsia="仿宋_GB2312"/>
          <w:color w:val="000000" w:themeColor="text1"/>
          <w:sz w:val="32"/>
          <w14:textFill>
            <w14:solidFill>
              <w14:schemeClr w14:val="tx1"/>
            </w14:solidFill>
          </w14:textFill>
        </w:rPr>
        <w:t>年   月  日</w:t>
      </w:r>
    </w:p>
    <w:p w14:paraId="258BBE53">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hint="eastAsia" w:ascii="仿宋_GB2312" w:eastAsia="仿宋_GB2312"/>
          <w:b/>
          <w:bCs/>
          <w:color w:val="000000" w:themeColor="text1"/>
          <w:sz w:val="30"/>
          <w:szCs w:val="30"/>
          <w14:textFill>
            <w14:solidFill>
              <w14:schemeClr w14:val="tx1"/>
            </w14:solidFill>
          </w14:textFill>
        </w:rPr>
      </w:pPr>
    </w:p>
    <w:p w14:paraId="7D1142F3">
      <w:pPr>
        <w:spacing w:line="560" w:lineRule="exact"/>
        <w:jc w:val="center"/>
        <w:rPr>
          <w:rFonts w:ascii="宋体" w:hAnsi="宋体"/>
          <w:color w:val="000000" w:themeColor="text1"/>
          <w:sz w:val="52"/>
          <w:szCs w:val="52"/>
          <w14:textFill>
            <w14:solidFill>
              <w14:schemeClr w14:val="tx1"/>
            </w14:solidFill>
          </w14:textFill>
        </w:rPr>
      </w:pPr>
      <w:r>
        <w:rPr>
          <w:rFonts w:ascii="宋体" w:hAnsi="宋体"/>
          <w:color w:val="000000" w:themeColor="text1"/>
          <w:sz w:val="52"/>
          <w:szCs w:val="52"/>
          <w14:textFill>
            <w14:solidFill>
              <w14:schemeClr w14:val="tx1"/>
            </w14:solidFill>
          </w14:textFill>
        </w:rPr>
        <w:br w:type="page"/>
      </w:r>
    </w:p>
    <w:p w14:paraId="1A426B73">
      <w:pPr>
        <w:pStyle w:val="5"/>
        <w:jc w:val="center"/>
        <w:rPr>
          <w:color w:val="000000" w:themeColor="text1"/>
          <w14:textFill>
            <w14:solidFill>
              <w14:schemeClr w14:val="tx1"/>
            </w14:solidFill>
          </w14:textFill>
        </w:rPr>
      </w:pPr>
      <w:r>
        <w:rPr>
          <w:color w:val="000000" w:themeColor="text1"/>
          <w14:textFill>
            <w14:solidFill>
              <w14:schemeClr w14:val="tx1"/>
            </w14:solidFill>
          </w14:textFill>
        </w:rPr>
        <w:t>第一部分 合同协议书</w:t>
      </w:r>
    </w:p>
    <w:p w14:paraId="0120E855">
      <w:pPr>
        <w:spacing w:line="560" w:lineRule="exact"/>
        <w:jc w:val="center"/>
        <w:rPr>
          <w:rFonts w:ascii="宋体" w:hAnsi="宋体"/>
          <w:color w:val="000000" w:themeColor="text1"/>
          <w:sz w:val="28"/>
          <w:szCs w:val="30"/>
          <w14:textFill>
            <w14:solidFill>
              <w14:schemeClr w14:val="tx1"/>
            </w14:solidFill>
          </w14:textFill>
        </w:rPr>
      </w:pPr>
    </w:p>
    <w:p w14:paraId="667DB847">
      <w:pPr>
        <w:spacing w:line="360" w:lineRule="auto"/>
        <w:rPr>
          <w:rFonts w:ascii="宋体" w:hAnsi="宋体"/>
          <w:b/>
          <w:color w:val="000000" w:themeColor="text1"/>
          <w:sz w:val="24"/>
          <w:szCs w:val="30"/>
          <w:u w:val="single"/>
          <w14:textFill>
            <w14:solidFill>
              <w14:schemeClr w14:val="tx1"/>
            </w14:solidFill>
          </w14:textFill>
        </w:rPr>
      </w:pPr>
      <w:r>
        <w:rPr>
          <w:rFonts w:ascii="宋体" w:hAnsi="宋体"/>
          <w:b/>
          <w:color w:val="000000" w:themeColor="text1"/>
          <w:sz w:val="24"/>
          <w:szCs w:val="30"/>
          <w14:textFill>
            <w14:solidFill>
              <w14:schemeClr w14:val="tx1"/>
            </w14:solidFill>
          </w14:textFill>
        </w:rPr>
        <w:t>发包人（全称）：</w:t>
      </w:r>
      <w:r>
        <w:rPr>
          <w:rFonts w:ascii="宋体" w:hAnsi="宋体"/>
          <w:color w:val="000000" w:themeColor="text1"/>
          <w:sz w:val="24"/>
          <w:szCs w:val="30"/>
          <w14:textFill>
            <w14:solidFill>
              <w14:schemeClr w14:val="tx1"/>
            </w14:solidFill>
          </w14:textFill>
        </w:rPr>
        <w:t>乳山市水务集团有限公司</w:t>
      </w:r>
    </w:p>
    <w:p w14:paraId="00136CDD">
      <w:pPr>
        <w:spacing w:line="360" w:lineRule="auto"/>
        <w:rPr>
          <w:rFonts w:ascii="宋体" w:hAnsi="宋体"/>
          <w:b/>
          <w:color w:val="000000" w:themeColor="text1"/>
          <w:sz w:val="24"/>
          <w:szCs w:val="30"/>
          <w:u w:val="single"/>
          <w14:textFill>
            <w14:solidFill>
              <w14:schemeClr w14:val="tx1"/>
            </w14:solidFill>
          </w14:textFill>
        </w:rPr>
      </w:pPr>
      <w:r>
        <w:rPr>
          <w:rFonts w:ascii="宋体" w:hAnsi="宋体"/>
          <w:b/>
          <w:color w:val="000000" w:themeColor="text1"/>
          <w:sz w:val="24"/>
          <w:szCs w:val="30"/>
          <w14:textFill>
            <w14:solidFill>
              <w14:schemeClr w14:val="tx1"/>
            </w14:solidFill>
          </w14:textFill>
        </w:rPr>
        <w:t>承包人（全称）：</w:t>
      </w:r>
    </w:p>
    <w:p w14:paraId="04441CE6">
      <w:pPr>
        <w:spacing w:line="560" w:lineRule="exact"/>
        <w:jc w:val="left"/>
        <w:rPr>
          <w:rFonts w:ascii="宋体" w:hAnsi="宋体"/>
          <w:b/>
          <w:color w:val="000000" w:themeColor="text1"/>
          <w:sz w:val="24"/>
          <w:szCs w:val="32"/>
          <w14:textFill>
            <w14:solidFill>
              <w14:schemeClr w14:val="tx1"/>
            </w14:solidFill>
          </w14:textFill>
        </w:rPr>
      </w:pPr>
      <w:r>
        <w:rPr>
          <w:rFonts w:ascii="宋体" w:hAnsi="宋体"/>
          <w:color w:val="000000" w:themeColor="text1"/>
          <w:sz w:val="24"/>
          <w:szCs w:val="30"/>
          <w14:textFill>
            <w14:solidFill>
              <w14:schemeClr w14:val="tx1"/>
            </w14:solidFill>
          </w14:textFill>
        </w:rPr>
        <w:t>根据《中华人民共和国</w:t>
      </w:r>
      <w:r>
        <w:rPr>
          <w:rFonts w:hint="eastAsia" w:ascii="宋体" w:hAnsi="宋体"/>
          <w:color w:val="000000" w:themeColor="text1"/>
          <w:sz w:val="24"/>
          <w:szCs w:val="30"/>
          <w14:textFill>
            <w14:solidFill>
              <w14:schemeClr w14:val="tx1"/>
            </w14:solidFill>
          </w14:textFill>
        </w:rPr>
        <w:t>民法典</w:t>
      </w:r>
      <w:r>
        <w:rPr>
          <w:rFonts w:ascii="宋体" w:hAnsi="宋体"/>
          <w:color w:val="000000" w:themeColor="text1"/>
          <w:sz w:val="24"/>
          <w:szCs w:val="30"/>
          <w14:textFill>
            <w14:solidFill>
              <w14:schemeClr w14:val="tx1"/>
            </w14:solidFill>
          </w14:textFill>
        </w:rPr>
        <w:t>》《中华人民共和国建筑法》</w:t>
      </w:r>
      <w:r>
        <w:rPr>
          <w:rFonts w:hint="eastAsia" w:ascii="宋体" w:hAnsi="宋体"/>
          <w:color w:val="000000" w:themeColor="text1"/>
          <w:sz w:val="24"/>
          <w:szCs w:val="30"/>
          <w14:textFill>
            <w14:solidFill>
              <w14:schemeClr w14:val="tx1"/>
            </w14:solidFill>
          </w14:textFill>
        </w:rPr>
        <w:t>等</w:t>
      </w:r>
      <w:r>
        <w:rPr>
          <w:rFonts w:ascii="宋体" w:hAnsi="宋体"/>
          <w:color w:val="000000" w:themeColor="text1"/>
          <w:sz w:val="24"/>
          <w:szCs w:val="30"/>
          <w14:textFill>
            <w14:solidFill>
              <w14:schemeClr w14:val="tx1"/>
            </w14:solidFill>
          </w14:textFill>
        </w:rPr>
        <w:t>法律</w:t>
      </w:r>
      <w:r>
        <w:rPr>
          <w:rFonts w:hint="eastAsia" w:ascii="宋体" w:hAnsi="宋体"/>
          <w:color w:val="000000" w:themeColor="text1"/>
          <w:sz w:val="24"/>
          <w:szCs w:val="30"/>
          <w14:textFill>
            <w14:solidFill>
              <w14:schemeClr w14:val="tx1"/>
            </w14:solidFill>
          </w14:textFill>
        </w:rPr>
        <w:t>法规和相关</w:t>
      </w:r>
      <w:r>
        <w:rPr>
          <w:rFonts w:ascii="宋体" w:hAnsi="宋体"/>
          <w:color w:val="000000" w:themeColor="text1"/>
          <w:sz w:val="24"/>
          <w:szCs w:val="30"/>
          <w14:textFill>
            <w14:solidFill>
              <w14:schemeClr w14:val="tx1"/>
            </w14:solidFill>
          </w14:textFill>
        </w:rPr>
        <w:t>规定，遵循平等、自愿、公平和诚实信用的原则，双方就</w:t>
      </w:r>
      <w:r>
        <w:rPr>
          <w:rFonts w:ascii="宋体" w:hAnsi="宋体"/>
          <w:color w:val="000000" w:themeColor="text1"/>
          <w:sz w:val="24"/>
          <w:szCs w:val="30"/>
          <w:u w:val="single"/>
          <w14:textFill>
            <w14:solidFill>
              <w14:schemeClr w14:val="tx1"/>
            </w14:solidFill>
          </w14:textFill>
        </w:rPr>
        <w:t xml:space="preserve"> 乳山市建设大厦10KV配电改造工程</w:t>
      </w:r>
      <w:r>
        <w:rPr>
          <w:rFonts w:ascii="宋体" w:hAnsi="宋体"/>
          <w:color w:val="000000" w:themeColor="text1"/>
          <w:sz w:val="24"/>
          <w:szCs w:val="30"/>
          <w14:textFill>
            <w14:solidFill>
              <w14:schemeClr w14:val="tx1"/>
            </w14:solidFill>
          </w14:textFill>
        </w:rPr>
        <w:t>施工及有关事项协商一致</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共同达成如下协议：</w:t>
      </w:r>
    </w:p>
    <w:p w14:paraId="44156964">
      <w:pPr>
        <w:pStyle w:val="6"/>
        <w:spacing w:before="120" w:after="120" w:line="360" w:lineRule="auto"/>
        <w:rPr>
          <w:color w:val="000000" w:themeColor="text1"/>
          <w:sz w:val="24"/>
          <w:szCs w:val="32"/>
          <w14:textFill>
            <w14:solidFill>
              <w14:schemeClr w14:val="tx1"/>
            </w14:solidFill>
          </w14:textFill>
        </w:rPr>
      </w:pPr>
      <w:r>
        <w:rPr>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 xml:space="preserve"> 一、工程概况</w:t>
      </w:r>
    </w:p>
    <w:p w14:paraId="0478ED8E">
      <w:pPr>
        <w:spacing w:line="360" w:lineRule="auto"/>
        <w:ind w:firstLine="470" w:firstLineChars="196"/>
        <w:rPr>
          <w:rFonts w:ascii="宋体" w:hAnsi="宋体"/>
          <w:color w:val="000000" w:themeColor="text1"/>
          <w:sz w:val="24"/>
          <w:szCs w:val="30"/>
          <w:u w:val="single"/>
          <w14:textFill>
            <w14:solidFill>
              <w14:schemeClr w14:val="tx1"/>
            </w14:solidFill>
          </w14:textFill>
        </w:rPr>
      </w:pPr>
      <w:r>
        <w:rPr>
          <w:rFonts w:ascii="宋体" w:hAnsi="宋体"/>
          <w:color w:val="000000" w:themeColor="text1"/>
          <w:sz w:val="24"/>
          <w:szCs w:val="30"/>
          <w14:textFill>
            <w14:solidFill>
              <w14:schemeClr w14:val="tx1"/>
            </w14:solidFill>
          </w14:textFill>
        </w:rPr>
        <w:t>1.工程名称：</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2E3E01C8">
      <w:pPr>
        <w:spacing w:line="360" w:lineRule="auto"/>
        <w:ind w:firstLine="470" w:firstLineChars="196"/>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2.工程地点：</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1BD71B0B">
      <w:pPr>
        <w:spacing w:line="360" w:lineRule="auto"/>
        <w:ind w:firstLine="470" w:firstLineChars="196"/>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3.工程立项批准文号：</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2635301E">
      <w:pPr>
        <w:spacing w:line="360" w:lineRule="auto"/>
        <w:ind w:firstLine="470" w:firstLineChars="196"/>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4.资金来源：</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6183AE70">
      <w:pPr>
        <w:spacing w:line="360" w:lineRule="auto"/>
        <w:ind w:firstLine="470" w:firstLineChars="196"/>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5.工程内容：</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13C7D9BA">
      <w:pPr>
        <w:spacing w:line="360" w:lineRule="auto"/>
        <w:ind w:firstLine="470" w:firstLineChars="196"/>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2"/>
          <w14:textFill>
            <w14:solidFill>
              <w14:schemeClr w14:val="tx1"/>
            </w14:solidFill>
          </w14:textFill>
        </w:rPr>
        <w:t>群体工程应附《</w:t>
      </w:r>
      <w:r>
        <w:rPr>
          <w:rFonts w:ascii="宋体" w:hAnsi="宋体"/>
          <w:color w:val="000000" w:themeColor="text1"/>
          <w:sz w:val="24"/>
          <w:szCs w:val="32"/>
          <w14:textFill>
            <w14:solidFill>
              <w14:schemeClr w14:val="tx1"/>
            </w14:solidFill>
          </w14:textFill>
        </w:rPr>
        <w:t>承包人承揽工程项目一览表</w:t>
      </w:r>
      <w:r>
        <w:rPr>
          <w:rFonts w:hint="eastAsia" w:ascii="宋体" w:hAnsi="宋体"/>
          <w:color w:val="000000" w:themeColor="text1"/>
          <w:sz w:val="24"/>
          <w:szCs w:val="32"/>
          <w14:textFill>
            <w14:solidFill>
              <w14:schemeClr w14:val="tx1"/>
            </w14:solidFill>
          </w14:textFill>
        </w:rPr>
        <w:t>》（附件1）。</w:t>
      </w:r>
    </w:p>
    <w:p w14:paraId="74F882A5">
      <w:pPr>
        <w:spacing w:line="360" w:lineRule="auto"/>
        <w:ind w:firstLine="470" w:firstLineChars="196"/>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6</w:t>
      </w:r>
      <w:r>
        <w:rPr>
          <w:rFonts w:ascii="宋体" w:hAnsi="宋体"/>
          <w:color w:val="000000" w:themeColor="text1"/>
          <w:sz w:val="24"/>
          <w:szCs w:val="30"/>
          <w14:textFill>
            <w14:solidFill>
              <w14:schemeClr w14:val="tx1"/>
            </w14:solidFill>
          </w14:textFill>
        </w:rPr>
        <w:t>.工程承包范围：</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7CB8D81E">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 xml:space="preserve">   </w:t>
      </w:r>
      <w:r>
        <w:rPr>
          <w:rFonts w:hint="eastAsia"/>
          <w:b w:val="0"/>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二、合同工期</w:t>
      </w:r>
    </w:p>
    <w:p w14:paraId="5A47F18E">
      <w:pPr>
        <w:spacing w:line="360" w:lineRule="auto"/>
        <w:ind w:firstLine="459"/>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计划开工日期：</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月</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日。</w:t>
      </w:r>
    </w:p>
    <w:p w14:paraId="150ABBC4">
      <w:pPr>
        <w:spacing w:line="360" w:lineRule="auto"/>
        <w:ind w:firstLine="459"/>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计划竣工日期：</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月</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日。</w:t>
      </w:r>
    </w:p>
    <w:p w14:paraId="57D20640">
      <w:pPr>
        <w:spacing w:line="360" w:lineRule="auto"/>
        <w:ind w:firstLine="459"/>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工期总日历天数：</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天。工期总日历天数与根据前述计划开竣工日期计算的工期天数不一致的，以工期总日历天数为准。</w:t>
      </w:r>
    </w:p>
    <w:p w14:paraId="2F4699FF">
      <w:pPr>
        <w:pStyle w:val="6"/>
        <w:spacing w:before="120" w:after="120" w:line="360" w:lineRule="auto"/>
        <w:rPr>
          <w:color w:val="000000" w:themeColor="text1"/>
          <w:sz w:val="24"/>
          <w:szCs w:val="32"/>
          <w14:textFill>
            <w14:solidFill>
              <w14:schemeClr w14:val="tx1"/>
            </w14:solidFill>
          </w14:textFill>
        </w:rPr>
      </w:pPr>
      <w:r>
        <w:rPr>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三、质量标准</w:t>
      </w:r>
    </w:p>
    <w:p w14:paraId="428E8FD2">
      <w:pPr>
        <w:spacing w:line="360" w:lineRule="auto"/>
        <w:ind w:firstLine="459"/>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工程质量符合</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标准。</w:t>
      </w:r>
    </w:p>
    <w:p w14:paraId="7230505D">
      <w:pPr>
        <w:pStyle w:val="6"/>
        <w:spacing w:before="120" w:after="120" w:line="360" w:lineRule="auto"/>
        <w:rPr>
          <w:color w:val="000000" w:themeColor="text1"/>
          <w:sz w:val="24"/>
          <w:szCs w:val="32"/>
          <w14:textFill>
            <w14:solidFill>
              <w14:schemeClr w14:val="tx1"/>
            </w14:solidFill>
          </w14:textFill>
        </w:rPr>
      </w:pPr>
      <w:r>
        <w:rPr>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 xml:space="preserve"> 四、签约合同价与合同价格形式</w:t>
      </w:r>
      <w:r>
        <w:rPr>
          <w:b w:val="0"/>
          <w:color w:val="000000" w:themeColor="text1"/>
          <w:sz w:val="24"/>
          <w:szCs w:val="32"/>
          <w14:textFill>
            <w14:solidFill>
              <w14:schemeClr w14:val="tx1"/>
            </w14:solidFill>
          </w14:textFill>
        </w:rPr>
        <w:tab/>
      </w:r>
    </w:p>
    <w:p w14:paraId="42880143">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1.签约合同价为：</w:t>
      </w:r>
    </w:p>
    <w:p w14:paraId="76A53C61">
      <w:pPr>
        <w:spacing w:line="360" w:lineRule="auto"/>
        <w:ind w:firstLine="600" w:firstLineChars="25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人民币（大写）</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元)；</w:t>
      </w:r>
    </w:p>
    <w:p w14:paraId="3C0A5BA9">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其中：</w:t>
      </w:r>
    </w:p>
    <w:p w14:paraId="746B3723">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（1）安全文明施工费：</w:t>
      </w:r>
    </w:p>
    <w:p w14:paraId="502F2443">
      <w:pPr>
        <w:spacing w:line="360" w:lineRule="auto"/>
        <w:ind w:firstLine="1080" w:firstLineChars="45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人民币（大写）</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元)；</w:t>
      </w:r>
    </w:p>
    <w:p w14:paraId="3B8F0392">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（2）</w:t>
      </w:r>
      <w:r>
        <w:rPr>
          <w:rFonts w:hint="eastAsia" w:ascii="宋体" w:hAnsi="宋体"/>
          <w:color w:val="000000" w:themeColor="text1"/>
          <w:sz w:val="24"/>
          <w:szCs w:val="30"/>
          <w14:textFill>
            <w14:solidFill>
              <w14:schemeClr w14:val="tx1"/>
            </w14:solidFill>
          </w14:textFill>
        </w:rPr>
        <w:t>人工费</w:t>
      </w:r>
      <w:r>
        <w:rPr>
          <w:rFonts w:ascii="宋体" w:hAnsi="宋体"/>
          <w:color w:val="000000" w:themeColor="text1"/>
          <w:sz w:val="24"/>
          <w:szCs w:val="30"/>
          <w14:textFill>
            <w14:solidFill>
              <w14:schemeClr w14:val="tx1"/>
            </w14:solidFill>
          </w14:textFill>
        </w:rPr>
        <w:t>：</w:t>
      </w:r>
    </w:p>
    <w:p w14:paraId="7888BAB9">
      <w:pPr>
        <w:spacing w:line="360" w:lineRule="auto"/>
        <w:ind w:firstLine="1080" w:firstLineChars="45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人民币（大写）</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元)；</w:t>
      </w:r>
    </w:p>
    <w:p w14:paraId="30703E60">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w:t>
      </w:r>
      <w:r>
        <w:rPr>
          <w:rFonts w:hint="eastAsia" w:ascii="宋体" w:hAnsi="宋体"/>
          <w:color w:val="000000" w:themeColor="text1"/>
          <w:sz w:val="24"/>
          <w:szCs w:val="30"/>
          <w14:textFill>
            <w14:solidFill>
              <w14:schemeClr w14:val="tx1"/>
            </w14:solidFill>
          </w14:textFill>
        </w:rPr>
        <w:t>3</w:t>
      </w:r>
      <w:r>
        <w:rPr>
          <w:rFonts w:ascii="宋体" w:hAnsi="宋体"/>
          <w:color w:val="000000" w:themeColor="text1"/>
          <w:sz w:val="24"/>
          <w:szCs w:val="30"/>
          <w14:textFill>
            <w14:solidFill>
              <w14:schemeClr w14:val="tx1"/>
            </w14:solidFill>
          </w14:textFill>
        </w:rPr>
        <w:t>）材料和工程设备暂估价金额：</w:t>
      </w:r>
    </w:p>
    <w:p w14:paraId="5D15A364">
      <w:pPr>
        <w:spacing w:line="360" w:lineRule="auto"/>
        <w:ind w:firstLine="1080" w:firstLineChars="45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人民币（大写）</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元)；</w:t>
      </w:r>
    </w:p>
    <w:p w14:paraId="222A2E36">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w:t>
      </w:r>
      <w:r>
        <w:rPr>
          <w:rFonts w:hint="eastAsia" w:ascii="宋体" w:hAnsi="宋体"/>
          <w:color w:val="000000" w:themeColor="text1"/>
          <w:sz w:val="24"/>
          <w:szCs w:val="30"/>
          <w14:textFill>
            <w14:solidFill>
              <w14:schemeClr w14:val="tx1"/>
            </w14:solidFill>
          </w14:textFill>
        </w:rPr>
        <w:t>4</w:t>
      </w:r>
      <w:r>
        <w:rPr>
          <w:rFonts w:ascii="宋体" w:hAnsi="宋体"/>
          <w:color w:val="000000" w:themeColor="text1"/>
          <w:sz w:val="24"/>
          <w:szCs w:val="30"/>
          <w14:textFill>
            <w14:solidFill>
              <w14:schemeClr w14:val="tx1"/>
            </w14:solidFill>
          </w14:textFill>
        </w:rPr>
        <w:t>）专业工程暂估价金额：</w:t>
      </w:r>
    </w:p>
    <w:p w14:paraId="473BA343">
      <w:pPr>
        <w:spacing w:line="360" w:lineRule="auto"/>
        <w:ind w:firstLine="1080" w:firstLineChars="45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人民币（大写）</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元)；</w:t>
      </w:r>
    </w:p>
    <w:p w14:paraId="55F30C6B">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w:t>
      </w:r>
      <w:r>
        <w:rPr>
          <w:rFonts w:hint="eastAsia" w:ascii="宋体" w:hAnsi="宋体"/>
          <w:color w:val="000000" w:themeColor="text1"/>
          <w:sz w:val="24"/>
          <w:szCs w:val="30"/>
          <w14:textFill>
            <w14:solidFill>
              <w14:schemeClr w14:val="tx1"/>
            </w14:solidFill>
          </w14:textFill>
        </w:rPr>
        <w:t>5</w:t>
      </w:r>
      <w:r>
        <w:rPr>
          <w:rFonts w:ascii="宋体" w:hAnsi="宋体"/>
          <w:color w:val="000000" w:themeColor="text1"/>
          <w:sz w:val="24"/>
          <w:szCs w:val="30"/>
          <w14:textFill>
            <w14:solidFill>
              <w14:schemeClr w14:val="tx1"/>
            </w14:solidFill>
          </w14:textFill>
        </w:rPr>
        <w:t>）暂列金额：</w:t>
      </w:r>
    </w:p>
    <w:p w14:paraId="68303EDC">
      <w:pPr>
        <w:spacing w:line="360" w:lineRule="auto"/>
        <w:ind w:firstLine="1080" w:firstLineChars="45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人民币（大写）</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元)。</w:t>
      </w:r>
    </w:p>
    <w:p w14:paraId="1DE85D88">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2.合同价格形式：</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7658FB8D">
      <w:pPr>
        <w:pStyle w:val="6"/>
        <w:spacing w:before="120" w:after="120" w:line="360" w:lineRule="auto"/>
        <w:rPr>
          <w:b w:val="0"/>
          <w:color w:val="000000" w:themeColor="text1"/>
          <w:sz w:val="24"/>
          <w:szCs w:val="32"/>
          <w14:textFill>
            <w14:solidFill>
              <w14:schemeClr w14:val="tx1"/>
            </w14:solidFill>
          </w14:textFill>
        </w:rPr>
      </w:pPr>
      <w:r>
        <w:rPr>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 xml:space="preserve"> 五、项目经理</w:t>
      </w:r>
    </w:p>
    <w:p w14:paraId="4EB7458F">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承包人项目经理：</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67F46A2B">
      <w:pPr>
        <w:pStyle w:val="6"/>
        <w:spacing w:before="120" w:after="120" w:line="360" w:lineRule="auto"/>
        <w:rPr>
          <w:color w:val="000000" w:themeColor="text1"/>
          <w:sz w:val="24"/>
          <w:szCs w:val="32"/>
          <w14:textFill>
            <w14:solidFill>
              <w14:schemeClr w14:val="tx1"/>
            </w14:solidFill>
          </w14:textFill>
        </w:rPr>
      </w:pPr>
      <w:r>
        <w:rPr>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 xml:space="preserve"> 六、合同文件构成</w:t>
      </w:r>
    </w:p>
    <w:p w14:paraId="2699F10E">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本协议书与下列文件一起构成合同文件：</w:t>
      </w:r>
    </w:p>
    <w:p w14:paraId="7AC15C1B">
      <w:pPr>
        <w:autoSpaceDE w:val="0"/>
        <w:autoSpaceDN w:val="0"/>
        <w:adjustRightInd w:val="0"/>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（1）中标通知书（如果有）；</w:t>
      </w:r>
    </w:p>
    <w:p w14:paraId="66F77696">
      <w:pPr>
        <w:autoSpaceDE w:val="0"/>
        <w:autoSpaceDN w:val="0"/>
        <w:adjustRightInd w:val="0"/>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（2）投标函及其附录（如果有）；</w:t>
      </w:r>
    </w:p>
    <w:p w14:paraId="3E8D3F38">
      <w:pPr>
        <w:autoSpaceDE w:val="0"/>
        <w:autoSpaceDN w:val="0"/>
        <w:adjustRightInd w:val="0"/>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（3）专用合同条款及其附件；</w:t>
      </w:r>
    </w:p>
    <w:p w14:paraId="4BBF224E">
      <w:pPr>
        <w:autoSpaceDE w:val="0"/>
        <w:autoSpaceDN w:val="0"/>
        <w:adjustRightInd w:val="0"/>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（4）通用合同条款；</w:t>
      </w:r>
    </w:p>
    <w:p w14:paraId="7E93F7CD">
      <w:pPr>
        <w:autoSpaceDE w:val="0"/>
        <w:autoSpaceDN w:val="0"/>
        <w:adjustRightInd w:val="0"/>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（5）技术标准和要求；</w:t>
      </w:r>
    </w:p>
    <w:p w14:paraId="0D968224">
      <w:pPr>
        <w:autoSpaceDE w:val="0"/>
        <w:autoSpaceDN w:val="0"/>
        <w:adjustRightInd w:val="0"/>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（6）图纸；</w:t>
      </w:r>
    </w:p>
    <w:p w14:paraId="620B4C8F">
      <w:pPr>
        <w:autoSpaceDE w:val="0"/>
        <w:autoSpaceDN w:val="0"/>
        <w:adjustRightInd w:val="0"/>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（7）已标价工程量清单或预算书；</w:t>
      </w:r>
    </w:p>
    <w:p w14:paraId="6684ED9A">
      <w:pPr>
        <w:autoSpaceDE w:val="0"/>
        <w:autoSpaceDN w:val="0"/>
        <w:adjustRightInd w:val="0"/>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（8）其他合同文件。</w:t>
      </w:r>
    </w:p>
    <w:p w14:paraId="149C1D1E">
      <w:pPr>
        <w:autoSpaceDE w:val="0"/>
        <w:autoSpaceDN w:val="0"/>
        <w:adjustRightInd w:val="0"/>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在合同订立及履行过程中形成的与合同有关的文件均构成合同文件组成部分。</w:t>
      </w:r>
    </w:p>
    <w:p w14:paraId="4415B827">
      <w:pPr>
        <w:autoSpaceDE w:val="0"/>
        <w:autoSpaceDN w:val="0"/>
        <w:adjustRightInd w:val="0"/>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上述各项合同文件包括合同当事人就该项合同文件所作出的补充和修改，属于同一类内容的文件，应以最新签署的为准。</w:t>
      </w:r>
      <w:r>
        <w:rPr>
          <w:rFonts w:hint="eastAsia" w:ascii="宋体" w:hAnsi="宋体"/>
          <w:color w:val="000000" w:themeColor="text1"/>
          <w:sz w:val="24"/>
          <w:szCs w:val="30"/>
          <w14:textFill>
            <w14:solidFill>
              <w14:schemeClr w14:val="tx1"/>
            </w14:solidFill>
          </w14:textFill>
        </w:rPr>
        <w:t>专用合同条款及其附件须经合同当事人签字或盖章。</w:t>
      </w:r>
    </w:p>
    <w:p w14:paraId="1046891C">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 xml:space="preserve">    七、承诺</w:t>
      </w:r>
    </w:p>
    <w:p w14:paraId="7D06C1F2">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1.发包人承诺按照法律规定履行项目审批手续、筹集工程建设资金并按照合同约定的期限和方式支付合同价款</w:t>
      </w:r>
      <w:r>
        <w:rPr>
          <w:rFonts w:hint="eastAsia" w:ascii="宋体" w:hAnsi="宋体"/>
          <w:color w:val="000000" w:themeColor="text1"/>
          <w:sz w:val="24"/>
          <w:szCs w:val="30"/>
          <w14:textFill>
            <w14:solidFill>
              <w14:schemeClr w14:val="tx1"/>
            </w14:solidFill>
          </w14:textFill>
        </w:rPr>
        <w:t>。</w:t>
      </w:r>
    </w:p>
    <w:p w14:paraId="074B6BC3">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2.承包人承诺按照法律规定及合同约定组织完成工程施工，确保工程质量和安全，不进行转包及违法分包，并在缺陷责任期及保修期内承担相应的工程维修责任。</w:t>
      </w:r>
    </w:p>
    <w:p w14:paraId="7371BB47">
      <w:pPr>
        <w:spacing w:line="360" w:lineRule="auto"/>
        <w:ind w:firstLine="480" w:firstLineChars="20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3.发包人和承包人承诺执行政府行政管理部门关于工程款分账管理、农民工工资支付的各项制度，不拖欠农民工工资</w:t>
      </w:r>
      <w:r>
        <w:rPr>
          <w:rFonts w:ascii="宋体" w:hAnsi="宋体"/>
          <w:color w:val="000000" w:themeColor="text1"/>
          <w:sz w:val="24"/>
          <w:szCs w:val="30"/>
          <w14:textFill>
            <w14:solidFill>
              <w14:schemeClr w14:val="tx1"/>
            </w14:solidFill>
          </w14:textFill>
        </w:rPr>
        <w:t>。</w:t>
      </w:r>
    </w:p>
    <w:p w14:paraId="6D2A8FC5">
      <w:pPr>
        <w:spacing w:line="360" w:lineRule="auto"/>
        <w:ind w:firstLine="480" w:firstLineChars="20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4.发包人和承包人承诺按照政府行政管理部门要求，加强施工扬尘防治及非道路移动机械污染管控工作。</w:t>
      </w:r>
    </w:p>
    <w:p w14:paraId="14DA77DF">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5.发包人和承包人通过招投标形式签订合同的，双方理解并</w:t>
      </w:r>
      <w:r>
        <w:rPr>
          <w:rFonts w:hint="eastAsia" w:ascii="宋体" w:hAnsi="宋体"/>
          <w:color w:val="000000" w:themeColor="text1"/>
          <w:sz w:val="24"/>
          <w:szCs w:val="30"/>
          <w14:textFill>
            <w14:solidFill>
              <w14:schemeClr w14:val="tx1"/>
            </w14:solidFill>
          </w14:textFill>
        </w:rPr>
        <w:t>承诺</w:t>
      </w:r>
      <w:r>
        <w:rPr>
          <w:rFonts w:ascii="宋体" w:hAnsi="宋体"/>
          <w:color w:val="000000" w:themeColor="text1"/>
          <w:sz w:val="24"/>
          <w:szCs w:val="30"/>
          <w14:textFill>
            <w14:solidFill>
              <w14:schemeClr w14:val="tx1"/>
            </w14:solidFill>
          </w14:textFill>
        </w:rPr>
        <w:t>不再就同一工程另行签订与合同实质性内容相背离的协议。</w:t>
      </w:r>
    </w:p>
    <w:p w14:paraId="1C3570DE">
      <w:pPr>
        <w:spacing w:line="360" w:lineRule="auto"/>
        <w:rPr>
          <w:rFonts w:ascii="宋体" w:hAnsi="宋体"/>
          <w:color w:val="000000" w:themeColor="text1"/>
          <w:sz w:val="24"/>
          <w:szCs w:val="32"/>
          <w14:textFill>
            <w14:solidFill>
              <w14:schemeClr w14:val="tx1"/>
            </w14:solidFill>
          </w14:textFill>
        </w:rPr>
      </w:pPr>
      <w:r>
        <w:rPr>
          <w:rFonts w:hint="eastAsia" w:ascii="宋体" w:hAnsi="宋体"/>
          <w:b/>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八、词语含义</w:t>
      </w:r>
    </w:p>
    <w:p w14:paraId="4937B9BB">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本协议书中词语含义与第二部分通用合同条款中赋予的含义相同。</w:t>
      </w:r>
    </w:p>
    <w:p w14:paraId="79DD26E7">
      <w:pPr>
        <w:pStyle w:val="6"/>
        <w:spacing w:before="120" w:after="120" w:line="360" w:lineRule="auto"/>
        <w:rPr>
          <w:color w:val="000000" w:themeColor="text1"/>
          <w:sz w:val="24"/>
          <w:szCs w:val="32"/>
          <w14:textFill>
            <w14:solidFill>
              <w14:schemeClr w14:val="tx1"/>
            </w14:solidFill>
          </w14:textFill>
        </w:rPr>
      </w:pPr>
      <w:r>
        <w:rPr>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 xml:space="preserve">  九、签订时间</w:t>
      </w:r>
    </w:p>
    <w:p w14:paraId="342A624E">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本合同于</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月</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日签订。</w:t>
      </w:r>
    </w:p>
    <w:p w14:paraId="590A23E0">
      <w:pPr>
        <w:pStyle w:val="6"/>
        <w:spacing w:before="120" w:after="120" w:line="360" w:lineRule="auto"/>
        <w:rPr>
          <w:color w:val="000000" w:themeColor="text1"/>
          <w:sz w:val="24"/>
          <w:szCs w:val="32"/>
          <w14:textFill>
            <w14:solidFill>
              <w14:schemeClr w14:val="tx1"/>
            </w14:solidFill>
          </w14:textFill>
        </w:rPr>
      </w:pPr>
      <w:r>
        <w:rPr>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十、签订地点</w:t>
      </w:r>
    </w:p>
    <w:p w14:paraId="750F2489">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本合同在</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签订。</w:t>
      </w:r>
    </w:p>
    <w:p w14:paraId="60F985A4">
      <w:pPr>
        <w:pStyle w:val="6"/>
        <w:spacing w:before="120" w:after="120" w:line="360" w:lineRule="auto"/>
        <w:rPr>
          <w:color w:val="000000" w:themeColor="text1"/>
          <w:sz w:val="24"/>
          <w:szCs w:val="32"/>
          <w14:textFill>
            <w14:solidFill>
              <w14:schemeClr w14:val="tx1"/>
            </w14:solidFill>
          </w14:textFill>
        </w:rPr>
      </w:pPr>
      <w:r>
        <w:rPr>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十一、补充协议</w:t>
      </w:r>
    </w:p>
    <w:p w14:paraId="5F88D7BE">
      <w:pPr>
        <w:spacing w:line="360" w:lineRule="auto"/>
        <w:ind w:firstLine="480" w:firstLineChars="200"/>
        <w:rPr>
          <w:rFonts w:ascii="宋体" w:hAnsi="宋体"/>
          <w:b/>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合同未尽事宜，合同当事人另行签订补充协议</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补充协议是合同的组成部分。</w:t>
      </w:r>
    </w:p>
    <w:p w14:paraId="1FC974D5">
      <w:pPr>
        <w:pStyle w:val="6"/>
        <w:spacing w:before="120" w:after="120" w:line="360" w:lineRule="auto"/>
        <w:rPr>
          <w:color w:val="000000" w:themeColor="text1"/>
          <w:sz w:val="24"/>
          <w:szCs w:val="32"/>
          <w14:textFill>
            <w14:solidFill>
              <w14:schemeClr w14:val="tx1"/>
            </w14:solidFill>
          </w14:textFill>
        </w:rPr>
      </w:pPr>
      <w:r>
        <w:rPr>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十二、合同生效</w:t>
      </w:r>
    </w:p>
    <w:p w14:paraId="0E93DCEF">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本合同自</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生效。</w:t>
      </w:r>
    </w:p>
    <w:p w14:paraId="598F7039">
      <w:pPr>
        <w:pStyle w:val="6"/>
        <w:spacing w:before="120" w:after="120" w:line="360" w:lineRule="auto"/>
        <w:rPr>
          <w:color w:val="000000" w:themeColor="text1"/>
          <w:sz w:val="24"/>
          <w:szCs w:val="32"/>
          <w14:textFill>
            <w14:solidFill>
              <w14:schemeClr w14:val="tx1"/>
            </w14:solidFill>
          </w14:textFill>
        </w:rPr>
      </w:pPr>
      <w:r>
        <w:rPr>
          <w:color w:val="000000" w:themeColor="text1"/>
          <w:sz w:val="24"/>
          <w:szCs w:val="32"/>
          <w14:textFill>
            <w14:solidFill>
              <w14:schemeClr w14:val="tx1"/>
            </w14:solidFill>
          </w14:textFill>
        </w:rPr>
        <w:t xml:space="preserve">    </w:t>
      </w:r>
      <w:r>
        <w:rPr>
          <w:b w:val="0"/>
          <w:color w:val="000000" w:themeColor="text1"/>
          <w:sz w:val="24"/>
          <w:szCs w:val="32"/>
          <w14:textFill>
            <w14:solidFill>
              <w14:schemeClr w14:val="tx1"/>
            </w14:solidFill>
          </w14:textFill>
        </w:rPr>
        <w:t>十三、合同份数</w:t>
      </w:r>
    </w:p>
    <w:p w14:paraId="6ED12BC5">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本合同一式</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份，均具有同等法律效力，发包人执</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份，承包人执</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份。</w:t>
      </w:r>
    </w:p>
    <w:tbl>
      <w:tblPr>
        <w:tblStyle w:val="28"/>
        <w:tblW w:w="0" w:type="auto"/>
        <w:tblInd w:w="0" w:type="dxa"/>
        <w:tblLayout w:type="autofit"/>
        <w:tblCellMar>
          <w:top w:w="0" w:type="dxa"/>
          <w:left w:w="108" w:type="dxa"/>
          <w:bottom w:w="0" w:type="dxa"/>
          <w:right w:w="108" w:type="dxa"/>
        </w:tblCellMar>
      </w:tblPr>
      <w:tblGrid>
        <w:gridCol w:w="4519"/>
        <w:gridCol w:w="4519"/>
      </w:tblGrid>
      <w:tr w14:paraId="36D720D0">
        <w:tblPrEx>
          <w:tblCellMar>
            <w:top w:w="0" w:type="dxa"/>
            <w:left w:w="108" w:type="dxa"/>
            <w:bottom w:w="0" w:type="dxa"/>
            <w:right w:w="108" w:type="dxa"/>
          </w:tblCellMar>
        </w:tblPrEx>
        <w:tc>
          <w:tcPr>
            <w:tcW w:w="4519" w:type="dxa"/>
          </w:tcPr>
          <w:p w14:paraId="69892870">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发包人</w:t>
            </w:r>
            <w:r>
              <w:rPr>
                <w:rFonts w:hint="eastAsia"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(公章)</w:t>
            </w:r>
            <w:r>
              <w:rPr>
                <w:rFonts w:hint="eastAsia" w:ascii="宋体" w:hAnsi="宋体"/>
                <w:color w:val="000000" w:themeColor="text1"/>
                <w:sz w:val="24"/>
                <w:szCs w:val="30"/>
                <w14:textFill>
                  <w14:solidFill>
                    <w14:schemeClr w14:val="tx1"/>
                  </w14:solidFill>
                </w14:textFill>
              </w:rPr>
              <w:t xml:space="preserve">            </w:t>
            </w:r>
          </w:p>
          <w:p w14:paraId="4DE144E7">
            <w:pPr>
              <w:spacing w:line="360" w:lineRule="auto"/>
              <w:rPr>
                <w:color w:val="000000" w:themeColor="text1"/>
                <w14:textFill>
                  <w14:solidFill>
                    <w14:schemeClr w14:val="tx1"/>
                  </w14:solidFill>
                </w14:textFill>
              </w:rPr>
            </w:pPr>
            <w:r>
              <w:rPr>
                <w:rFonts w:hint="eastAsia" w:ascii="宋体" w:hAnsi="宋体"/>
                <w:color w:val="000000" w:themeColor="text1"/>
                <w:sz w:val="24"/>
                <w:szCs w:val="30"/>
                <w14:textFill>
                  <w14:solidFill>
                    <w14:schemeClr w14:val="tx1"/>
                  </w14:solidFill>
                </w14:textFill>
              </w:rPr>
              <w:t xml:space="preserve">                            </w:t>
            </w:r>
          </w:p>
          <w:p w14:paraId="561D2131">
            <w:pPr>
              <w:spacing w:line="360" w:lineRule="auto"/>
              <w:rPr>
                <w:color w:val="000000" w:themeColor="text1"/>
                <w14:textFill>
                  <w14:solidFill>
                    <w14:schemeClr w14:val="tx1"/>
                  </w14:solidFill>
                </w14:textFill>
              </w:rPr>
            </w:pPr>
            <w:r>
              <w:rPr>
                <w:rFonts w:hint="eastAsia" w:ascii="宋体" w:hAnsi="宋体"/>
                <w:color w:val="000000" w:themeColor="text1"/>
                <w:sz w:val="24"/>
                <w:szCs w:val="30"/>
                <w14:textFill>
                  <w14:solidFill>
                    <w14:schemeClr w14:val="tx1"/>
                  </w14:solidFill>
                </w14:textFill>
              </w:rPr>
              <w:t xml:space="preserve">法定代表人或其委托代理人：  </w:t>
            </w:r>
          </w:p>
          <w:p w14:paraId="368F3562">
            <w:pPr>
              <w:spacing w:line="360" w:lineRule="auto"/>
              <w:rPr>
                <w:color w:val="000000" w:themeColor="text1"/>
                <w14:textFill>
                  <w14:solidFill>
                    <w14:schemeClr w14:val="tx1"/>
                  </w14:solidFill>
                </w14:textFill>
              </w:rPr>
            </w:pPr>
            <w:r>
              <w:rPr>
                <w:rFonts w:hint="eastAsia" w:ascii="宋体" w:hAnsi="宋体"/>
                <w:color w:val="000000" w:themeColor="text1"/>
                <w:sz w:val="24"/>
                <w:szCs w:val="30"/>
                <w14:textFill>
                  <w14:solidFill>
                    <w14:schemeClr w14:val="tx1"/>
                  </w14:solidFill>
                </w14:textFill>
              </w:rPr>
              <w:t xml:space="preserve">（签字）                    </w:t>
            </w:r>
          </w:p>
          <w:p w14:paraId="2EFFCF9D">
            <w:pPr>
              <w:spacing w:line="360" w:lineRule="auto"/>
              <w:rPr>
                <w:color w:val="000000" w:themeColor="text1"/>
                <w14:textFill>
                  <w14:solidFill>
                    <w14:schemeClr w14:val="tx1"/>
                  </w14:solidFill>
                </w14:textFill>
              </w:rPr>
            </w:pPr>
          </w:p>
          <w:p w14:paraId="26CC79CD">
            <w:pPr>
              <w:spacing w:line="360" w:lineRule="auto"/>
              <w:rPr>
                <w:color w:val="000000" w:themeColor="text1"/>
                <w14:textFill>
                  <w14:solidFill>
                    <w14:schemeClr w14:val="tx1"/>
                  </w14:solidFill>
                </w14:textFill>
              </w:rPr>
            </w:pPr>
            <w:r>
              <w:rPr>
                <w:rFonts w:hint="eastAsia" w:ascii="宋体" w:hAnsi="宋体"/>
                <w:color w:val="000000" w:themeColor="text1"/>
                <w:sz w:val="24"/>
                <w:szCs w:val="30"/>
                <w14:textFill>
                  <w14:solidFill>
                    <w14:schemeClr w14:val="tx1"/>
                  </w14:solidFill>
                </w14:textFill>
              </w:rPr>
              <w:t>组织机构代码：</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0D69770E">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地  址：</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220915CD">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邮政编码：</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51961869">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法定代表人：</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r>
              <w:rPr>
                <w:rFonts w:hint="eastAsia"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0633642B">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委托代理人：</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7C9667EF">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电  话：</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r>
              <w:rPr>
                <w:rFonts w:hint="eastAsia"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311E435F">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传  真：</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r>
              <w:rPr>
                <w:rFonts w:hint="eastAsia"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710B5D9D">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电子信箱：</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5C134286">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开户银行：</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69EBFD7F">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账  号：</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14:textFill>
                  <w14:solidFill>
                    <w14:schemeClr w14:val="tx1"/>
                  </w14:solidFill>
                </w14:textFill>
              </w:rPr>
              <w:t xml:space="preserve"> </w:t>
            </w:r>
          </w:p>
        </w:tc>
        <w:tc>
          <w:tcPr>
            <w:tcW w:w="4519" w:type="dxa"/>
          </w:tcPr>
          <w:p w14:paraId="1D68E3C8">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承包人</w:t>
            </w:r>
            <w:r>
              <w:rPr>
                <w:rFonts w:hint="eastAsia"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(公章)</w:t>
            </w:r>
          </w:p>
          <w:p w14:paraId="5BF71FAF">
            <w:pPr>
              <w:spacing w:line="360" w:lineRule="auto"/>
              <w:rPr>
                <w:color w:val="000000" w:themeColor="text1"/>
                <w14:textFill>
                  <w14:solidFill>
                    <w14:schemeClr w14:val="tx1"/>
                  </w14:solidFill>
                </w14:textFill>
              </w:rPr>
            </w:pPr>
            <w:r>
              <w:rPr>
                <w:rFonts w:hint="eastAsia" w:ascii="宋体" w:hAnsi="宋体"/>
                <w:color w:val="000000" w:themeColor="text1"/>
                <w:sz w:val="24"/>
                <w:szCs w:val="30"/>
                <w14:textFill>
                  <w14:solidFill>
                    <w14:schemeClr w14:val="tx1"/>
                  </w14:solidFill>
                </w14:textFill>
              </w:rPr>
              <w:t xml:space="preserve">    </w:t>
            </w:r>
          </w:p>
          <w:p w14:paraId="328766F9">
            <w:pPr>
              <w:spacing w:line="360" w:lineRule="auto"/>
              <w:rPr>
                <w:color w:val="000000" w:themeColor="text1"/>
                <w14:textFill>
                  <w14:solidFill>
                    <w14:schemeClr w14:val="tx1"/>
                  </w14:solidFill>
                </w14:textFill>
              </w:rPr>
            </w:pPr>
            <w:r>
              <w:rPr>
                <w:rFonts w:hint="eastAsia" w:ascii="宋体" w:hAnsi="宋体"/>
                <w:color w:val="000000" w:themeColor="text1"/>
                <w:sz w:val="24"/>
                <w:szCs w:val="30"/>
                <w14:textFill>
                  <w14:solidFill>
                    <w14:schemeClr w14:val="tx1"/>
                  </w14:solidFill>
                </w14:textFill>
              </w:rPr>
              <w:t>法定代表人或其委托代理人：</w:t>
            </w:r>
          </w:p>
          <w:p w14:paraId="0F86359A">
            <w:pPr>
              <w:spacing w:line="360" w:lineRule="auto"/>
              <w:rPr>
                <w:color w:val="000000" w:themeColor="text1"/>
                <w14:textFill>
                  <w14:solidFill>
                    <w14:schemeClr w14:val="tx1"/>
                  </w14:solidFill>
                </w14:textFill>
              </w:rPr>
            </w:pPr>
            <w:r>
              <w:rPr>
                <w:rFonts w:hint="eastAsia" w:ascii="宋体" w:hAnsi="宋体"/>
                <w:color w:val="000000" w:themeColor="text1"/>
                <w:sz w:val="24"/>
                <w:szCs w:val="30"/>
                <w14:textFill>
                  <w14:solidFill>
                    <w14:schemeClr w14:val="tx1"/>
                  </w14:solidFill>
                </w14:textFill>
              </w:rPr>
              <w:t>签字）</w:t>
            </w:r>
          </w:p>
          <w:p w14:paraId="2AC311F0">
            <w:pPr>
              <w:spacing w:line="360" w:lineRule="auto"/>
              <w:rPr>
                <w:color w:val="000000" w:themeColor="text1"/>
                <w14:textFill>
                  <w14:solidFill>
                    <w14:schemeClr w14:val="tx1"/>
                  </w14:solidFill>
                </w14:textFill>
              </w:rPr>
            </w:pPr>
          </w:p>
          <w:p w14:paraId="1893F87C">
            <w:pPr>
              <w:spacing w:line="360" w:lineRule="auto"/>
              <w:rPr>
                <w:color w:val="000000" w:themeColor="text1"/>
                <w14:textFill>
                  <w14:solidFill>
                    <w14:schemeClr w14:val="tx1"/>
                  </w14:solidFill>
                </w14:textFill>
              </w:rPr>
            </w:pPr>
            <w:r>
              <w:rPr>
                <w:rFonts w:hint="eastAsia" w:ascii="宋体" w:hAnsi="宋体"/>
                <w:color w:val="000000" w:themeColor="text1"/>
                <w:sz w:val="24"/>
                <w:szCs w:val="30"/>
                <w14:textFill>
                  <w14:solidFill>
                    <w14:schemeClr w14:val="tx1"/>
                  </w14:solidFill>
                </w14:textFill>
              </w:rPr>
              <w:t>组织机构代码：</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7FB06DC8">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地  址：</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2E708F76">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邮政编码：</w:t>
            </w:r>
            <w:r>
              <w:rPr>
                <w:rFonts w:ascii="宋体" w:hAnsi="宋体"/>
                <w:color w:val="000000" w:themeColor="text1"/>
                <w:sz w:val="24"/>
                <w:szCs w:val="30"/>
                <w:u w:val="single"/>
                <w14:textFill>
                  <w14:solidFill>
                    <w14:schemeClr w14:val="tx1"/>
                  </w14:solidFill>
                </w14:textFill>
              </w:rPr>
              <w:t xml:space="preserve">                   </w:t>
            </w:r>
          </w:p>
          <w:p w14:paraId="2F3C7ACF">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法定代表人：</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p>
          <w:p w14:paraId="3E4021FA">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委托代理人：</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3D64584D">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电  话：</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4D9C4BB4">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传  真：</w:t>
            </w:r>
            <w:r>
              <w:rPr>
                <w:rFonts w:ascii="宋体" w:hAnsi="宋体"/>
                <w:color w:val="000000" w:themeColor="text1"/>
                <w:sz w:val="24"/>
                <w:szCs w:val="30"/>
                <w:u w:val="single"/>
                <w14:textFill>
                  <w14:solidFill>
                    <w14:schemeClr w14:val="tx1"/>
                  </w14:solidFill>
                </w14:textFill>
              </w:rPr>
              <w:t xml:space="preserve">                   </w:t>
            </w:r>
          </w:p>
          <w:p w14:paraId="0011080B">
            <w:pPr>
              <w:spacing w:line="360" w:lineRule="auto"/>
              <w:rPr>
                <w:color w:val="000000" w:themeColor="text1"/>
                <w14:textFill>
                  <w14:solidFill>
                    <w14:schemeClr w14:val="tx1"/>
                  </w14:solidFill>
                </w14:textFill>
              </w:rPr>
            </w:pPr>
            <w:r>
              <w:rPr>
                <w:rFonts w:ascii="宋体" w:hAnsi="宋体"/>
                <w:color w:val="000000" w:themeColor="text1"/>
                <w:sz w:val="24"/>
                <w:szCs w:val="30"/>
                <w14:textFill>
                  <w14:solidFill>
                    <w14:schemeClr w14:val="tx1"/>
                  </w14:solidFill>
                </w14:textFill>
              </w:rPr>
              <w:t>电子信箱：</w:t>
            </w:r>
            <w:r>
              <w:rPr>
                <w:rFonts w:ascii="宋体" w:hAnsi="宋体"/>
                <w:color w:val="000000" w:themeColor="text1"/>
                <w:sz w:val="24"/>
                <w:szCs w:val="30"/>
                <w:u w:val="single"/>
                <w14:textFill>
                  <w14:solidFill>
                    <w14:schemeClr w14:val="tx1"/>
                  </w14:solidFill>
                </w14:textFill>
              </w:rPr>
              <w:t xml:space="preserve">                   </w:t>
            </w:r>
          </w:p>
          <w:p w14:paraId="286E44B2">
            <w:pPr>
              <w:spacing w:line="360" w:lineRule="auto"/>
              <w:rPr>
                <w:rFonts w:ascii="宋体" w:hAnsi="宋体"/>
                <w:color w:val="000000" w:themeColor="text1"/>
                <w:sz w:val="24"/>
                <w:szCs w:val="30"/>
                <w:u w:val="single"/>
                <w14:textFill>
                  <w14:solidFill>
                    <w14:schemeClr w14:val="tx1"/>
                  </w14:solidFill>
                </w14:textFill>
              </w:rPr>
            </w:pPr>
            <w:r>
              <w:rPr>
                <w:rFonts w:ascii="宋体" w:hAnsi="宋体"/>
                <w:color w:val="000000" w:themeColor="text1"/>
                <w:sz w:val="24"/>
                <w:szCs w:val="30"/>
                <w14:textFill>
                  <w14:solidFill>
                    <w14:schemeClr w14:val="tx1"/>
                  </w14:solidFill>
                </w14:textFill>
              </w:rPr>
              <w:t>开户银行：</w:t>
            </w:r>
            <w:r>
              <w:rPr>
                <w:rFonts w:ascii="宋体" w:hAnsi="宋体"/>
                <w:color w:val="000000" w:themeColor="text1"/>
                <w:sz w:val="24"/>
                <w:szCs w:val="30"/>
                <w:u w:val="single"/>
                <w14:textFill>
                  <w14:solidFill>
                    <w14:schemeClr w14:val="tx1"/>
                  </w14:solidFill>
                </w14:textFill>
              </w:rPr>
              <w:t xml:space="preserve">                 </w:t>
            </w:r>
          </w:p>
          <w:p w14:paraId="294E2B12">
            <w:pPr>
              <w:spacing w:line="360" w:lineRule="auto"/>
              <w:rPr>
                <w:rFonts w:hint="eastAsia"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账  号：</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p>
        </w:tc>
      </w:tr>
    </w:tbl>
    <w:p w14:paraId="7612AC24">
      <w:pPr>
        <w:spacing w:line="360" w:lineRule="auto"/>
        <w:rPr>
          <w:rFonts w:ascii="宋体" w:hAnsi="宋体"/>
          <w:color w:val="000000" w:themeColor="text1"/>
          <w:sz w:val="24"/>
          <w:szCs w:val="30"/>
          <w14:textFill>
            <w14:solidFill>
              <w14:schemeClr w14:val="tx1"/>
            </w14:solidFill>
          </w14:textFill>
        </w:rPr>
      </w:pPr>
    </w:p>
    <w:p w14:paraId="4562E673">
      <w:pPr>
        <w:spacing w:line="360" w:lineRule="auto"/>
        <w:rPr>
          <w:rFonts w:ascii="宋体" w:hAnsi="宋体"/>
          <w:color w:val="000000" w:themeColor="text1"/>
          <w:sz w:val="24"/>
          <w:szCs w:val="30"/>
          <w14:textFill>
            <w14:solidFill>
              <w14:schemeClr w14:val="tx1"/>
            </w14:solidFill>
          </w14:textFill>
        </w:rPr>
      </w:pPr>
    </w:p>
    <w:p w14:paraId="7E2FAFE7">
      <w:pPr>
        <w:spacing w:line="360" w:lineRule="auto"/>
        <w:rPr>
          <w:rFonts w:ascii="宋体" w:hAnsi="宋体"/>
          <w:color w:val="000000" w:themeColor="text1"/>
          <w:sz w:val="24"/>
          <w:szCs w:val="30"/>
          <w:u w:val="single"/>
          <w14:textFill>
            <w14:solidFill>
              <w14:schemeClr w14:val="tx1"/>
            </w14:solidFill>
          </w14:textFill>
        </w:rPr>
      </w:pPr>
    </w:p>
    <w:p w14:paraId="067C20DD">
      <w:pPr>
        <w:pStyle w:val="5"/>
        <w:jc w:val="center"/>
        <w:rPr>
          <w:rFonts w:ascii="宋体" w:hAnsi="宋体"/>
          <w:color w:val="000000" w:themeColor="text1"/>
          <w:sz w:val="44"/>
          <w:szCs w:val="44"/>
          <w14:textFill>
            <w14:solidFill>
              <w14:schemeClr w14:val="tx1"/>
            </w14:solidFill>
          </w14:textFill>
        </w:rPr>
      </w:pPr>
      <w:r>
        <w:rPr>
          <w:rFonts w:ascii="宋体" w:hAnsi="宋体"/>
          <w:color w:val="000000" w:themeColor="text1"/>
          <w:sz w:val="21"/>
          <w14:textFill>
            <w14:solidFill>
              <w14:schemeClr w14:val="tx1"/>
            </w14:solidFill>
          </w14:textFill>
        </w:rPr>
        <w:br w:type="page"/>
      </w:r>
      <w:r>
        <w:rPr>
          <w:rFonts w:ascii="宋体" w:hAnsi="宋体"/>
          <w:color w:val="000000" w:themeColor="text1"/>
          <w:sz w:val="44"/>
          <w:szCs w:val="44"/>
          <w14:textFill>
            <w14:solidFill>
              <w14:schemeClr w14:val="tx1"/>
            </w14:solidFill>
          </w14:textFill>
        </w:rPr>
        <w:t>第二部分 通用合同条款</w:t>
      </w:r>
    </w:p>
    <w:p w14:paraId="63058025">
      <w:pPr>
        <w:spacing w:line="360" w:lineRule="auto"/>
        <w:rPr>
          <w:color w:val="000000" w:themeColor="text1"/>
          <w14:textFill>
            <w14:solidFill>
              <w14:schemeClr w14:val="tx1"/>
            </w14:solidFill>
          </w14:textFill>
        </w:rPr>
      </w:pPr>
    </w:p>
    <w:p w14:paraId="6511FEAE">
      <w:pPr>
        <w:spacing w:line="360" w:lineRule="auto"/>
        <w:ind w:firstLine="484" w:firstLineChars="202"/>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执行山东省住房城乡建设厅、山东省市场监督管理局制定的《山东省建设工程施工合同（示范文本）》（SDF-2019-0002）通用条款。</w:t>
      </w:r>
    </w:p>
    <w:p w14:paraId="7E6440FC">
      <w:pPr>
        <w:rPr>
          <w:color w:val="000000" w:themeColor="text1"/>
          <w14:textFill>
            <w14:solidFill>
              <w14:schemeClr w14:val="tx1"/>
            </w14:solidFill>
          </w14:textFill>
        </w:rPr>
      </w:pPr>
    </w:p>
    <w:p w14:paraId="671DF356">
      <w:pPr>
        <w:pStyle w:val="5"/>
        <w:jc w:val="center"/>
        <w:rPr>
          <w:rFonts w:ascii="宋体" w:hAnsi="宋体"/>
          <w:color w:val="000000" w:themeColor="text1"/>
          <w:sz w:val="44"/>
          <w:szCs w:val="44"/>
          <w14:textFill>
            <w14:solidFill>
              <w14:schemeClr w14:val="tx1"/>
            </w14:solidFill>
          </w14:textFill>
        </w:rPr>
      </w:pPr>
      <w:r>
        <w:rPr>
          <w:rFonts w:ascii="宋体" w:hAnsi="宋体"/>
          <w:color w:val="000000" w:themeColor="text1"/>
          <w:sz w:val="44"/>
          <w:szCs w:val="44"/>
          <w14:textFill>
            <w14:solidFill>
              <w14:schemeClr w14:val="tx1"/>
            </w14:solidFill>
          </w14:textFill>
        </w:rPr>
        <w:br w:type="page"/>
      </w:r>
      <w:r>
        <w:rPr>
          <w:rFonts w:ascii="宋体" w:hAnsi="宋体"/>
          <w:color w:val="000000" w:themeColor="text1"/>
          <w:sz w:val="44"/>
          <w:szCs w:val="44"/>
          <w14:textFill>
            <w14:solidFill>
              <w14:schemeClr w14:val="tx1"/>
            </w14:solidFill>
          </w14:textFill>
        </w:rPr>
        <w:t xml:space="preserve">第三部分 </w:t>
      </w:r>
      <w:r>
        <w:rPr>
          <w:rFonts w:hint="eastAsia" w:ascii="宋体" w:hAnsi="宋体"/>
          <w:color w:val="000000" w:themeColor="text1"/>
          <w:sz w:val="44"/>
          <w:szCs w:val="44"/>
          <w14:textFill>
            <w14:solidFill>
              <w14:schemeClr w14:val="tx1"/>
            </w14:solidFill>
          </w14:textFill>
        </w:rPr>
        <w:t>专用合同条款</w:t>
      </w:r>
    </w:p>
    <w:p w14:paraId="030D2AC0">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1.一般约定</w:t>
      </w:r>
    </w:p>
    <w:p w14:paraId="2B2DA892">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1.1词语定义</w:t>
      </w:r>
    </w:p>
    <w:p w14:paraId="11A8B1F3">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1.1.1合同</w:t>
      </w:r>
    </w:p>
    <w:p w14:paraId="0FBF77A5">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1.1.1.10其他合同文件包括：</w:t>
      </w:r>
      <w:r>
        <w:rPr>
          <w:rFonts w:ascii="宋体" w:hAnsi="宋体"/>
          <w:color w:val="000000" w:themeColor="text1"/>
          <w:sz w:val="24"/>
          <w:szCs w:val="32"/>
          <w:u w:val="single"/>
          <w14:textFill>
            <w14:solidFill>
              <w14:schemeClr w14:val="tx1"/>
            </w14:solidFill>
          </w14:textFill>
        </w:rPr>
        <w:t xml:space="preserve">                      </w:t>
      </w:r>
    </w:p>
    <w:p w14:paraId="3F5DA98B">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1.1.2合同当事人及其他相关方</w:t>
      </w:r>
    </w:p>
    <w:p w14:paraId="073E009B">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1.1.2.4监理人：</w:t>
      </w:r>
    </w:p>
    <w:p w14:paraId="70A9FC3E">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名    称：</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ascii="宋体" w:hAnsi="宋体"/>
          <w:color w:val="000000" w:themeColor="text1"/>
          <w:sz w:val="24"/>
          <w:szCs w:val="32"/>
          <w14:textFill>
            <w14:solidFill>
              <w14:schemeClr w14:val="tx1"/>
            </w14:solidFill>
          </w14:textFill>
        </w:rPr>
        <w:t>；</w:t>
      </w:r>
    </w:p>
    <w:p w14:paraId="443ED0BB">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资质类别和等级：</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38DA79AA">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联系电话：</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307A3F88">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电子信箱：</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5CE416E7">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通信地址：</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354F753C">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1.1.2.5设计人：</w:t>
      </w:r>
    </w:p>
    <w:p w14:paraId="4451460E">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名    称：</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ascii="宋体" w:hAnsi="宋体"/>
          <w:color w:val="000000" w:themeColor="text1"/>
          <w:sz w:val="24"/>
          <w:szCs w:val="32"/>
          <w14:textFill>
            <w14:solidFill>
              <w14:schemeClr w14:val="tx1"/>
            </w14:solidFill>
          </w14:textFill>
        </w:rPr>
        <w:t>；</w:t>
      </w:r>
    </w:p>
    <w:p w14:paraId="7CF956F5">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资质类别和等级：</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0489E6F9">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联系电话：</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396E9C93">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电子信箱：</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63797D21">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通信地址：</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46C25100">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1.1.3工程和设备</w:t>
      </w:r>
    </w:p>
    <w:p w14:paraId="27AA4A10">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1.1.3.7作为施工现场组成部分的其他场所包括：</w:t>
      </w:r>
      <w:r>
        <w:rPr>
          <w:rFonts w:hint="eastAsia" w:ascii="宋体" w:hAnsi="宋体"/>
          <w:color w:val="000000" w:themeColor="text1"/>
          <w:sz w:val="24"/>
          <w:szCs w:val="32"/>
          <w:u w:val="single"/>
          <w14:textFill>
            <w14:solidFill>
              <w14:schemeClr w14:val="tx1"/>
            </w14:solidFill>
          </w14:textFill>
        </w:rPr>
        <w:t xml:space="preserve">            </w:t>
      </w:r>
    </w:p>
    <w:p w14:paraId="4AE81237">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1.1.3.9永久占地包括：</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ascii="宋体" w:hAnsi="宋体"/>
          <w:color w:val="000000" w:themeColor="text1"/>
          <w:kern w:val="0"/>
          <w:sz w:val="24"/>
          <w:szCs w:val="32"/>
          <w14:textFill>
            <w14:solidFill>
              <w14:schemeClr w14:val="tx1"/>
            </w14:solidFill>
          </w14:textFill>
        </w:rPr>
        <w:t>。</w:t>
      </w:r>
    </w:p>
    <w:p w14:paraId="440FAFFB">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1.1.3.10临时占地包括：</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ascii="宋体" w:hAnsi="宋体"/>
          <w:color w:val="000000" w:themeColor="text1"/>
          <w:kern w:val="0"/>
          <w:sz w:val="24"/>
          <w:szCs w:val="32"/>
          <w14:textFill>
            <w14:solidFill>
              <w14:schemeClr w14:val="tx1"/>
            </w14:solidFill>
          </w14:textFill>
        </w:rPr>
        <w:t>。</w:t>
      </w:r>
    </w:p>
    <w:p w14:paraId="28DF0E85">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1.3法律</w:t>
      </w:r>
    </w:p>
    <w:p w14:paraId="103CD218">
      <w:pPr>
        <w:autoSpaceDE w:val="0"/>
        <w:autoSpaceDN w:val="0"/>
        <w:adjustRightInd w:val="0"/>
        <w:spacing w:line="360" w:lineRule="auto"/>
        <w:ind w:left="596" w:leftChars="284"/>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适用于合同的其他规范性文件：</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p>
    <w:p w14:paraId="0854AB07">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1.4标准和规范</w:t>
      </w:r>
    </w:p>
    <w:p w14:paraId="3331E9E2">
      <w:pPr>
        <w:spacing w:line="360" w:lineRule="auto"/>
        <w:ind w:left="596" w:leftChars="284"/>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1.4.1适用于工程的标准规范包括：</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 xml:space="preserve"> </w:t>
      </w:r>
    </w:p>
    <w:p w14:paraId="1CE661BD">
      <w:pPr>
        <w:spacing w:line="360" w:lineRule="auto"/>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4D4052F2">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 xml:space="preserve">1.4.2发包人提供国外标准、规范的名称：        </w:t>
      </w:r>
      <w:r>
        <w:rPr>
          <w:rFonts w:hint="eastAsia" w:ascii="宋体" w:hAnsi="宋体"/>
          <w:color w:val="000000" w:themeColor="text1"/>
          <w:kern w:val="0"/>
          <w:sz w:val="24"/>
          <w:szCs w:val="32"/>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 xml:space="preserve">  </w:t>
      </w:r>
      <w:r>
        <w:rPr>
          <w:rFonts w:hint="eastAsia" w:ascii="宋体" w:hAnsi="宋体"/>
          <w:color w:val="000000" w:themeColor="text1"/>
          <w:kern w:val="0"/>
          <w:sz w:val="24"/>
          <w:szCs w:val="32"/>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 xml:space="preserve">   </w:t>
      </w:r>
    </w:p>
    <w:p w14:paraId="37BAEC1A">
      <w:pPr>
        <w:spacing w:line="360" w:lineRule="auto"/>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19006149">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发包人提供国外标准、规范的份数：</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3EA0FE11">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发包人提供国外标准、规范的</w:t>
      </w:r>
      <w:r>
        <w:rPr>
          <w:rFonts w:hint="eastAsia" w:ascii="宋体" w:hAnsi="宋体"/>
          <w:color w:val="000000" w:themeColor="text1"/>
          <w:kern w:val="0"/>
          <w:sz w:val="24"/>
          <w:szCs w:val="32"/>
          <w14:textFill>
            <w14:solidFill>
              <w14:schemeClr w14:val="tx1"/>
            </w14:solidFill>
          </w14:textFill>
        </w:rPr>
        <w:t>时间</w:t>
      </w:r>
      <w:r>
        <w:rPr>
          <w:rFonts w:ascii="宋体" w:hAnsi="宋体"/>
          <w:color w:val="000000" w:themeColor="text1"/>
          <w:kern w:val="0"/>
          <w:sz w:val="24"/>
          <w:szCs w:val="32"/>
          <w14:textFill>
            <w14:solidFill>
              <w14:schemeClr w14:val="tx1"/>
            </w14:solidFill>
          </w14:textFill>
        </w:rPr>
        <w:t>：</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413FB621">
      <w:pPr>
        <w:spacing w:line="360" w:lineRule="auto"/>
        <w:ind w:left="596" w:leftChars="284"/>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1.4.3发包人对工程的技术标准和功能要求的特殊要求：</w:t>
      </w:r>
    </w:p>
    <w:p w14:paraId="443AF5AB">
      <w:pPr>
        <w:spacing w:line="360" w:lineRule="auto"/>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u w:val="single"/>
          <w14:textFill>
            <w14:solidFill>
              <w14:schemeClr w14:val="tx1"/>
            </w14:solidFill>
          </w14:textFill>
        </w:rPr>
        <w:t xml:space="preserve">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p>
    <w:p w14:paraId="24EF6742">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1.5合同文件的优先顺序</w:t>
      </w:r>
    </w:p>
    <w:p w14:paraId="0F59030E">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合同文件组成及优先顺序为：</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 xml:space="preserve"> </w:t>
      </w:r>
    </w:p>
    <w:p w14:paraId="64D6ECC7">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1.6图纸和承包人文件</w:t>
      </w:r>
      <w:r>
        <w:rPr>
          <w:rFonts w:ascii="宋体" w:hAnsi="宋体"/>
          <w:color w:val="000000" w:themeColor="text1"/>
          <w:kern w:val="0"/>
          <w:sz w:val="24"/>
          <w:szCs w:val="32"/>
          <w14:textFill>
            <w14:solidFill>
              <w14:schemeClr w14:val="tx1"/>
            </w14:solidFill>
          </w14:textFill>
        </w:rPr>
        <w:tab/>
      </w:r>
    </w:p>
    <w:p w14:paraId="24466D14">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1.6.1图纸的提供</w:t>
      </w:r>
    </w:p>
    <w:p w14:paraId="3CD3697D">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发包人向承包人提供图纸的期限：</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1582B65B">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发包人向承包人提供图纸的数量：</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529A81A5">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发包人向承包人提供图纸的内容：</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0C6C86D0">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1.6.4承包人文件</w:t>
      </w:r>
    </w:p>
    <w:p w14:paraId="3A7C944F">
      <w:pPr>
        <w:spacing w:line="360" w:lineRule="auto"/>
        <w:ind w:left="596" w:leftChars="284"/>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需要由承包人提供的文件，包括：</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p>
    <w:p w14:paraId="58525DC2">
      <w:pPr>
        <w:spacing w:line="360" w:lineRule="auto"/>
        <w:ind w:left="596" w:leftChars="284"/>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6AE3CB1E">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承包人提供的文件的期限为：</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3FF43077">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承包人提供的文件的数量为：</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15F414BB">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承包人提供的文件的形式为：</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4FCC190F">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w:t>
      </w:r>
      <w:r>
        <w:rPr>
          <w:rFonts w:hint="eastAsia" w:ascii="宋体" w:hAnsi="宋体"/>
          <w:color w:val="000000" w:themeColor="text1"/>
          <w:sz w:val="24"/>
          <w:szCs w:val="32"/>
          <w14:textFill>
            <w14:solidFill>
              <w14:schemeClr w14:val="tx1"/>
            </w14:solidFill>
          </w14:textFill>
        </w:rPr>
        <w:t>审批</w:t>
      </w:r>
      <w:r>
        <w:rPr>
          <w:rFonts w:ascii="宋体" w:hAnsi="宋体"/>
          <w:color w:val="000000" w:themeColor="text1"/>
          <w:sz w:val="24"/>
          <w:szCs w:val="32"/>
          <w14:textFill>
            <w14:solidFill>
              <w14:schemeClr w14:val="tx1"/>
            </w14:solidFill>
          </w14:textFill>
        </w:rPr>
        <w:t>承包人文件的期限：</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63EA2718">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1.6.5现场图纸准备</w:t>
      </w:r>
    </w:p>
    <w:p w14:paraId="28EAAAF9">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关于现场图纸准备的约定：</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w:t>
      </w:r>
    </w:p>
    <w:p w14:paraId="4DADD179">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1.7联络</w:t>
      </w:r>
    </w:p>
    <w:p w14:paraId="2049DF95">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1.7.1发包人和承包人应当在</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天内将与合同有关的通知、批准、证明、证书、指示、指令、要求、请求、同意、意见、确定和决定等书面函件送达对方当事人</w:t>
      </w:r>
      <w:r>
        <w:rPr>
          <w:rFonts w:hint="eastAsia" w:ascii="宋体" w:hAnsi="宋体"/>
          <w:color w:val="000000" w:themeColor="text1"/>
          <w:kern w:val="0"/>
          <w:sz w:val="24"/>
          <w:szCs w:val="32"/>
          <w14:textFill>
            <w14:solidFill>
              <w14:schemeClr w14:val="tx1"/>
            </w14:solidFill>
          </w14:textFill>
        </w:rPr>
        <w:t>。</w:t>
      </w:r>
    </w:p>
    <w:p w14:paraId="4D131BB0">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1.7.2发包人接收文件的地点：</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w:t>
      </w:r>
    </w:p>
    <w:p w14:paraId="711A107E">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发包人指定的接收人为：</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w:t>
      </w:r>
    </w:p>
    <w:p w14:paraId="0FF79EA6">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承包人接收文件的地点：</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w:t>
      </w:r>
    </w:p>
    <w:p w14:paraId="298DF6EF">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承包人指定的接收人为：</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w:t>
      </w:r>
    </w:p>
    <w:p w14:paraId="4647043E">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监理人接收文件的地点：</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w:t>
      </w:r>
    </w:p>
    <w:p w14:paraId="2D7A9B10">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监理人指定的接收人为：</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w:t>
      </w:r>
    </w:p>
    <w:p w14:paraId="539B74CD">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1.10交通运输</w:t>
      </w:r>
    </w:p>
    <w:p w14:paraId="0DDCBAF6">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1.10.1出入现场的权利</w:t>
      </w:r>
    </w:p>
    <w:p w14:paraId="67FD24B7">
      <w:pPr>
        <w:spacing w:line="360" w:lineRule="auto"/>
        <w:ind w:left="596" w:leftChars="284"/>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关于出入现场的权利的约定：</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p>
    <w:p w14:paraId="757666E8">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1.10.3场内交通</w:t>
      </w:r>
    </w:p>
    <w:p w14:paraId="5A56B7BC">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关于场外交通和场内交通的边界的约定：</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4BD37F0A">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关于发包人向承包人免费提供满足工程施工需要的场内道路和交通设施的约定：</w:t>
      </w:r>
      <w:r>
        <w:rPr>
          <w:rFonts w:ascii="宋体" w:hAnsi="宋体"/>
          <w:color w:val="000000" w:themeColor="text1"/>
          <w:sz w:val="24"/>
          <w:szCs w:val="32"/>
          <w:u w:val="single"/>
          <w14:textFill>
            <w14:solidFill>
              <w14:schemeClr w14:val="tx1"/>
            </w14:solidFill>
          </w14:textFill>
        </w:rPr>
        <w:t> 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0BBD7103">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1.10.4超大件和超重件的运输</w:t>
      </w:r>
    </w:p>
    <w:p w14:paraId="7DA5336A">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运输超大件或超重件所需的道路和桥梁临时加固改造费用和其他有关费用由</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承担。</w:t>
      </w:r>
    </w:p>
    <w:p w14:paraId="45B2539B">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1.11知识产权</w:t>
      </w:r>
    </w:p>
    <w:p w14:paraId="653E42F0">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1.11.1关于发包人提供给承包人的图纸、发包人为实施工程自行编制或委托编制的技术规范以及反映发包人关于合同要求或其他类似性质的文件的著作权的归属：</w:t>
      </w:r>
      <w:r>
        <w:rPr>
          <w:rFonts w:ascii="宋体" w:hAnsi="宋体"/>
          <w:color w:val="000000" w:themeColor="text1"/>
          <w:sz w:val="24"/>
          <w:szCs w:val="32"/>
          <w:u w:val="single"/>
          <w14:textFill>
            <w14:solidFill>
              <w14:schemeClr w14:val="tx1"/>
            </w14:solidFill>
          </w14:textFill>
        </w:rPr>
        <w:t>                     </w:t>
      </w:r>
    </w:p>
    <w:p w14:paraId="209AE507">
      <w:pPr>
        <w:spacing w:line="360" w:lineRule="auto"/>
        <w:ind w:left="596" w:leftChars="284"/>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关于发包人提供的上述文件的使用限制的要求：</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71511056">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 xml:space="preserve">1.11.2关于承包人为实施工程所编制文件的著作权的归属：          </w:t>
      </w:r>
      <w:r>
        <w:rPr>
          <w:rFonts w:hint="eastAsia" w:ascii="宋体" w:hAnsi="宋体"/>
          <w:color w:val="000000" w:themeColor="text1"/>
          <w:kern w:val="0"/>
          <w:sz w:val="24"/>
          <w:szCs w:val="32"/>
          <w14:textFill>
            <w14:solidFill>
              <w14:schemeClr w14:val="tx1"/>
            </w14:solidFill>
          </w14:textFill>
        </w:rPr>
        <w:t xml:space="preserve">  </w:t>
      </w:r>
    </w:p>
    <w:p w14:paraId="4DECA86E">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关于承包人提供的上述文件的使用限制的要求：</w:t>
      </w:r>
      <w:r>
        <w:rPr>
          <w:rFonts w:ascii="宋体" w:hAnsi="宋体"/>
          <w:color w:val="000000" w:themeColor="text1"/>
          <w:sz w:val="24"/>
          <w:szCs w:val="32"/>
          <w:u w:val="single"/>
          <w14:textFill>
            <w14:solidFill>
              <w14:schemeClr w14:val="tx1"/>
            </w14:solidFill>
          </w14:textFill>
        </w:rPr>
        <w:t>   </w:t>
      </w:r>
    </w:p>
    <w:p w14:paraId="0B06611A">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1.11.4承包人在施工过程中所采用的专利、专有技术、技术秘密的使用费的承担方式：</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ascii="宋体" w:hAnsi="宋体"/>
          <w:color w:val="000000" w:themeColor="text1"/>
          <w:kern w:val="0"/>
          <w:sz w:val="24"/>
          <w:szCs w:val="32"/>
          <w14:textFill>
            <w14:solidFill>
              <w14:schemeClr w14:val="tx1"/>
            </w14:solidFill>
          </w14:textFill>
        </w:rPr>
        <w:t xml:space="preserve"> 。</w:t>
      </w:r>
    </w:p>
    <w:p w14:paraId="0EC7CD75">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1.13工程量清单错误的修正</w:t>
      </w:r>
    </w:p>
    <w:p w14:paraId="2221BF06">
      <w:pPr>
        <w:spacing w:line="360" w:lineRule="auto"/>
        <w:ind w:firstLine="480" w:firstLineChars="200"/>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出现工程量清单错误时，是否调整合同价格：</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ascii="宋体" w:hAnsi="宋体"/>
          <w:color w:val="000000" w:themeColor="text1"/>
          <w:kern w:val="0"/>
          <w:sz w:val="24"/>
          <w:szCs w:val="32"/>
          <w14:textFill>
            <w14:solidFill>
              <w14:schemeClr w14:val="tx1"/>
            </w14:solidFill>
          </w14:textFill>
        </w:rPr>
        <w:t>。</w:t>
      </w:r>
    </w:p>
    <w:p w14:paraId="03AA0188">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允许调整合同价格的工程量偏差范围：</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2C09624C">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2.发包人</w:t>
      </w:r>
    </w:p>
    <w:p w14:paraId="7F0CD7AB">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2.2发包人代表</w:t>
      </w:r>
    </w:p>
    <w:p w14:paraId="2ABAC810">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发包人代表：</w:t>
      </w:r>
    </w:p>
    <w:p w14:paraId="5A99DAEA">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姓    名：</w:t>
      </w:r>
      <w:r>
        <w:rPr>
          <w:rFonts w:ascii="宋体" w:hAnsi="宋体"/>
          <w:color w:val="000000" w:themeColor="text1"/>
          <w:sz w:val="24"/>
          <w:szCs w:val="32"/>
          <w:u w:val="single"/>
          <w14:textFill>
            <w14:solidFill>
              <w14:schemeClr w14:val="tx1"/>
            </w14:solidFill>
          </w14:textFill>
        </w:rPr>
        <w:t xml:space="preserve">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5B701953">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身份证号：</w:t>
      </w:r>
      <w:r>
        <w:rPr>
          <w:rFonts w:ascii="宋体" w:hAnsi="宋体"/>
          <w:color w:val="000000" w:themeColor="text1"/>
          <w:sz w:val="24"/>
          <w:szCs w:val="32"/>
          <w:u w:val="single"/>
          <w14:textFill>
            <w14:solidFill>
              <w14:schemeClr w14:val="tx1"/>
            </w14:solidFill>
          </w14:textFill>
        </w:rPr>
        <w:t xml:space="preserve">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6886894">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职    务：</w:t>
      </w:r>
      <w:r>
        <w:rPr>
          <w:rFonts w:ascii="宋体" w:hAnsi="宋体"/>
          <w:color w:val="000000" w:themeColor="text1"/>
          <w:sz w:val="24"/>
          <w:szCs w:val="32"/>
          <w:u w:val="single"/>
          <w14:textFill>
            <w14:solidFill>
              <w14:schemeClr w14:val="tx1"/>
            </w14:solidFill>
          </w14:textFill>
        </w:rPr>
        <w:t>    </w:t>
      </w:r>
      <w:r>
        <w:rPr>
          <w:rFonts w:ascii="宋体" w:hAnsi="宋体"/>
          <w:color w:val="000000" w:themeColor="text1"/>
          <w:sz w:val="24"/>
          <w:szCs w:val="32"/>
          <w14:textFill>
            <w14:solidFill>
              <w14:schemeClr w14:val="tx1"/>
            </w14:solidFill>
          </w14:textFill>
        </w:rPr>
        <w:t>；</w:t>
      </w:r>
    </w:p>
    <w:p w14:paraId="6A20F764">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联系电话：</w:t>
      </w:r>
      <w:r>
        <w:rPr>
          <w:rFonts w:ascii="宋体" w:hAnsi="宋体"/>
          <w:color w:val="000000" w:themeColor="text1"/>
          <w:sz w:val="24"/>
          <w:szCs w:val="32"/>
          <w:u w:val="single"/>
          <w14:textFill>
            <w14:solidFill>
              <w14:schemeClr w14:val="tx1"/>
            </w14:solidFill>
          </w14:textFill>
        </w:rPr>
        <w:t>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0DBF9A76">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电子信箱：</w:t>
      </w:r>
      <w:r>
        <w:rPr>
          <w:rFonts w:ascii="宋体" w:hAnsi="宋体"/>
          <w:color w:val="000000" w:themeColor="text1"/>
          <w:sz w:val="24"/>
          <w:szCs w:val="32"/>
          <w:u w:val="single"/>
          <w14:textFill>
            <w14:solidFill>
              <w14:schemeClr w14:val="tx1"/>
            </w14:solidFill>
          </w14:textFill>
        </w:rPr>
        <w:t>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0A956043">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通信地址：</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ascii="宋体" w:hAnsi="宋体"/>
          <w:color w:val="000000" w:themeColor="text1"/>
          <w:sz w:val="24"/>
          <w:szCs w:val="32"/>
          <w14:textFill>
            <w14:solidFill>
              <w14:schemeClr w14:val="tx1"/>
            </w14:solidFill>
          </w14:textFill>
        </w:rPr>
        <w:t>。</w:t>
      </w:r>
    </w:p>
    <w:p w14:paraId="1F9A9115">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发包人对发包人代表的授权范围如下：</w:t>
      </w:r>
      <w:r>
        <w:rPr>
          <w:rFonts w:ascii="宋体" w:hAnsi="宋体"/>
          <w:color w:val="000000" w:themeColor="text1"/>
          <w:sz w:val="24"/>
          <w:szCs w:val="32"/>
          <w:u w:val="single"/>
          <w14:textFill>
            <w14:solidFill>
              <w14:schemeClr w14:val="tx1"/>
            </w14:solidFill>
          </w14:textFill>
        </w:rPr>
        <w:t>     </w:t>
      </w:r>
    </w:p>
    <w:p w14:paraId="07BC8296">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2.4施工现场、施工条件和基础资料的提供</w:t>
      </w:r>
    </w:p>
    <w:p w14:paraId="65EA718F">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2.4.1提供施工现场</w:t>
      </w:r>
    </w:p>
    <w:p w14:paraId="6E135636">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关于发包人移交施工现场的期限要求：</w:t>
      </w:r>
      <w:r>
        <w:rPr>
          <w:rFonts w:ascii="宋体" w:hAnsi="宋体"/>
          <w:color w:val="000000" w:themeColor="text1"/>
          <w:sz w:val="24"/>
          <w:szCs w:val="32"/>
          <w:u w:val="single"/>
          <w14:textFill>
            <w14:solidFill>
              <w14:schemeClr w14:val="tx1"/>
            </w14:solidFill>
          </w14:textFill>
        </w:rPr>
        <w:t xml:space="preserve">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ascii="宋体" w:hAnsi="宋体"/>
          <w:color w:val="000000" w:themeColor="text1"/>
          <w:sz w:val="24"/>
          <w:szCs w:val="32"/>
          <w14:textFill>
            <w14:solidFill>
              <w14:schemeClr w14:val="tx1"/>
            </w14:solidFill>
          </w14:textFill>
        </w:rPr>
        <w:t>。</w:t>
      </w:r>
    </w:p>
    <w:p w14:paraId="76DF3898">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2.4.2提供施工条件</w:t>
      </w:r>
    </w:p>
    <w:p w14:paraId="6C8B1D78">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关于发包人应负责提供施工</w:t>
      </w:r>
      <w:r>
        <w:rPr>
          <w:rFonts w:hint="eastAsia" w:ascii="宋体" w:hAnsi="宋体"/>
          <w:color w:val="000000" w:themeColor="text1"/>
          <w:sz w:val="24"/>
          <w:szCs w:val="32"/>
          <w14:textFill>
            <w14:solidFill>
              <w14:schemeClr w14:val="tx1"/>
            </w14:solidFill>
          </w14:textFill>
        </w:rPr>
        <w:t>所需要的条件，</w:t>
      </w:r>
      <w:r>
        <w:rPr>
          <w:rFonts w:ascii="宋体" w:hAnsi="宋体"/>
          <w:color w:val="000000" w:themeColor="text1"/>
          <w:sz w:val="24"/>
          <w:szCs w:val="32"/>
          <w14:textFill>
            <w14:solidFill>
              <w14:schemeClr w14:val="tx1"/>
            </w14:solidFill>
          </w14:textFill>
        </w:rPr>
        <w:t>包括：</w:t>
      </w:r>
      <w:r>
        <w:rPr>
          <w:rFonts w:ascii="宋体" w:hAnsi="宋体"/>
          <w:color w:val="000000" w:themeColor="text1"/>
          <w:sz w:val="24"/>
          <w:szCs w:val="32"/>
          <w:u w:val="single"/>
          <w14:textFill>
            <w14:solidFill>
              <w14:schemeClr w14:val="tx1"/>
            </w14:solidFill>
          </w14:textFill>
        </w:rPr>
        <w:t xml:space="preserve">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2FF68758">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2.5资金来源证明及支付担保</w:t>
      </w:r>
    </w:p>
    <w:p w14:paraId="1FB31376">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发包人提供资金来源证明的期限要求：</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33FE5D33">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发包人是否提供支付担保：</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ascii="宋体" w:hAnsi="宋体"/>
          <w:color w:val="000000" w:themeColor="text1"/>
          <w:sz w:val="24"/>
          <w:szCs w:val="32"/>
          <w14:textFill>
            <w14:solidFill>
              <w14:schemeClr w14:val="tx1"/>
            </w14:solidFill>
          </w14:textFill>
        </w:rPr>
        <w:t>。</w:t>
      </w:r>
    </w:p>
    <w:p w14:paraId="404A445F">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发包人提供支付担保的形式：</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C2DB7FD">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3.承包人</w:t>
      </w:r>
    </w:p>
    <w:p w14:paraId="00F8700E">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3.1承包人的一般义务</w:t>
      </w:r>
    </w:p>
    <w:p w14:paraId="55EF8866">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w:t>
      </w:r>
      <w:r>
        <w:rPr>
          <w:rFonts w:hint="eastAsia" w:ascii="宋体" w:hAnsi="宋体"/>
          <w:color w:val="000000" w:themeColor="text1"/>
          <w:kern w:val="0"/>
          <w:sz w:val="24"/>
          <w:szCs w:val="32"/>
          <w14:textFill>
            <w14:solidFill>
              <w14:schemeClr w14:val="tx1"/>
            </w14:solidFill>
          </w14:textFill>
        </w:rPr>
        <w:t>9</w:t>
      </w:r>
      <w:r>
        <w:rPr>
          <w:rFonts w:ascii="宋体" w:hAnsi="宋体"/>
          <w:color w:val="000000" w:themeColor="text1"/>
          <w:kern w:val="0"/>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承包人提交的竣工资料的内容：</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 xml:space="preserve"> </w:t>
      </w:r>
    </w:p>
    <w:p w14:paraId="61509D8D">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承包人需要提交的竣工资料套数：</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6CB9101F">
      <w:pPr>
        <w:spacing w:line="360" w:lineRule="auto"/>
        <w:ind w:left="638" w:leftChars="304"/>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承包人提交的竣工资料的费用承担：</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12AC76AA">
      <w:pPr>
        <w:spacing w:line="360" w:lineRule="auto"/>
        <w:ind w:left="638" w:leftChars="304"/>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承包人提交的竣工资料移交时间：</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D5125E8">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承包人提交的竣工资料形式要求：</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2D28206E">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w:t>
      </w:r>
      <w:r>
        <w:rPr>
          <w:rFonts w:hint="eastAsia" w:ascii="宋体" w:hAnsi="宋体"/>
          <w:color w:val="000000" w:themeColor="text1"/>
          <w:kern w:val="0"/>
          <w:sz w:val="24"/>
          <w:szCs w:val="32"/>
          <w14:textFill>
            <w14:solidFill>
              <w14:schemeClr w14:val="tx1"/>
            </w14:solidFill>
          </w14:textFill>
        </w:rPr>
        <w:t>10</w:t>
      </w:r>
      <w:r>
        <w:rPr>
          <w:rFonts w:ascii="宋体" w:hAnsi="宋体"/>
          <w:color w:val="000000" w:themeColor="text1"/>
          <w:kern w:val="0"/>
          <w:sz w:val="24"/>
          <w:szCs w:val="32"/>
          <w14:textFill>
            <w14:solidFill>
              <w14:schemeClr w14:val="tx1"/>
            </w14:solidFill>
          </w14:textFill>
        </w:rPr>
        <w:t>）承包人应履行的其他义务：</w:t>
      </w:r>
      <w:r>
        <w:rPr>
          <w:rFonts w:ascii="宋体" w:hAnsi="宋体"/>
          <w:color w:val="000000" w:themeColor="text1"/>
          <w:sz w:val="24"/>
          <w:szCs w:val="32"/>
          <w:u w:val="single"/>
          <w14:textFill>
            <w14:solidFill>
              <w14:schemeClr w14:val="tx1"/>
            </w14:solidFill>
          </w14:textFill>
        </w:rPr>
        <w:t xml:space="preserve">               </w:t>
      </w:r>
    </w:p>
    <w:p w14:paraId="7770EC35">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3.2项目经理</w:t>
      </w:r>
    </w:p>
    <w:p w14:paraId="42229BB3">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3.2.1</w:t>
      </w:r>
      <w:r>
        <w:rPr>
          <w:rFonts w:ascii="宋体" w:hAnsi="宋体"/>
          <w:color w:val="000000" w:themeColor="text1"/>
          <w:sz w:val="24"/>
          <w:szCs w:val="32"/>
          <w14:textFill>
            <w14:solidFill>
              <w14:schemeClr w14:val="tx1"/>
            </w14:solidFill>
          </w14:textFill>
        </w:rPr>
        <w:t>项目经理：</w:t>
      </w:r>
    </w:p>
    <w:p w14:paraId="44BBF1FA">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姓    名：</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793ED663">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身份证号：</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7AB39A9C">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建造师执业资格等级：</w:t>
      </w:r>
      <w:r>
        <w:rPr>
          <w:rFonts w:ascii="宋体" w:hAnsi="宋体"/>
          <w:color w:val="000000" w:themeColor="text1"/>
          <w:sz w:val="24"/>
          <w:szCs w:val="32"/>
          <w:u w:val="single"/>
          <w14:textFill>
            <w14:solidFill>
              <w14:schemeClr w14:val="tx1"/>
            </w14:solidFill>
          </w14:textFill>
        </w:rPr>
        <w:t>   </w:t>
      </w:r>
      <w:r>
        <w:rPr>
          <w:rFonts w:ascii="宋体" w:hAnsi="宋体"/>
          <w:color w:val="000000" w:themeColor="text1"/>
          <w:sz w:val="24"/>
          <w:szCs w:val="32"/>
          <w14:textFill>
            <w14:solidFill>
              <w14:schemeClr w14:val="tx1"/>
            </w14:solidFill>
          </w14:textFill>
        </w:rPr>
        <w:t>；</w:t>
      </w:r>
    </w:p>
    <w:p w14:paraId="573F3C3F">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建造师注册证书号：</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2FF7142E">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建造师执业印章号：</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34CDF3A4">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安全生产考核合格证书号：</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5C08A6A1">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联系电话：</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52ED5657">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电子信箱：</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76161800">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通信地址：</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48A3B461">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承包人对项目经理的授权范围如下：</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p>
    <w:p w14:paraId="4B4BDB28">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关于项目经理每月在施工现场的时间要求：</w:t>
      </w:r>
      <w:r>
        <w:rPr>
          <w:rFonts w:ascii="宋体" w:hAnsi="宋体"/>
          <w:color w:val="000000" w:themeColor="text1"/>
          <w:sz w:val="24"/>
          <w:szCs w:val="32"/>
          <w:u w:val="single"/>
          <w14:textFill>
            <w14:solidFill>
              <w14:schemeClr w14:val="tx1"/>
            </w14:solidFill>
          </w14:textFill>
        </w:rPr>
        <w:t xml:space="preserve">            </w:t>
      </w:r>
    </w:p>
    <w:p w14:paraId="38237947">
      <w:pPr>
        <w:spacing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承包人未提交劳动合同，以及没有为项目经理缴纳社会保险证明的违约责任：</w:t>
      </w:r>
      <w:r>
        <w:rPr>
          <w:rFonts w:ascii="宋体" w:hAnsi="宋体"/>
          <w:color w:val="000000" w:themeColor="text1"/>
          <w:sz w:val="24"/>
          <w:szCs w:val="32"/>
          <w:u w:val="single"/>
          <w14:textFill>
            <w14:solidFill>
              <w14:schemeClr w14:val="tx1"/>
            </w14:solidFill>
          </w14:textFill>
        </w:rPr>
        <w:t xml:space="preserve">               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43F07A46">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项目经理未经批准，擅自离开施工现场的违约责任：</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w:t>
      </w:r>
      <w:r>
        <w:rPr>
          <w:rFonts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7B8FB554">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3.2.3 承包人擅自更换项目经理的违约责任：</w:t>
      </w:r>
      <w:r>
        <w:rPr>
          <w:rFonts w:ascii="宋体" w:hAnsi="宋体"/>
          <w:color w:val="000000" w:themeColor="text1"/>
          <w:sz w:val="24"/>
          <w:szCs w:val="32"/>
          <w:u w:val="single"/>
          <w14:textFill>
            <w14:solidFill>
              <w14:schemeClr w14:val="tx1"/>
            </w14:solidFill>
          </w14:textFill>
        </w:rPr>
        <w:t xml:space="preserve">              </w:t>
      </w:r>
    </w:p>
    <w:p w14:paraId="532C58EA">
      <w:pPr>
        <w:spacing w:after="120" w:line="360" w:lineRule="auto"/>
        <w:ind w:firstLine="420" w:firstLineChars="175"/>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 xml:space="preserve">3.2.4承包人无正当理由拒绝更换项目经理的违约责任：                  </w:t>
      </w:r>
    </w:p>
    <w:p w14:paraId="675BFD85">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3.3承包人人员</w:t>
      </w:r>
    </w:p>
    <w:p w14:paraId="4F19C277">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3.3.1承包人提交项目管理机构及施工现场管理人员安排报告的期限：</w:t>
      </w:r>
      <w:r>
        <w:rPr>
          <w:rFonts w:ascii="宋体" w:hAnsi="宋体"/>
          <w:color w:val="000000" w:themeColor="text1"/>
          <w:sz w:val="24"/>
          <w:szCs w:val="32"/>
          <w:u w:val="single"/>
          <w14:textFill>
            <w14:solidFill>
              <w14:schemeClr w14:val="tx1"/>
            </w14:solidFill>
          </w14:textFill>
        </w:rPr>
        <w:t xml:space="preserve">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2A461F55">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3.3.3承包人无正当理由拒绝撤换主要施工管理人员的违约责任：</w:t>
      </w:r>
      <w:r>
        <w:rPr>
          <w:rFonts w:ascii="宋体" w:hAnsi="宋体"/>
          <w:color w:val="000000" w:themeColor="text1"/>
          <w:sz w:val="24"/>
          <w:szCs w:val="32"/>
          <w:u w:val="single"/>
          <w14:textFill>
            <w14:solidFill>
              <w14:schemeClr w14:val="tx1"/>
            </w14:solidFill>
          </w14:textFill>
        </w:rPr>
        <w:t xml:space="preserve">  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5F2CBA06">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 xml:space="preserve">3.3.4承包人主要施工管理人员离开施工现场的批准要求：   </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51E95038">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3.3.5承包人擅自更换主要施工管理人员的违约责任：</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EB75E97">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承包人主要施工管理人员擅自离开施工现场的违约责任：</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5BB4B66C">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3.5分包</w:t>
      </w:r>
    </w:p>
    <w:p w14:paraId="3EC738E8">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3.5.1分包的一般约定</w:t>
      </w:r>
    </w:p>
    <w:p w14:paraId="7BDEF6CB">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禁止分包的工程包括：</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33AEB3C5">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主体结构、关键性工作的范围：</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5033674E">
      <w:pPr>
        <w:spacing w:line="360" w:lineRule="auto"/>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 xml:space="preserve">    3.5.2分包的确定</w:t>
      </w:r>
    </w:p>
    <w:p w14:paraId="5F0EF3E6">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允许分包的专业工程包括：</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5BAFB337">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其他关于分包的约定：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7E7B3E10">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3.5.4分包合同价款</w:t>
      </w:r>
    </w:p>
    <w:p w14:paraId="5908DA08">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关于分包合同价款支付的约定：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43A1463D">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3.6工程照管与成品、半成品保护</w:t>
      </w:r>
    </w:p>
    <w:p w14:paraId="1D106A21">
      <w:pPr>
        <w:spacing w:before="120" w:after="120" w:line="360" w:lineRule="auto"/>
        <w:ind w:firstLine="480" w:firstLineChars="200"/>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承包人负责照管工程及工程相关的材料、工程设备的起始时间：</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19C430E8">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3.7履约担保</w:t>
      </w:r>
    </w:p>
    <w:p w14:paraId="1695019C">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承包人是否提供履约担保：</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6D6B8287">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承包人提供履约担保的形式（</w:t>
      </w:r>
      <w:r>
        <w:rPr>
          <w:rFonts w:hint="eastAsia" w:ascii="宋体" w:hAnsi="宋体"/>
          <w:color w:val="000000" w:themeColor="text1"/>
          <w:sz w:val="24"/>
          <w:szCs w:val="32"/>
          <w14:textFill>
            <w14:solidFill>
              <w14:schemeClr w14:val="tx1"/>
            </w14:solidFill>
          </w14:textFill>
        </w:rPr>
        <w:t>履约担保由承包人自愿选择银行保函、保险保函、融资性担保公司担保或履约保证金等任一形式，发包人不得以任何理由拒绝或限制使用</w:t>
      </w:r>
      <w:r>
        <w:rPr>
          <w:rFonts w:ascii="宋体" w:hAnsi="宋体"/>
          <w:color w:val="000000" w:themeColor="text1"/>
          <w:sz w:val="24"/>
          <w:szCs w:val="32"/>
          <w14:textFill>
            <w14:solidFill>
              <w14:schemeClr w14:val="tx1"/>
            </w14:solidFill>
          </w14:textFill>
        </w:rPr>
        <w:t>）</w:t>
      </w:r>
      <w:r>
        <w:rPr>
          <w:rFonts w:hint="eastAsia" w:ascii="宋体" w:hAnsi="宋体"/>
          <w:color w:val="000000" w:themeColor="text1"/>
          <w:sz w:val="24"/>
          <w:szCs w:val="32"/>
          <w14:textFill>
            <w14:solidFill>
              <w14:schemeClr w14:val="tx1"/>
            </w14:solidFill>
          </w14:textFill>
        </w:rPr>
        <w:t>金额及期限</w:t>
      </w:r>
      <w:r>
        <w:rPr>
          <w:rFonts w:ascii="宋体" w:hAnsi="宋体"/>
          <w:color w:val="000000" w:themeColor="text1"/>
          <w:sz w:val="24"/>
          <w:szCs w:val="32"/>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p>
    <w:p w14:paraId="507B7279">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4.监理人</w:t>
      </w:r>
    </w:p>
    <w:p w14:paraId="2AE3687F">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4.1监理人的一般规定</w:t>
      </w:r>
    </w:p>
    <w:p w14:paraId="712C901F">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关于监理人的监理内容：</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55A1FA1C">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关于监理人的监理权限：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4204DFF6">
      <w:pPr>
        <w:spacing w:line="360" w:lineRule="auto"/>
        <w:ind w:firstLine="480" w:firstLineChars="200"/>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关于监理人在施工现场的办公场所、生活场所的提供和费用承担的约定：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5010A766">
      <w:pPr>
        <w:spacing w:line="360" w:lineRule="auto"/>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29F2D563">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4.2监理人员</w:t>
      </w:r>
    </w:p>
    <w:p w14:paraId="63F10EEE">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总监理工程师：</w:t>
      </w:r>
    </w:p>
    <w:p w14:paraId="31D6A3BE">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姓    名：</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12547D5A">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职    务：</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4E59AA8E">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监理工程师注册证书号：</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60F0E0A7">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监理工程师执业印章号：</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13E7430F">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联系电话：</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2A044881">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电子信箱：</w:t>
      </w:r>
      <w:r>
        <w:rPr>
          <w:rFonts w:ascii="宋体" w:hAnsi="宋体"/>
          <w:color w:val="000000" w:themeColor="text1"/>
          <w:sz w:val="24"/>
          <w:szCs w:val="32"/>
          <w:u w:val="single"/>
          <w14:textFill>
            <w14:solidFill>
              <w14:schemeClr w14:val="tx1"/>
            </w14:solidFill>
          </w14:textFill>
        </w:rPr>
        <w:t>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w:t>
      </w:r>
      <w:r>
        <w:rPr>
          <w:rFonts w:ascii="宋体" w:hAnsi="宋体"/>
          <w:color w:val="000000" w:themeColor="text1"/>
          <w:sz w:val="24"/>
          <w:szCs w:val="32"/>
          <w14:textFill>
            <w14:solidFill>
              <w14:schemeClr w14:val="tx1"/>
            </w14:solidFill>
          </w14:textFill>
        </w:rPr>
        <w:t>；</w:t>
      </w:r>
    </w:p>
    <w:p w14:paraId="015E3D3B">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通信地址：</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 </w:t>
      </w:r>
      <w:r>
        <w:rPr>
          <w:rFonts w:ascii="宋体" w:hAnsi="宋体"/>
          <w:color w:val="000000" w:themeColor="text1"/>
          <w:sz w:val="24"/>
          <w:szCs w:val="32"/>
          <w14:textFill>
            <w14:solidFill>
              <w14:schemeClr w14:val="tx1"/>
            </w14:solidFill>
          </w14:textFill>
        </w:rPr>
        <w:t>；</w:t>
      </w:r>
    </w:p>
    <w:p w14:paraId="175FB509">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关于监理人的其他约定：</w:t>
      </w:r>
      <w:r>
        <w:rPr>
          <w:rFonts w:ascii="宋体" w:hAnsi="宋体"/>
          <w:color w:val="000000" w:themeColor="text1"/>
          <w:sz w:val="24"/>
          <w:szCs w:val="32"/>
          <w:u w:val="single"/>
          <w14:textFill>
            <w14:solidFill>
              <w14:schemeClr w14:val="tx1"/>
            </w14:solidFill>
          </w14:textFill>
        </w:rPr>
        <w:t></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 </w:t>
      </w:r>
      <w:r>
        <w:rPr>
          <w:rFonts w:ascii="宋体" w:hAnsi="宋体"/>
          <w:color w:val="000000" w:themeColor="text1"/>
          <w:sz w:val="24"/>
          <w:szCs w:val="32"/>
          <w14:textFill>
            <w14:solidFill>
              <w14:schemeClr w14:val="tx1"/>
            </w14:solidFill>
          </w14:textFill>
        </w:rPr>
        <w:t>。</w:t>
      </w:r>
    </w:p>
    <w:p w14:paraId="4DB0E161">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4.4商定或确定</w:t>
      </w:r>
    </w:p>
    <w:p w14:paraId="15C313AE">
      <w:pPr>
        <w:spacing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在发包人和承包人不能通过协商达成一致意见时，发包人授权监理人对以下事项进行确定：</w:t>
      </w:r>
    </w:p>
    <w:p w14:paraId="77D6B64D">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031C9BBE">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（2）</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B8F6D8F">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（3）</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486B073B">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5.工程质量</w:t>
      </w:r>
    </w:p>
    <w:p w14:paraId="4D012BCA">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5.1质量要求</w:t>
      </w:r>
    </w:p>
    <w:p w14:paraId="40F9B78E">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5.1.</w:t>
      </w:r>
      <w:r>
        <w:rPr>
          <w:rFonts w:hint="eastAsia" w:ascii="宋体" w:hAnsi="宋体"/>
          <w:color w:val="000000" w:themeColor="text1"/>
          <w:sz w:val="24"/>
          <w:szCs w:val="32"/>
          <w14:textFill>
            <w14:solidFill>
              <w14:schemeClr w14:val="tx1"/>
            </w14:solidFill>
          </w14:textFill>
        </w:rPr>
        <w:t>1</w:t>
      </w:r>
      <w:r>
        <w:rPr>
          <w:rFonts w:ascii="宋体" w:hAnsi="宋体"/>
          <w:color w:val="000000" w:themeColor="text1"/>
          <w:sz w:val="24"/>
          <w:szCs w:val="32"/>
          <w14:textFill>
            <w14:solidFill>
              <w14:schemeClr w14:val="tx1"/>
            </w14:solidFill>
          </w14:textFill>
        </w:rPr>
        <w:t>特殊质量标准和要求：</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47038DE4">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5.1.</w:t>
      </w:r>
      <w:r>
        <w:rPr>
          <w:rFonts w:hint="eastAsia" w:ascii="宋体" w:hAnsi="宋体"/>
          <w:color w:val="000000" w:themeColor="text1"/>
          <w:kern w:val="0"/>
          <w:sz w:val="24"/>
          <w:szCs w:val="32"/>
          <w14:textFill>
            <w14:solidFill>
              <w14:schemeClr w14:val="tx1"/>
            </w14:solidFill>
          </w14:textFill>
        </w:rPr>
        <w:t>4工程质量创建目标约定</w:t>
      </w:r>
      <w:r>
        <w:rPr>
          <w:rFonts w:ascii="宋体" w:hAnsi="宋体"/>
          <w:color w:val="000000" w:themeColor="text1"/>
          <w:sz w:val="24"/>
          <w:szCs w:val="32"/>
          <w14:textFill>
            <w14:solidFill>
              <w14:schemeClr w14:val="tx1"/>
            </w14:solidFill>
          </w14:textFill>
        </w:rPr>
        <w:t>：</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6E672C5B">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超出质量创建目标的奖励：</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071D98AC">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其他奖惩约定</w:t>
      </w:r>
      <w:r>
        <w:rPr>
          <w:rFonts w:ascii="宋体" w:hAnsi="宋体"/>
          <w:color w:val="000000" w:themeColor="text1"/>
          <w:kern w:val="0"/>
          <w:sz w:val="24"/>
          <w:szCs w:val="32"/>
          <w14:textFill>
            <w14:solidFill>
              <w14:schemeClr w14:val="tx1"/>
            </w14:solidFill>
          </w14:textFill>
        </w:rPr>
        <w:t>：</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1576AA78">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5.3隐蔽工程检查</w:t>
      </w:r>
    </w:p>
    <w:p w14:paraId="047688FA">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5.3.2承包人提前通知监理人隐蔽工程检查的期限的约定：</w:t>
      </w:r>
      <w:r>
        <w:rPr>
          <w:rFonts w:ascii="宋体" w:hAnsi="宋体"/>
          <w:color w:val="000000" w:themeColor="text1"/>
          <w:sz w:val="24"/>
          <w:szCs w:val="32"/>
          <w:u w:val="single"/>
          <w14:textFill>
            <w14:solidFill>
              <w14:schemeClr w14:val="tx1"/>
            </w14:solidFill>
          </w14:textFill>
        </w:rPr>
        <w:t xml:space="preserve">    </w:t>
      </w:r>
    </w:p>
    <w:p w14:paraId="527187F5">
      <w:pPr>
        <w:spacing w:line="360" w:lineRule="auto"/>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68799120">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监理人不能按时进行检查时，应提前</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小时提交书面延期要求。</w:t>
      </w:r>
    </w:p>
    <w:p w14:paraId="1AC171A3">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关于延期最长不得超过：</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小时。</w:t>
      </w:r>
    </w:p>
    <w:p w14:paraId="0A313B1B">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6.安全文明施工与环境保护</w:t>
      </w:r>
    </w:p>
    <w:p w14:paraId="1DB539D3">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6.1安全文明施工</w:t>
      </w:r>
    </w:p>
    <w:p w14:paraId="4C782446">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6.1.1项目安全生产的达标目标及相应事项的约定：</w:t>
      </w:r>
      <w:r>
        <w:rPr>
          <w:rFonts w:ascii="宋体" w:hAnsi="宋体"/>
          <w:color w:val="000000" w:themeColor="text1"/>
          <w:sz w:val="24"/>
          <w:szCs w:val="32"/>
          <w:u w:val="single"/>
          <w14:textFill>
            <w14:solidFill>
              <w14:schemeClr w14:val="tx1"/>
            </w14:solidFill>
          </w14:textFill>
        </w:rPr>
        <w:t xml:space="preserve">         </w:t>
      </w:r>
    </w:p>
    <w:p w14:paraId="38147C5A">
      <w:pPr>
        <w:spacing w:line="360" w:lineRule="auto"/>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04F36A42">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6.1.4关于治安保卫的特别约定：</w:t>
      </w:r>
      <w:r>
        <w:rPr>
          <w:rFonts w:ascii="宋体" w:hAnsi="宋体"/>
          <w:color w:val="000000" w:themeColor="text1"/>
          <w:sz w:val="24"/>
          <w:szCs w:val="32"/>
          <w:u w:val="single"/>
          <w14:textFill>
            <w14:solidFill>
              <w14:schemeClr w14:val="tx1"/>
            </w14:solidFill>
          </w14:textFill>
        </w:rPr>
        <w:t xml:space="preserve">                         </w:t>
      </w:r>
    </w:p>
    <w:p w14:paraId="09400620">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关于编制施工场地治安管理计划的约定：</w:t>
      </w:r>
      <w:r>
        <w:rPr>
          <w:rFonts w:ascii="宋体" w:hAnsi="宋体"/>
          <w:color w:val="000000" w:themeColor="text1"/>
          <w:sz w:val="24"/>
          <w:szCs w:val="32"/>
          <w:u w:val="single"/>
          <w14:textFill>
            <w14:solidFill>
              <w14:schemeClr w14:val="tx1"/>
            </w14:solidFill>
          </w14:textFill>
        </w:rPr>
        <w:t xml:space="preserve">                  </w:t>
      </w:r>
    </w:p>
    <w:p w14:paraId="7837AA2D">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6.1.5文明施工</w:t>
      </w:r>
    </w:p>
    <w:p w14:paraId="0A88752A">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hint="eastAsia" w:ascii="宋体" w:hAnsi="宋体"/>
          <w:color w:val="000000" w:themeColor="text1"/>
          <w:sz w:val="24"/>
          <w:szCs w:val="32"/>
          <w14:textFill>
            <w14:solidFill>
              <w14:schemeClr w14:val="tx1"/>
            </w14:solidFill>
          </w14:textFill>
        </w:rPr>
        <w:t>合同当事人对文明施工的要求：</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300386A1">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6.1.6关于安全文明施工费支付比例和支付期限的约定：</w:t>
      </w:r>
      <w:r>
        <w:rPr>
          <w:rFonts w:ascii="宋体" w:hAnsi="宋体"/>
          <w:color w:val="000000" w:themeColor="text1"/>
          <w:sz w:val="24"/>
          <w:szCs w:val="32"/>
          <w:u w:val="single"/>
          <w14:textFill>
            <w14:solidFill>
              <w14:schemeClr w14:val="tx1"/>
            </w14:solidFill>
          </w14:textFill>
        </w:rPr>
        <w:t xml:space="preserve">     </w:t>
      </w:r>
    </w:p>
    <w:p w14:paraId="12509513">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6.1.7安全文明施工创建目标约定</w:t>
      </w:r>
      <w:r>
        <w:rPr>
          <w:rFonts w:ascii="宋体" w:hAnsi="宋体"/>
          <w:color w:val="000000" w:themeColor="text1"/>
          <w:sz w:val="24"/>
          <w:szCs w:val="32"/>
          <w14:textFill>
            <w14:solidFill>
              <w14:schemeClr w14:val="tx1"/>
            </w14:solidFill>
          </w14:textFill>
        </w:rPr>
        <w:t>：</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3873B16D">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超出安全文明施工创建目标的奖励：</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496A6CED">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其他奖惩约定</w:t>
      </w:r>
      <w:r>
        <w:rPr>
          <w:rFonts w:ascii="宋体" w:hAnsi="宋体"/>
          <w:color w:val="000000" w:themeColor="text1"/>
          <w:kern w:val="0"/>
          <w:sz w:val="24"/>
          <w:szCs w:val="32"/>
          <w14:textFill>
            <w14:solidFill>
              <w14:schemeClr w14:val="tx1"/>
            </w14:solidFill>
          </w14:textFill>
        </w:rPr>
        <w:t>：</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12E1A122">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7.工期和进度</w:t>
      </w:r>
    </w:p>
    <w:p w14:paraId="74EF5171">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7.1施工组织设计</w:t>
      </w:r>
    </w:p>
    <w:p w14:paraId="1C144FD1">
      <w:pPr>
        <w:autoSpaceDE w:val="0"/>
        <w:autoSpaceDN w:val="0"/>
        <w:adjustRightInd w:val="0"/>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7.1.</w:t>
      </w:r>
      <w:r>
        <w:rPr>
          <w:rFonts w:hint="eastAsia" w:ascii="宋体" w:hAnsi="宋体"/>
          <w:color w:val="000000" w:themeColor="text1"/>
          <w:sz w:val="24"/>
          <w:szCs w:val="32"/>
          <w14:textFill>
            <w14:solidFill>
              <w14:schemeClr w14:val="tx1"/>
            </w14:solidFill>
          </w14:textFill>
        </w:rPr>
        <w:t>1合</w:t>
      </w:r>
      <w:r>
        <w:rPr>
          <w:rFonts w:hint="eastAsia" w:ascii="宋体" w:hAnsi="宋体"/>
          <w:color w:val="000000" w:themeColor="text1"/>
          <w:kern w:val="0"/>
          <w:sz w:val="24"/>
          <w:szCs w:val="32"/>
          <w14:textFill>
            <w14:solidFill>
              <w14:schemeClr w14:val="tx1"/>
            </w14:solidFill>
          </w14:textFill>
        </w:rPr>
        <w:t>同当事人约定的</w:t>
      </w:r>
      <w:r>
        <w:rPr>
          <w:rFonts w:ascii="宋体" w:hAnsi="宋体"/>
          <w:color w:val="000000" w:themeColor="text1"/>
          <w:kern w:val="0"/>
          <w:sz w:val="24"/>
          <w:szCs w:val="32"/>
          <w14:textFill>
            <w14:solidFill>
              <w14:schemeClr w14:val="tx1"/>
            </w14:solidFill>
          </w14:textFill>
        </w:rPr>
        <w:t>施工组织设计</w:t>
      </w:r>
      <w:r>
        <w:rPr>
          <w:rFonts w:hint="eastAsia" w:ascii="宋体" w:hAnsi="宋体"/>
          <w:color w:val="000000" w:themeColor="text1"/>
          <w:kern w:val="0"/>
          <w:sz w:val="24"/>
          <w:szCs w:val="32"/>
          <w14:textFill>
            <w14:solidFill>
              <w14:schemeClr w14:val="tx1"/>
            </w14:solidFill>
          </w14:textFill>
        </w:rPr>
        <w:t>应包括的其他内容</w:t>
      </w:r>
      <w:r>
        <w:rPr>
          <w:rFonts w:ascii="宋体" w:hAnsi="宋体"/>
          <w:color w:val="000000" w:themeColor="text1"/>
          <w:kern w:val="0"/>
          <w:sz w:val="24"/>
          <w:szCs w:val="32"/>
          <w14:textFill>
            <w14:solidFill>
              <w14:schemeClr w14:val="tx1"/>
            </w14:solidFill>
          </w14:textFill>
        </w:rPr>
        <w:t>：</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5246D0D4">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7.1.2</w:t>
      </w:r>
      <w:r>
        <w:rPr>
          <w:rFonts w:ascii="宋体" w:hAnsi="宋体"/>
          <w:color w:val="000000" w:themeColor="text1"/>
          <w:kern w:val="0"/>
          <w:sz w:val="24"/>
          <w:szCs w:val="32"/>
          <w14:textFill>
            <w14:solidFill>
              <w14:schemeClr w14:val="tx1"/>
            </w14:solidFill>
          </w14:textFill>
        </w:rPr>
        <w:t>施工组织设计的提交和修改</w:t>
      </w:r>
    </w:p>
    <w:p w14:paraId="01C62EEF">
      <w:pPr>
        <w:autoSpaceDE w:val="0"/>
        <w:autoSpaceDN w:val="0"/>
        <w:adjustRightInd w:val="0"/>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承包人提交详细施工组织设计的期限的约定：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2B03391A">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发包人和监理人在收到</w:t>
      </w:r>
      <w:r>
        <w:rPr>
          <w:rFonts w:hint="eastAsia" w:ascii="宋体" w:hAnsi="宋体"/>
          <w:color w:val="000000" w:themeColor="text1"/>
          <w:sz w:val="24"/>
          <w:szCs w:val="32"/>
          <w14:textFill>
            <w14:solidFill>
              <w14:schemeClr w14:val="tx1"/>
            </w14:solidFill>
          </w14:textFill>
        </w:rPr>
        <w:t>详细的施工组织设计</w:t>
      </w:r>
      <w:r>
        <w:rPr>
          <w:rFonts w:ascii="宋体" w:hAnsi="宋体"/>
          <w:color w:val="000000" w:themeColor="text1"/>
          <w:sz w:val="24"/>
          <w:szCs w:val="32"/>
          <w14:textFill>
            <w14:solidFill>
              <w14:schemeClr w14:val="tx1"/>
            </w14:solidFill>
          </w14:textFill>
        </w:rPr>
        <w:t>后确认或提出修改意见的期限：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35B26FB8">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7.2施工进度计划</w:t>
      </w:r>
    </w:p>
    <w:p w14:paraId="1974A516">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7.2.2施工进度计划的修订</w:t>
      </w:r>
    </w:p>
    <w:p w14:paraId="2AEDFC29">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发包人和监理人在收到修订的施工进度计划后确认或提出修改意见的期限：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06EF6918">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7.3开工</w:t>
      </w:r>
    </w:p>
    <w:p w14:paraId="299F7A0A">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7.3.1开工准备</w:t>
      </w:r>
    </w:p>
    <w:p w14:paraId="66198D93">
      <w:pPr>
        <w:spacing w:line="360" w:lineRule="auto"/>
        <w:ind w:firstLine="645"/>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关于承包人提交</w:t>
      </w:r>
      <w:r>
        <w:rPr>
          <w:rFonts w:ascii="宋体" w:hAnsi="宋体"/>
          <w:color w:val="000000" w:themeColor="text1"/>
          <w:kern w:val="0"/>
          <w:sz w:val="24"/>
          <w:szCs w:val="32"/>
          <w14:textFill>
            <w14:solidFill>
              <w14:schemeClr w14:val="tx1"/>
            </w14:solidFill>
          </w14:textFill>
        </w:rPr>
        <w:t>工程开工报审表的期限：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D59263A">
      <w:pPr>
        <w:spacing w:line="360" w:lineRule="auto"/>
        <w:ind w:firstLine="645"/>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关于发包人应完成的其他开工准备工作及期限：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601C7980">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关于承包人应完成的其他开工准备工作及期限：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3F6E1C36">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7.3.2开工通知</w:t>
      </w:r>
    </w:p>
    <w:p w14:paraId="7E3D0EFE">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因发包人原因造成监理人未能在计划开工日期之日起</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天内发出开工通知的，承包人有权提出价格调整要求，或者解除合同。</w:t>
      </w:r>
    </w:p>
    <w:p w14:paraId="07751C24">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7.4测量放线</w:t>
      </w:r>
    </w:p>
    <w:p w14:paraId="32C539EA">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7.4.1发包人通过监理人向承包人提供测量基准点、基准线和水准点及其书面资料的期限：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534B9F9F">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7.5工期延误</w:t>
      </w:r>
    </w:p>
    <w:p w14:paraId="173779E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7.5.1因发包人原因导致工期延误</w:t>
      </w:r>
    </w:p>
    <w:p w14:paraId="464C0595">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（7）因发包人原因导致工期延误的其他情形：</w:t>
      </w:r>
      <w:r>
        <w:rPr>
          <w:rFonts w:ascii="宋体" w:hAnsi="宋体"/>
          <w:color w:val="000000" w:themeColor="text1"/>
          <w:sz w:val="24"/>
          <w:szCs w:val="32"/>
          <w:u w:val="single"/>
          <w14:textFill>
            <w14:solidFill>
              <w14:schemeClr w14:val="tx1"/>
            </w14:solidFill>
          </w14:textFill>
        </w:rPr>
        <w:t xml:space="preserve">              </w:t>
      </w:r>
    </w:p>
    <w:p w14:paraId="6D7EF23A">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7.5.2因承包人原因导致工期延误</w:t>
      </w:r>
    </w:p>
    <w:p w14:paraId="3A1F97C0">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因承包人原因造成工期延误，逾期竣工违约金的计算方法为：</w:t>
      </w:r>
    </w:p>
    <w:p w14:paraId="690D842D">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因承包人原因造成工期延误，逾期竣工违约金的上限：</w:t>
      </w:r>
      <w:r>
        <w:rPr>
          <w:rFonts w:ascii="宋体" w:hAnsi="宋体"/>
          <w:color w:val="000000" w:themeColor="text1"/>
          <w:sz w:val="24"/>
          <w:szCs w:val="32"/>
          <w:u w:val="single"/>
          <w14:textFill>
            <w14:solidFill>
              <w14:schemeClr w14:val="tx1"/>
            </w14:solidFill>
          </w14:textFill>
        </w:rPr>
        <w:t xml:space="preserve">       </w:t>
      </w:r>
    </w:p>
    <w:p w14:paraId="4694B3F9">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7.6不利物质条件</w:t>
      </w:r>
    </w:p>
    <w:p w14:paraId="51C93A70">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不利物质条件的其他情形和有关约定：</w:t>
      </w:r>
      <w:r>
        <w:rPr>
          <w:rFonts w:ascii="宋体" w:hAnsi="宋体"/>
          <w:color w:val="000000" w:themeColor="text1"/>
          <w:sz w:val="24"/>
          <w:szCs w:val="32"/>
          <w:u w:val="single"/>
          <w14:textFill>
            <w14:solidFill>
              <w14:schemeClr w14:val="tx1"/>
            </w14:solidFill>
          </w14:textFill>
        </w:rPr>
        <w:t xml:space="preserve">                    </w:t>
      </w:r>
    </w:p>
    <w:p w14:paraId="2FD3B281">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7.7异常恶劣的气候条件</w:t>
      </w:r>
    </w:p>
    <w:p w14:paraId="6773D434">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发包人和承包人同意以下情形视为异常恶劣的气候条件：</w:t>
      </w:r>
    </w:p>
    <w:p w14:paraId="61A0CAD2">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（1）</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091C4C2">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23364AF4">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（3）</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4E62B82">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7.9提前竣工的奖励</w:t>
      </w:r>
    </w:p>
    <w:p w14:paraId="3D201542">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7.9.2提前竣工的奖励：</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12DC68B6">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8.材料与设备</w:t>
      </w:r>
    </w:p>
    <w:p w14:paraId="2CA9B887">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8.4材料与工程设备的保管与使用</w:t>
      </w:r>
    </w:p>
    <w:p w14:paraId="0618E58B">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8.4.1发包人供应的材料设备的保管费用的承担：</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042AB874">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8.6样品</w:t>
      </w:r>
    </w:p>
    <w:p w14:paraId="75F2DB08">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8.6.1</w:t>
      </w:r>
      <w:r>
        <w:rPr>
          <w:rFonts w:ascii="宋体" w:hAnsi="宋体"/>
          <w:color w:val="000000" w:themeColor="text1"/>
          <w:kern w:val="0"/>
          <w:sz w:val="24"/>
          <w:szCs w:val="32"/>
          <w14:textFill>
            <w14:solidFill>
              <w14:schemeClr w14:val="tx1"/>
            </w14:solidFill>
          </w14:textFill>
        </w:rPr>
        <w:tab/>
      </w:r>
      <w:r>
        <w:rPr>
          <w:rFonts w:ascii="宋体" w:hAnsi="宋体"/>
          <w:color w:val="000000" w:themeColor="text1"/>
          <w:kern w:val="0"/>
          <w:sz w:val="24"/>
          <w:szCs w:val="32"/>
          <w14:textFill>
            <w14:solidFill>
              <w14:schemeClr w14:val="tx1"/>
            </w14:solidFill>
          </w14:textFill>
        </w:rPr>
        <w:t>样品的报送</w:t>
      </w:r>
      <w:r>
        <w:rPr>
          <w:rFonts w:hint="eastAsia" w:ascii="宋体" w:hAnsi="宋体"/>
          <w:color w:val="000000" w:themeColor="text1"/>
          <w:kern w:val="0"/>
          <w:sz w:val="24"/>
          <w:szCs w:val="32"/>
          <w14:textFill>
            <w14:solidFill>
              <w14:schemeClr w14:val="tx1"/>
            </w14:solidFill>
          </w14:textFill>
        </w:rPr>
        <w:t>与封存</w:t>
      </w:r>
    </w:p>
    <w:p w14:paraId="00C9B826">
      <w:pPr>
        <w:autoSpaceDE w:val="0"/>
        <w:autoSpaceDN w:val="0"/>
        <w:adjustRightInd w:val="0"/>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需要承包人报送样品的材料或工程设备，样品的种类、名称、规格、数量要求：</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55AA2F31">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8.8施工设备和临时设施</w:t>
      </w:r>
    </w:p>
    <w:p w14:paraId="7CE15D24">
      <w:pPr>
        <w:autoSpaceDE w:val="0"/>
        <w:autoSpaceDN w:val="0"/>
        <w:adjustRightInd w:val="0"/>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8.8.1承包人提供的施工设备和临时设施</w:t>
      </w:r>
    </w:p>
    <w:p w14:paraId="6CBF1A6C">
      <w:pPr>
        <w:autoSpaceDE w:val="0"/>
        <w:autoSpaceDN w:val="0"/>
        <w:adjustRightInd w:val="0"/>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关于修建临时设施费用承担的约定：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7A65943F">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9.试验与检验</w:t>
      </w:r>
    </w:p>
    <w:p w14:paraId="25F52E33">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9.1试验设备与试验人员</w:t>
      </w:r>
    </w:p>
    <w:p w14:paraId="49FA1100">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9.1.2 试验设备</w:t>
      </w:r>
    </w:p>
    <w:p w14:paraId="196B08DD">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施工现场需要配置的试验场所：</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3A3FD449">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施工现场需要配备的试验设备：</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3DBFD1BB">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施工现场需要具备的其他试验条件：</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02DDCB47">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9.4现场工艺试验</w:t>
      </w:r>
      <w:r>
        <w:rPr>
          <w:rFonts w:hint="eastAsia" w:ascii="宋体" w:hAnsi="宋体"/>
          <w:color w:val="000000" w:themeColor="text1"/>
          <w:sz w:val="24"/>
          <w:szCs w:val="32"/>
          <w14:textFill>
            <w14:solidFill>
              <w14:schemeClr w14:val="tx1"/>
            </w14:solidFill>
          </w14:textFill>
        </w:rPr>
        <w:t xml:space="preserve"> </w:t>
      </w:r>
    </w:p>
    <w:p w14:paraId="11CC1C31">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现场工艺试验的有关约定：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5E623C86">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10.变更</w:t>
      </w:r>
    </w:p>
    <w:p w14:paraId="79B8BE69">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10.1变更的范围</w:t>
      </w:r>
    </w:p>
    <w:p w14:paraId="3F6DCB44">
      <w:pPr>
        <w:spacing w:line="360" w:lineRule="auto"/>
        <w:ind w:firstLine="6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关于变更的范围的约定：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721BB2C3">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10.4变更估价</w:t>
      </w:r>
    </w:p>
    <w:p w14:paraId="2BA5D27C">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10.4.1变更估价原则</w:t>
      </w:r>
    </w:p>
    <w:p w14:paraId="1388AB67">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 xml:space="preserve">关于变更估价的约定: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7D244569">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10.5承包人的合理化建议</w:t>
      </w:r>
    </w:p>
    <w:p w14:paraId="7387D9C8">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监理人审查承包人合理化建议的期限：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3DBACB9C">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发包人审批承包人合理化建议的期限：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4222068C">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承包人提出的合理化建议降低了合同价格或者提高了工程经济效益的奖励的方法和金额为：</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2E6211C3">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10.7暂估价</w:t>
      </w:r>
    </w:p>
    <w:p w14:paraId="035024B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暂估价材料和工程设备的明细详见附件</w:t>
      </w:r>
      <w:r>
        <w:rPr>
          <w:rFonts w:hint="eastAsia" w:ascii="宋体" w:hAnsi="宋体"/>
          <w:color w:val="000000" w:themeColor="text1"/>
          <w:kern w:val="0"/>
          <w:sz w:val="24"/>
          <w:szCs w:val="32"/>
          <w14:textFill>
            <w14:solidFill>
              <w14:schemeClr w14:val="tx1"/>
            </w14:solidFill>
          </w14:textFill>
        </w:rPr>
        <w:t>11：《</w:t>
      </w:r>
      <w:r>
        <w:rPr>
          <w:rFonts w:ascii="宋体" w:hAnsi="宋体"/>
          <w:color w:val="000000" w:themeColor="text1"/>
          <w:sz w:val="24"/>
          <w:szCs w:val="32"/>
          <w14:textFill>
            <w14:solidFill>
              <w14:schemeClr w14:val="tx1"/>
            </w14:solidFill>
          </w14:textFill>
        </w:rPr>
        <w:t>暂估价一览表</w:t>
      </w:r>
      <w:r>
        <w:rPr>
          <w:rFonts w:hint="eastAsia" w:ascii="宋体" w:hAnsi="宋体"/>
          <w:color w:val="000000" w:themeColor="text1"/>
          <w:sz w:val="24"/>
          <w:szCs w:val="32"/>
          <w14:textFill>
            <w14:solidFill>
              <w14:schemeClr w14:val="tx1"/>
            </w14:solidFill>
          </w14:textFill>
        </w:rPr>
        <w:t>》</w:t>
      </w:r>
      <w:r>
        <w:rPr>
          <w:rFonts w:hint="eastAsia" w:ascii="宋体" w:hAnsi="宋体"/>
          <w:color w:val="000000" w:themeColor="text1"/>
          <w:kern w:val="0"/>
          <w:sz w:val="24"/>
          <w:szCs w:val="32"/>
          <w14:textFill>
            <w14:solidFill>
              <w14:schemeClr w14:val="tx1"/>
            </w14:solidFill>
          </w14:textFill>
        </w:rPr>
        <w:t>。</w:t>
      </w:r>
    </w:p>
    <w:p w14:paraId="349CF671">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10.7.1依法必须招标的暂估价项目</w:t>
      </w:r>
    </w:p>
    <w:p w14:paraId="04A719DC">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对于依法必须招标的暂估价项目的确认和批准采取第</w:t>
      </w:r>
      <w:r>
        <w:rPr>
          <w:rFonts w:ascii="宋体" w:hAnsi="宋体"/>
          <w:color w:val="000000" w:themeColor="text1"/>
          <w:sz w:val="24"/>
          <w:szCs w:val="32"/>
          <w:u w:val="single"/>
          <w14:textFill>
            <w14:solidFill>
              <w14:schemeClr w14:val="tx1"/>
            </w14:solidFill>
          </w14:textFill>
        </w:rPr>
        <w:t xml:space="preserve">    种方式确定。</w:t>
      </w:r>
    </w:p>
    <w:p w14:paraId="1997B802">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10.7.2不属于依法必须招标的暂估价项目</w:t>
      </w:r>
    </w:p>
    <w:p w14:paraId="6C7AE93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对于不属于依法必须招标的暂估价项目的确认和批准采取第</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 xml:space="preserve"> 种方式确定。</w:t>
      </w:r>
    </w:p>
    <w:p w14:paraId="42519735">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第3种方式：</w:t>
      </w:r>
      <w:r>
        <w:rPr>
          <w:rFonts w:ascii="宋体" w:hAnsi="宋体"/>
          <w:color w:val="000000" w:themeColor="text1"/>
          <w:kern w:val="0"/>
          <w:sz w:val="24"/>
          <w:szCs w:val="32"/>
          <w14:textFill>
            <w14:solidFill>
              <w14:schemeClr w14:val="tx1"/>
            </w14:solidFill>
          </w14:textFill>
        </w:rPr>
        <w:t>承包人直接实施的暂估价项目</w:t>
      </w:r>
    </w:p>
    <w:p w14:paraId="4F2296F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承包人直接实施的暂估价项目的约定：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7D061283">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10.8暂列金额</w:t>
      </w:r>
    </w:p>
    <w:p w14:paraId="6D011FCD">
      <w:pPr>
        <w:autoSpaceDE w:val="0"/>
        <w:autoSpaceDN w:val="0"/>
        <w:adjustRightInd w:val="0"/>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合同当事人关于暂列金额使用的约定：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5F2DF12F">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11.价格调整</w:t>
      </w:r>
    </w:p>
    <w:p w14:paraId="008A7FB4">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11.1 市场价格波动引起的调整</w:t>
      </w:r>
    </w:p>
    <w:p w14:paraId="5C51D7E2">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市场价格波动是否调整合同价格的约定：</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4AD3DB7C">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因市场价格波动调整合同价格，采用以下第</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种方式对合同价格进行调整：</w:t>
      </w:r>
    </w:p>
    <w:p w14:paraId="3C97F5F2">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第1种方式：采用价格指数</w:t>
      </w:r>
      <w:r>
        <w:rPr>
          <w:rFonts w:hint="eastAsia" w:ascii="宋体" w:hAnsi="宋体"/>
          <w:color w:val="000000" w:themeColor="text1"/>
          <w:sz w:val="24"/>
          <w:szCs w:val="32"/>
          <w14:textFill>
            <w14:solidFill>
              <w14:schemeClr w14:val="tx1"/>
            </w14:solidFill>
          </w14:textFill>
        </w:rPr>
        <w:t>进行价格</w:t>
      </w:r>
      <w:r>
        <w:rPr>
          <w:rFonts w:ascii="宋体" w:hAnsi="宋体"/>
          <w:color w:val="000000" w:themeColor="text1"/>
          <w:sz w:val="24"/>
          <w:szCs w:val="32"/>
          <w14:textFill>
            <w14:solidFill>
              <w14:schemeClr w14:val="tx1"/>
            </w14:solidFill>
          </w14:textFill>
        </w:rPr>
        <w:t>调整。</w:t>
      </w:r>
    </w:p>
    <w:p w14:paraId="2CC30CD9">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关于各可调因子、定值和变值权重，以及基本价格指数及其来源的约定：</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 xml:space="preserve">；  </w:t>
      </w:r>
    </w:p>
    <w:p w14:paraId="51D0A2B1">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第2种方式：采用造价信息</w:t>
      </w:r>
      <w:r>
        <w:rPr>
          <w:rFonts w:hint="eastAsia" w:ascii="宋体" w:hAnsi="宋体"/>
          <w:color w:val="000000" w:themeColor="text1"/>
          <w:sz w:val="24"/>
          <w:szCs w:val="32"/>
          <w14:textFill>
            <w14:solidFill>
              <w14:schemeClr w14:val="tx1"/>
            </w14:solidFill>
          </w14:textFill>
        </w:rPr>
        <w:t>进行价格</w:t>
      </w:r>
      <w:r>
        <w:rPr>
          <w:rFonts w:ascii="宋体" w:hAnsi="宋体"/>
          <w:color w:val="000000" w:themeColor="text1"/>
          <w:sz w:val="24"/>
          <w:szCs w:val="32"/>
          <w14:textFill>
            <w14:solidFill>
              <w14:schemeClr w14:val="tx1"/>
            </w14:solidFill>
          </w14:textFill>
        </w:rPr>
        <w:t>调整。</w:t>
      </w:r>
    </w:p>
    <w:p w14:paraId="4BFE538A">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（2）关于基准价格的约定：</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6D7BCE8">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专用合同条款</w:t>
      </w:r>
      <w:r>
        <w:rPr>
          <w:rFonts w:hint="eastAsia" w:ascii="宋体" w:hAnsi="宋体" w:cs="宋体"/>
          <w:color w:val="000000" w:themeColor="text1"/>
          <w:sz w:val="24"/>
          <w:szCs w:val="32"/>
          <w14:textFill>
            <w14:solidFill>
              <w14:schemeClr w14:val="tx1"/>
            </w14:solidFill>
          </w14:textFill>
        </w:rPr>
        <w:t>①</w:t>
      </w:r>
      <w:r>
        <w:rPr>
          <w:rFonts w:ascii="宋体" w:hAnsi="宋体"/>
          <w:color w:val="000000" w:themeColor="text1"/>
          <w:sz w:val="24"/>
          <w:szCs w:val="32"/>
          <w14:textFill>
            <w14:solidFill>
              <w14:schemeClr w14:val="tx1"/>
            </w14:solidFill>
          </w14:textFill>
        </w:rPr>
        <w:t>承包人在已标价工程量清单或预算书中载明的材料单价低于基准价格的：专用合同条款合同履行期间材料单价涨幅以基准价格为基础超过</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%时，或材料单价跌幅以已标价工程量清单或预算书中载明材料单价为基础超过</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%时，其超过部分据实调整。</w:t>
      </w:r>
    </w:p>
    <w:p w14:paraId="4D770013">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hint="eastAsia" w:ascii="宋体" w:hAnsi="宋体" w:cs="宋体"/>
          <w:color w:val="000000" w:themeColor="text1"/>
          <w:sz w:val="24"/>
          <w:szCs w:val="32"/>
          <w14:textFill>
            <w14:solidFill>
              <w14:schemeClr w14:val="tx1"/>
            </w14:solidFill>
          </w14:textFill>
        </w:rPr>
        <w:t>②承包人在已标价工程量清单或预算书中载明的材料单价高于基准价格的：专用合同条款合同履行期间材料单价跌幅以基准价格为基础超过</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%时，材料单价涨幅以已标价工程量清单或预算书中载明材料单价为基础超过</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%时，其超过部分据实调整。</w:t>
      </w:r>
    </w:p>
    <w:p w14:paraId="694AB30A">
      <w:pPr>
        <w:spacing w:line="360" w:lineRule="auto"/>
        <w:ind w:firstLine="645"/>
        <w:jc w:val="left"/>
        <w:rPr>
          <w:rFonts w:ascii="宋体" w:hAnsi="宋体"/>
          <w:color w:val="000000" w:themeColor="text1"/>
          <w:sz w:val="24"/>
          <w:szCs w:val="32"/>
          <w14:textFill>
            <w14:solidFill>
              <w14:schemeClr w14:val="tx1"/>
            </w14:solidFill>
          </w14:textFill>
        </w:rPr>
      </w:pPr>
      <w:r>
        <w:rPr>
          <w:rFonts w:hint="eastAsia" w:ascii="宋体" w:hAnsi="宋体" w:cs="宋体"/>
          <w:color w:val="000000" w:themeColor="text1"/>
          <w:sz w:val="24"/>
          <w:szCs w:val="32"/>
          <w14:textFill>
            <w14:solidFill>
              <w14:schemeClr w14:val="tx1"/>
            </w14:solidFill>
          </w14:textFill>
        </w:rPr>
        <w:t>③承包人在已标价工程量清单或预算书中载明的材料单价等于基准单价的：专用合同条款合同履行期间材料单价</w:t>
      </w:r>
      <w:r>
        <w:rPr>
          <w:rFonts w:ascii="宋体" w:hAnsi="宋体"/>
          <w:color w:val="000000" w:themeColor="text1"/>
          <w:sz w:val="24"/>
          <w:szCs w:val="32"/>
          <w14:textFill>
            <w14:solidFill>
              <w14:schemeClr w14:val="tx1"/>
            </w14:solidFill>
          </w14:textFill>
        </w:rPr>
        <w:t>涨跌幅以基准单价为基础超过±</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%时，其超过部分据实调整。</w:t>
      </w:r>
    </w:p>
    <w:p w14:paraId="71C3742D">
      <w:pPr>
        <w:spacing w:line="360" w:lineRule="auto"/>
        <w:ind w:firstLine="645"/>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第3种方式：其他价格调整方式：</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724CD19D">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12.合同价格、计量与支付</w:t>
      </w:r>
    </w:p>
    <w:p w14:paraId="08126A33">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12.1合同价格形式</w:t>
      </w:r>
    </w:p>
    <w:p w14:paraId="4580EB3D">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单价合同。</w:t>
      </w:r>
    </w:p>
    <w:p w14:paraId="7DCD4C49">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综合单价包含的风险范围：</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47F49783">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风险费用的计算方法：</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0D655456">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风险范围以外合同价格的调整方法：</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 xml:space="preserve"> </w:t>
      </w:r>
    </w:p>
    <w:p w14:paraId="03610F42">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总价合同。</w:t>
      </w:r>
    </w:p>
    <w:p w14:paraId="3D930A4E">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总价包含的风险范围：</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4CFF1612">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风险费用的计算方法：</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70FE922B">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风险范围以外合同价格的调整方法：</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 xml:space="preserve"> </w:t>
      </w:r>
    </w:p>
    <w:p w14:paraId="713A6F75">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3</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其他价格</w:t>
      </w:r>
      <w:r>
        <w:rPr>
          <w:rFonts w:hint="eastAsia" w:ascii="宋体" w:hAnsi="宋体"/>
          <w:color w:val="000000" w:themeColor="text1"/>
          <w:sz w:val="24"/>
          <w:szCs w:val="32"/>
          <w14:textFill>
            <w14:solidFill>
              <w14:schemeClr w14:val="tx1"/>
            </w14:solidFill>
          </w14:textFill>
        </w:rPr>
        <w:t>形式</w:t>
      </w:r>
      <w:r>
        <w:rPr>
          <w:rFonts w:ascii="宋体" w:hAnsi="宋体"/>
          <w:color w:val="000000" w:themeColor="text1"/>
          <w:sz w:val="24"/>
          <w:szCs w:val="32"/>
          <w14:textFill>
            <w14:solidFill>
              <w14:schemeClr w14:val="tx1"/>
            </w14:solidFill>
          </w14:textFill>
        </w:rPr>
        <w:t>：</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69D2D4D0">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12.2预付款</w:t>
      </w:r>
    </w:p>
    <w:p w14:paraId="583B0C66">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12.2.1预付款的支付</w:t>
      </w:r>
    </w:p>
    <w:p w14:paraId="6C5780EA">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预付款支付比例或金额：</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3F9855E">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预付款支付期限：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467E6ACC">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预付款扣回的方式：</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7AD3F37D">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12.2.2预付款担保</w:t>
      </w:r>
    </w:p>
    <w:p w14:paraId="30310B61">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承包人提交预付款担保的期限：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648E6393">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预付款担保的形式为：</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458EE85A">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12.3计量</w:t>
      </w:r>
    </w:p>
    <w:p w14:paraId="1674986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12.3.1计量原则</w:t>
      </w:r>
    </w:p>
    <w:p w14:paraId="12070A0D">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工程量计算规则：</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33194068">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12.3.2计量周期</w:t>
      </w:r>
    </w:p>
    <w:p w14:paraId="6AC8ABA6">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关于计量周期的约定：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2F6DDF4A">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12.3.3单价合同的计量</w:t>
      </w:r>
    </w:p>
    <w:p w14:paraId="251BE796">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关于单价合同计量的约定：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3A9026D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12.3.4总价合同的计量</w:t>
      </w:r>
    </w:p>
    <w:p w14:paraId="472E7BD7">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关于总价合同计量的约定：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5D51C55D">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12.3.5总价合同采用支付分解表计量支付的，是否适用第</w:t>
      </w:r>
      <w:r>
        <w:rPr>
          <w:rFonts w:ascii="宋体" w:hAnsi="宋体"/>
          <w:color w:val="000000" w:themeColor="text1"/>
          <w:kern w:val="0"/>
          <w:sz w:val="24"/>
          <w:szCs w:val="32"/>
          <w14:textFill>
            <w14:solidFill>
              <w14:schemeClr w14:val="tx1"/>
            </w14:solidFill>
          </w14:textFill>
        </w:rPr>
        <w:t xml:space="preserve">12.3.4 </w:t>
      </w:r>
      <w:r>
        <w:rPr>
          <w:rFonts w:ascii="宋体" w:hAnsi="宋体"/>
          <w:color w:val="000000" w:themeColor="text1"/>
          <w:sz w:val="24"/>
          <w:szCs w:val="32"/>
          <w14:textFill>
            <w14:solidFill>
              <w14:schemeClr w14:val="tx1"/>
            </w14:solidFill>
          </w14:textFill>
        </w:rPr>
        <w:t>项</w:t>
      </w:r>
      <w:r>
        <w:rPr>
          <w:rFonts w:hint="eastAsia" w:ascii="宋体" w:hAnsi="宋体"/>
          <w:color w:val="000000" w:themeColor="text1"/>
          <w:kern w:val="0"/>
          <w:sz w:val="24"/>
          <w:szCs w:val="32"/>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总价合同的计量</w:t>
      </w:r>
      <w:r>
        <w:rPr>
          <w:rFonts w:hint="eastAsia" w:ascii="宋体" w:hAnsi="宋体"/>
          <w:color w:val="000000" w:themeColor="text1"/>
          <w:kern w:val="0"/>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约定</w:t>
      </w:r>
      <w:r>
        <w:rPr>
          <w:rFonts w:hint="eastAsia" w:ascii="宋体" w:hAnsi="宋体"/>
          <w:color w:val="000000" w:themeColor="text1"/>
          <w:sz w:val="24"/>
          <w:szCs w:val="32"/>
          <w14:textFill>
            <w14:solidFill>
              <w14:schemeClr w14:val="tx1"/>
            </w14:solidFill>
          </w14:textFill>
        </w:rPr>
        <w:t>进行计量：</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250D6DF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12.3.6其他价格形式合同的计量</w:t>
      </w:r>
    </w:p>
    <w:p w14:paraId="0F401C6F">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其他价格形式的计量方式和程序：</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298F8C4B">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12.4工程进度款支付</w:t>
      </w:r>
    </w:p>
    <w:p w14:paraId="0305D50B">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12.4.1付款周期</w:t>
      </w:r>
    </w:p>
    <w:p w14:paraId="11CAB887">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关于付款周期的约定：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2915C8FF">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12.4.2进度付款申请单的编制</w:t>
      </w:r>
    </w:p>
    <w:p w14:paraId="43CCA0B9">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关于进度付款申请单编制的约定：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1C3EBAFE">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12.4.3进度付款申请单的提交</w:t>
      </w:r>
    </w:p>
    <w:p w14:paraId="2D985753">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（1）单价合同进度付款申请单提交的约定</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485AD5B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（2）总价合同进度付款申请单提交的约定</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5FC55053">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（3）其他价格形式合同进度付款申请单提交的约定：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2FA77C9C">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12.4.4进度款审核和支付</w:t>
      </w:r>
    </w:p>
    <w:p w14:paraId="47643B32">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（1）监理人审查并报送发包人的期限：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6B3FD4CA">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发包人完成审批并签发进度款支付证书的期限：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0AD32B3E">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（2）发包人支付进度款的期限：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622EA5B0">
      <w:pPr>
        <w:spacing w:line="360" w:lineRule="auto"/>
        <w:ind w:firstLine="600" w:firstLineChars="25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发包人逾期支付进度款的违约金的计算方式：</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32974BAC">
      <w:pPr>
        <w:spacing w:line="360" w:lineRule="auto"/>
        <w:ind w:firstLine="600" w:firstLineChars="25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12.4.6支付分解表的编制</w:t>
      </w:r>
    </w:p>
    <w:p w14:paraId="713ECD30">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2</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总价合同支付分解表的编制与审批：</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1152A420">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3</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单价合同的总价项目支付分解表的编制与审批：</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2A6F1281">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12.5</w:t>
      </w:r>
      <w:r>
        <w:rPr>
          <w:rFonts w:hint="eastAsia" w:ascii="宋体" w:hAnsi="宋体"/>
          <w:color w:val="000000" w:themeColor="text1"/>
          <w:sz w:val="24"/>
          <w:szCs w:val="32"/>
          <w14:textFill>
            <w14:solidFill>
              <w14:schemeClr w14:val="tx1"/>
            </w14:solidFill>
          </w14:textFill>
        </w:rPr>
        <w:t>农民工工资</w:t>
      </w:r>
    </w:p>
    <w:p w14:paraId="02259F28">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12.5.2人工费支付方式</w:t>
      </w:r>
    </w:p>
    <w:p w14:paraId="78576F29">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人工费支付采用以下第</w:t>
      </w:r>
      <w:r>
        <w:rPr>
          <w:rFonts w:hint="eastAsia"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14:textFill>
            <w14:solidFill>
              <w14:schemeClr w14:val="tx1"/>
            </w14:solidFill>
          </w14:textFill>
        </w:rPr>
        <w:t>种方式：</w:t>
      </w:r>
    </w:p>
    <w:p w14:paraId="4D50697D">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（1）一次性预付。在工程开工通知载明的开工日期前一次性将人工费（签约合同价的</w:t>
      </w:r>
      <w:r>
        <w:rPr>
          <w:rFonts w:hint="eastAsia"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14:textFill>
            <w14:solidFill>
              <w14:schemeClr w14:val="tx1"/>
            </w14:solidFill>
          </w14:textFill>
        </w:rPr>
        <w:t>%）全部支付至承包人农民工工资专用账户。</w:t>
      </w:r>
    </w:p>
    <w:p w14:paraId="20EBB90D">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（2）按月预付。在合同工期内，每月5日前将本月施工所需人工费（不低于该工程全部人工费按合同工期的月平均额）支付至承包人农民工工资专用账户。</w:t>
      </w:r>
    </w:p>
    <w:p w14:paraId="0E26FCFF">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（3）按节点预付。在分部分项工程开始施工前，将该分部分项工程施工所需人工费支付至承包人农民工工资专用账户。</w:t>
      </w:r>
    </w:p>
    <w:p w14:paraId="08C46AE0">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（4）按月支付。发包人根据承包人每月提报的已完成施工产值中的人工费清单，按月将人工费支付至承包人农民工工资专用账户。</w:t>
      </w:r>
    </w:p>
    <w:p w14:paraId="7244DB9A">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13.验收和工程试车</w:t>
      </w:r>
    </w:p>
    <w:p w14:paraId="56A9A70B">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13.1分部分项工程验收</w:t>
      </w:r>
    </w:p>
    <w:p w14:paraId="457A33D4">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13.1.2监理人不能按时进行验收时，应提前</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小时提交书面延期要求。</w:t>
      </w:r>
    </w:p>
    <w:p w14:paraId="7C2315E4">
      <w:pPr>
        <w:spacing w:line="360" w:lineRule="auto"/>
        <w:ind w:firstLine="480" w:firstLineChars="200"/>
        <w:jc w:val="left"/>
        <w:rPr>
          <w:rFonts w:ascii="宋体" w:hAnsi="宋体"/>
          <w:b/>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关于延期最长不得超过：</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小时。</w:t>
      </w:r>
    </w:p>
    <w:p w14:paraId="690BCFC6">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13.2竣工验收</w:t>
      </w:r>
    </w:p>
    <w:p w14:paraId="052EDA31">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13.2.2竣工验收程序</w:t>
      </w:r>
    </w:p>
    <w:p w14:paraId="7175358E">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关于竣工验收程序的约定：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38948BC9">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发包人不按照本项约定组织竣工验收、颁发工程接收证书的违约金的计算方法：</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35C379F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13.2.5移交、接收全部与部分工程</w:t>
      </w:r>
    </w:p>
    <w:p w14:paraId="272A80F9">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承包人向发包人移交工程的期限：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14:textFill>
            <w14:solidFill>
              <w14:schemeClr w14:val="tx1"/>
            </w14:solidFill>
          </w14:textFill>
        </w:rPr>
        <w:t>。</w:t>
      </w:r>
    </w:p>
    <w:p w14:paraId="24A2A98C">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发包人未按本合同约定接收全部或部分工程的，违约金的计算方法为：</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0F4F3894">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承包人未按时移交工程的，违约金的计算方法为：</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6D3A3BA3">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13.3工程试车</w:t>
      </w:r>
    </w:p>
    <w:p w14:paraId="6E0ECD0E">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13.3.1试车程序</w:t>
      </w:r>
    </w:p>
    <w:p w14:paraId="48DD8134">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工程试车内容：</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74B2901D">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（1）单机无负荷试车费用由</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承担；</w:t>
      </w:r>
    </w:p>
    <w:p w14:paraId="014F9BC7">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（2）无负荷联动试车费用由</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承担。</w:t>
      </w:r>
    </w:p>
    <w:p w14:paraId="6617E2DA">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13.3.3投料试车</w:t>
      </w:r>
    </w:p>
    <w:p w14:paraId="3D66C2ED">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关于投料试车相关事项的约定：</w:t>
      </w:r>
      <w:r>
        <w:rPr>
          <w:rFonts w:hint="eastAsia" w:ascii="宋体" w:hAnsi="宋体"/>
          <w:color w:val="000000" w:themeColor="text1"/>
          <w:sz w:val="24"/>
          <w:szCs w:val="32"/>
          <w:u w:val="single"/>
          <w14:textFill>
            <w14:solidFill>
              <w14:schemeClr w14:val="tx1"/>
            </w14:solidFill>
          </w14:textFill>
        </w:rPr>
        <w:t xml:space="preserve">                           </w:t>
      </w:r>
    </w:p>
    <w:p w14:paraId="2A50DB76">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13.6竣工退场</w:t>
      </w:r>
    </w:p>
    <w:p w14:paraId="7AFFFDC7">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13.6.1竣工退场</w:t>
      </w:r>
    </w:p>
    <w:p w14:paraId="49B7B92C">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承包人完成竣工退场的期限：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2847ACD2">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14.竣工结算</w:t>
      </w:r>
    </w:p>
    <w:p w14:paraId="60BDB3FA">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14.1竣工</w:t>
      </w:r>
      <w:r>
        <w:rPr>
          <w:rFonts w:hint="eastAsia" w:ascii="宋体" w:hAnsi="宋体"/>
          <w:color w:val="000000" w:themeColor="text1"/>
          <w:sz w:val="24"/>
          <w:szCs w:val="32"/>
          <w14:textFill>
            <w14:solidFill>
              <w14:schemeClr w14:val="tx1"/>
            </w14:solidFill>
          </w14:textFill>
        </w:rPr>
        <w:t>结算</w:t>
      </w:r>
      <w:r>
        <w:rPr>
          <w:rFonts w:ascii="宋体" w:hAnsi="宋体"/>
          <w:color w:val="000000" w:themeColor="text1"/>
          <w:sz w:val="24"/>
          <w:szCs w:val="32"/>
          <w14:textFill>
            <w14:solidFill>
              <w14:schemeClr w14:val="tx1"/>
            </w14:solidFill>
          </w14:textFill>
        </w:rPr>
        <w:t>申请</w:t>
      </w:r>
    </w:p>
    <w:p w14:paraId="68AE66CB">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承包人提交竣工</w:t>
      </w:r>
      <w:r>
        <w:rPr>
          <w:rFonts w:hint="eastAsia" w:ascii="宋体" w:hAnsi="宋体"/>
          <w:color w:val="000000" w:themeColor="text1"/>
          <w:sz w:val="24"/>
          <w:szCs w:val="32"/>
          <w14:textFill>
            <w14:solidFill>
              <w14:schemeClr w14:val="tx1"/>
            </w14:solidFill>
          </w14:textFill>
        </w:rPr>
        <w:t>结算</w:t>
      </w:r>
      <w:r>
        <w:rPr>
          <w:rFonts w:ascii="宋体" w:hAnsi="宋体"/>
          <w:color w:val="000000" w:themeColor="text1"/>
          <w:sz w:val="24"/>
          <w:szCs w:val="32"/>
          <w14:textFill>
            <w14:solidFill>
              <w14:schemeClr w14:val="tx1"/>
            </w14:solidFill>
          </w14:textFill>
        </w:rPr>
        <w:t>申请单的期限：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05AA65F2">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竣工</w:t>
      </w:r>
      <w:r>
        <w:rPr>
          <w:rFonts w:hint="eastAsia" w:ascii="宋体" w:hAnsi="宋体"/>
          <w:color w:val="000000" w:themeColor="text1"/>
          <w:sz w:val="24"/>
          <w:szCs w:val="32"/>
          <w14:textFill>
            <w14:solidFill>
              <w14:schemeClr w14:val="tx1"/>
            </w14:solidFill>
          </w14:textFill>
        </w:rPr>
        <w:t>结算</w:t>
      </w:r>
      <w:r>
        <w:rPr>
          <w:rFonts w:ascii="宋体" w:hAnsi="宋体"/>
          <w:color w:val="000000" w:themeColor="text1"/>
          <w:sz w:val="24"/>
          <w:szCs w:val="32"/>
          <w14:textFill>
            <w14:solidFill>
              <w14:schemeClr w14:val="tx1"/>
            </w14:solidFill>
          </w14:textFill>
        </w:rPr>
        <w:t>申请单应包括的内容：</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7515B37A">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14.2竣工结算审核</w:t>
      </w:r>
    </w:p>
    <w:p w14:paraId="5C9342DC">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w:t>
      </w:r>
      <w:r>
        <w:rPr>
          <w:rFonts w:hint="eastAsia" w:ascii="宋体" w:hAnsi="宋体"/>
          <w:color w:val="000000" w:themeColor="text1"/>
          <w:sz w:val="24"/>
          <w:szCs w:val="32"/>
          <w14:textFill>
            <w14:solidFill>
              <w14:schemeClr w14:val="tx1"/>
            </w14:solidFill>
          </w14:textFill>
        </w:rPr>
        <w:t>审批</w:t>
      </w:r>
      <w:r>
        <w:rPr>
          <w:rFonts w:ascii="宋体" w:hAnsi="宋体"/>
          <w:color w:val="000000" w:themeColor="text1"/>
          <w:sz w:val="24"/>
          <w:szCs w:val="32"/>
          <w14:textFill>
            <w14:solidFill>
              <w14:schemeClr w14:val="tx1"/>
            </w14:solidFill>
          </w14:textFill>
        </w:rPr>
        <w:t>竣工付款申请单的期限：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1878CF5C">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发包人完成竣工付款的期限：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6DB7C34D">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hint="eastAsia" w:ascii="宋体" w:hAnsi="宋体"/>
          <w:color w:val="000000" w:themeColor="text1"/>
          <w:sz w:val="24"/>
          <w:szCs w:val="32"/>
          <w14:textFill>
            <w14:solidFill>
              <w14:schemeClr w14:val="tx1"/>
            </w14:solidFill>
          </w14:textFill>
        </w:rPr>
        <w:t>关于竣工付款证书异议部分复核的方式和程序：</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3DCC5ABB">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14.5最终结清</w:t>
      </w:r>
    </w:p>
    <w:p w14:paraId="63C19837">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14.5.1最终结清申请单</w:t>
      </w:r>
    </w:p>
    <w:p w14:paraId="14F95F7C">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承包人提交最终结清申请单的份数：</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3DD0C1EF">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承包人提交最终结算申请单的期限：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 xml:space="preserve">。 </w:t>
      </w:r>
    </w:p>
    <w:p w14:paraId="0CACB5E9">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14.5.2最终结清证书和支付</w:t>
      </w:r>
    </w:p>
    <w:p w14:paraId="58CB5514">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（1）发包人完成最终结清申请单的</w:t>
      </w:r>
      <w:r>
        <w:rPr>
          <w:rFonts w:hint="eastAsia" w:ascii="宋体" w:hAnsi="宋体"/>
          <w:color w:val="000000" w:themeColor="text1"/>
          <w:sz w:val="24"/>
          <w:szCs w:val="32"/>
          <w14:textFill>
            <w14:solidFill>
              <w14:schemeClr w14:val="tx1"/>
            </w14:solidFill>
          </w14:textFill>
        </w:rPr>
        <w:t>审批</w:t>
      </w:r>
      <w:r>
        <w:rPr>
          <w:rFonts w:ascii="宋体" w:hAnsi="宋体"/>
          <w:color w:val="000000" w:themeColor="text1"/>
          <w:sz w:val="24"/>
          <w:szCs w:val="32"/>
          <w14:textFill>
            <w14:solidFill>
              <w14:schemeClr w14:val="tx1"/>
            </w14:solidFill>
          </w14:textFill>
        </w:rPr>
        <w:t>并颁发最终结清证书的期限：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0B8BCB44">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（2）发包人完成支付的期限：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0D01B1DE">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15.缺陷责任期与保修</w:t>
      </w:r>
    </w:p>
    <w:p w14:paraId="1511540A">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15.2缺陷责任期</w:t>
      </w:r>
    </w:p>
    <w:p w14:paraId="54D1B48F">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缺陷责任期的具体期限：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0C08C33F">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15.3质量保证金</w:t>
      </w:r>
    </w:p>
    <w:p w14:paraId="4736ED93">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关于是否扣留质量保证金的约定：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r>
        <w:rPr>
          <w:rFonts w:hint="eastAsia" w:ascii="宋体" w:hAnsi="宋体"/>
          <w:color w:val="000000" w:themeColor="text1"/>
          <w:sz w:val="24"/>
          <w:szCs w:val="32"/>
          <w14:textFill>
            <w14:solidFill>
              <w14:schemeClr w14:val="tx1"/>
            </w14:solidFill>
          </w14:textFill>
        </w:rPr>
        <w:t>在工程项目竣工前，承包人按专用合同条款第3.7条提供履约担保的，发包人不得同时预留工程质量保证金。</w:t>
      </w:r>
    </w:p>
    <w:p w14:paraId="21450841">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15.3.1承包人提供质量保证金的</w:t>
      </w:r>
      <w:r>
        <w:rPr>
          <w:rFonts w:hint="eastAsia" w:ascii="宋体" w:hAnsi="宋体"/>
          <w:color w:val="000000" w:themeColor="text1"/>
          <w:sz w:val="24"/>
          <w:szCs w:val="32"/>
          <w14:textFill>
            <w14:solidFill>
              <w14:schemeClr w14:val="tx1"/>
            </w14:solidFill>
          </w14:textFill>
        </w:rPr>
        <w:t>方</w:t>
      </w:r>
      <w:r>
        <w:rPr>
          <w:rFonts w:ascii="宋体" w:hAnsi="宋体"/>
          <w:color w:val="000000" w:themeColor="text1"/>
          <w:sz w:val="24"/>
          <w:szCs w:val="32"/>
          <w14:textFill>
            <w14:solidFill>
              <w14:schemeClr w14:val="tx1"/>
            </w14:solidFill>
          </w14:textFill>
        </w:rPr>
        <w:t>式</w:t>
      </w:r>
    </w:p>
    <w:p w14:paraId="705A7602">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质量保证金采用以下第</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种方式：</w:t>
      </w:r>
    </w:p>
    <w:p w14:paraId="596E271B">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（1）质量保证金保函</w:t>
      </w:r>
      <w:r>
        <w:rPr>
          <w:rFonts w:hint="eastAsia" w:ascii="宋体" w:hAnsi="宋体"/>
          <w:color w:val="000000" w:themeColor="text1"/>
          <w:kern w:val="0"/>
          <w:sz w:val="24"/>
          <w:szCs w:val="32"/>
          <w14:textFill>
            <w14:solidFill>
              <w14:schemeClr w14:val="tx1"/>
            </w14:solidFill>
          </w14:textFill>
        </w:rPr>
        <w:t>（含银行保函、保险保函、融资性担保公司担保等任一形式）</w:t>
      </w:r>
      <w:r>
        <w:rPr>
          <w:rFonts w:ascii="宋体" w:hAnsi="宋体"/>
          <w:color w:val="000000" w:themeColor="text1"/>
          <w:kern w:val="0"/>
          <w:sz w:val="24"/>
          <w:szCs w:val="32"/>
          <w14:textFill>
            <w14:solidFill>
              <w14:schemeClr w14:val="tx1"/>
            </w14:solidFill>
          </w14:textFill>
        </w:rPr>
        <w:t>，保证金额为：</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 xml:space="preserve">； </w:t>
      </w:r>
    </w:p>
    <w:p w14:paraId="71DF24BA">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（2）</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%的工程款；</w:t>
      </w:r>
    </w:p>
    <w:p w14:paraId="1890DF52">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（3）其他</w:t>
      </w:r>
      <w:r>
        <w:rPr>
          <w:rFonts w:hint="eastAsia" w:ascii="宋体" w:hAnsi="宋体"/>
          <w:color w:val="000000" w:themeColor="text1"/>
          <w:kern w:val="0"/>
          <w:sz w:val="24"/>
          <w:szCs w:val="32"/>
          <w14:textFill>
            <w14:solidFill>
              <w14:schemeClr w14:val="tx1"/>
            </w14:solidFill>
          </w14:textFill>
        </w:rPr>
        <w:t>方</w:t>
      </w:r>
      <w:r>
        <w:rPr>
          <w:rFonts w:ascii="宋体" w:hAnsi="宋体"/>
          <w:color w:val="000000" w:themeColor="text1"/>
          <w:kern w:val="0"/>
          <w:sz w:val="24"/>
          <w:szCs w:val="32"/>
          <w14:textFill>
            <w14:solidFill>
              <w14:schemeClr w14:val="tx1"/>
            </w14:solidFill>
          </w14:textFill>
        </w:rPr>
        <w:t>式:</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08D40810">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承包人选择以质量保证金保函</w:t>
      </w:r>
      <w:r>
        <w:rPr>
          <w:rFonts w:hint="eastAsia" w:ascii="宋体" w:hAnsi="宋体"/>
          <w:iCs/>
          <w:color w:val="000000" w:themeColor="text1"/>
          <w:kern w:val="0"/>
          <w:sz w:val="24"/>
          <w:szCs w:val="32"/>
          <w14:textFill>
            <w14:solidFill>
              <w14:schemeClr w14:val="tx1"/>
            </w14:solidFill>
          </w14:textFill>
        </w:rPr>
        <w:t>（含银行保函、保险保函、融资性担保公司担保等任一形式）</w:t>
      </w:r>
      <w:r>
        <w:rPr>
          <w:rFonts w:hint="eastAsia" w:ascii="宋体" w:hAnsi="宋体"/>
          <w:color w:val="000000" w:themeColor="text1"/>
          <w:kern w:val="0"/>
          <w:sz w:val="24"/>
          <w:szCs w:val="32"/>
          <w14:textFill>
            <w14:solidFill>
              <w14:schemeClr w14:val="tx1"/>
            </w14:solidFill>
          </w14:textFill>
        </w:rPr>
        <w:t>代替质量保证金的，发包人不得以任何理由拒绝或限制使用。</w:t>
      </w:r>
    </w:p>
    <w:p w14:paraId="4945F4ED">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 xml:space="preserve">15.3.2质量保证金的扣留 </w:t>
      </w:r>
    </w:p>
    <w:p w14:paraId="1BD1FAE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质量保证金的扣留采取以下第</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种方式：</w:t>
      </w:r>
    </w:p>
    <w:p w14:paraId="6192F204">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（1）在支付工程进度款时逐次扣留，在此情形下，质量保证金的计算基数不包括预付款的支付、扣回以及价格调整的金额；</w:t>
      </w:r>
    </w:p>
    <w:p w14:paraId="5D5B6096">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（2）工程竣工结算时一次性扣留质量保证金；</w:t>
      </w:r>
    </w:p>
    <w:p w14:paraId="1595523B">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（3）其他扣留方式:</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1C805EF4">
      <w:pPr>
        <w:spacing w:line="360" w:lineRule="auto"/>
        <w:ind w:firstLine="480" w:firstLineChars="200"/>
        <w:jc w:val="left"/>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关于质量保证金的补充约定：</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p>
    <w:p w14:paraId="03C76EFE">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15.4保修</w:t>
      </w:r>
    </w:p>
    <w:p w14:paraId="14F9AA2B">
      <w:pPr>
        <w:spacing w:line="360" w:lineRule="auto"/>
        <w:ind w:firstLine="468" w:firstLineChars="195"/>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15.4.1保修责任</w:t>
      </w:r>
    </w:p>
    <w:p w14:paraId="4901E752">
      <w:pPr>
        <w:spacing w:line="360" w:lineRule="auto"/>
        <w:ind w:firstLine="468" w:firstLineChars="195"/>
        <w:jc w:val="left"/>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工程保修期为：</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p>
    <w:p w14:paraId="69141B5D">
      <w:pPr>
        <w:spacing w:line="360" w:lineRule="auto"/>
        <w:ind w:firstLine="468" w:firstLineChars="195"/>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15.4.3修复通知</w:t>
      </w:r>
    </w:p>
    <w:p w14:paraId="436AB22D">
      <w:pPr>
        <w:spacing w:line="360" w:lineRule="auto"/>
        <w:ind w:firstLine="468" w:firstLineChars="195"/>
        <w:jc w:val="left"/>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承包人收到保修通知并到达工程现场的合理时间：</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p>
    <w:p w14:paraId="6F4237B2">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16.违约</w:t>
      </w:r>
    </w:p>
    <w:p w14:paraId="5A5F8F37">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16.发包人违约</w:t>
      </w:r>
    </w:p>
    <w:p w14:paraId="1F060C0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16.1.1发包人违约的情形</w:t>
      </w:r>
    </w:p>
    <w:p w14:paraId="4607E9E4">
      <w:pPr>
        <w:spacing w:line="360" w:lineRule="auto"/>
        <w:ind w:firstLine="480" w:firstLineChars="200"/>
        <w:jc w:val="left"/>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发包人违约的其他情形：</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p>
    <w:p w14:paraId="38A4B402">
      <w:pPr>
        <w:spacing w:line="360" w:lineRule="auto"/>
        <w:ind w:left="1200" w:hanging="1200" w:hangingChars="5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 xml:space="preserve">    16.1.2发包人违约的责任</w:t>
      </w:r>
    </w:p>
    <w:p w14:paraId="219A84F3">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发包人违约责任的承担方式和计算方法：</w:t>
      </w:r>
    </w:p>
    <w:p w14:paraId="3FEB180C">
      <w:pPr>
        <w:spacing w:line="360" w:lineRule="auto"/>
        <w:ind w:firstLine="480" w:firstLineChars="200"/>
        <w:jc w:val="left"/>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（1）因发包人原因未能在计划开工日期前7天内下达开工通知的违约责任：</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39065FEC">
      <w:pPr>
        <w:spacing w:line="360" w:lineRule="auto"/>
        <w:ind w:firstLine="480" w:firstLineChars="200"/>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w:t>
      </w:r>
      <w:r>
        <w:rPr>
          <w:rFonts w:hint="eastAsia" w:ascii="宋体" w:hAnsi="宋体"/>
          <w:color w:val="000000" w:themeColor="text1"/>
          <w:kern w:val="0"/>
          <w:sz w:val="24"/>
          <w:szCs w:val="32"/>
          <w14:textFill>
            <w14:solidFill>
              <w14:schemeClr w14:val="tx1"/>
            </w14:solidFill>
          </w14:textFill>
        </w:rPr>
        <w:t>2</w:t>
      </w:r>
      <w:r>
        <w:rPr>
          <w:rFonts w:ascii="宋体" w:hAnsi="宋体"/>
          <w:color w:val="000000" w:themeColor="text1"/>
          <w:kern w:val="0"/>
          <w:sz w:val="24"/>
          <w:szCs w:val="32"/>
          <w14:textFill>
            <w14:solidFill>
              <w14:schemeClr w14:val="tx1"/>
            </w14:solidFill>
          </w14:textFill>
        </w:rPr>
        <w:t>）因发包人原因未能按合同约定支付合同价款的违约责任：</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449AB93A">
      <w:pPr>
        <w:spacing w:line="360" w:lineRule="auto"/>
        <w:ind w:firstLine="480" w:firstLineChars="200"/>
        <w:jc w:val="left"/>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（3）发包人违反第10.1款</w:t>
      </w:r>
      <w:r>
        <w:rPr>
          <w:rFonts w:hint="eastAsia" w:ascii="宋体" w:hAnsi="宋体"/>
          <w:color w:val="000000" w:themeColor="text1"/>
          <w:kern w:val="0"/>
          <w:sz w:val="24"/>
          <w:szCs w:val="32"/>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变更的范围</w:t>
      </w:r>
      <w:r>
        <w:rPr>
          <w:rFonts w:hint="eastAsia" w:ascii="宋体" w:hAnsi="宋体"/>
          <w:color w:val="000000" w:themeColor="text1"/>
          <w:kern w:val="0"/>
          <w:sz w:val="24"/>
          <w:szCs w:val="32"/>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第（2）项约定，自行实施被取消的工作或转由他人实施的违约责任：</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p>
    <w:p w14:paraId="7EC0AD66">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（4）发包人提供的材料、工程设备的规格、数量或质量不符合合同约定，或因发包人原因导致交货日期延误或交货地点变更等情况的违约责任：</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40C91F43">
      <w:pPr>
        <w:spacing w:line="360" w:lineRule="auto"/>
        <w:ind w:firstLine="480" w:firstLineChars="200"/>
        <w:jc w:val="left"/>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（5）因发包人违反合同约定造成暂停施工的违约责任：</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p>
    <w:p w14:paraId="7EC114E5">
      <w:pPr>
        <w:numPr>
          <w:ilvl w:val="0"/>
          <w:numId w:val="8"/>
        </w:num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发包人无正当理由没有在约定期限内发出复工指示，导致承包人无法复工的违约责任：</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504B80F0">
      <w:pPr>
        <w:numPr>
          <w:ilvl w:val="0"/>
          <w:numId w:val="8"/>
        </w:num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hint="eastAsia" w:ascii="宋体" w:hAnsi="宋体"/>
          <w:color w:val="000000" w:themeColor="text1"/>
          <w:kern w:val="0"/>
          <w:sz w:val="24"/>
          <w:szCs w:val="32"/>
          <w14:textFill>
            <w14:solidFill>
              <w14:schemeClr w14:val="tx1"/>
            </w14:solidFill>
          </w14:textFill>
        </w:rPr>
        <w:t>发包人未执行政府行政管理部门关于农民工工资支付的各项制度或未能按合同约定支付人工费的违约责任：</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7B9E58D1">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w:t>
      </w:r>
      <w:r>
        <w:rPr>
          <w:rFonts w:hint="eastAsia" w:ascii="宋体" w:hAnsi="宋体"/>
          <w:color w:val="000000" w:themeColor="text1"/>
          <w:kern w:val="0"/>
          <w:sz w:val="24"/>
          <w:szCs w:val="32"/>
          <w14:textFill>
            <w14:solidFill>
              <w14:schemeClr w14:val="tx1"/>
            </w14:solidFill>
          </w14:textFill>
        </w:rPr>
        <w:t>8</w:t>
      </w:r>
      <w:r>
        <w:rPr>
          <w:rFonts w:ascii="宋体" w:hAnsi="宋体"/>
          <w:color w:val="000000" w:themeColor="text1"/>
          <w:kern w:val="0"/>
          <w:sz w:val="24"/>
          <w:szCs w:val="32"/>
          <w14:textFill>
            <w14:solidFill>
              <w14:schemeClr w14:val="tx1"/>
            </w14:solidFill>
          </w14:textFill>
        </w:rPr>
        <w:t>）</w:t>
      </w:r>
      <w:r>
        <w:rPr>
          <w:rFonts w:hint="eastAsia" w:ascii="宋体" w:hAnsi="宋体"/>
          <w:color w:val="000000" w:themeColor="text1"/>
          <w:kern w:val="0"/>
          <w:sz w:val="24"/>
          <w:szCs w:val="32"/>
          <w14:textFill>
            <w14:solidFill>
              <w14:schemeClr w14:val="tx1"/>
            </w14:solidFill>
          </w14:textFill>
        </w:rPr>
        <w:t>其他：</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04C23DC5">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16.1.3因发包人违约解除合同</w:t>
      </w:r>
    </w:p>
    <w:p w14:paraId="2AC85B26">
      <w:pPr>
        <w:autoSpaceDE w:val="0"/>
        <w:autoSpaceDN w:val="0"/>
        <w:adjustRightInd w:val="0"/>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承包人按16.1.1项</w:t>
      </w:r>
      <w:r>
        <w:rPr>
          <w:rFonts w:hint="eastAsia" w:ascii="宋体" w:hAnsi="宋体"/>
          <w:color w:val="000000" w:themeColor="text1"/>
          <w:kern w:val="0"/>
          <w:sz w:val="24"/>
          <w:szCs w:val="32"/>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发包人违约的情形</w:t>
      </w:r>
      <w:r>
        <w:rPr>
          <w:rFonts w:hint="eastAsia" w:ascii="宋体" w:hAnsi="宋体"/>
          <w:color w:val="000000" w:themeColor="text1"/>
          <w:kern w:val="0"/>
          <w:sz w:val="24"/>
          <w:szCs w:val="32"/>
          <w14:textFill>
            <w14:solidFill>
              <w14:schemeClr w14:val="tx1"/>
            </w14:solidFill>
          </w14:textFill>
        </w:rPr>
        <w:t>〕</w:t>
      </w:r>
      <w:r>
        <w:rPr>
          <w:rFonts w:ascii="宋体" w:hAnsi="宋体"/>
          <w:color w:val="000000" w:themeColor="text1"/>
          <w:kern w:val="0"/>
          <w:sz w:val="24"/>
          <w:szCs w:val="32"/>
          <w14:textFill>
            <w14:solidFill>
              <w14:schemeClr w14:val="tx1"/>
            </w14:solidFill>
          </w14:textFill>
        </w:rPr>
        <w:t>约定暂停施工满</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天后发包人仍不纠正其违约行为并致使合同目的不能实现的，承包人有权解除合同。</w:t>
      </w:r>
    </w:p>
    <w:p w14:paraId="635D9D90">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16.2承包人违约</w:t>
      </w:r>
    </w:p>
    <w:p w14:paraId="19729892">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16.2.1承包人违约的情形</w:t>
      </w:r>
    </w:p>
    <w:p w14:paraId="5C53EB29">
      <w:pPr>
        <w:spacing w:line="360" w:lineRule="auto"/>
        <w:ind w:firstLine="480" w:firstLineChars="200"/>
        <w:jc w:val="left"/>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承包人违约的其他情形：</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p>
    <w:p w14:paraId="1A7160BC">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16.2.2承包人违约的责任</w:t>
      </w:r>
    </w:p>
    <w:p w14:paraId="0A98C1CD">
      <w:pPr>
        <w:spacing w:line="360" w:lineRule="auto"/>
        <w:ind w:firstLine="480" w:firstLineChars="200"/>
        <w:jc w:val="left"/>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承包人违约责任的承担方式和计算方法：</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p>
    <w:p w14:paraId="214F7D1D">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16.2.3因承包人违约解除合同</w:t>
      </w:r>
    </w:p>
    <w:p w14:paraId="017F7863">
      <w:pPr>
        <w:spacing w:before="120" w:after="120" w:line="360" w:lineRule="auto"/>
        <w:ind w:firstLine="480" w:firstLineChars="200"/>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关于承包人违约解除合同的特别约定：</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p>
    <w:p w14:paraId="123A1FF2">
      <w:pPr>
        <w:spacing w:before="120" w:after="120" w:line="360" w:lineRule="auto"/>
        <w:ind w:firstLine="480" w:firstLineChars="200"/>
        <w:rPr>
          <w:rFonts w:ascii="宋体" w:hAnsi="宋体"/>
          <w:color w:val="000000" w:themeColor="text1"/>
          <w:kern w:val="0"/>
          <w:sz w:val="24"/>
          <w:szCs w:val="32"/>
          <w14:textFill>
            <w14:solidFill>
              <w14:schemeClr w14:val="tx1"/>
            </w14:solidFill>
          </w14:textFill>
        </w:rPr>
      </w:pPr>
      <w:r>
        <w:rPr>
          <w:rFonts w:ascii="宋体" w:hAnsi="宋体"/>
          <w:color w:val="000000" w:themeColor="text1"/>
          <w:kern w:val="0"/>
          <w:sz w:val="24"/>
          <w:szCs w:val="32"/>
          <w14:textFill>
            <w14:solidFill>
              <w14:schemeClr w14:val="tx1"/>
            </w14:solidFill>
          </w14:textFill>
        </w:rPr>
        <w:t>发包人</w:t>
      </w:r>
      <w:r>
        <w:rPr>
          <w:rFonts w:hint="eastAsia" w:ascii="宋体" w:hAnsi="宋体"/>
          <w:color w:val="000000" w:themeColor="text1"/>
          <w:kern w:val="0"/>
          <w:sz w:val="24"/>
          <w:szCs w:val="32"/>
          <w14:textFill>
            <w14:solidFill>
              <w14:schemeClr w14:val="tx1"/>
            </w14:solidFill>
          </w14:textFill>
        </w:rPr>
        <w:t>继续</w:t>
      </w:r>
      <w:r>
        <w:rPr>
          <w:rFonts w:ascii="宋体" w:hAnsi="宋体"/>
          <w:color w:val="000000" w:themeColor="text1"/>
          <w:kern w:val="0"/>
          <w:sz w:val="24"/>
          <w:szCs w:val="32"/>
          <w14:textFill>
            <w14:solidFill>
              <w14:schemeClr w14:val="tx1"/>
            </w14:solidFill>
          </w14:textFill>
        </w:rPr>
        <w:t>使用承包人在施工现场的材料、设备、临时工程、承包人文件和由承包人或以其名义编制的其他文件</w:t>
      </w:r>
      <w:r>
        <w:rPr>
          <w:rFonts w:hint="eastAsia" w:ascii="宋体" w:hAnsi="宋体"/>
          <w:color w:val="000000" w:themeColor="text1"/>
          <w:kern w:val="0"/>
          <w:sz w:val="24"/>
          <w:szCs w:val="32"/>
          <w14:textFill>
            <w14:solidFill>
              <w14:schemeClr w14:val="tx1"/>
            </w14:solidFill>
          </w14:textFill>
        </w:rPr>
        <w:t>的费用承担方式</w:t>
      </w:r>
      <w:r>
        <w:rPr>
          <w:rFonts w:ascii="宋体" w:hAnsi="宋体"/>
          <w:color w:val="000000" w:themeColor="text1"/>
          <w:kern w:val="0"/>
          <w:sz w:val="24"/>
          <w:szCs w:val="32"/>
          <w14:textFill>
            <w14:solidFill>
              <w14:schemeClr w14:val="tx1"/>
            </w14:solidFill>
          </w14:textFill>
        </w:rPr>
        <w:t>：</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14:textFill>
            <w14:solidFill>
              <w14:schemeClr w14:val="tx1"/>
            </w14:solidFill>
          </w14:textFill>
        </w:rPr>
        <w:t>。</w:t>
      </w:r>
    </w:p>
    <w:p w14:paraId="5AE8404F">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 xml:space="preserve">17.不可抗力 </w:t>
      </w:r>
    </w:p>
    <w:p w14:paraId="1AF8014A">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17.1不可抗力的确认</w:t>
      </w:r>
    </w:p>
    <w:p w14:paraId="375622F0">
      <w:pPr>
        <w:spacing w:line="360" w:lineRule="auto"/>
        <w:ind w:firstLine="480" w:firstLineChars="200"/>
        <w:jc w:val="left"/>
        <w:rPr>
          <w:rFonts w:ascii="宋体" w:hAnsi="宋体"/>
          <w:color w:val="000000" w:themeColor="text1"/>
          <w:kern w:val="0"/>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 xml:space="preserve">除通用合同条款约定的不可抗力事件之外，视为不可抗力的其他情形：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7E872DB8">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17.4因不可抗力解除合同</w:t>
      </w:r>
    </w:p>
    <w:p w14:paraId="22F1F890">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合同解除后，发包人应在商定或确定发包人应支付款项后</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天内完成款项的支付。</w:t>
      </w:r>
    </w:p>
    <w:p w14:paraId="37D96496">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18.保险</w:t>
      </w:r>
    </w:p>
    <w:p w14:paraId="29F491C8">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18.1工程保险</w:t>
      </w:r>
    </w:p>
    <w:p w14:paraId="26895D7B">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关于工程保险的特别约定：</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7ED3F785">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18.3其他保险</w:t>
      </w:r>
    </w:p>
    <w:p w14:paraId="24CBA03B">
      <w:pPr>
        <w:spacing w:line="360" w:lineRule="auto"/>
        <w:ind w:firstLine="480" w:firstLineChars="200"/>
        <w:jc w:val="left"/>
        <w:rPr>
          <w:rFonts w:ascii="宋体" w:hAnsi="宋体"/>
          <w:color w:val="000000" w:themeColor="text1"/>
          <w:kern w:val="0"/>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关于其他保险的约定：</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hint="eastAsia"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u w:val="single"/>
          <w14:textFill>
            <w14:solidFill>
              <w14:schemeClr w14:val="tx1"/>
            </w14:solidFill>
          </w14:textFill>
        </w:rPr>
        <w:t xml:space="preserve">     </w:t>
      </w:r>
      <w:r>
        <w:rPr>
          <w:rFonts w:ascii="宋体" w:hAnsi="宋体"/>
          <w:color w:val="000000" w:themeColor="text1"/>
          <w:kern w:val="0"/>
          <w:sz w:val="24"/>
          <w:szCs w:val="32"/>
          <w14:textFill>
            <w14:solidFill>
              <w14:schemeClr w14:val="tx1"/>
            </w14:solidFill>
          </w14:textFill>
        </w:rPr>
        <w:t>。</w:t>
      </w:r>
    </w:p>
    <w:p w14:paraId="32CEB51A">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承包人是否应为其施工设备等办理财产保险：</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p>
    <w:p w14:paraId="3F066CBA">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18.7通知义务</w:t>
      </w:r>
    </w:p>
    <w:p w14:paraId="748603F1">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kern w:val="0"/>
          <w:sz w:val="24"/>
          <w:szCs w:val="32"/>
          <w14:textFill>
            <w14:solidFill>
              <w14:schemeClr w14:val="tx1"/>
            </w14:solidFill>
          </w14:textFill>
        </w:rPr>
        <w:t>关于变更保险合同时的通知义务的约定：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p>
    <w:p w14:paraId="545235BA">
      <w:pPr>
        <w:pStyle w:val="6"/>
        <w:spacing w:before="120" w:after="120" w:line="360" w:lineRule="auto"/>
        <w:rPr>
          <w:b w:val="0"/>
          <w:color w:val="000000" w:themeColor="text1"/>
          <w:sz w:val="24"/>
          <w:szCs w:val="32"/>
          <w14:textFill>
            <w14:solidFill>
              <w14:schemeClr w14:val="tx1"/>
            </w14:solidFill>
          </w14:textFill>
        </w:rPr>
      </w:pPr>
      <w:r>
        <w:rPr>
          <w:b w:val="0"/>
          <w:color w:val="000000" w:themeColor="text1"/>
          <w:sz w:val="24"/>
          <w:szCs w:val="32"/>
          <w14:textFill>
            <w14:solidFill>
              <w14:schemeClr w14:val="tx1"/>
            </w14:solidFill>
          </w14:textFill>
        </w:rPr>
        <w:t>20.争议解决</w:t>
      </w:r>
    </w:p>
    <w:p w14:paraId="70E4001A">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20.3争议评审</w:t>
      </w:r>
    </w:p>
    <w:p w14:paraId="75E4D5FC">
      <w:pPr>
        <w:spacing w:line="360" w:lineRule="auto"/>
        <w:ind w:left="149" w:leftChars="71" w:firstLine="360" w:firstLineChars="15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合同当事人是否同意将工程争议提交争议评审小组决</w:t>
      </w:r>
      <w:r>
        <w:rPr>
          <w:rFonts w:hint="eastAsia" w:ascii="宋体" w:hAnsi="宋体"/>
          <w:color w:val="000000" w:themeColor="text1"/>
          <w:sz w:val="24"/>
          <w:szCs w:val="32"/>
          <w14:textFill>
            <w14:solidFill>
              <w14:schemeClr w14:val="tx1"/>
            </w14:solidFill>
          </w14:textFill>
        </w:rPr>
        <w:t>定：</w:t>
      </w:r>
      <w:r>
        <w:rPr>
          <w:rFonts w:hint="eastAsia" w:ascii="宋体" w:hAnsi="宋体"/>
          <w:color w:val="000000" w:themeColor="text1"/>
          <w:sz w:val="24"/>
          <w:szCs w:val="32"/>
          <w:u w:val="single"/>
          <w14:textFill>
            <w14:solidFill>
              <w14:schemeClr w14:val="tx1"/>
            </w14:solidFill>
          </w14:textFill>
        </w:rPr>
        <w:t xml:space="preserve">     </w:t>
      </w:r>
    </w:p>
    <w:p w14:paraId="66F21E27">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20.3.1争议评审小组的确定</w:t>
      </w:r>
    </w:p>
    <w:p w14:paraId="717BB6E0">
      <w:pPr>
        <w:spacing w:line="360" w:lineRule="auto"/>
        <w:ind w:firstLine="480" w:firstLineChars="200"/>
        <w:jc w:val="left"/>
        <w:rPr>
          <w:rFonts w:ascii="宋体" w:hAnsi="宋体"/>
          <w:color w:val="000000" w:themeColor="text1"/>
          <w:sz w:val="24"/>
          <w:szCs w:val="32"/>
          <w:u w:val="single"/>
          <w14:textFill>
            <w14:solidFill>
              <w14:schemeClr w14:val="tx1"/>
            </w14:solidFill>
          </w14:textFill>
        </w:rPr>
      </w:pPr>
      <w:r>
        <w:rPr>
          <w:rFonts w:ascii="宋体" w:hAnsi="宋体"/>
          <w:color w:val="000000" w:themeColor="text1"/>
          <w:sz w:val="24"/>
          <w:szCs w:val="32"/>
          <w14:textFill>
            <w14:solidFill>
              <w14:schemeClr w14:val="tx1"/>
            </w14:solidFill>
          </w14:textFill>
        </w:rPr>
        <w:t>争议评审小组成员的确定：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3223A11E">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选定争议评审员的期限：</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1BE8CB8D">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争议评审小组成员的报酬承担方式：</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4CD596EB">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其他事项的约定：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390BA624">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20.3.2争议评审小组的决定</w:t>
      </w:r>
    </w:p>
    <w:p w14:paraId="0EF174B8">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合同当事人关于本项的约定：</w:t>
      </w:r>
      <w:r>
        <w:rPr>
          <w:rFonts w:ascii="宋体" w:hAnsi="宋体"/>
          <w:color w:val="000000" w:themeColor="text1"/>
          <w:sz w:val="24"/>
          <w:szCs w:val="32"/>
          <w:u w:val="single"/>
          <w14:textFill>
            <w14:solidFill>
              <w14:schemeClr w14:val="tx1"/>
            </w14:solidFill>
          </w14:textFill>
        </w:rPr>
        <w:t xml:space="preserve">                      </w:t>
      </w:r>
      <w:r>
        <w:rPr>
          <w:rFonts w:hint="eastAsia"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w:t>
      </w:r>
    </w:p>
    <w:p w14:paraId="60176ED0">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20.4仲裁或诉讼</w:t>
      </w:r>
    </w:p>
    <w:p w14:paraId="7E0315B3">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因合同及合同有关事项发生的争议，按下列第</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种方式</w:t>
      </w:r>
      <w:r>
        <w:rPr>
          <w:rFonts w:hint="eastAsia" w:ascii="宋体" w:hAnsi="宋体"/>
          <w:color w:val="000000" w:themeColor="text1"/>
          <w:sz w:val="24"/>
          <w:szCs w:val="32"/>
          <w14:textFill>
            <w14:solidFill>
              <w14:schemeClr w14:val="tx1"/>
            </w14:solidFill>
          </w14:textFill>
        </w:rPr>
        <w:t>解</w:t>
      </w:r>
      <w:r>
        <w:rPr>
          <w:rFonts w:ascii="宋体" w:hAnsi="宋体"/>
          <w:color w:val="000000" w:themeColor="text1"/>
          <w:sz w:val="24"/>
          <w:szCs w:val="32"/>
          <w14:textFill>
            <w14:solidFill>
              <w14:schemeClr w14:val="tx1"/>
            </w14:solidFill>
          </w14:textFill>
        </w:rPr>
        <w:t>决：</w:t>
      </w:r>
    </w:p>
    <w:p w14:paraId="576462B2">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（1）向</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仲裁委员会申请仲裁；</w:t>
      </w:r>
    </w:p>
    <w:p w14:paraId="412B2B71">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（2）向</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人民法院起诉。</w:t>
      </w:r>
    </w:p>
    <w:p w14:paraId="302E73A8">
      <w:pPr>
        <w:spacing w:line="360" w:lineRule="auto"/>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br w:type="page"/>
      </w:r>
      <w:r>
        <w:rPr>
          <w:rFonts w:hint="eastAsia" w:ascii="宋体" w:hAnsi="宋体"/>
          <w:color w:val="000000" w:themeColor="text1"/>
          <w:sz w:val="24"/>
          <w:szCs w:val="32"/>
          <w14:textFill>
            <w14:solidFill>
              <w14:schemeClr w14:val="tx1"/>
            </w14:solidFill>
          </w14:textFill>
        </w:rPr>
        <w:t xml:space="preserve">    附件：</w:t>
      </w:r>
      <w:r>
        <w:rPr>
          <w:rFonts w:ascii="宋体" w:hAnsi="宋体"/>
          <w:color w:val="000000" w:themeColor="text1"/>
          <w:sz w:val="24"/>
          <w:szCs w:val="32"/>
          <w14:textFill>
            <w14:solidFill>
              <w14:schemeClr w14:val="tx1"/>
            </w14:solidFill>
          </w14:textFill>
        </w:rPr>
        <w:t>1</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承包人承揽工程项目一览表</w:t>
      </w:r>
    </w:p>
    <w:p w14:paraId="0117B333">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2</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发包人供应材料设备一览表</w:t>
      </w:r>
    </w:p>
    <w:p w14:paraId="054263BA">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3</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工程质量保修书</w:t>
      </w:r>
    </w:p>
    <w:p w14:paraId="5EF892E3">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4</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主要建设工程文件目录</w:t>
      </w:r>
    </w:p>
    <w:p w14:paraId="0127FC46">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5</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承包人用于本工程施工的机械设备表</w:t>
      </w:r>
    </w:p>
    <w:p w14:paraId="7605A992">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6</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承包人主要施工管理人员表</w:t>
      </w:r>
    </w:p>
    <w:p w14:paraId="52474352">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7</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分包人主要施工管理人员表</w:t>
      </w:r>
    </w:p>
    <w:p w14:paraId="12EE7AC8">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8</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履约担保格式</w:t>
      </w:r>
    </w:p>
    <w:p w14:paraId="61E903E6">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9</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预付款担保格式</w:t>
      </w:r>
    </w:p>
    <w:p w14:paraId="43478611">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10</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支付担保格式</w:t>
      </w:r>
    </w:p>
    <w:p w14:paraId="29EF0927">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11</w:t>
      </w:r>
      <w:r>
        <w:rPr>
          <w:rFonts w:hint="eastAsia" w:ascii="宋体" w:hAnsi="宋体"/>
          <w:color w:val="000000" w:themeColor="text1"/>
          <w:sz w:val="24"/>
          <w:szCs w:val="32"/>
          <w14:textFill>
            <w14:solidFill>
              <w14:schemeClr w14:val="tx1"/>
            </w14:solidFill>
          </w14:textFill>
        </w:rPr>
        <w:t>.</w:t>
      </w:r>
      <w:r>
        <w:rPr>
          <w:rFonts w:ascii="宋体" w:hAnsi="宋体"/>
          <w:color w:val="000000" w:themeColor="text1"/>
          <w:sz w:val="24"/>
          <w:szCs w:val="32"/>
          <w14:textFill>
            <w14:solidFill>
              <w14:schemeClr w14:val="tx1"/>
            </w14:solidFill>
          </w14:textFill>
        </w:rPr>
        <w:t>暂估价一览表</w:t>
      </w:r>
    </w:p>
    <w:p w14:paraId="523EE1E0">
      <w:pPr>
        <w:spacing w:line="360" w:lineRule="auto"/>
        <w:jc w:val="left"/>
        <w:rPr>
          <w:rFonts w:ascii="宋体" w:hAnsi="宋体"/>
          <w:color w:val="000000" w:themeColor="text1"/>
          <w:sz w:val="24"/>
          <w:szCs w:val="32"/>
          <w14:textFill>
            <w14:solidFill>
              <w14:schemeClr w14:val="tx1"/>
            </w14:solidFill>
          </w14:textFill>
        </w:rPr>
      </w:pPr>
      <w:r>
        <w:rPr>
          <w:rFonts w:hint="eastAsia" w:ascii="宋体" w:hAnsi="宋体"/>
          <w:color w:val="000000" w:themeColor="text1"/>
          <w:sz w:val="24"/>
          <w:szCs w:val="32"/>
          <w14:textFill>
            <w14:solidFill>
              <w14:schemeClr w14:val="tx1"/>
            </w14:solidFill>
          </w14:textFill>
        </w:rPr>
        <w:t xml:space="preserve">          12.</w:t>
      </w:r>
      <w:r>
        <w:rPr>
          <w:rFonts w:hint="eastAsia" w:ascii="宋体" w:hAnsi="宋体"/>
          <w:bCs/>
          <w:color w:val="000000" w:themeColor="text1"/>
          <w:sz w:val="22"/>
          <w:szCs w:val="28"/>
          <w14:textFill>
            <w14:solidFill>
              <w14:schemeClr w14:val="tx1"/>
            </w14:solidFill>
          </w14:textFill>
        </w:rPr>
        <w:t xml:space="preserve"> </w:t>
      </w:r>
      <w:r>
        <w:rPr>
          <w:rFonts w:hint="eastAsia" w:ascii="宋体" w:hAnsi="宋体"/>
          <w:color w:val="000000" w:themeColor="text1"/>
          <w:sz w:val="24"/>
          <w:szCs w:val="32"/>
          <w14:textFill>
            <w14:solidFill>
              <w14:schemeClr w14:val="tx1"/>
            </w14:solidFill>
          </w14:textFill>
        </w:rPr>
        <w:t>乙方联合体协议</w:t>
      </w:r>
    </w:p>
    <w:p w14:paraId="516C3DDE">
      <w:pPr>
        <w:spacing w:line="360" w:lineRule="auto"/>
        <w:jc w:val="left"/>
        <w:rPr>
          <w:rFonts w:ascii="宋体" w:hAnsi="宋体"/>
          <w:color w:val="000000" w:themeColor="text1"/>
          <w:sz w:val="24"/>
          <w:szCs w:val="30"/>
          <w14:textFill>
            <w14:solidFill>
              <w14:schemeClr w14:val="tx1"/>
            </w14:solidFill>
          </w14:textFill>
        </w:rPr>
        <w:sectPr>
          <w:footerReference r:id="rId28" w:type="first"/>
          <w:headerReference r:id="rId26" w:type="default"/>
          <w:footerReference r:id="rId27" w:type="default"/>
          <w:pgSz w:w="11906" w:h="16838"/>
          <w:pgMar w:top="1440" w:right="1542" w:bottom="1440" w:left="1542" w:header="851" w:footer="992" w:gutter="0"/>
          <w:pgNumType w:start="1"/>
          <w:cols w:space="720" w:num="1"/>
          <w:titlePg/>
          <w:docGrid w:type="lines" w:linePitch="312" w:charSpace="0"/>
        </w:sectPr>
      </w:pPr>
      <w:r>
        <w:rPr>
          <w:rFonts w:hint="eastAsia" w:ascii="宋体" w:hAnsi="宋体"/>
          <w:color w:val="000000" w:themeColor="text1"/>
          <w:sz w:val="24"/>
          <w:szCs w:val="32"/>
          <w14:textFill>
            <w14:solidFill>
              <w14:schemeClr w14:val="tx1"/>
            </w14:solidFill>
          </w14:textFill>
        </w:rPr>
        <w:t xml:space="preserve">    </w:t>
      </w:r>
    </w:p>
    <w:p w14:paraId="408E5247">
      <w:pPr>
        <w:spacing w:before="156" w:beforeLines="50" w:after="156" w:afterLines="50" w:line="440" w:lineRule="exact"/>
        <w:jc w:val="left"/>
        <w:rPr>
          <w:rFonts w:ascii="宋体" w:hAnsi="宋体" w:cs="黑体"/>
          <w:color w:val="000000" w:themeColor="text1"/>
          <w:sz w:val="24"/>
          <w:szCs w:val="32"/>
          <w14:textFill>
            <w14:solidFill>
              <w14:schemeClr w14:val="tx1"/>
            </w14:solidFill>
          </w14:textFill>
        </w:rPr>
      </w:pPr>
      <w:r>
        <w:rPr>
          <w:rFonts w:hint="eastAsia" w:ascii="宋体" w:hAnsi="宋体" w:cs="黑体"/>
          <w:color w:val="000000" w:themeColor="text1"/>
          <w:sz w:val="24"/>
          <w:szCs w:val="32"/>
          <w14:textFill>
            <w14:solidFill>
              <w14:schemeClr w14:val="tx1"/>
            </w14:solidFill>
          </w14:textFill>
        </w:rPr>
        <w:t xml:space="preserve">附件1                         </w:t>
      </w:r>
      <w:r>
        <w:rPr>
          <w:rFonts w:ascii="宋体" w:hAnsi="宋体"/>
          <w:color w:val="000000" w:themeColor="text1"/>
          <w:sz w:val="24"/>
          <w:szCs w:val="30"/>
          <w14:textFill>
            <w14:solidFill>
              <w14:schemeClr w14:val="tx1"/>
            </w14:solidFill>
          </w14:textFill>
        </w:rPr>
        <w:t>承包人承揽工程项目一览表</w:t>
      </w:r>
    </w:p>
    <w:tbl>
      <w:tblPr>
        <w:tblStyle w:val="28"/>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93"/>
        <w:gridCol w:w="1288"/>
        <w:gridCol w:w="990"/>
        <w:gridCol w:w="1685"/>
        <w:gridCol w:w="594"/>
        <w:gridCol w:w="1090"/>
        <w:gridCol w:w="1486"/>
        <w:gridCol w:w="990"/>
        <w:gridCol w:w="595"/>
        <w:gridCol w:w="594"/>
      </w:tblGrid>
      <w:tr w14:paraId="3E6D5D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93" w:type="dxa"/>
            <w:tcBorders>
              <w:top w:val="single" w:color="auto" w:sz="12" w:space="0"/>
              <w:bottom w:val="double" w:color="auto" w:sz="6" w:space="0"/>
            </w:tcBorders>
            <w:vAlign w:val="center"/>
          </w:tcPr>
          <w:p w14:paraId="2EF7457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单位工程名称</w:t>
            </w:r>
          </w:p>
        </w:tc>
        <w:tc>
          <w:tcPr>
            <w:tcW w:w="1288" w:type="dxa"/>
            <w:tcBorders>
              <w:top w:val="single" w:color="auto" w:sz="12" w:space="0"/>
              <w:bottom w:val="double" w:color="auto" w:sz="6" w:space="0"/>
            </w:tcBorders>
            <w:vAlign w:val="center"/>
          </w:tcPr>
          <w:p w14:paraId="5F30874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建设规模</w:t>
            </w:r>
          </w:p>
        </w:tc>
        <w:tc>
          <w:tcPr>
            <w:tcW w:w="990" w:type="dxa"/>
            <w:tcBorders>
              <w:top w:val="single" w:color="auto" w:sz="12" w:space="0"/>
              <w:bottom w:val="double" w:color="auto" w:sz="6" w:space="0"/>
            </w:tcBorders>
            <w:vAlign w:val="center"/>
          </w:tcPr>
          <w:p w14:paraId="63C2663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建筑面积(平方米)</w:t>
            </w:r>
          </w:p>
        </w:tc>
        <w:tc>
          <w:tcPr>
            <w:tcW w:w="1685" w:type="dxa"/>
            <w:tcBorders>
              <w:top w:val="single" w:color="auto" w:sz="12" w:space="0"/>
              <w:bottom w:val="double" w:color="auto" w:sz="6" w:space="0"/>
            </w:tcBorders>
            <w:vAlign w:val="center"/>
          </w:tcPr>
          <w:p w14:paraId="33D91BE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结构</w:t>
            </w:r>
            <w:r>
              <w:rPr>
                <w:rFonts w:hint="eastAsia" w:ascii="宋体" w:hAnsi="宋体"/>
                <w:color w:val="000000" w:themeColor="text1"/>
                <w:kern w:val="2"/>
                <w:sz w:val="22"/>
                <w:szCs w:val="30"/>
                <w14:textFill>
                  <w14:solidFill>
                    <w14:schemeClr w14:val="tx1"/>
                  </w14:solidFill>
                </w14:textFill>
              </w:rPr>
              <w:t>形式</w:t>
            </w:r>
          </w:p>
        </w:tc>
        <w:tc>
          <w:tcPr>
            <w:tcW w:w="594" w:type="dxa"/>
            <w:tcBorders>
              <w:top w:val="single" w:color="auto" w:sz="12" w:space="0"/>
              <w:bottom w:val="double" w:color="auto" w:sz="6" w:space="0"/>
            </w:tcBorders>
            <w:vAlign w:val="center"/>
          </w:tcPr>
          <w:p w14:paraId="2B0F924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层数</w:t>
            </w:r>
          </w:p>
        </w:tc>
        <w:tc>
          <w:tcPr>
            <w:tcW w:w="1090" w:type="dxa"/>
            <w:tcBorders>
              <w:top w:val="single" w:color="auto" w:sz="12" w:space="0"/>
              <w:bottom w:val="double" w:color="auto" w:sz="6" w:space="0"/>
            </w:tcBorders>
            <w:vAlign w:val="center"/>
          </w:tcPr>
          <w:p w14:paraId="0F6AA9B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生产能力</w:t>
            </w:r>
          </w:p>
        </w:tc>
        <w:tc>
          <w:tcPr>
            <w:tcW w:w="1486" w:type="dxa"/>
            <w:tcBorders>
              <w:top w:val="single" w:color="auto" w:sz="12" w:space="0"/>
              <w:bottom w:val="double" w:color="auto" w:sz="6" w:space="0"/>
            </w:tcBorders>
            <w:vAlign w:val="center"/>
          </w:tcPr>
          <w:p w14:paraId="09FCE29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设备安装内容</w:t>
            </w:r>
          </w:p>
        </w:tc>
        <w:tc>
          <w:tcPr>
            <w:tcW w:w="990" w:type="dxa"/>
            <w:tcBorders>
              <w:top w:val="single" w:color="auto" w:sz="12" w:space="0"/>
              <w:bottom w:val="double" w:color="auto" w:sz="6" w:space="0"/>
            </w:tcBorders>
            <w:vAlign w:val="center"/>
          </w:tcPr>
          <w:p w14:paraId="458D74E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合同价格（元）</w:t>
            </w:r>
          </w:p>
        </w:tc>
        <w:tc>
          <w:tcPr>
            <w:tcW w:w="595" w:type="dxa"/>
            <w:tcBorders>
              <w:top w:val="single" w:color="auto" w:sz="12" w:space="0"/>
              <w:bottom w:val="double" w:color="auto" w:sz="6" w:space="0"/>
            </w:tcBorders>
            <w:vAlign w:val="center"/>
          </w:tcPr>
          <w:p w14:paraId="5ECB792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开工日期</w:t>
            </w:r>
          </w:p>
        </w:tc>
        <w:tc>
          <w:tcPr>
            <w:tcW w:w="594" w:type="dxa"/>
            <w:tcBorders>
              <w:top w:val="single" w:color="auto" w:sz="12" w:space="0"/>
              <w:bottom w:val="double" w:color="auto" w:sz="6" w:space="0"/>
            </w:tcBorders>
            <w:vAlign w:val="center"/>
          </w:tcPr>
          <w:p w14:paraId="3EF454F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竣工日期</w:t>
            </w:r>
          </w:p>
        </w:tc>
      </w:tr>
      <w:tr w14:paraId="134839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93" w:type="dxa"/>
            <w:tcBorders>
              <w:top w:val="double" w:color="auto" w:sz="6" w:space="0"/>
              <w:bottom w:val="single" w:color="auto" w:sz="6" w:space="0"/>
            </w:tcBorders>
            <w:vAlign w:val="center"/>
          </w:tcPr>
          <w:p w14:paraId="04999D9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88" w:type="dxa"/>
            <w:tcBorders>
              <w:top w:val="double" w:color="auto" w:sz="6" w:space="0"/>
              <w:bottom w:val="single" w:color="auto" w:sz="6" w:space="0"/>
            </w:tcBorders>
            <w:vAlign w:val="center"/>
          </w:tcPr>
          <w:p w14:paraId="143E857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double" w:color="auto" w:sz="6" w:space="0"/>
              <w:bottom w:val="single" w:color="auto" w:sz="6" w:space="0"/>
            </w:tcBorders>
            <w:vAlign w:val="center"/>
          </w:tcPr>
          <w:p w14:paraId="3D92EC2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85" w:type="dxa"/>
            <w:tcBorders>
              <w:top w:val="double" w:color="auto" w:sz="6" w:space="0"/>
              <w:bottom w:val="single" w:color="auto" w:sz="6" w:space="0"/>
            </w:tcBorders>
            <w:vAlign w:val="center"/>
          </w:tcPr>
          <w:p w14:paraId="4879E69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double" w:color="auto" w:sz="6" w:space="0"/>
              <w:bottom w:val="single" w:color="auto" w:sz="6" w:space="0"/>
            </w:tcBorders>
            <w:vAlign w:val="center"/>
          </w:tcPr>
          <w:p w14:paraId="0790DE1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90" w:type="dxa"/>
            <w:tcBorders>
              <w:top w:val="double" w:color="auto" w:sz="6" w:space="0"/>
              <w:bottom w:val="single" w:color="auto" w:sz="6" w:space="0"/>
            </w:tcBorders>
            <w:vAlign w:val="center"/>
          </w:tcPr>
          <w:p w14:paraId="5BA4F60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6" w:type="dxa"/>
            <w:tcBorders>
              <w:top w:val="double" w:color="auto" w:sz="6" w:space="0"/>
              <w:bottom w:val="single" w:color="auto" w:sz="6" w:space="0"/>
            </w:tcBorders>
            <w:vAlign w:val="center"/>
          </w:tcPr>
          <w:p w14:paraId="627ED33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double" w:color="auto" w:sz="6" w:space="0"/>
              <w:bottom w:val="single" w:color="auto" w:sz="6" w:space="0"/>
            </w:tcBorders>
            <w:vAlign w:val="center"/>
          </w:tcPr>
          <w:p w14:paraId="367AB88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5" w:type="dxa"/>
            <w:tcBorders>
              <w:top w:val="double" w:color="auto" w:sz="6" w:space="0"/>
              <w:bottom w:val="single" w:color="auto" w:sz="6" w:space="0"/>
            </w:tcBorders>
            <w:vAlign w:val="center"/>
          </w:tcPr>
          <w:p w14:paraId="1D0700E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double" w:color="auto" w:sz="6" w:space="0"/>
              <w:bottom w:val="single" w:color="auto" w:sz="6" w:space="0"/>
            </w:tcBorders>
            <w:vAlign w:val="center"/>
          </w:tcPr>
          <w:p w14:paraId="30BB0F57">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24C1B5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93" w:type="dxa"/>
            <w:tcBorders>
              <w:top w:val="nil"/>
            </w:tcBorders>
            <w:vAlign w:val="center"/>
          </w:tcPr>
          <w:p w14:paraId="54D3970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88" w:type="dxa"/>
            <w:tcBorders>
              <w:top w:val="nil"/>
            </w:tcBorders>
            <w:vAlign w:val="center"/>
          </w:tcPr>
          <w:p w14:paraId="5454EC9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59050D8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85" w:type="dxa"/>
            <w:tcBorders>
              <w:top w:val="nil"/>
            </w:tcBorders>
            <w:vAlign w:val="center"/>
          </w:tcPr>
          <w:p w14:paraId="31E6035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601AD2A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90" w:type="dxa"/>
            <w:tcBorders>
              <w:top w:val="nil"/>
            </w:tcBorders>
            <w:vAlign w:val="center"/>
          </w:tcPr>
          <w:p w14:paraId="00105DC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6" w:type="dxa"/>
            <w:tcBorders>
              <w:top w:val="nil"/>
            </w:tcBorders>
            <w:vAlign w:val="center"/>
          </w:tcPr>
          <w:p w14:paraId="0EE9B67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3708D42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5" w:type="dxa"/>
            <w:tcBorders>
              <w:top w:val="nil"/>
            </w:tcBorders>
            <w:vAlign w:val="center"/>
          </w:tcPr>
          <w:p w14:paraId="68BFF87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27ACA1A3">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47D35B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93" w:type="dxa"/>
            <w:tcBorders>
              <w:top w:val="nil"/>
            </w:tcBorders>
            <w:vAlign w:val="center"/>
          </w:tcPr>
          <w:p w14:paraId="366EB71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88" w:type="dxa"/>
            <w:tcBorders>
              <w:top w:val="nil"/>
            </w:tcBorders>
            <w:vAlign w:val="center"/>
          </w:tcPr>
          <w:p w14:paraId="50720E6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42A019C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85" w:type="dxa"/>
            <w:tcBorders>
              <w:top w:val="nil"/>
            </w:tcBorders>
            <w:vAlign w:val="center"/>
          </w:tcPr>
          <w:p w14:paraId="1308D6C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55239B8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90" w:type="dxa"/>
            <w:tcBorders>
              <w:top w:val="nil"/>
            </w:tcBorders>
            <w:vAlign w:val="center"/>
          </w:tcPr>
          <w:p w14:paraId="5213709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6" w:type="dxa"/>
            <w:tcBorders>
              <w:top w:val="nil"/>
            </w:tcBorders>
            <w:vAlign w:val="center"/>
          </w:tcPr>
          <w:p w14:paraId="4ED2970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7FF81F3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5" w:type="dxa"/>
            <w:tcBorders>
              <w:top w:val="nil"/>
            </w:tcBorders>
            <w:vAlign w:val="center"/>
          </w:tcPr>
          <w:p w14:paraId="6CD3362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7DD0A192">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2E4915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93" w:type="dxa"/>
            <w:vAlign w:val="center"/>
          </w:tcPr>
          <w:p w14:paraId="126BC6E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88" w:type="dxa"/>
            <w:vAlign w:val="center"/>
          </w:tcPr>
          <w:p w14:paraId="4BBB4D5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vAlign w:val="center"/>
          </w:tcPr>
          <w:p w14:paraId="6B93A56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85" w:type="dxa"/>
            <w:vAlign w:val="center"/>
          </w:tcPr>
          <w:p w14:paraId="1A3D383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vAlign w:val="center"/>
          </w:tcPr>
          <w:p w14:paraId="39A32B2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90" w:type="dxa"/>
            <w:vAlign w:val="center"/>
          </w:tcPr>
          <w:p w14:paraId="43BAD9A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6" w:type="dxa"/>
            <w:vAlign w:val="center"/>
          </w:tcPr>
          <w:p w14:paraId="723C796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vAlign w:val="center"/>
          </w:tcPr>
          <w:p w14:paraId="150AB59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5" w:type="dxa"/>
            <w:vAlign w:val="center"/>
          </w:tcPr>
          <w:p w14:paraId="56E64DA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vAlign w:val="center"/>
          </w:tcPr>
          <w:p w14:paraId="5C3D1485">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2DA132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93" w:type="dxa"/>
            <w:tcBorders>
              <w:top w:val="nil"/>
            </w:tcBorders>
            <w:vAlign w:val="center"/>
          </w:tcPr>
          <w:p w14:paraId="44D9DB6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88" w:type="dxa"/>
            <w:tcBorders>
              <w:top w:val="nil"/>
            </w:tcBorders>
            <w:vAlign w:val="center"/>
          </w:tcPr>
          <w:p w14:paraId="74C2661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60D272B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85" w:type="dxa"/>
            <w:tcBorders>
              <w:top w:val="nil"/>
            </w:tcBorders>
            <w:vAlign w:val="center"/>
          </w:tcPr>
          <w:p w14:paraId="0488B17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0B0D4F9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90" w:type="dxa"/>
            <w:tcBorders>
              <w:top w:val="nil"/>
            </w:tcBorders>
            <w:vAlign w:val="center"/>
          </w:tcPr>
          <w:p w14:paraId="18B4200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6" w:type="dxa"/>
            <w:tcBorders>
              <w:top w:val="nil"/>
            </w:tcBorders>
            <w:vAlign w:val="center"/>
          </w:tcPr>
          <w:p w14:paraId="513CF51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2A938A0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5" w:type="dxa"/>
            <w:tcBorders>
              <w:top w:val="nil"/>
            </w:tcBorders>
            <w:vAlign w:val="center"/>
          </w:tcPr>
          <w:p w14:paraId="79235FD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5D1FF259">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0E480F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93" w:type="dxa"/>
            <w:vAlign w:val="center"/>
          </w:tcPr>
          <w:p w14:paraId="1C13720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88" w:type="dxa"/>
            <w:vAlign w:val="center"/>
          </w:tcPr>
          <w:p w14:paraId="3109C63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vAlign w:val="center"/>
          </w:tcPr>
          <w:p w14:paraId="5F05FFC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85" w:type="dxa"/>
            <w:vAlign w:val="center"/>
          </w:tcPr>
          <w:p w14:paraId="0431457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vAlign w:val="center"/>
          </w:tcPr>
          <w:p w14:paraId="7141A79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90" w:type="dxa"/>
            <w:vAlign w:val="center"/>
          </w:tcPr>
          <w:p w14:paraId="7EC8084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6" w:type="dxa"/>
            <w:vAlign w:val="center"/>
          </w:tcPr>
          <w:p w14:paraId="5AF2685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vAlign w:val="center"/>
          </w:tcPr>
          <w:p w14:paraId="209944F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5" w:type="dxa"/>
            <w:vAlign w:val="center"/>
          </w:tcPr>
          <w:p w14:paraId="32F6B70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vAlign w:val="center"/>
          </w:tcPr>
          <w:p w14:paraId="3DD778F4">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1F6928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93" w:type="dxa"/>
            <w:tcBorders>
              <w:top w:val="nil"/>
            </w:tcBorders>
            <w:vAlign w:val="center"/>
          </w:tcPr>
          <w:p w14:paraId="7D8543F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88" w:type="dxa"/>
            <w:tcBorders>
              <w:top w:val="nil"/>
            </w:tcBorders>
            <w:vAlign w:val="center"/>
          </w:tcPr>
          <w:p w14:paraId="7C8DDD8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6978933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85" w:type="dxa"/>
            <w:tcBorders>
              <w:top w:val="nil"/>
            </w:tcBorders>
            <w:vAlign w:val="center"/>
          </w:tcPr>
          <w:p w14:paraId="51B51CC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2C1D7F5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90" w:type="dxa"/>
            <w:tcBorders>
              <w:top w:val="nil"/>
            </w:tcBorders>
            <w:vAlign w:val="center"/>
          </w:tcPr>
          <w:p w14:paraId="02AB1B4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6" w:type="dxa"/>
            <w:tcBorders>
              <w:top w:val="nil"/>
            </w:tcBorders>
            <w:vAlign w:val="center"/>
          </w:tcPr>
          <w:p w14:paraId="7942312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7B63C3F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5" w:type="dxa"/>
            <w:tcBorders>
              <w:top w:val="nil"/>
            </w:tcBorders>
            <w:vAlign w:val="center"/>
          </w:tcPr>
          <w:p w14:paraId="3D629B3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0AE8C8B9">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56890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93" w:type="dxa"/>
            <w:tcBorders>
              <w:top w:val="nil"/>
            </w:tcBorders>
            <w:vAlign w:val="center"/>
          </w:tcPr>
          <w:p w14:paraId="20508C7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88" w:type="dxa"/>
            <w:tcBorders>
              <w:top w:val="nil"/>
            </w:tcBorders>
            <w:vAlign w:val="center"/>
          </w:tcPr>
          <w:p w14:paraId="4D2941D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42D0A19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85" w:type="dxa"/>
            <w:tcBorders>
              <w:top w:val="nil"/>
            </w:tcBorders>
            <w:vAlign w:val="center"/>
          </w:tcPr>
          <w:p w14:paraId="58D2E8D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2E3AECD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90" w:type="dxa"/>
            <w:tcBorders>
              <w:top w:val="nil"/>
            </w:tcBorders>
            <w:vAlign w:val="center"/>
          </w:tcPr>
          <w:p w14:paraId="259D26E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6" w:type="dxa"/>
            <w:tcBorders>
              <w:top w:val="nil"/>
            </w:tcBorders>
            <w:vAlign w:val="center"/>
          </w:tcPr>
          <w:p w14:paraId="18E9951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5408E61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5" w:type="dxa"/>
            <w:tcBorders>
              <w:top w:val="nil"/>
            </w:tcBorders>
            <w:vAlign w:val="center"/>
          </w:tcPr>
          <w:p w14:paraId="7470320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0F3B6A45">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018B60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93" w:type="dxa"/>
            <w:vAlign w:val="center"/>
          </w:tcPr>
          <w:p w14:paraId="476E7BF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88" w:type="dxa"/>
            <w:vAlign w:val="center"/>
          </w:tcPr>
          <w:p w14:paraId="74965FE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vAlign w:val="center"/>
          </w:tcPr>
          <w:p w14:paraId="47EA5BC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85" w:type="dxa"/>
            <w:vAlign w:val="center"/>
          </w:tcPr>
          <w:p w14:paraId="04D02ED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vAlign w:val="center"/>
          </w:tcPr>
          <w:p w14:paraId="41A1115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90" w:type="dxa"/>
            <w:vAlign w:val="center"/>
          </w:tcPr>
          <w:p w14:paraId="5B233BC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6" w:type="dxa"/>
            <w:vAlign w:val="center"/>
          </w:tcPr>
          <w:p w14:paraId="71B82C5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vAlign w:val="center"/>
          </w:tcPr>
          <w:p w14:paraId="4189B52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5" w:type="dxa"/>
            <w:vAlign w:val="center"/>
          </w:tcPr>
          <w:p w14:paraId="5AF8B31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vAlign w:val="center"/>
          </w:tcPr>
          <w:p w14:paraId="11FBBCEC">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A221C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893" w:type="dxa"/>
            <w:tcBorders>
              <w:top w:val="nil"/>
            </w:tcBorders>
            <w:vAlign w:val="center"/>
          </w:tcPr>
          <w:p w14:paraId="5AFC6CD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88" w:type="dxa"/>
            <w:tcBorders>
              <w:top w:val="nil"/>
            </w:tcBorders>
            <w:vAlign w:val="center"/>
          </w:tcPr>
          <w:p w14:paraId="20E8F9A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24BF71A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85" w:type="dxa"/>
            <w:tcBorders>
              <w:top w:val="nil"/>
            </w:tcBorders>
            <w:vAlign w:val="center"/>
          </w:tcPr>
          <w:p w14:paraId="5F77437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7D652B5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90" w:type="dxa"/>
            <w:tcBorders>
              <w:top w:val="nil"/>
            </w:tcBorders>
            <w:vAlign w:val="center"/>
          </w:tcPr>
          <w:p w14:paraId="2D3C780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6" w:type="dxa"/>
            <w:tcBorders>
              <w:top w:val="nil"/>
            </w:tcBorders>
            <w:vAlign w:val="center"/>
          </w:tcPr>
          <w:p w14:paraId="03D5931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90" w:type="dxa"/>
            <w:tcBorders>
              <w:top w:val="nil"/>
            </w:tcBorders>
            <w:vAlign w:val="center"/>
          </w:tcPr>
          <w:p w14:paraId="3377A39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5" w:type="dxa"/>
            <w:tcBorders>
              <w:top w:val="nil"/>
            </w:tcBorders>
            <w:vAlign w:val="center"/>
          </w:tcPr>
          <w:p w14:paraId="0FCB4BA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594" w:type="dxa"/>
            <w:tcBorders>
              <w:top w:val="nil"/>
            </w:tcBorders>
            <w:vAlign w:val="center"/>
          </w:tcPr>
          <w:p w14:paraId="0521BB7B">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bl>
    <w:p w14:paraId="09AE0FEA">
      <w:pPr>
        <w:spacing w:line="440" w:lineRule="exact"/>
        <w:rPr>
          <w:rFonts w:ascii="宋体" w:hAnsi="宋体"/>
          <w:b/>
          <w:color w:val="000000" w:themeColor="text1"/>
          <w:sz w:val="24"/>
          <w:szCs w:val="30"/>
          <w14:textFill>
            <w14:solidFill>
              <w14:schemeClr w14:val="tx1"/>
            </w14:solidFill>
          </w14:textFill>
        </w:rPr>
        <w:sectPr>
          <w:footerReference r:id="rId30" w:type="first"/>
          <w:footerReference r:id="rId29" w:type="default"/>
          <w:pgSz w:w="16838" w:h="11906" w:orient="landscape"/>
          <w:pgMar w:top="1554" w:right="1418" w:bottom="1531" w:left="1418" w:header="851" w:footer="992" w:gutter="0"/>
          <w:cols w:space="720" w:num="1"/>
          <w:titlePg/>
          <w:docGrid w:type="linesAndChars" w:linePitch="312" w:charSpace="0"/>
        </w:sectPr>
      </w:pPr>
    </w:p>
    <w:p w14:paraId="75A52A98">
      <w:pPr>
        <w:spacing w:before="156" w:beforeLines="50" w:after="156" w:afterLines="50" w:line="440" w:lineRule="exact"/>
        <w:jc w:val="left"/>
        <w:rPr>
          <w:rFonts w:ascii="宋体" w:hAnsi="宋体" w:cs="黑体"/>
          <w:color w:val="000000" w:themeColor="text1"/>
          <w:sz w:val="24"/>
          <w:szCs w:val="32"/>
          <w14:textFill>
            <w14:solidFill>
              <w14:schemeClr w14:val="tx1"/>
            </w14:solidFill>
          </w14:textFill>
        </w:rPr>
      </w:pPr>
      <w:r>
        <w:rPr>
          <w:rFonts w:hint="eastAsia" w:ascii="宋体" w:hAnsi="宋体" w:cs="黑体"/>
          <w:color w:val="000000" w:themeColor="text1"/>
          <w:sz w:val="24"/>
          <w:szCs w:val="32"/>
          <w14:textFill>
            <w14:solidFill>
              <w14:schemeClr w14:val="tx1"/>
            </w14:solidFill>
          </w14:textFill>
        </w:rPr>
        <w:t>附件2</w:t>
      </w:r>
    </w:p>
    <w:p w14:paraId="5C5FF7F6">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发包人供应材料设备一览表</w:t>
      </w:r>
    </w:p>
    <w:tbl>
      <w:tblPr>
        <w:tblStyle w:val="28"/>
        <w:tblW w:w="980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620C30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780" w:type="dxa"/>
            <w:tcBorders>
              <w:top w:val="single" w:color="auto" w:sz="12" w:space="0"/>
              <w:bottom w:val="double" w:color="auto" w:sz="6" w:space="0"/>
            </w:tcBorders>
            <w:vAlign w:val="center"/>
          </w:tcPr>
          <w:p w14:paraId="68B8843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序号</w:t>
            </w:r>
          </w:p>
        </w:tc>
        <w:tc>
          <w:tcPr>
            <w:tcW w:w="1169" w:type="dxa"/>
            <w:tcBorders>
              <w:top w:val="single" w:color="auto" w:sz="12" w:space="0"/>
              <w:bottom w:val="double" w:color="auto" w:sz="6" w:space="0"/>
            </w:tcBorders>
            <w:vAlign w:val="center"/>
          </w:tcPr>
          <w:p w14:paraId="09B40DE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 xml:space="preserve">  </w:t>
            </w:r>
            <w:r>
              <w:rPr>
                <w:rFonts w:ascii="宋体" w:hAnsi="宋体"/>
                <w:color w:val="000000" w:themeColor="text1"/>
                <w:kern w:val="2"/>
                <w:sz w:val="22"/>
                <w:szCs w:val="30"/>
                <w14:textFill>
                  <w14:solidFill>
                    <w14:schemeClr w14:val="tx1"/>
                  </w14:solidFill>
                </w14:textFill>
              </w:rPr>
              <w:t>材料、</w:t>
            </w:r>
          </w:p>
          <w:p w14:paraId="5B859F3F">
            <w:pPr>
              <w:pStyle w:val="16"/>
              <w:keepNext/>
              <w:spacing w:line="440" w:lineRule="exact"/>
              <w:ind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设备品种</w:t>
            </w:r>
          </w:p>
        </w:tc>
        <w:tc>
          <w:tcPr>
            <w:tcW w:w="1300" w:type="dxa"/>
            <w:tcBorders>
              <w:top w:val="single" w:color="auto" w:sz="12" w:space="0"/>
              <w:bottom w:val="double" w:color="auto" w:sz="6" w:space="0"/>
            </w:tcBorders>
            <w:vAlign w:val="center"/>
          </w:tcPr>
          <w:p w14:paraId="303B0F4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规格型号</w:t>
            </w:r>
          </w:p>
        </w:tc>
        <w:tc>
          <w:tcPr>
            <w:tcW w:w="861" w:type="dxa"/>
            <w:tcBorders>
              <w:top w:val="single" w:color="auto" w:sz="12" w:space="0"/>
              <w:bottom w:val="double" w:color="auto" w:sz="6" w:space="0"/>
            </w:tcBorders>
            <w:vAlign w:val="center"/>
          </w:tcPr>
          <w:p w14:paraId="64C6C78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单位</w:t>
            </w:r>
          </w:p>
        </w:tc>
        <w:tc>
          <w:tcPr>
            <w:tcW w:w="780" w:type="dxa"/>
            <w:tcBorders>
              <w:top w:val="single" w:color="auto" w:sz="12" w:space="0"/>
              <w:bottom w:val="double" w:color="auto" w:sz="6" w:space="0"/>
            </w:tcBorders>
            <w:vAlign w:val="center"/>
          </w:tcPr>
          <w:p w14:paraId="38E1559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数量</w:t>
            </w:r>
          </w:p>
        </w:tc>
        <w:tc>
          <w:tcPr>
            <w:tcW w:w="957" w:type="dxa"/>
            <w:tcBorders>
              <w:top w:val="single" w:color="auto" w:sz="12" w:space="0"/>
              <w:bottom w:val="double" w:color="auto" w:sz="6" w:space="0"/>
            </w:tcBorders>
            <w:vAlign w:val="center"/>
          </w:tcPr>
          <w:p w14:paraId="379E647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单价</w:t>
            </w:r>
            <w:r>
              <w:rPr>
                <w:rFonts w:hint="eastAsia" w:ascii="宋体" w:hAnsi="宋体"/>
                <w:color w:val="000000" w:themeColor="text1"/>
                <w:kern w:val="2"/>
                <w:sz w:val="22"/>
                <w:szCs w:val="30"/>
                <w14:textFill>
                  <w14:solidFill>
                    <w14:schemeClr w14:val="tx1"/>
                  </w14:solidFill>
                </w14:textFill>
              </w:rPr>
              <w:t>（元）</w:t>
            </w:r>
          </w:p>
        </w:tc>
        <w:tc>
          <w:tcPr>
            <w:tcW w:w="909" w:type="dxa"/>
            <w:tcBorders>
              <w:top w:val="single" w:color="auto" w:sz="12" w:space="0"/>
              <w:bottom w:val="double" w:color="auto" w:sz="6" w:space="0"/>
            </w:tcBorders>
            <w:vAlign w:val="center"/>
          </w:tcPr>
          <w:p w14:paraId="5282044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质量等级</w:t>
            </w:r>
          </w:p>
        </w:tc>
        <w:tc>
          <w:tcPr>
            <w:tcW w:w="780" w:type="dxa"/>
            <w:tcBorders>
              <w:top w:val="single" w:color="auto" w:sz="12" w:space="0"/>
              <w:bottom w:val="double" w:color="auto" w:sz="6" w:space="0"/>
            </w:tcBorders>
            <w:vAlign w:val="center"/>
          </w:tcPr>
          <w:p w14:paraId="60EBBF3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供应时间</w:t>
            </w:r>
          </w:p>
        </w:tc>
        <w:tc>
          <w:tcPr>
            <w:tcW w:w="1363" w:type="dxa"/>
            <w:tcBorders>
              <w:top w:val="single" w:color="auto" w:sz="12" w:space="0"/>
              <w:bottom w:val="double" w:color="auto" w:sz="6" w:space="0"/>
            </w:tcBorders>
            <w:vAlign w:val="center"/>
          </w:tcPr>
          <w:p w14:paraId="4F1442A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送达地点</w:t>
            </w:r>
          </w:p>
        </w:tc>
        <w:tc>
          <w:tcPr>
            <w:tcW w:w="909" w:type="dxa"/>
            <w:tcBorders>
              <w:top w:val="single" w:color="auto" w:sz="12" w:space="0"/>
              <w:bottom w:val="double" w:color="auto" w:sz="6" w:space="0"/>
            </w:tcBorders>
            <w:vAlign w:val="center"/>
          </w:tcPr>
          <w:p w14:paraId="574DE30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备注</w:t>
            </w:r>
          </w:p>
        </w:tc>
      </w:tr>
      <w:tr w14:paraId="360141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tcBorders>
              <w:top w:val="double" w:color="auto" w:sz="6" w:space="0"/>
              <w:bottom w:val="single" w:color="auto" w:sz="6" w:space="0"/>
            </w:tcBorders>
            <w:vAlign w:val="center"/>
          </w:tcPr>
          <w:p w14:paraId="08A03E7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69" w:type="dxa"/>
            <w:tcBorders>
              <w:top w:val="double" w:color="auto" w:sz="6" w:space="0"/>
              <w:bottom w:val="single" w:color="auto" w:sz="6" w:space="0"/>
            </w:tcBorders>
            <w:vAlign w:val="center"/>
          </w:tcPr>
          <w:p w14:paraId="0689C74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00" w:type="dxa"/>
            <w:tcBorders>
              <w:top w:val="double" w:color="auto" w:sz="6" w:space="0"/>
              <w:bottom w:val="single" w:color="auto" w:sz="6" w:space="0"/>
            </w:tcBorders>
            <w:vAlign w:val="center"/>
          </w:tcPr>
          <w:p w14:paraId="6EADE8E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61" w:type="dxa"/>
            <w:tcBorders>
              <w:top w:val="double" w:color="auto" w:sz="6" w:space="0"/>
              <w:bottom w:val="single" w:color="auto" w:sz="6" w:space="0"/>
            </w:tcBorders>
            <w:vAlign w:val="center"/>
          </w:tcPr>
          <w:p w14:paraId="20CC82B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tcBorders>
              <w:top w:val="double" w:color="auto" w:sz="6" w:space="0"/>
              <w:bottom w:val="single" w:color="auto" w:sz="6" w:space="0"/>
            </w:tcBorders>
            <w:vAlign w:val="center"/>
          </w:tcPr>
          <w:p w14:paraId="60BE908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57" w:type="dxa"/>
            <w:tcBorders>
              <w:top w:val="double" w:color="auto" w:sz="6" w:space="0"/>
              <w:bottom w:val="single" w:color="auto" w:sz="6" w:space="0"/>
            </w:tcBorders>
            <w:vAlign w:val="center"/>
          </w:tcPr>
          <w:p w14:paraId="09BC394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tcBorders>
              <w:top w:val="double" w:color="auto" w:sz="6" w:space="0"/>
              <w:bottom w:val="single" w:color="auto" w:sz="6" w:space="0"/>
            </w:tcBorders>
            <w:vAlign w:val="center"/>
          </w:tcPr>
          <w:p w14:paraId="14EF352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tcBorders>
              <w:top w:val="double" w:color="auto" w:sz="6" w:space="0"/>
              <w:bottom w:val="single" w:color="auto" w:sz="6" w:space="0"/>
            </w:tcBorders>
            <w:vAlign w:val="center"/>
          </w:tcPr>
          <w:p w14:paraId="37D6445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63" w:type="dxa"/>
            <w:tcBorders>
              <w:top w:val="double" w:color="auto" w:sz="6" w:space="0"/>
              <w:bottom w:val="single" w:color="auto" w:sz="6" w:space="0"/>
            </w:tcBorders>
            <w:vAlign w:val="center"/>
          </w:tcPr>
          <w:p w14:paraId="3208F2D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tcBorders>
              <w:top w:val="double" w:color="auto" w:sz="6" w:space="0"/>
              <w:bottom w:val="single" w:color="auto" w:sz="6" w:space="0"/>
            </w:tcBorders>
            <w:vAlign w:val="center"/>
          </w:tcPr>
          <w:p w14:paraId="1C59A450">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1FFE0C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tcBorders>
              <w:top w:val="nil"/>
            </w:tcBorders>
            <w:vAlign w:val="center"/>
          </w:tcPr>
          <w:p w14:paraId="694D783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69" w:type="dxa"/>
            <w:tcBorders>
              <w:top w:val="nil"/>
            </w:tcBorders>
            <w:vAlign w:val="center"/>
          </w:tcPr>
          <w:p w14:paraId="5C092EF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00" w:type="dxa"/>
            <w:tcBorders>
              <w:top w:val="nil"/>
            </w:tcBorders>
            <w:vAlign w:val="center"/>
          </w:tcPr>
          <w:p w14:paraId="675ABB6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61" w:type="dxa"/>
            <w:tcBorders>
              <w:top w:val="nil"/>
            </w:tcBorders>
            <w:vAlign w:val="center"/>
          </w:tcPr>
          <w:p w14:paraId="1ED42ED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tcBorders>
              <w:top w:val="nil"/>
            </w:tcBorders>
            <w:vAlign w:val="center"/>
          </w:tcPr>
          <w:p w14:paraId="4D14DDF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57" w:type="dxa"/>
            <w:tcBorders>
              <w:top w:val="nil"/>
            </w:tcBorders>
            <w:vAlign w:val="center"/>
          </w:tcPr>
          <w:p w14:paraId="3493547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tcBorders>
              <w:top w:val="nil"/>
            </w:tcBorders>
            <w:vAlign w:val="center"/>
          </w:tcPr>
          <w:p w14:paraId="131C6B5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tcBorders>
              <w:top w:val="nil"/>
            </w:tcBorders>
            <w:vAlign w:val="center"/>
          </w:tcPr>
          <w:p w14:paraId="444ECA1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63" w:type="dxa"/>
            <w:tcBorders>
              <w:top w:val="nil"/>
            </w:tcBorders>
            <w:vAlign w:val="center"/>
          </w:tcPr>
          <w:p w14:paraId="1DAB93E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tcBorders>
              <w:top w:val="nil"/>
            </w:tcBorders>
            <w:vAlign w:val="center"/>
          </w:tcPr>
          <w:p w14:paraId="5A55933A">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6A4708A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vAlign w:val="center"/>
          </w:tcPr>
          <w:p w14:paraId="7032BB6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69" w:type="dxa"/>
            <w:vAlign w:val="center"/>
          </w:tcPr>
          <w:p w14:paraId="654C590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00" w:type="dxa"/>
            <w:vAlign w:val="center"/>
          </w:tcPr>
          <w:p w14:paraId="3CFF352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61" w:type="dxa"/>
            <w:vAlign w:val="center"/>
          </w:tcPr>
          <w:p w14:paraId="25A634E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7448CD7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57" w:type="dxa"/>
            <w:vAlign w:val="center"/>
          </w:tcPr>
          <w:p w14:paraId="28006ED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33A8B83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6AB02A3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63" w:type="dxa"/>
            <w:vAlign w:val="center"/>
          </w:tcPr>
          <w:p w14:paraId="034F583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15F81B96">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49CC42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vAlign w:val="center"/>
          </w:tcPr>
          <w:p w14:paraId="42240A9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69" w:type="dxa"/>
            <w:vAlign w:val="center"/>
          </w:tcPr>
          <w:p w14:paraId="7BB742D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00" w:type="dxa"/>
            <w:vAlign w:val="center"/>
          </w:tcPr>
          <w:p w14:paraId="408BC88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61" w:type="dxa"/>
            <w:vAlign w:val="center"/>
          </w:tcPr>
          <w:p w14:paraId="4D98090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5CA0322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57" w:type="dxa"/>
            <w:vAlign w:val="center"/>
          </w:tcPr>
          <w:p w14:paraId="08B0FAB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088F956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07625B9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63" w:type="dxa"/>
            <w:vAlign w:val="center"/>
          </w:tcPr>
          <w:p w14:paraId="63618AC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3015A79F">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02CEF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vAlign w:val="center"/>
          </w:tcPr>
          <w:p w14:paraId="3C1FE3C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69" w:type="dxa"/>
            <w:vAlign w:val="center"/>
          </w:tcPr>
          <w:p w14:paraId="2E71CA0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00" w:type="dxa"/>
            <w:vAlign w:val="center"/>
          </w:tcPr>
          <w:p w14:paraId="5E60DAC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61" w:type="dxa"/>
            <w:vAlign w:val="center"/>
          </w:tcPr>
          <w:p w14:paraId="44B66C9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256FFA2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57" w:type="dxa"/>
            <w:vAlign w:val="center"/>
          </w:tcPr>
          <w:p w14:paraId="53DD61B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6EFAB3B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22CD9EE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63" w:type="dxa"/>
            <w:vAlign w:val="center"/>
          </w:tcPr>
          <w:p w14:paraId="455667A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1ED23F31">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2E162C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vAlign w:val="center"/>
          </w:tcPr>
          <w:p w14:paraId="5980957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69" w:type="dxa"/>
            <w:vAlign w:val="center"/>
          </w:tcPr>
          <w:p w14:paraId="34F35F0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00" w:type="dxa"/>
            <w:vAlign w:val="center"/>
          </w:tcPr>
          <w:p w14:paraId="7791B47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61" w:type="dxa"/>
            <w:vAlign w:val="center"/>
          </w:tcPr>
          <w:p w14:paraId="2BC4E4B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3B861B4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57" w:type="dxa"/>
            <w:vAlign w:val="center"/>
          </w:tcPr>
          <w:p w14:paraId="22D0C5B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3E3CBD7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3B3C5CF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63" w:type="dxa"/>
            <w:vAlign w:val="center"/>
          </w:tcPr>
          <w:p w14:paraId="15C80D9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36BDE565">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40FD1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vAlign w:val="center"/>
          </w:tcPr>
          <w:p w14:paraId="23B54DE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69" w:type="dxa"/>
            <w:vAlign w:val="center"/>
          </w:tcPr>
          <w:p w14:paraId="7D79EA2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00" w:type="dxa"/>
            <w:vAlign w:val="center"/>
          </w:tcPr>
          <w:p w14:paraId="4919FC6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61" w:type="dxa"/>
            <w:vAlign w:val="center"/>
          </w:tcPr>
          <w:p w14:paraId="04F56BB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563212F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57" w:type="dxa"/>
            <w:vAlign w:val="center"/>
          </w:tcPr>
          <w:p w14:paraId="5A0E4C2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718C0D0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24DD448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63" w:type="dxa"/>
            <w:vAlign w:val="center"/>
          </w:tcPr>
          <w:p w14:paraId="579AA75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631191B6">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5FB73E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vAlign w:val="center"/>
          </w:tcPr>
          <w:p w14:paraId="5DDD5D2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69" w:type="dxa"/>
            <w:vAlign w:val="center"/>
          </w:tcPr>
          <w:p w14:paraId="104C57E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00" w:type="dxa"/>
            <w:vAlign w:val="center"/>
          </w:tcPr>
          <w:p w14:paraId="5BD4D02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61" w:type="dxa"/>
            <w:vAlign w:val="center"/>
          </w:tcPr>
          <w:p w14:paraId="0E42011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1531C86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57" w:type="dxa"/>
            <w:vAlign w:val="center"/>
          </w:tcPr>
          <w:p w14:paraId="31E1A52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3888C60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722272C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63" w:type="dxa"/>
            <w:vAlign w:val="center"/>
          </w:tcPr>
          <w:p w14:paraId="2E9A33E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6CC514AE">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539386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vAlign w:val="center"/>
          </w:tcPr>
          <w:p w14:paraId="13D89AEA">
            <w:pPr>
              <w:jc w:val="center"/>
              <w:rPr>
                <w:rFonts w:ascii="宋体" w:hAnsi="宋体"/>
                <w:color w:val="000000" w:themeColor="text1"/>
                <w:sz w:val="24"/>
                <w:szCs w:val="30"/>
                <w14:textFill>
                  <w14:solidFill>
                    <w14:schemeClr w14:val="tx1"/>
                  </w14:solidFill>
                </w14:textFill>
              </w:rPr>
            </w:pPr>
          </w:p>
        </w:tc>
        <w:tc>
          <w:tcPr>
            <w:tcW w:w="1169" w:type="dxa"/>
            <w:vAlign w:val="center"/>
          </w:tcPr>
          <w:p w14:paraId="77BBCBAF">
            <w:pPr>
              <w:jc w:val="center"/>
              <w:rPr>
                <w:rFonts w:ascii="宋体" w:hAnsi="宋体"/>
                <w:color w:val="000000" w:themeColor="text1"/>
                <w:sz w:val="24"/>
                <w:szCs w:val="30"/>
                <w14:textFill>
                  <w14:solidFill>
                    <w14:schemeClr w14:val="tx1"/>
                  </w14:solidFill>
                </w14:textFill>
              </w:rPr>
            </w:pPr>
          </w:p>
        </w:tc>
        <w:tc>
          <w:tcPr>
            <w:tcW w:w="1300" w:type="dxa"/>
            <w:vAlign w:val="center"/>
          </w:tcPr>
          <w:p w14:paraId="7A82001E">
            <w:pPr>
              <w:jc w:val="center"/>
              <w:rPr>
                <w:rFonts w:ascii="宋体" w:hAnsi="宋体"/>
                <w:color w:val="000000" w:themeColor="text1"/>
                <w:sz w:val="24"/>
                <w:szCs w:val="30"/>
                <w14:textFill>
                  <w14:solidFill>
                    <w14:schemeClr w14:val="tx1"/>
                  </w14:solidFill>
                </w14:textFill>
              </w:rPr>
            </w:pPr>
          </w:p>
        </w:tc>
        <w:tc>
          <w:tcPr>
            <w:tcW w:w="861" w:type="dxa"/>
            <w:vAlign w:val="center"/>
          </w:tcPr>
          <w:p w14:paraId="684B6F5D">
            <w:pPr>
              <w:jc w:val="center"/>
              <w:rPr>
                <w:rFonts w:ascii="宋体" w:hAnsi="宋体"/>
                <w:color w:val="000000" w:themeColor="text1"/>
                <w:sz w:val="24"/>
                <w:szCs w:val="30"/>
                <w14:textFill>
                  <w14:solidFill>
                    <w14:schemeClr w14:val="tx1"/>
                  </w14:solidFill>
                </w14:textFill>
              </w:rPr>
            </w:pPr>
          </w:p>
        </w:tc>
        <w:tc>
          <w:tcPr>
            <w:tcW w:w="780" w:type="dxa"/>
            <w:vAlign w:val="center"/>
          </w:tcPr>
          <w:p w14:paraId="30FC355A">
            <w:pPr>
              <w:jc w:val="center"/>
              <w:rPr>
                <w:rFonts w:ascii="宋体" w:hAnsi="宋体"/>
                <w:color w:val="000000" w:themeColor="text1"/>
                <w:sz w:val="24"/>
                <w:szCs w:val="30"/>
                <w14:textFill>
                  <w14:solidFill>
                    <w14:schemeClr w14:val="tx1"/>
                  </w14:solidFill>
                </w14:textFill>
              </w:rPr>
            </w:pPr>
          </w:p>
        </w:tc>
        <w:tc>
          <w:tcPr>
            <w:tcW w:w="957" w:type="dxa"/>
            <w:vAlign w:val="center"/>
          </w:tcPr>
          <w:p w14:paraId="56978D1E">
            <w:pPr>
              <w:jc w:val="center"/>
              <w:rPr>
                <w:rFonts w:ascii="宋体" w:hAnsi="宋体"/>
                <w:color w:val="000000" w:themeColor="text1"/>
                <w:sz w:val="24"/>
                <w:szCs w:val="30"/>
                <w14:textFill>
                  <w14:solidFill>
                    <w14:schemeClr w14:val="tx1"/>
                  </w14:solidFill>
                </w14:textFill>
              </w:rPr>
            </w:pPr>
          </w:p>
        </w:tc>
        <w:tc>
          <w:tcPr>
            <w:tcW w:w="909" w:type="dxa"/>
            <w:vAlign w:val="center"/>
          </w:tcPr>
          <w:p w14:paraId="0F0DA66C">
            <w:pPr>
              <w:jc w:val="center"/>
              <w:rPr>
                <w:rFonts w:ascii="宋体" w:hAnsi="宋体"/>
                <w:color w:val="000000" w:themeColor="text1"/>
                <w:sz w:val="24"/>
                <w:szCs w:val="30"/>
                <w14:textFill>
                  <w14:solidFill>
                    <w14:schemeClr w14:val="tx1"/>
                  </w14:solidFill>
                </w14:textFill>
              </w:rPr>
            </w:pPr>
          </w:p>
        </w:tc>
        <w:tc>
          <w:tcPr>
            <w:tcW w:w="780" w:type="dxa"/>
            <w:vAlign w:val="center"/>
          </w:tcPr>
          <w:p w14:paraId="19B62DA4">
            <w:pPr>
              <w:jc w:val="center"/>
              <w:rPr>
                <w:rFonts w:ascii="宋体" w:hAnsi="宋体"/>
                <w:color w:val="000000" w:themeColor="text1"/>
                <w:sz w:val="24"/>
                <w:szCs w:val="30"/>
                <w14:textFill>
                  <w14:solidFill>
                    <w14:schemeClr w14:val="tx1"/>
                  </w14:solidFill>
                </w14:textFill>
              </w:rPr>
            </w:pPr>
          </w:p>
        </w:tc>
        <w:tc>
          <w:tcPr>
            <w:tcW w:w="1363" w:type="dxa"/>
            <w:vAlign w:val="center"/>
          </w:tcPr>
          <w:p w14:paraId="7D01AD17">
            <w:pPr>
              <w:jc w:val="center"/>
              <w:rPr>
                <w:rFonts w:ascii="宋体" w:hAnsi="宋体"/>
                <w:color w:val="000000" w:themeColor="text1"/>
                <w:sz w:val="24"/>
                <w:szCs w:val="30"/>
                <w14:textFill>
                  <w14:solidFill>
                    <w14:schemeClr w14:val="tx1"/>
                  </w14:solidFill>
                </w14:textFill>
              </w:rPr>
            </w:pPr>
          </w:p>
        </w:tc>
        <w:tc>
          <w:tcPr>
            <w:tcW w:w="909" w:type="dxa"/>
            <w:vAlign w:val="center"/>
          </w:tcPr>
          <w:p w14:paraId="445A3441">
            <w:pPr>
              <w:jc w:val="center"/>
              <w:rPr>
                <w:rFonts w:ascii="宋体" w:hAnsi="宋体"/>
                <w:color w:val="000000" w:themeColor="text1"/>
                <w:sz w:val="24"/>
                <w:szCs w:val="30"/>
                <w14:textFill>
                  <w14:solidFill>
                    <w14:schemeClr w14:val="tx1"/>
                  </w14:solidFill>
                </w14:textFill>
              </w:rPr>
            </w:pPr>
          </w:p>
        </w:tc>
      </w:tr>
      <w:tr w14:paraId="00744F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vAlign w:val="center"/>
          </w:tcPr>
          <w:p w14:paraId="5DA8CF2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69" w:type="dxa"/>
            <w:vAlign w:val="center"/>
          </w:tcPr>
          <w:p w14:paraId="301FFE5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00" w:type="dxa"/>
            <w:vAlign w:val="center"/>
          </w:tcPr>
          <w:p w14:paraId="566CE3A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61" w:type="dxa"/>
            <w:vAlign w:val="center"/>
          </w:tcPr>
          <w:p w14:paraId="2A67A47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651E292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57" w:type="dxa"/>
            <w:vAlign w:val="center"/>
          </w:tcPr>
          <w:p w14:paraId="511E6E0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1770C63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780" w:type="dxa"/>
            <w:vAlign w:val="center"/>
          </w:tcPr>
          <w:p w14:paraId="5C71B9A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363" w:type="dxa"/>
            <w:vAlign w:val="center"/>
          </w:tcPr>
          <w:p w14:paraId="11EBE49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09" w:type="dxa"/>
            <w:vAlign w:val="center"/>
          </w:tcPr>
          <w:p w14:paraId="21ACE25A">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5BC388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vAlign w:val="center"/>
          </w:tcPr>
          <w:p w14:paraId="0914A2BD">
            <w:pPr>
              <w:jc w:val="center"/>
              <w:rPr>
                <w:rFonts w:ascii="宋体" w:hAnsi="宋体"/>
                <w:color w:val="000000" w:themeColor="text1"/>
                <w:sz w:val="24"/>
                <w:szCs w:val="30"/>
                <w14:textFill>
                  <w14:solidFill>
                    <w14:schemeClr w14:val="tx1"/>
                  </w14:solidFill>
                </w14:textFill>
              </w:rPr>
            </w:pPr>
          </w:p>
        </w:tc>
        <w:tc>
          <w:tcPr>
            <w:tcW w:w="1169" w:type="dxa"/>
            <w:vAlign w:val="center"/>
          </w:tcPr>
          <w:p w14:paraId="77B3CFE0">
            <w:pPr>
              <w:jc w:val="center"/>
              <w:rPr>
                <w:rFonts w:ascii="宋体" w:hAnsi="宋体"/>
                <w:color w:val="000000" w:themeColor="text1"/>
                <w:sz w:val="24"/>
                <w:szCs w:val="30"/>
                <w14:textFill>
                  <w14:solidFill>
                    <w14:schemeClr w14:val="tx1"/>
                  </w14:solidFill>
                </w14:textFill>
              </w:rPr>
            </w:pPr>
          </w:p>
        </w:tc>
        <w:tc>
          <w:tcPr>
            <w:tcW w:w="1300" w:type="dxa"/>
            <w:vAlign w:val="center"/>
          </w:tcPr>
          <w:p w14:paraId="483AB7F4">
            <w:pPr>
              <w:jc w:val="center"/>
              <w:rPr>
                <w:rFonts w:ascii="宋体" w:hAnsi="宋体"/>
                <w:color w:val="000000" w:themeColor="text1"/>
                <w:sz w:val="24"/>
                <w:szCs w:val="30"/>
                <w14:textFill>
                  <w14:solidFill>
                    <w14:schemeClr w14:val="tx1"/>
                  </w14:solidFill>
                </w14:textFill>
              </w:rPr>
            </w:pPr>
          </w:p>
        </w:tc>
        <w:tc>
          <w:tcPr>
            <w:tcW w:w="861" w:type="dxa"/>
            <w:vAlign w:val="center"/>
          </w:tcPr>
          <w:p w14:paraId="0FAFD958">
            <w:pPr>
              <w:jc w:val="center"/>
              <w:rPr>
                <w:rFonts w:ascii="宋体" w:hAnsi="宋体"/>
                <w:color w:val="000000" w:themeColor="text1"/>
                <w:sz w:val="24"/>
                <w:szCs w:val="30"/>
                <w14:textFill>
                  <w14:solidFill>
                    <w14:schemeClr w14:val="tx1"/>
                  </w14:solidFill>
                </w14:textFill>
              </w:rPr>
            </w:pPr>
          </w:p>
        </w:tc>
        <w:tc>
          <w:tcPr>
            <w:tcW w:w="780" w:type="dxa"/>
            <w:vAlign w:val="center"/>
          </w:tcPr>
          <w:p w14:paraId="6831C64E">
            <w:pPr>
              <w:jc w:val="center"/>
              <w:rPr>
                <w:rFonts w:ascii="宋体" w:hAnsi="宋体"/>
                <w:color w:val="000000" w:themeColor="text1"/>
                <w:sz w:val="24"/>
                <w:szCs w:val="30"/>
                <w14:textFill>
                  <w14:solidFill>
                    <w14:schemeClr w14:val="tx1"/>
                  </w14:solidFill>
                </w14:textFill>
              </w:rPr>
            </w:pPr>
          </w:p>
        </w:tc>
        <w:tc>
          <w:tcPr>
            <w:tcW w:w="957" w:type="dxa"/>
            <w:vAlign w:val="center"/>
          </w:tcPr>
          <w:p w14:paraId="58918729">
            <w:pPr>
              <w:jc w:val="center"/>
              <w:rPr>
                <w:rFonts w:ascii="宋体" w:hAnsi="宋体"/>
                <w:color w:val="000000" w:themeColor="text1"/>
                <w:sz w:val="24"/>
                <w:szCs w:val="30"/>
                <w14:textFill>
                  <w14:solidFill>
                    <w14:schemeClr w14:val="tx1"/>
                  </w14:solidFill>
                </w14:textFill>
              </w:rPr>
            </w:pPr>
          </w:p>
        </w:tc>
        <w:tc>
          <w:tcPr>
            <w:tcW w:w="909" w:type="dxa"/>
            <w:vAlign w:val="center"/>
          </w:tcPr>
          <w:p w14:paraId="61FB0E27">
            <w:pPr>
              <w:jc w:val="center"/>
              <w:rPr>
                <w:rFonts w:ascii="宋体" w:hAnsi="宋体"/>
                <w:color w:val="000000" w:themeColor="text1"/>
                <w:sz w:val="24"/>
                <w:szCs w:val="30"/>
                <w14:textFill>
                  <w14:solidFill>
                    <w14:schemeClr w14:val="tx1"/>
                  </w14:solidFill>
                </w14:textFill>
              </w:rPr>
            </w:pPr>
          </w:p>
        </w:tc>
        <w:tc>
          <w:tcPr>
            <w:tcW w:w="780" w:type="dxa"/>
            <w:vAlign w:val="center"/>
          </w:tcPr>
          <w:p w14:paraId="775ADB56">
            <w:pPr>
              <w:jc w:val="center"/>
              <w:rPr>
                <w:rFonts w:ascii="宋体" w:hAnsi="宋体"/>
                <w:color w:val="000000" w:themeColor="text1"/>
                <w:sz w:val="24"/>
                <w:szCs w:val="30"/>
                <w14:textFill>
                  <w14:solidFill>
                    <w14:schemeClr w14:val="tx1"/>
                  </w14:solidFill>
                </w14:textFill>
              </w:rPr>
            </w:pPr>
          </w:p>
        </w:tc>
        <w:tc>
          <w:tcPr>
            <w:tcW w:w="1363" w:type="dxa"/>
            <w:vAlign w:val="center"/>
          </w:tcPr>
          <w:p w14:paraId="739D6508">
            <w:pPr>
              <w:jc w:val="center"/>
              <w:rPr>
                <w:rFonts w:ascii="宋体" w:hAnsi="宋体"/>
                <w:color w:val="000000" w:themeColor="text1"/>
                <w:sz w:val="24"/>
                <w:szCs w:val="30"/>
                <w14:textFill>
                  <w14:solidFill>
                    <w14:schemeClr w14:val="tx1"/>
                  </w14:solidFill>
                </w14:textFill>
              </w:rPr>
            </w:pPr>
          </w:p>
        </w:tc>
        <w:tc>
          <w:tcPr>
            <w:tcW w:w="909" w:type="dxa"/>
            <w:vAlign w:val="center"/>
          </w:tcPr>
          <w:p w14:paraId="7839C83B">
            <w:pPr>
              <w:jc w:val="center"/>
              <w:rPr>
                <w:rFonts w:ascii="宋体" w:hAnsi="宋体"/>
                <w:color w:val="000000" w:themeColor="text1"/>
                <w:sz w:val="24"/>
                <w:szCs w:val="30"/>
                <w14:textFill>
                  <w14:solidFill>
                    <w14:schemeClr w14:val="tx1"/>
                  </w14:solidFill>
                </w14:textFill>
              </w:rPr>
            </w:pPr>
          </w:p>
        </w:tc>
      </w:tr>
      <w:tr w14:paraId="3925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780" w:type="dxa"/>
            <w:vAlign w:val="center"/>
          </w:tcPr>
          <w:p w14:paraId="77465379">
            <w:pPr>
              <w:jc w:val="center"/>
              <w:rPr>
                <w:rFonts w:ascii="宋体" w:hAnsi="宋体"/>
                <w:color w:val="000000" w:themeColor="text1"/>
                <w:sz w:val="24"/>
                <w:szCs w:val="30"/>
                <w14:textFill>
                  <w14:solidFill>
                    <w14:schemeClr w14:val="tx1"/>
                  </w14:solidFill>
                </w14:textFill>
              </w:rPr>
            </w:pPr>
          </w:p>
        </w:tc>
        <w:tc>
          <w:tcPr>
            <w:tcW w:w="1169" w:type="dxa"/>
            <w:vAlign w:val="center"/>
          </w:tcPr>
          <w:p w14:paraId="5FFD4E7A">
            <w:pPr>
              <w:jc w:val="center"/>
              <w:rPr>
                <w:rFonts w:ascii="宋体" w:hAnsi="宋体"/>
                <w:color w:val="000000" w:themeColor="text1"/>
                <w:sz w:val="24"/>
                <w:szCs w:val="30"/>
                <w14:textFill>
                  <w14:solidFill>
                    <w14:schemeClr w14:val="tx1"/>
                  </w14:solidFill>
                </w14:textFill>
              </w:rPr>
            </w:pPr>
          </w:p>
        </w:tc>
        <w:tc>
          <w:tcPr>
            <w:tcW w:w="1300" w:type="dxa"/>
            <w:vAlign w:val="center"/>
          </w:tcPr>
          <w:p w14:paraId="13B8928A">
            <w:pPr>
              <w:jc w:val="center"/>
              <w:rPr>
                <w:rFonts w:ascii="宋体" w:hAnsi="宋体"/>
                <w:color w:val="000000" w:themeColor="text1"/>
                <w:sz w:val="24"/>
                <w:szCs w:val="30"/>
                <w14:textFill>
                  <w14:solidFill>
                    <w14:schemeClr w14:val="tx1"/>
                  </w14:solidFill>
                </w14:textFill>
              </w:rPr>
            </w:pPr>
          </w:p>
        </w:tc>
        <w:tc>
          <w:tcPr>
            <w:tcW w:w="861" w:type="dxa"/>
            <w:vAlign w:val="center"/>
          </w:tcPr>
          <w:p w14:paraId="2ADA610C">
            <w:pPr>
              <w:jc w:val="center"/>
              <w:rPr>
                <w:rFonts w:ascii="宋体" w:hAnsi="宋体"/>
                <w:color w:val="000000" w:themeColor="text1"/>
                <w:sz w:val="24"/>
                <w:szCs w:val="30"/>
                <w14:textFill>
                  <w14:solidFill>
                    <w14:schemeClr w14:val="tx1"/>
                  </w14:solidFill>
                </w14:textFill>
              </w:rPr>
            </w:pPr>
          </w:p>
        </w:tc>
        <w:tc>
          <w:tcPr>
            <w:tcW w:w="780" w:type="dxa"/>
            <w:vAlign w:val="center"/>
          </w:tcPr>
          <w:p w14:paraId="16C9C395">
            <w:pPr>
              <w:jc w:val="center"/>
              <w:rPr>
                <w:rFonts w:ascii="宋体" w:hAnsi="宋体"/>
                <w:color w:val="000000" w:themeColor="text1"/>
                <w:sz w:val="24"/>
                <w:szCs w:val="30"/>
                <w14:textFill>
                  <w14:solidFill>
                    <w14:schemeClr w14:val="tx1"/>
                  </w14:solidFill>
                </w14:textFill>
              </w:rPr>
            </w:pPr>
          </w:p>
        </w:tc>
        <w:tc>
          <w:tcPr>
            <w:tcW w:w="957" w:type="dxa"/>
            <w:vAlign w:val="center"/>
          </w:tcPr>
          <w:p w14:paraId="5560E3C6">
            <w:pPr>
              <w:jc w:val="center"/>
              <w:rPr>
                <w:rFonts w:ascii="宋体" w:hAnsi="宋体"/>
                <w:color w:val="000000" w:themeColor="text1"/>
                <w:sz w:val="24"/>
                <w:szCs w:val="30"/>
                <w14:textFill>
                  <w14:solidFill>
                    <w14:schemeClr w14:val="tx1"/>
                  </w14:solidFill>
                </w14:textFill>
              </w:rPr>
            </w:pPr>
          </w:p>
        </w:tc>
        <w:tc>
          <w:tcPr>
            <w:tcW w:w="909" w:type="dxa"/>
            <w:vAlign w:val="center"/>
          </w:tcPr>
          <w:p w14:paraId="010F0910">
            <w:pPr>
              <w:jc w:val="center"/>
              <w:rPr>
                <w:rFonts w:ascii="宋体" w:hAnsi="宋体"/>
                <w:color w:val="000000" w:themeColor="text1"/>
                <w:sz w:val="24"/>
                <w:szCs w:val="30"/>
                <w14:textFill>
                  <w14:solidFill>
                    <w14:schemeClr w14:val="tx1"/>
                  </w14:solidFill>
                </w14:textFill>
              </w:rPr>
            </w:pPr>
          </w:p>
        </w:tc>
        <w:tc>
          <w:tcPr>
            <w:tcW w:w="780" w:type="dxa"/>
            <w:vAlign w:val="center"/>
          </w:tcPr>
          <w:p w14:paraId="38DB4E08">
            <w:pPr>
              <w:jc w:val="center"/>
              <w:rPr>
                <w:rFonts w:ascii="宋体" w:hAnsi="宋体"/>
                <w:color w:val="000000" w:themeColor="text1"/>
                <w:sz w:val="24"/>
                <w:szCs w:val="30"/>
                <w14:textFill>
                  <w14:solidFill>
                    <w14:schemeClr w14:val="tx1"/>
                  </w14:solidFill>
                </w14:textFill>
              </w:rPr>
            </w:pPr>
          </w:p>
        </w:tc>
        <w:tc>
          <w:tcPr>
            <w:tcW w:w="1363" w:type="dxa"/>
            <w:vAlign w:val="center"/>
          </w:tcPr>
          <w:p w14:paraId="504D4A9E">
            <w:pPr>
              <w:jc w:val="center"/>
              <w:rPr>
                <w:rFonts w:ascii="宋体" w:hAnsi="宋体"/>
                <w:color w:val="000000" w:themeColor="text1"/>
                <w:sz w:val="24"/>
                <w:szCs w:val="30"/>
                <w14:textFill>
                  <w14:solidFill>
                    <w14:schemeClr w14:val="tx1"/>
                  </w14:solidFill>
                </w14:textFill>
              </w:rPr>
            </w:pPr>
          </w:p>
        </w:tc>
        <w:tc>
          <w:tcPr>
            <w:tcW w:w="909" w:type="dxa"/>
            <w:vAlign w:val="center"/>
          </w:tcPr>
          <w:p w14:paraId="4034802A">
            <w:pPr>
              <w:jc w:val="center"/>
              <w:rPr>
                <w:rFonts w:ascii="宋体" w:hAnsi="宋体"/>
                <w:color w:val="000000" w:themeColor="text1"/>
                <w:sz w:val="24"/>
                <w:szCs w:val="30"/>
                <w14:textFill>
                  <w14:solidFill>
                    <w14:schemeClr w14:val="tx1"/>
                  </w14:solidFill>
                </w14:textFill>
              </w:rPr>
            </w:pPr>
          </w:p>
        </w:tc>
      </w:tr>
    </w:tbl>
    <w:p w14:paraId="765AC94F">
      <w:pPr>
        <w:spacing w:line="440" w:lineRule="exact"/>
        <w:rPr>
          <w:rFonts w:ascii="宋体" w:hAnsi="宋体" w:cs="黑体"/>
          <w:color w:val="000000" w:themeColor="text1"/>
          <w:sz w:val="24"/>
          <w:szCs w:val="32"/>
          <w14:textFill>
            <w14:solidFill>
              <w14:schemeClr w14:val="tx1"/>
            </w14:solidFill>
          </w14:textFill>
        </w:rPr>
        <w:sectPr>
          <w:footerReference r:id="rId31" w:type="default"/>
          <w:pgSz w:w="16838" w:h="11906" w:orient="landscape"/>
          <w:pgMar w:top="1077" w:right="1440" w:bottom="1077" w:left="1440" w:header="851" w:footer="992" w:gutter="0"/>
          <w:cols w:space="720" w:num="1"/>
          <w:docGrid w:type="lines" w:linePitch="312" w:charSpace="0"/>
        </w:sectPr>
      </w:pPr>
    </w:p>
    <w:p w14:paraId="13E9CFD7">
      <w:pPr>
        <w:spacing w:line="440" w:lineRule="exact"/>
        <w:rPr>
          <w:rFonts w:ascii="宋体" w:hAnsi="宋体"/>
          <w:color w:val="000000" w:themeColor="text1"/>
          <w:sz w:val="24"/>
          <w:szCs w:val="30"/>
          <w14:textFill>
            <w14:solidFill>
              <w14:schemeClr w14:val="tx1"/>
            </w14:solidFill>
          </w14:textFill>
        </w:rPr>
      </w:pPr>
      <w:r>
        <w:rPr>
          <w:rFonts w:hint="eastAsia" w:ascii="宋体" w:hAnsi="宋体" w:cs="黑体"/>
          <w:color w:val="000000" w:themeColor="text1"/>
          <w:sz w:val="24"/>
          <w:szCs w:val="32"/>
          <w14:textFill>
            <w14:solidFill>
              <w14:schemeClr w14:val="tx1"/>
            </w14:solidFill>
          </w14:textFill>
        </w:rPr>
        <w:t>附件3</w:t>
      </w:r>
      <w:r>
        <w:rPr>
          <w:rFonts w:ascii="宋体" w:hAnsi="宋体"/>
          <w:color w:val="000000" w:themeColor="text1"/>
          <w:sz w:val="24"/>
          <w:szCs w:val="30"/>
          <w14:textFill>
            <w14:solidFill>
              <w14:schemeClr w14:val="tx1"/>
            </w14:solidFill>
          </w14:textFill>
        </w:rPr>
        <w:t xml:space="preserve">    </w:t>
      </w:r>
    </w:p>
    <w:p w14:paraId="0BD73391">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工程质量保修书</w:t>
      </w:r>
    </w:p>
    <w:p w14:paraId="59E1E797">
      <w:pPr>
        <w:spacing w:line="440" w:lineRule="exact"/>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发包人（全称）：</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4A7E623F">
      <w:pPr>
        <w:spacing w:line="440" w:lineRule="exac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承包人（全称）：</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w:t>
      </w:r>
    </w:p>
    <w:p w14:paraId="6D8BF548">
      <w:pPr>
        <w:spacing w:line="440" w:lineRule="exact"/>
        <w:rPr>
          <w:rFonts w:ascii="宋体" w:hAnsi="宋体"/>
          <w:color w:val="000000" w:themeColor="text1"/>
          <w:sz w:val="24"/>
          <w:szCs w:val="30"/>
          <w14:textFill>
            <w14:solidFill>
              <w14:schemeClr w14:val="tx1"/>
            </w14:solidFill>
          </w14:textFill>
        </w:rPr>
      </w:pPr>
    </w:p>
    <w:p w14:paraId="2D4DC8AA">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发包人和承包人根据《中华人民共和国建筑法》和《建设工程质量管理条例》</w:t>
      </w:r>
      <w:r>
        <w:rPr>
          <w:rFonts w:ascii="宋体" w:hAnsi="宋体"/>
          <w:iCs/>
          <w:color w:val="000000" w:themeColor="text1"/>
          <w:sz w:val="24"/>
          <w:szCs w:val="30"/>
          <w14:textFill>
            <w14:solidFill>
              <w14:schemeClr w14:val="tx1"/>
            </w14:solidFill>
          </w14:textFill>
        </w:rPr>
        <w:t>及有关规定</w:t>
      </w:r>
      <w:r>
        <w:rPr>
          <w:rFonts w:ascii="宋体" w:hAnsi="宋体"/>
          <w:color w:val="000000" w:themeColor="text1"/>
          <w:sz w:val="24"/>
          <w:szCs w:val="30"/>
          <w14:textFill>
            <w14:solidFill>
              <w14:schemeClr w14:val="tx1"/>
            </w14:solidFill>
          </w14:textFill>
        </w:rPr>
        <w:t>，经协商一致就</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（工程全称）签订工程质量保修书。</w:t>
      </w:r>
    </w:p>
    <w:p w14:paraId="1C17DED4">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一、工程质量保修范围和内容</w:t>
      </w:r>
    </w:p>
    <w:p w14:paraId="5ACC1FEA">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承包人在质量保修期内，按照有关法律规定和合同约定，承担工程质量保修责任。</w:t>
      </w:r>
    </w:p>
    <w:p w14:paraId="63F136FC">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质量保修范围包括地基基础工程、主体结构工程</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屋面防水工程、有防水要求的卫生间、房间和外墙面的防渗漏</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供热与供冷系统</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电气管线、给排水管道、设备安装和装修工程，以及双方约定的其他项目。具体保修的内容，双方约定如下：</w:t>
      </w:r>
    </w:p>
    <w:p w14:paraId="37D75FBA">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5C8037EA">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二、质量保修期</w:t>
      </w:r>
    </w:p>
    <w:p w14:paraId="3DEDE194">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根据《建设工程质量管理条例》及有关规定，工程的质量保修期如下：</w:t>
      </w:r>
    </w:p>
    <w:p w14:paraId="69F3AEE0">
      <w:pPr>
        <w:ind w:firstLine="480" w:firstLineChars="20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1．地基基础工程和主体结构工程为设计文件规定的工程合理使用年限；</w:t>
      </w:r>
    </w:p>
    <w:p w14:paraId="4488A57C">
      <w:pPr>
        <w:spacing w:line="360" w:lineRule="auto"/>
        <w:ind w:firstLine="480" w:firstLineChars="20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2．</w:t>
      </w:r>
      <w:r>
        <w:rPr>
          <w:rFonts w:ascii="宋体" w:hAnsi="宋体"/>
          <w:color w:val="000000" w:themeColor="text1"/>
          <w:sz w:val="24"/>
          <w:szCs w:val="30"/>
          <w14:textFill>
            <w14:solidFill>
              <w14:schemeClr w14:val="tx1"/>
            </w14:solidFill>
          </w14:textFill>
        </w:rPr>
        <w:t>屋面防水工程、有防水要求的卫生间、房间和外墙面的防渗</w:t>
      </w:r>
      <w:r>
        <w:rPr>
          <w:rFonts w:hint="eastAsia" w:ascii="宋体" w:hAnsi="宋体"/>
          <w:color w:val="000000" w:themeColor="text1"/>
          <w:sz w:val="24"/>
          <w:szCs w:val="30"/>
          <w14:textFill>
            <w14:solidFill>
              <w14:schemeClr w14:val="tx1"/>
            </w14:solidFill>
          </w14:textFill>
        </w:rPr>
        <w:t xml:space="preserve">     为</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p>
    <w:p w14:paraId="49416548">
      <w:pPr>
        <w:spacing w:line="360" w:lineRule="auto"/>
        <w:ind w:left="420" w:leftChars="200" w:firstLine="120" w:firstLineChars="5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3．</w:t>
      </w:r>
      <w:r>
        <w:rPr>
          <w:rFonts w:ascii="宋体" w:hAnsi="宋体"/>
          <w:color w:val="000000" w:themeColor="text1"/>
          <w:sz w:val="24"/>
          <w:szCs w:val="30"/>
          <w14:textFill>
            <w14:solidFill>
              <w14:schemeClr w14:val="tx1"/>
            </w14:solidFill>
          </w14:textFill>
        </w:rPr>
        <w:t>装修工程为</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p>
    <w:p w14:paraId="6CD74FD3">
      <w:pPr>
        <w:spacing w:line="360" w:lineRule="auto"/>
        <w:ind w:left="420" w:leftChars="200" w:firstLine="120" w:firstLineChars="5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4．</w:t>
      </w:r>
      <w:r>
        <w:rPr>
          <w:rFonts w:ascii="宋体" w:hAnsi="宋体"/>
          <w:color w:val="000000" w:themeColor="text1"/>
          <w:sz w:val="24"/>
          <w:szCs w:val="30"/>
          <w14:textFill>
            <w14:solidFill>
              <w14:schemeClr w14:val="tx1"/>
            </w14:solidFill>
          </w14:textFill>
        </w:rPr>
        <w:t>电气管线、给排水管道、设备安装工程为</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p>
    <w:p w14:paraId="1B1E353C">
      <w:pPr>
        <w:spacing w:line="360" w:lineRule="auto"/>
        <w:ind w:left="420" w:leftChars="200" w:firstLine="120" w:firstLineChars="5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5．</w:t>
      </w:r>
      <w:r>
        <w:rPr>
          <w:rFonts w:ascii="宋体" w:hAnsi="宋体"/>
          <w:color w:val="000000" w:themeColor="text1"/>
          <w:sz w:val="24"/>
          <w:szCs w:val="30"/>
          <w14:textFill>
            <w14:solidFill>
              <w14:schemeClr w14:val="tx1"/>
            </w14:solidFill>
          </w14:textFill>
        </w:rPr>
        <w:t>供热与供冷系统为</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个采暖期、供冷期；</w:t>
      </w:r>
    </w:p>
    <w:p w14:paraId="70ED01B5">
      <w:pPr>
        <w:spacing w:line="360" w:lineRule="auto"/>
        <w:ind w:left="420" w:leftChars="200" w:firstLine="120" w:firstLineChars="5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6．</w:t>
      </w:r>
      <w:r>
        <w:rPr>
          <w:rFonts w:ascii="宋体" w:hAnsi="宋体"/>
          <w:color w:val="000000" w:themeColor="text1"/>
          <w:sz w:val="24"/>
          <w:szCs w:val="30"/>
          <w14:textFill>
            <w14:solidFill>
              <w14:schemeClr w14:val="tx1"/>
            </w14:solidFill>
          </w14:textFill>
        </w:rPr>
        <w:t>住宅小区内的给排水设施、道路等配套工程为</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p>
    <w:p w14:paraId="4F675E76">
      <w:pPr>
        <w:spacing w:line="360" w:lineRule="auto"/>
        <w:ind w:left="420" w:leftChars="200" w:firstLine="120" w:firstLineChars="5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7．</w:t>
      </w:r>
      <w:r>
        <w:rPr>
          <w:rFonts w:ascii="宋体" w:hAnsi="宋体"/>
          <w:color w:val="000000" w:themeColor="text1"/>
          <w:sz w:val="24"/>
          <w:szCs w:val="30"/>
          <w14:textFill>
            <w14:solidFill>
              <w14:schemeClr w14:val="tx1"/>
            </w14:solidFill>
          </w14:textFill>
        </w:rPr>
        <w:t>其他项目保修期限约定如下：</w:t>
      </w:r>
    </w:p>
    <w:p w14:paraId="4B9FA950">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472F30BD">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质量保修期自工程竣工验收合格之日起计算。</w:t>
      </w:r>
    </w:p>
    <w:p w14:paraId="786D91DB">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三、缺陷责任期</w:t>
      </w:r>
    </w:p>
    <w:p w14:paraId="1E817E8A">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工程缺陷责任期为</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个月，缺陷责任期自工程</w:t>
      </w:r>
      <w:r>
        <w:rPr>
          <w:rFonts w:hint="eastAsia" w:ascii="宋体" w:hAnsi="宋体"/>
          <w:color w:val="000000" w:themeColor="text1"/>
          <w:sz w:val="24"/>
          <w:szCs w:val="30"/>
          <w14:textFill>
            <w14:solidFill>
              <w14:schemeClr w14:val="tx1"/>
            </w14:solidFill>
          </w14:textFill>
        </w:rPr>
        <w:t>通过竣工验收</w:t>
      </w:r>
      <w:r>
        <w:rPr>
          <w:rFonts w:ascii="宋体" w:hAnsi="宋体"/>
          <w:color w:val="000000" w:themeColor="text1"/>
          <w:sz w:val="24"/>
          <w:szCs w:val="30"/>
          <w14:textFill>
            <w14:solidFill>
              <w14:schemeClr w14:val="tx1"/>
            </w14:solidFill>
          </w14:textFill>
        </w:rPr>
        <w:t>之日起计算。单位工程先于全部工程进行验收，单位工程缺陷责任期自单位工程验收合格之日起算。</w:t>
      </w:r>
    </w:p>
    <w:p w14:paraId="68E030E6">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缺陷责任期终止后，发包人应退还剩余的质量保证金。</w:t>
      </w:r>
    </w:p>
    <w:p w14:paraId="7BC0CD4E">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xml:space="preserve">    四、质量保修责任</w:t>
      </w:r>
    </w:p>
    <w:p w14:paraId="2E911CCD">
      <w:pPr>
        <w:spacing w:line="360" w:lineRule="auto"/>
        <w:ind w:left="105" w:leftChars="50" w:firstLine="491" w:firstLineChars="205"/>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1．</w:t>
      </w:r>
      <w:r>
        <w:rPr>
          <w:rFonts w:ascii="宋体" w:hAnsi="宋体"/>
          <w:color w:val="000000" w:themeColor="text1"/>
          <w:sz w:val="24"/>
          <w:szCs w:val="30"/>
          <w14:textFill>
            <w14:solidFill>
              <w14:schemeClr w14:val="tx1"/>
            </w14:solidFill>
          </w14:textFill>
        </w:rPr>
        <w:t>属于保修范围、内容的项目，承包人应当在接到保修通知之日起7天内派人保修。承包人不在约定期限内派人保修的，发包人可以委托他人修理。</w:t>
      </w:r>
    </w:p>
    <w:p w14:paraId="100ABADE">
      <w:pPr>
        <w:spacing w:line="360" w:lineRule="auto"/>
        <w:ind w:left="105" w:leftChars="50" w:firstLine="491" w:firstLineChars="205"/>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2．</w:t>
      </w:r>
      <w:r>
        <w:rPr>
          <w:rFonts w:ascii="宋体" w:hAnsi="宋体"/>
          <w:color w:val="000000" w:themeColor="text1"/>
          <w:sz w:val="24"/>
          <w:szCs w:val="30"/>
          <w14:textFill>
            <w14:solidFill>
              <w14:schemeClr w14:val="tx1"/>
            </w14:solidFill>
          </w14:textFill>
        </w:rPr>
        <w:t>发生紧急事故需抢修的，承包人在接到事故通知后，应当立即到达事故现场抢修。</w:t>
      </w:r>
    </w:p>
    <w:p w14:paraId="06AF9AB0">
      <w:pPr>
        <w:spacing w:line="360" w:lineRule="auto"/>
        <w:ind w:left="105" w:leftChars="50" w:firstLine="491" w:firstLineChars="205"/>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3．</w:t>
      </w:r>
      <w:r>
        <w:rPr>
          <w:rFonts w:ascii="宋体" w:hAnsi="宋体"/>
          <w:color w:val="000000" w:themeColor="text1"/>
          <w:sz w:val="24"/>
          <w:szCs w:val="30"/>
          <w14:textFill>
            <w14:solidFill>
              <w14:schemeClr w14:val="tx1"/>
            </w14:solidFill>
          </w14:textFill>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19CE02B8">
      <w:pPr>
        <w:spacing w:line="360" w:lineRule="auto"/>
        <w:ind w:left="420" w:leftChars="200" w:firstLine="120" w:firstLineChars="5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4．</w:t>
      </w:r>
      <w:r>
        <w:rPr>
          <w:rFonts w:ascii="宋体" w:hAnsi="宋体"/>
          <w:color w:val="000000" w:themeColor="text1"/>
          <w:sz w:val="24"/>
          <w:szCs w:val="30"/>
          <w14:textFill>
            <w14:solidFill>
              <w14:schemeClr w14:val="tx1"/>
            </w14:solidFill>
          </w14:textFill>
        </w:rPr>
        <w:t>质量保修完成后，由发包人组织验收。</w:t>
      </w:r>
    </w:p>
    <w:p w14:paraId="0F4B09D7">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五、保修费用</w:t>
      </w:r>
    </w:p>
    <w:p w14:paraId="4CC52B09">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保修费用由造成质量缺陷的责任方承担。</w:t>
      </w:r>
    </w:p>
    <w:p w14:paraId="4310DF5F">
      <w:pPr>
        <w:spacing w:line="360" w:lineRule="auto"/>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六、双方约定的其他工程质量保修事项：</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795616F3">
      <w:pPr>
        <w:spacing w:line="360" w:lineRule="auto"/>
        <w:ind w:firstLine="456" w:firstLineChars="19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工程质量保修书由发包人、承包人在工程竣工验收前共同签署，作为施工合同附件，其有效期限至保修期满。</w:t>
      </w:r>
    </w:p>
    <w:p w14:paraId="76BB6781">
      <w:pPr>
        <w:spacing w:line="360" w:lineRule="auto"/>
        <w:ind w:firstLine="420"/>
        <w:rPr>
          <w:rFonts w:ascii="宋体" w:hAnsi="宋体"/>
          <w:color w:val="000000" w:themeColor="text1"/>
          <w:sz w:val="24"/>
          <w:szCs w:val="30"/>
          <w14:textFill>
            <w14:solidFill>
              <w14:schemeClr w14:val="tx1"/>
            </w14:solidFill>
          </w14:textFill>
        </w:rPr>
      </w:pPr>
    </w:p>
    <w:p w14:paraId="0E7EAA31">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发包人(公章)：</w:t>
      </w:r>
      <w:r>
        <w:rPr>
          <w:rFonts w:ascii="宋体" w:hAnsi="宋体"/>
          <w:color w:val="000000" w:themeColor="text1"/>
          <w:sz w:val="24"/>
          <w:szCs w:val="30"/>
          <w:u w:val="single"/>
          <w14:textFill>
            <w14:solidFill>
              <w14:schemeClr w14:val="tx1"/>
            </w14:solidFill>
          </w14:textFill>
        </w:rPr>
        <w:t xml:space="preserve">        </w:t>
      </w:r>
      <w:r>
        <w:rPr>
          <w:rFonts w:ascii="宋体" w:hAnsi="宋体"/>
          <w:color w:val="000000" w:themeColor="text1"/>
          <w:sz w:val="24"/>
          <w:szCs w:val="30"/>
          <w14:textFill>
            <w14:solidFill>
              <w14:schemeClr w14:val="tx1"/>
            </w14:solidFill>
          </w14:textFill>
        </w:rPr>
        <w:t xml:space="preserve"> 承包人(公章)：</w:t>
      </w:r>
      <w:r>
        <w:rPr>
          <w:rFonts w:ascii="宋体" w:hAnsi="宋体"/>
          <w:color w:val="000000" w:themeColor="text1"/>
          <w:sz w:val="24"/>
          <w:szCs w:val="30"/>
          <w:u w:val="single"/>
          <w14:textFill>
            <w14:solidFill>
              <w14:schemeClr w14:val="tx1"/>
            </w14:solidFill>
          </w14:textFill>
        </w:rPr>
        <w:t></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2C53C3B0">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地  址：</w:t>
      </w:r>
      <w:r>
        <w:rPr>
          <w:rFonts w:ascii="宋体" w:hAnsi="宋体"/>
          <w:color w:val="000000" w:themeColor="text1"/>
          <w:sz w:val="24"/>
          <w:szCs w:val="30"/>
          <w:u w:val="single"/>
          <w14:textFill>
            <w14:solidFill>
              <w14:schemeClr w14:val="tx1"/>
            </w14:solidFill>
          </w14:textFill>
        </w:rPr>
        <w:t xml:space="preserve">     </w:t>
      </w:r>
      <w:r>
        <w:rPr>
          <w:rFonts w:hint="eastAsia"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地  址：</w:t>
      </w:r>
      <w:r>
        <w:rPr>
          <w:rFonts w:ascii="宋体" w:hAnsi="宋体"/>
          <w:color w:val="000000" w:themeColor="text1"/>
          <w:sz w:val="24"/>
          <w:szCs w:val="30"/>
          <w:u w:val="single"/>
          <w14:textFill>
            <w14:solidFill>
              <w14:schemeClr w14:val="tx1"/>
            </w14:solidFill>
          </w14:textFill>
        </w:rPr>
        <w:t></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2486FF05">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法定代表人(签字)：</w:t>
      </w:r>
      <w:r>
        <w:rPr>
          <w:rFonts w:ascii="宋体" w:hAnsi="宋体"/>
          <w:color w:val="000000" w:themeColor="text1"/>
          <w:sz w:val="24"/>
          <w:szCs w:val="30"/>
          <w:u w:val="single"/>
          <w14:textFill>
            <w14:solidFill>
              <w14:schemeClr w14:val="tx1"/>
            </w14:solidFill>
          </w14:textFill>
        </w:rPr>
        <w:t></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法定代表人(签字)：</w:t>
      </w:r>
      <w:r>
        <w:rPr>
          <w:rFonts w:ascii="宋体" w:hAnsi="宋体"/>
          <w:color w:val="000000" w:themeColor="text1"/>
          <w:sz w:val="24"/>
          <w:szCs w:val="30"/>
          <w:u w:val="single"/>
          <w14:textFill>
            <w14:solidFill>
              <w14:schemeClr w14:val="tx1"/>
            </w14:solidFill>
          </w14:textFill>
        </w:rPr>
        <w:t></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69F2329D">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委托代理人(签字)：</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委托代理人(签字)：</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0B8C9C09">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电  话：</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电  话：</w:t>
      </w:r>
      <w:r>
        <w:rPr>
          <w:rFonts w:ascii="宋体" w:hAnsi="宋体"/>
          <w:color w:val="000000" w:themeColor="text1"/>
          <w:sz w:val="24"/>
          <w:szCs w:val="30"/>
          <w:u w:val="single"/>
          <w14:textFill>
            <w14:solidFill>
              <w14:schemeClr w14:val="tx1"/>
            </w14:solidFill>
          </w14:textFill>
        </w:rPr>
        <w:t></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2C4AC76F">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传  真：</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传  真：</w:t>
      </w:r>
      <w:r>
        <w:rPr>
          <w:rFonts w:ascii="宋体" w:hAnsi="宋体"/>
          <w:color w:val="000000" w:themeColor="text1"/>
          <w:sz w:val="24"/>
          <w:szCs w:val="30"/>
          <w:u w:val="single"/>
          <w14:textFill>
            <w14:solidFill>
              <w14:schemeClr w14:val="tx1"/>
            </w14:solidFill>
          </w14:textFill>
        </w:rPr>
        <w:t></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4BD1AFB6">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开户银行：    开户银行：</w:t>
      </w:r>
      <w:r>
        <w:rPr>
          <w:rFonts w:ascii="宋体" w:hAnsi="宋体"/>
          <w:color w:val="000000" w:themeColor="text1"/>
          <w:sz w:val="24"/>
          <w:szCs w:val="30"/>
          <w:u w:val="single"/>
          <w14:textFill>
            <w14:solidFill>
              <w14:schemeClr w14:val="tx1"/>
            </w14:solidFill>
          </w14:textFill>
        </w:rPr>
        <w:t xml:space="preserve">   </w:t>
      </w:r>
    </w:p>
    <w:p w14:paraId="464EB069">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账  号：</w:t>
      </w:r>
      <w:r>
        <w:rPr>
          <w:rFonts w:ascii="宋体" w:hAnsi="宋体"/>
          <w:color w:val="000000" w:themeColor="text1"/>
          <w:sz w:val="24"/>
          <w:szCs w:val="30"/>
          <w:u w:val="single"/>
          <w14:textFill>
            <w14:solidFill>
              <w14:schemeClr w14:val="tx1"/>
            </w14:solidFill>
          </w14:textFill>
        </w:rPr>
        <w:t xml:space="preserve"> 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账</w:t>
      </w:r>
      <w:r>
        <w:rPr>
          <w:rFonts w:hint="eastAsia"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号：</w:t>
      </w:r>
      <w:r>
        <w:rPr>
          <w:rFonts w:ascii="宋体" w:hAnsi="宋体"/>
          <w:color w:val="000000" w:themeColor="text1"/>
          <w:sz w:val="24"/>
          <w:szCs w:val="30"/>
          <w:u w:val="single"/>
          <w14:textFill>
            <w14:solidFill>
              <w14:schemeClr w14:val="tx1"/>
            </w14:solidFill>
          </w14:textFill>
        </w:rPr>
        <w:t></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p>
    <w:p w14:paraId="53D27712">
      <w:pPr>
        <w:spacing w:line="360" w:lineRule="auto"/>
        <w:rPr>
          <w:rFonts w:ascii="宋体" w:hAnsi="宋体"/>
          <w:color w:val="000000" w:themeColor="text1"/>
          <w:sz w:val="24"/>
          <w:szCs w:val="30"/>
          <w:u w:val="single"/>
          <w14:textFill>
            <w14:solidFill>
              <w14:schemeClr w14:val="tx1"/>
            </w14:solidFill>
          </w14:textFill>
        </w:rPr>
        <w:sectPr>
          <w:pgSz w:w="11906" w:h="16838"/>
          <w:pgMar w:top="1440" w:right="1077" w:bottom="1440" w:left="1077" w:header="851" w:footer="992" w:gutter="0"/>
          <w:cols w:space="720" w:num="1"/>
          <w:docGrid w:type="lines" w:linePitch="312" w:charSpace="0"/>
        </w:sectPr>
      </w:pPr>
      <w:r>
        <w:rPr>
          <w:rFonts w:ascii="宋体" w:hAnsi="宋体"/>
          <w:color w:val="000000" w:themeColor="text1"/>
          <w:sz w:val="24"/>
          <w:szCs w:val="30"/>
          <w14:textFill>
            <w14:solidFill>
              <w14:schemeClr w14:val="tx1"/>
            </w14:solidFill>
          </w14:textFill>
        </w:rPr>
        <w:t>邮政编码：</w:t>
      </w:r>
      <w:r>
        <w:rPr>
          <w:rFonts w:ascii="宋体" w:hAnsi="宋体"/>
          <w:color w:val="000000" w:themeColor="text1"/>
          <w:sz w:val="24"/>
          <w:szCs w:val="30"/>
          <w:u w:val="single"/>
          <w14:textFill>
            <w14:solidFill>
              <w14:schemeClr w14:val="tx1"/>
            </w14:solidFill>
          </w14:textFill>
        </w:rPr>
        <w:t xml:space="preserve">     </w:t>
      </w:r>
      <w:r>
        <w:rPr>
          <w:rFonts w:ascii="宋体" w:hAnsi="宋体"/>
          <w:color w:val="000000" w:themeColor="text1"/>
          <w:sz w:val="24"/>
          <w:szCs w:val="30"/>
          <w14:textFill>
            <w14:solidFill>
              <w14:schemeClr w14:val="tx1"/>
            </w14:solidFill>
          </w14:textFill>
        </w:rPr>
        <w:t xml:space="preserve"> 邮政编码：</w:t>
      </w:r>
      <w:r>
        <w:rPr>
          <w:rFonts w:ascii="宋体" w:hAnsi="宋体"/>
          <w:color w:val="000000" w:themeColor="text1"/>
          <w:sz w:val="24"/>
          <w:szCs w:val="30"/>
          <w:u w:val="single"/>
          <w14:textFill>
            <w14:solidFill>
              <w14:schemeClr w14:val="tx1"/>
            </w14:solidFill>
          </w14:textFill>
        </w:rPr>
        <w:t xml:space="preserve">   </w:t>
      </w:r>
    </w:p>
    <w:p w14:paraId="4C2EDFF4">
      <w:pPr>
        <w:spacing w:line="440" w:lineRule="exact"/>
        <w:rPr>
          <w:rFonts w:ascii="宋体" w:hAnsi="宋体"/>
          <w:color w:val="000000" w:themeColor="text1"/>
          <w:sz w:val="24"/>
          <w:szCs w:val="30"/>
          <w14:textFill>
            <w14:solidFill>
              <w14:schemeClr w14:val="tx1"/>
            </w14:solidFill>
          </w14:textFill>
        </w:rPr>
      </w:pPr>
      <w:r>
        <w:rPr>
          <w:rFonts w:hint="eastAsia" w:ascii="宋体" w:hAnsi="宋体" w:cs="黑体"/>
          <w:color w:val="000000" w:themeColor="text1"/>
          <w:sz w:val="24"/>
          <w:szCs w:val="32"/>
          <w14:textFill>
            <w14:solidFill>
              <w14:schemeClr w14:val="tx1"/>
            </w14:solidFill>
          </w14:textFill>
        </w:rPr>
        <w:t>附件4</w:t>
      </w:r>
    </w:p>
    <w:p w14:paraId="3D527B7E">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主要建设工程文件目录</w:t>
      </w:r>
    </w:p>
    <w:tbl>
      <w:tblPr>
        <w:tblStyle w:val="28"/>
        <w:tblW w:w="903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19BBBE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2058612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文件名称</w:t>
            </w:r>
          </w:p>
        </w:tc>
        <w:tc>
          <w:tcPr>
            <w:tcW w:w="1276" w:type="dxa"/>
            <w:tcBorders>
              <w:top w:val="single" w:color="auto" w:sz="12" w:space="0"/>
              <w:bottom w:val="double" w:color="auto" w:sz="6" w:space="0"/>
            </w:tcBorders>
            <w:vAlign w:val="center"/>
          </w:tcPr>
          <w:p w14:paraId="7994AB0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套数</w:t>
            </w:r>
          </w:p>
        </w:tc>
        <w:tc>
          <w:tcPr>
            <w:tcW w:w="1450" w:type="dxa"/>
            <w:tcBorders>
              <w:top w:val="single" w:color="auto" w:sz="12" w:space="0"/>
              <w:bottom w:val="double" w:color="auto" w:sz="6" w:space="0"/>
            </w:tcBorders>
            <w:vAlign w:val="center"/>
          </w:tcPr>
          <w:p w14:paraId="57710CE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费用</w:t>
            </w:r>
            <w:r>
              <w:rPr>
                <w:rFonts w:hint="eastAsia" w:ascii="宋体" w:hAnsi="宋体"/>
                <w:color w:val="000000" w:themeColor="text1"/>
                <w:kern w:val="2"/>
                <w:sz w:val="22"/>
                <w:szCs w:val="30"/>
                <w14:textFill>
                  <w14:solidFill>
                    <w14:schemeClr w14:val="tx1"/>
                  </w14:solidFill>
                </w14:textFill>
              </w:rPr>
              <w:t>（元）</w:t>
            </w:r>
          </w:p>
        </w:tc>
        <w:tc>
          <w:tcPr>
            <w:tcW w:w="1243" w:type="dxa"/>
            <w:tcBorders>
              <w:top w:val="single" w:color="auto" w:sz="12" w:space="0"/>
              <w:bottom w:val="double" w:color="auto" w:sz="6" w:space="0"/>
            </w:tcBorders>
            <w:vAlign w:val="center"/>
          </w:tcPr>
          <w:p w14:paraId="27097F3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质量</w:t>
            </w:r>
          </w:p>
        </w:tc>
        <w:tc>
          <w:tcPr>
            <w:tcW w:w="1450" w:type="dxa"/>
            <w:tcBorders>
              <w:top w:val="single" w:color="auto" w:sz="12" w:space="0"/>
              <w:bottom w:val="double" w:color="auto" w:sz="6" w:space="0"/>
            </w:tcBorders>
          </w:tcPr>
          <w:p w14:paraId="32616341">
            <w:pPr>
              <w:spacing w:line="440" w:lineRule="exact"/>
              <w:jc w:val="center"/>
              <w:rPr>
                <w:rFonts w:ascii="宋体" w:hAnsi="宋体"/>
                <w:color w:val="000000" w:themeColor="text1"/>
                <w:sz w:val="22"/>
                <w:szCs w:val="30"/>
                <w14:textFill>
                  <w14:solidFill>
                    <w14:schemeClr w14:val="tx1"/>
                  </w14:solidFill>
                </w14:textFill>
              </w:rPr>
            </w:pPr>
            <w:r>
              <w:rPr>
                <w:rFonts w:ascii="宋体" w:hAnsi="宋体"/>
                <w:color w:val="000000" w:themeColor="text1"/>
                <w:sz w:val="22"/>
                <w:szCs w:val="30"/>
                <w14:textFill>
                  <w14:solidFill>
                    <w14:schemeClr w14:val="tx1"/>
                  </w14:solidFill>
                </w14:textFill>
              </w:rPr>
              <w:t>移交时间</w:t>
            </w:r>
          </w:p>
        </w:tc>
        <w:tc>
          <w:tcPr>
            <w:tcW w:w="1667" w:type="dxa"/>
            <w:tcBorders>
              <w:top w:val="single" w:color="auto" w:sz="12" w:space="0"/>
              <w:bottom w:val="double" w:color="auto" w:sz="6" w:space="0"/>
            </w:tcBorders>
          </w:tcPr>
          <w:p w14:paraId="5D297008">
            <w:pPr>
              <w:spacing w:line="440" w:lineRule="exact"/>
              <w:jc w:val="center"/>
              <w:rPr>
                <w:rFonts w:ascii="宋体" w:hAnsi="宋体"/>
                <w:color w:val="000000" w:themeColor="text1"/>
                <w:sz w:val="22"/>
                <w:szCs w:val="30"/>
                <w14:textFill>
                  <w14:solidFill>
                    <w14:schemeClr w14:val="tx1"/>
                  </w14:solidFill>
                </w14:textFill>
              </w:rPr>
            </w:pPr>
            <w:r>
              <w:rPr>
                <w:rFonts w:ascii="宋体" w:hAnsi="宋体"/>
                <w:color w:val="000000" w:themeColor="text1"/>
                <w:sz w:val="22"/>
                <w:szCs w:val="30"/>
                <w14:textFill>
                  <w14:solidFill>
                    <w14:schemeClr w14:val="tx1"/>
                  </w14:solidFill>
                </w14:textFill>
              </w:rPr>
              <w:t>责任人</w:t>
            </w:r>
          </w:p>
        </w:tc>
      </w:tr>
      <w:tr w14:paraId="045EC9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2811A5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76" w:type="dxa"/>
            <w:tcBorders>
              <w:top w:val="double" w:color="auto" w:sz="6" w:space="0"/>
              <w:bottom w:val="single" w:color="auto" w:sz="6" w:space="0"/>
            </w:tcBorders>
            <w:vAlign w:val="center"/>
          </w:tcPr>
          <w:p w14:paraId="3DDC718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tcBorders>
              <w:top w:val="double" w:color="auto" w:sz="6" w:space="0"/>
              <w:bottom w:val="single" w:color="auto" w:sz="6" w:space="0"/>
            </w:tcBorders>
            <w:vAlign w:val="center"/>
          </w:tcPr>
          <w:p w14:paraId="4CFCB79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43" w:type="dxa"/>
            <w:tcBorders>
              <w:top w:val="double" w:color="auto" w:sz="6" w:space="0"/>
              <w:bottom w:val="single" w:color="auto" w:sz="6" w:space="0"/>
            </w:tcBorders>
            <w:vAlign w:val="center"/>
          </w:tcPr>
          <w:p w14:paraId="161BEA6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tcBorders>
              <w:top w:val="double" w:color="auto" w:sz="6" w:space="0"/>
              <w:bottom w:val="single" w:color="auto" w:sz="6" w:space="0"/>
            </w:tcBorders>
            <w:vAlign w:val="center"/>
          </w:tcPr>
          <w:p w14:paraId="47FB72D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67" w:type="dxa"/>
            <w:tcBorders>
              <w:top w:val="double" w:color="auto" w:sz="6" w:space="0"/>
              <w:bottom w:val="single" w:color="auto" w:sz="6" w:space="0"/>
            </w:tcBorders>
            <w:vAlign w:val="center"/>
          </w:tcPr>
          <w:p w14:paraId="14726A25">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66FFF0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43637A4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76" w:type="dxa"/>
            <w:tcBorders>
              <w:top w:val="nil"/>
            </w:tcBorders>
            <w:vAlign w:val="center"/>
          </w:tcPr>
          <w:p w14:paraId="5A57ABE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tcBorders>
              <w:top w:val="nil"/>
            </w:tcBorders>
            <w:vAlign w:val="center"/>
          </w:tcPr>
          <w:p w14:paraId="706B4F4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43" w:type="dxa"/>
            <w:tcBorders>
              <w:top w:val="nil"/>
            </w:tcBorders>
            <w:vAlign w:val="center"/>
          </w:tcPr>
          <w:p w14:paraId="5FCE439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tcBorders>
              <w:top w:val="nil"/>
            </w:tcBorders>
            <w:vAlign w:val="center"/>
          </w:tcPr>
          <w:p w14:paraId="0704EDF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67" w:type="dxa"/>
            <w:tcBorders>
              <w:top w:val="nil"/>
            </w:tcBorders>
            <w:vAlign w:val="center"/>
          </w:tcPr>
          <w:p w14:paraId="632A40AC">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91FCC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03C6056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76" w:type="dxa"/>
            <w:vAlign w:val="center"/>
          </w:tcPr>
          <w:p w14:paraId="5EC8F4F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5E6B61D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43" w:type="dxa"/>
            <w:vAlign w:val="center"/>
          </w:tcPr>
          <w:p w14:paraId="5894ECA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6447154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67" w:type="dxa"/>
            <w:vAlign w:val="center"/>
          </w:tcPr>
          <w:p w14:paraId="16078256">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62583A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13ED5C2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76" w:type="dxa"/>
            <w:vAlign w:val="center"/>
          </w:tcPr>
          <w:p w14:paraId="13F4DDC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33ED933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43" w:type="dxa"/>
            <w:vAlign w:val="center"/>
          </w:tcPr>
          <w:p w14:paraId="3C361A2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0295E3D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67" w:type="dxa"/>
            <w:vAlign w:val="center"/>
          </w:tcPr>
          <w:p w14:paraId="4B53A11A">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569580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DB7691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76" w:type="dxa"/>
            <w:vAlign w:val="center"/>
          </w:tcPr>
          <w:p w14:paraId="3046D6C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28AA078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43" w:type="dxa"/>
            <w:vAlign w:val="center"/>
          </w:tcPr>
          <w:p w14:paraId="1DEF963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0B62A37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67" w:type="dxa"/>
            <w:vAlign w:val="center"/>
          </w:tcPr>
          <w:p w14:paraId="6225936C">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4245F4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07D3D9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76" w:type="dxa"/>
            <w:vAlign w:val="center"/>
          </w:tcPr>
          <w:p w14:paraId="1FB13A4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6D16716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43" w:type="dxa"/>
            <w:vAlign w:val="center"/>
          </w:tcPr>
          <w:p w14:paraId="1108E5D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1D6735B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67" w:type="dxa"/>
            <w:vAlign w:val="center"/>
          </w:tcPr>
          <w:p w14:paraId="1B846C93">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CCFE2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10C6AB4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76" w:type="dxa"/>
            <w:vAlign w:val="center"/>
          </w:tcPr>
          <w:p w14:paraId="30A617D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6EEC6FE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43" w:type="dxa"/>
            <w:vAlign w:val="center"/>
          </w:tcPr>
          <w:p w14:paraId="7F8E265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0B60E83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67" w:type="dxa"/>
            <w:vAlign w:val="center"/>
          </w:tcPr>
          <w:p w14:paraId="1FB84F88">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A2B6D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E41AC1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76" w:type="dxa"/>
            <w:vAlign w:val="center"/>
          </w:tcPr>
          <w:p w14:paraId="4873A9E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184AAC1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43" w:type="dxa"/>
            <w:vAlign w:val="center"/>
          </w:tcPr>
          <w:p w14:paraId="03B88A4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599EA2A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67" w:type="dxa"/>
            <w:vAlign w:val="center"/>
          </w:tcPr>
          <w:p w14:paraId="35D2FC72">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87EC8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F04F6BA">
            <w:pPr>
              <w:rPr>
                <w:rFonts w:ascii="宋体" w:hAnsi="宋体"/>
                <w:color w:val="000000" w:themeColor="text1"/>
                <w:sz w:val="24"/>
                <w:szCs w:val="30"/>
                <w14:textFill>
                  <w14:solidFill>
                    <w14:schemeClr w14:val="tx1"/>
                  </w14:solidFill>
                </w14:textFill>
              </w:rPr>
            </w:pPr>
          </w:p>
        </w:tc>
        <w:tc>
          <w:tcPr>
            <w:tcW w:w="1276" w:type="dxa"/>
          </w:tcPr>
          <w:p w14:paraId="2C7A22A6">
            <w:pPr>
              <w:rPr>
                <w:rFonts w:ascii="宋体" w:hAnsi="宋体"/>
                <w:color w:val="000000" w:themeColor="text1"/>
                <w:sz w:val="24"/>
                <w:szCs w:val="30"/>
                <w14:textFill>
                  <w14:solidFill>
                    <w14:schemeClr w14:val="tx1"/>
                  </w14:solidFill>
                </w14:textFill>
              </w:rPr>
            </w:pPr>
          </w:p>
        </w:tc>
        <w:tc>
          <w:tcPr>
            <w:tcW w:w="1450" w:type="dxa"/>
          </w:tcPr>
          <w:p w14:paraId="6490157E">
            <w:pPr>
              <w:rPr>
                <w:rFonts w:ascii="宋体" w:hAnsi="宋体"/>
                <w:color w:val="000000" w:themeColor="text1"/>
                <w:sz w:val="24"/>
                <w:szCs w:val="30"/>
                <w14:textFill>
                  <w14:solidFill>
                    <w14:schemeClr w14:val="tx1"/>
                  </w14:solidFill>
                </w14:textFill>
              </w:rPr>
            </w:pPr>
          </w:p>
        </w:tc>
        <w:tc>
          <w:tcPr>
            <w:tcW w:w="1243" w:type="dxa"/>
          </w:tcPr>
          <w:p w14:paraId="06955ECA">
            <w:pPr>
              <w:rPr>
                <w:rFonts w:ascii="宋体" w:hAnsi="宋体"/>
                <w:color w:val="000000" w:themeColor="text1"/>
                <w:sz w:val="24"/>
                <w:szCs w:val="30"/>
                <w14:textFill>
                  <w14:solidFill>
                    <w14:schemeClr w14:val="tx1"/>
                  </w14:solidFill>
                </w14:textFill>
              </w:rPr>
            </w:pPr>
          </w:p>
        </w:tc>
        <w:tc>
          <w:tcPr>
            <w:tcW w:w="1450" w:type="dxa"/>
          </w:tcPr>
          <w:p w14:paraId="2B6220F5">
            <w:pPr>
              <w:rPr>
                <w:rFonts w:ascii="宋体" w:hAnsi="宋体"/>
                <w:color w:val="000000" w:themeColor="text1"/>
                <w:sz w:val="24"/>
                <w:szCs w:val="30"/>
                <w14:textFill>
                  <w14:solidFill>
                    <w14:schemeClr w14:val="tx1"/>
                  </w14:solidFill>
                </w14:textFill>
              </w:rPr>
            </w:pPr>
          </w:p>
        </w:tc>
        <w:tc>
          <w:tcPr>
            <w:tcW w:w="1667" w:type="dxa"/>
          </w:tcPr>
          <w:p w14:paraId="6E972BF8">
            <w:pPr>
              <w:rPr>
                <w:rFonts w:ascii="宋体" w:hAnsi="宋体"/>
                <w:color w:val="000000" w:themeColor="text1"/>
                <w:sz w:val="24"/>
                <w:szCs w:val="30"/>
                <w14:textFill>
                  <w14:solidFill>
                    <w14:schemeClr w14:val="tx1"/>
                  </w14:solidFill>
                </w14:textFill>
              </w:rPr>
            </w:pPr>
          </w:p>
        </w:tc>
      </w:tr>
      <w:tr w14:paraId="7AF003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72E07BA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76" w:type="dxa"/>
            <w:vAlign w:val="center"/>
          </w:tcPr>
          <w:p w14:paraId="28F4728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44D9D1F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243" w:type="dxa"/>
            <w:vAlign w:val="center"/>
          </w:tcPr>
          <w:p w14:paraId="7358204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50" w:type="dxa"/>
            <w:vAlign w:val="center"/>
          </w:tcPr>
          <w:p w14:paraId="16DA5AA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667" w:type="dxa"/>
            <w:vAlign w:val="center"/>
          </w:tcPr>
          <w:p w14:paraId="51D5321A">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6AE0D8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4C09A0E">
            <w:pPr>
              <w:rPr>
                <w:rFonts w:ascii="宋体" w:hAnsi="宋体"/>
                <w:color w:val="000000" w:themeColor="text1"/>
                <w:sz w:val="24"/>
                <w:szCs w:val="30"/>
                <w14:textFill>
                  <w14:solidFill>
                    <w14:schemeClr w14:val="tx1"/>
                  </w14:solidFill>
                </w14:textFill>
              </w:rPr>
            </w:pPr>
          </w:p>
        </w:tc>
        <w:tc>
          <w:tcPr>
            <w:tcW w:w="1276" w:type="dxa"/>
          </w:tcPr>
          <w:p w14:paraId="4BE2F81B">
            <w:pPr>
              <w:rPr>
                <w:rFonts w:ascii="宋体" w:hAnsi="宋体"/>
                <w:color w:val="000000" w:themeColor="text1"/>
                <w:sz w:val="24"/>
                <w:szCs w:val="30"/>
                <w14:textFill>
                  <w14:solidFill>
                    <w14:schemeClr w14:val="tx1"/>
                  </w14:solidFill>
                </w14:textFill>
              </w:rPr>
            </w:pPr>
          </w:p>
        </w:tc>
        <w:tc>
          <w:tcPr>
            <w:tcW w:w="1450" w:type="dxa"/>
          </w:tcPr>
          <w:p w14:paraId="5D5508A9">
            <w:pPr>
              <w:rPr>
                <w:rFonts w:ascii="宋体" w:hAnsi="宋体"/>
                <w:color w:val="000000" w:themeColor="text1"/>
                <w:sz w:val="24"/>
                <w:szCs w:val="30"/>
                <w14:textFill>
                  <w14:solidFill>
                    <w14:schemeClr w14:val="tx1"/>
                  </w14:solidFill>
                </w14:textFill>
              </w:rPr>
            </w:pPr>
          </w:p>
        </w:tc>
        <w:tc>
          <w:tcPr>
            <w:tcW w:w="1243" w:type="dxa"/>
          </w:tcPr>
          <w:p w14:paraId="223A27F8">
            <w:pPr>
              <w:rPr>
                <w:rFonts w:ascii="宋体" w:hAnsi="宋体"/>
                <w:color w:val="000000" w:themeColor="text1"/>
                <w:sz w:val="24"/>
                <w:szCs w:val="30"/>
                <w14:textFill>
                  <w14:solidFill>
                    <w14:schemeClr w14:val="tx1"/>
                  </w14:solidFill>
                </w14:textFill>
              </w:rPr>
            </w:pPr>
          </w:p>
        </w:tc>
        <w:tc>
          <w:tcPr>
            <w:tcW w:w="1450" w:type="dxa"/>
          </w:tcPr>
          <w:p w14:paraId="2C1C1024">
            <w:pPr>
              <w:rPr>
                <w:rFonts w:ascii="宋体" w:hAnsi="宋体"/>
                <w:color w:val="000000" w:themeColor="text1"/>
                <w:sz w:val="24"/>
                <w:szCs w:val="30"/>
                <w14:textFill>
                  <w14:solidFill>
                    <w14:schemeClr w14:val="tx1"/>
                  </w14:solidFill>
                </w14:textFill>
              </w:rPr>
            </w:pPr>
          </w:p>
        </w:tc>
        <w:tc>
          <w:tcPr>
            <w:tcW w:w="1667" w:type="dxa"/>
          </w:tcPr>
          <w:p w14:paraId="4BA3EDA6">
            <w:pPr>
              <w:rPr>
                <w:rFonts w:ascii="宋体" w:hAnsi="宋体"/>
                <w:color w:val="000000" w:themeColor="text1"/>
                <w:sz w:val="24"/>
                <w:szCs w:val="30"/>
                <w14:textFill>
                  <w14:solidFill>
                    <w14:schemeClr w14:val="tx1"/>
                  </w14:solidFill>
                </w14:textFill>
              </w:rPr>
            </w:pPr>
          </w:p>
        </w:tc>
      </w:tr>
      <w:tr w14:paraId="18C922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EDD1AEE">
            <w:pPr>
              <w:rPr>
                <w:rFonts w:ascii="宋体" w:hAnsi="宋体"/>
                <w:color w:val="000000" w:themeColor="text1"/>
                <w:sz w:val="24"/>
                <w:szCs w:val="30"/>
                <w14:textFill>
                  <w14:solidFill>
                    <w14:schemeClr w14:val="tx1"/>
                  </w14:solidFill>
                </w14:textFill>
              </w:rPr>
            </w:pPr>
          </w:p>
        </w:tc>
        <w:tc>
          <w:tcPr>
            <w:tcW w:w="1276" w:type="dxa"/>
          </w:tcPr>
          <w:p w14:paraId="135F043D">
            <w:pPr>
              <w:rPr>
                <w:rFonts w:ascii="宋体" w:hAnsi="宋体"/>
                <w:color w:val="000000" w:themeColor="text1"/>
                <w:sz w:val="24"/>
                <w:szCs w:val="30"/>
                <w14:textFill>
                  <w14:solidFill>
                    <w14:schemeClr w14:val="tx1"/>
                  </w14:solidFill>
                </w14:textFill>
              </w:rPr>
            </w:pPr>
          </w:p>
        </w:tc>
        <w:tc>
          <w:tcPr>
            <w:tcW w:w="1450" w:type="dxa"/>
          </w:tcPr>
          <w:p w14:paraId="3F326197">
            <w:pPr>
              <w:rPr>
                <w:rFonts w:ascii="宋体" w:hAnsi="宋体"/>
                <w:color w:val="000000" w:themeColor="text1"/>
                <w:sz w:val="24"/>
                <w:szCs w:val="30"/>
                <w14:textFill>
                  <w14:solidFill>
                    <w14:schemeClr w14:val="tx1"/>
                  </w14:solidFill>
                </w14:textFill>
              </w:rPr>
            </w:pPr>
          </w:p>
        </w:tc>
        <w:tc>
          <w:tcPr>
            <w:tcW w:w="1243" w:type="dxa"/>
          </w:tcPr>
          <w:p w14:paraId="0AD6B7FF">
            <w:pPr>
              <w:rPr>
                <w:rFonts w:ascii="宋体" w:hAnsi="宋体"/>
                <w:color w:val="000000" w:themeColor="text1"/>
                <w:sz w:val="24"/>
                <w:szCs w:val="30"/>
                <w14:textFill>
                  <w14:solidFill>
                    <w14:schemeClr w14:val="tx1"/>
                  </w14:solidFill>
                </w14:textFill>
              </w:rPr>
            </w:pPr>
          </w:p>
        </w:tc>
        <w:tc>
          <w:tcPr>
            <w:tcW w:w="1450" w:type="dxa"/>
          </w:tcPr>
          <w:p w14:paraId="6A5D78D1">
            <w:pPr>
              <w:rPr>
                <w:rFonts w:ascii="宋体" w:hAnsi="宋体"/>
                <w:color w:val="000000" w:themeColor="text1"/>
                <w:sz w:val="24"/>
                <w:szCs w:val="30"/>
                <w14:textFill>
                  <w14:solidFill>
                    <w14:schemeClr w14:val="tx1"/>
                  </w14:solidFill>
                </w14:textFill>
              </w:rPr>
            </w:pPr>
          </w:p>
        </w:tc>
        <w:tc>
          <w:tcPr>
            <w:tcW w:w="1667" w:type="dxa"/>
          </w:tcPr>
          <w:p w14:paraId="1EF0D932">
            <w:pPr>
              <w:rPr>
                <w:rFonts w:ascii="宋体" w:hAnsi="宋体"/>
                <w:color w:val="000000" w:themeColor="text1"/>
                <w:sz w:val="24"/>
                <w:szCs w:val="30"/>
                <w14:textFill>
                  <w14:solidFill>
                    <w14:schemeClr w14:val="tx1"/>
                  </w14:solidFill>
                </w14:textFill>
              </w:rPr>
            </w:pPr>
          </w:p>
        </w:tc>
      </w:tr>
      <w:tr w14:paraId="18D1AB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74C427E">
            <w:pPr>
              <w:rPr>
                <w:rFonts w:ascii="宋体" w:hAnsi="宋体"/>
                <w:color w:val="000000" w:themeColor="text1"/>
                <w:sz w:val="24"/>
                <w:szCs w:val="30"/>
                <w14:textFill>
                  <w14:solidFill>
                    <w14:schemeClr w14:val="tx1"/>
                  </w14:solidFill>
                </w14:textFill>
              </w:rPr>
            </w:pPr>
          </w:p>
        </w:tc>
        <w:tc>
          <w:tcPr>
            <w:tcW w:w="1276" w:type="dxa"/>
          </w:tcPr>
          <w:p w14:paraId="439FC86B">
            <w:pPr>
              <w:rPr>
                <w:rFonts w:ascii="宋体" w:hAnsi="宋体"/>
                <w:color w:val="000000" w:themeColor="text1"/>
                <w:sz w:val="24"/>
                <w:szCs w:val="30"/>
                <w14:textFill>
                  <w14:solidFill>
                    <w14:schemeClr w14:val="tx1"/>
                  </w14:solidFill>
                </w14:textFill>
              </w:rPr>
            </w:pPr>
          </w:p>
        </w:tc>
        <w:tc>
          <w:tcPr>
            <w:tcW w:w="1450" w:type="dxa"/>
          </w:tcPr>
          <w:p w14:paraId="63D89965">
            <w:pPr>
              <w:rPr>
                <w:rFonts w:ascii="宋体" w:hAnsi="宋体"/>
                <w:color w:val="000000" w:themeColor="text1"/>
                <w:sz w:val="24"/>
                <w:szCs w:val="30"/>
                <w14:textFill>
                  <w14:solidFill>
                    <w14:schemeClr w14:val="tx1"/>
                  </w14:solidFill>
                </w14:textFill>
              </w:rPr>
            </w:pPr>
          </w:p>
        </w:tc>
        <w:tc>
          <w:tcPr>
            <w:tcW w:w="1243" w:type="dxa"/>
          </w:tcPr>
          <w:p w14:paraId="0781A072">
            <w:pPr>
              <w:rPr>
                <w:rFonts w:ascii="宋体" w:hAnsi="宋体"/>
                <w:color w:val="000000" w:themeColor="text1"/>
                <w:sz w:val="24"/>
                <w:szCs w:val="30"/>
                <w14:textFill>
                  <w14:solidFill>
                    <w14:schemeClr w14:val="tx1"/>
                  </w14:solidFill>
                </w14:textFill>
              </w:rPr>
            </w:pPr>
          </w:p>
        </w:tc>
        <w:tc>
          <w:tcPr>
            <w:tcW w:w="1450" w:type="dxa"/>
          </w:tcPr>
          <w:p w14:paraId="12F4E658">
            <w:pPr>
              <w:rPr>
                <w:rFonts w:ascii="宋体" w:hAnsi="宋体"/>
                <w:color w:val="000000" w:themeColor="text1"/>
                <w:sz w:val="24"/>
                <w:szCs w:val="30"/>
                <w14:textFill>
                  <w14:solidFill>
                    <w14:schemeClr w14:val="tx1"/>
                  </w14:solidFill>
                </w14:textFill>
              </w:rPr>
            </w:pPr>
          </w:p>
        </w:tc>
        <w:tc>
          <w:tcPr>
            <w:tcW w:w="1667" w:type="dxa"/>
          </w:tcPr>
          <w:p w14:paraId="583588E5">
            <w:pPr>
              <w:rPr>
                <w:rFonts w:ascii="宋体" w:hAnsi="宋体"/>
                <w:color w:val="000000" w:themeColor="text1"/>
                <w:sz w:val="24"/>
                <w:szCs w:val="30"/>
                <w14:textFill>
                  <w14:solidFill>
                    <w14:schemeClr w14:val="tx1"/>
                  </w14:solidFill>
                </w14:textFill>
              </w:rPr>
            </w:pPr>
          </w:p>
        </w:tc>
      </w:tr>
      <w:tr w14:paraId="079643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3EB14129">
            <w:pPr>
              <w:rPr>
                <w:rFonts w:ascii="宋体" w:hAnsi="宋体"/>
                <w:color w:val="000000" w:themeColor="text1"/>
                <w:sz w:val="24"/>
                <w:szCs w:val="30"/>
                <w14:textFill>
                  <w14:solidFill>
                    <w14:schemeClr w14:val="tx1"/>
                  </w14:solidFill>
                </w14:textFill>
              </w:rPr>
            </w:pPr>
          </w:p>
        </w:tc>
        <w:tc>
          <w:tcPr>
            <w:tcW w:w="1276" w:type="dxa"/>
          </w:tcPr>
          <w:p w14:paraId="311D924B">
            <w:pPr>
              <w:rPr>
                <w:rFonts w:ascii="宋体" w:hAnsi="宋体"/>
                <w:color w:val="000000" w:themeColor="text1"/>
                <w:sz w:val="24"/>
                <w:szCs w:val="30"/>
                <w14:textFill>
                  <w14:solidFill>
                    <w14:schemeClr w14:val="tx1"/>
                  </w14:solidFill>
                </w14:textFill>
              </w:rPr>
            </w:pPr>
          </w:p>
        </w:tc>
        <w:tc>
          <w:tcPr>
            <w:tcW w:w="1450" w:type="dxa"/>
          </w:tcPr>
          <w:p w14:paraId="56821D43">
            <w:pPr>
              <w:rPr>
                <w:rFonts w:ascii="宋体" w:hAnsi="宋体"/>
                <w:color w:val="000000" w:themeColor="text1"/>
                <w:sz w:val="24"/>
                <w:szCs w:val="30"/>
                <w14:textFill>
                  <w14:solidFill>
                    <w14:schemeClr w14:val="tx1"/>
                  </w14:solidFill>
                </w14:textFill>
              </w:rPr>
            </w:pPr>
          </w:p>
        </w:tc>
        <w:tc>
          <w:tcPr>
            <w:tcW w:w="1243" w:type="dxa"/>
          </w:tcPr>
          <w:p w14:paraId="58A98142">
            <w:pPr>
              <w:rPr>
                <w:rFonts w:ascii="宋体" w:hAnsi="宋体"/>
                <w:color w:val="000000" w:themeColor="text1"/>
                <w:sz w:val="24"/>
                <w:szCs w:val="30"/>
                <w14:textFill>
                  <w14:solidFill>
                    <w14:schemeClr w14:val="tx1"/>
                  </w14:solidFill>
                </w14:textFill>
              </w:rPr>
            </w:pPr>
          </w:p>
        </w:tc>
        <w:tc>
          <w:tcPr>
            <w:tcW w:w="1450" w:type="dxa"/>
          </w:tcPr>
          <w:p w14:paraId="79D0ACB8">
            <w:pPr>
              <w:rPr>
                <w:rFonts w:ascii="宋体" w:hAnsi="宋体"/>
                <w:color w:val="000000" w:themeColor="text1"/>
                <w:sz w:val="24"/>
                <w:szCs w:val="30"/>
                <w14:textFill>
                  <w14:solidFill>
                    <w14:schemeClr w14:val="tx1"/>
                  </w14:solidFill>
                </w14:textFill>
              </w:rPr>
            </w:pPr>
          </w:p>
        </w:tc>
        <w:tc>
          <w:tcPr>
            <w:tcW w:w="1667" w:type="dxa"/>
          </w:tcPr>
          <w:p w14:paraId="557F16B0">
            <w:pPr>
              <w:rPr>
                <w:rFonts w:ascii="宋体" w:hAnsi="宋体"/>
                <w:color w:val="000000" w:themeColor="text1"/>
                <w:sz w:val="24"/>
                <w:szCs w:val="30"/>
                <w14:textFill>
                  <w14:solidFill>
                    <w14:schemeClr w14:val="tx1"/>
                  </w14:solidFill>
                </w14:textFill>
              </w:rPr>
            </w:pPr>
          </w:p>
        </w:tc>
      </w:tr>
      <w:tr w14:paraId="1D82F7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AB84A04">
            <w:pPr>
              <w:rPr>
                <w:rFonts w:ascii="宋体" w:hAnsi="宋体"/>
                <w:color w:val="000000" w:themeColor="text1"/>
                <w:sz w:val="24"/>
                <w:szCs w:val="30"/>
                <w14:textFill>
                  <w14:solidFill>
                    <w14:schemeClr w14:val="tx1"/>
                  </w14:solidFill>
                </w14:textFill>
              </w:rPr>
            </w:pPr>
          </w:p>
        </w:tc>
        <w:tc>
          <w:tcPr>
            <w:tcW w:w="1276" w:type="dxa"/>
          </w:tcPr>
          <w:p w14:paraId="7AFC4567">
            <w:pPr>
              <w:rPr>
                <w:rFonts w:ascii="宋体" w:hAnsi="宋体"/>
                <w:color w:val="000000" w:themeColor="text1"/>
                <w:sz w:val="24"/>
                <w:szCs w:val="30"/>
                <w14:textFill>
                  <w14:solidFill>
                    <w14:schemeClr w14:val="tx1"/>
                  </w14:solidFill>
                </w14:textFill>
              </w:rPr>
            </w:pPr>
          </w:p>
        </w:tc>
        <w:tc>
          <w:tcPr>
            <w:tcW w:w="1450" w:type="dxa"/>
          </w:tcPr>
          <w:p w14:paraId="3AFF8B56">
            <w:pPr>
              <w:rPr>
                <w:rFonts w:ascii="宋体" w:hAnsi="宋体"/>
                <w:color w:val="000000" w:themeColor="text1"/>
                <w:sz w:val="24"/>
                <w:szCs w:val="30"/>
                <w14:textFill>
                  <w14:solidFill>
                    <w14:schemeClr w14:val="tx1"/>
                  </w14:solidFill>
                </w14:textFill>
              </w:rPr>
            </w:pPr>
          </w:p>
        </w:tc>
        <w:tc>
          <w:tcPr>
            <w:tcW w:w="1243" w:type="dxa"/>
          </w:tcPr>
          <w:p w14:paraId="78913316">
            <w:pPr>
              <w:rPr>
                <w:rFonts w:ascii="宋体" w:hAnsi="宋体"/>
                <w:color w:val="000000" w:themeColor="text1"/>
                <w:sz w:val="24"/>
                <w:szCs w:val="30"/>
                <w14:textFill>
                  <w14:solidFill>
                    <w14:schemeClr w14:val="tx1"/>
                  </w14:solidFill>
                </w14:textFill>
              </w:rPr>
            </w:pPr>
          </w:p>
        </w:tc>
        <w:tc>
          <w:tcPr>
            <w:tcW w:w="1450" w:type="dxa"/>
          </w:tcPr>
          <w:p w14:paraId="7561D2D1">
            <w:pPr>
              <w:rPr>
                <w:rFonts w:ascii="宋体" w:hAnsi="宋体"/>
                <w:color w:val="000000" w:themeColor="text1"/>
                <w:sz w:val="24"/>
                <w:szCs w:val="30"/>
                <w14:textFill>
                  <w14:solidFill>
                    <w14:schemeClr w14:val="tx1"/>
                  </w14:solidFill>
                </w14:textFill>
              </w:rPr>
            </w:pPr>
          </w:p>
        </w:tc>
        <w:tc>
          <w:tcPr>
            <w:tcW w:w="1667" w:type="dxa"/>
          </w:tcPr>
          <w:p w14:paraId="44E197A2">
            <w:pPr>
              <w:rPr>
                <w:rFonts w:ascii="宋体" w:hAnsi="宋体"/>
                <w:color w:val="000000" w:themeColor="text1"/>
                <w:sz w:val="24"/>
                <w:szCs w:val="30"/>
                <w14:textFill>
                  <w14:solidFill>
                    <w14:schemeClr w14:val="tx1"/>
                  </w14:solidFill>
                </w14:textFill>
              </w:rPr>
            </w:pPr>
          </w:p>
        </w:tc>
      </w:tr>
      <w:tr w14:paraId="776C9E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45D8E37">
            <w:pPr>
              <w:rPr>
                <w:rFonts w:ascii="宋体" w:hAnsi="宋体"/>
                <w:color w:val="000000" w:themeColor="text1"/>
                <w:sz w:val="24"/>
                <w:szCs w:val="30"/>
                <w14:textFill>
                  <w14:solidFill>
                    <w14:schemeClr w14:val="tx1"/>
                  </w14:solidFill>
                </w14:textFill>
              </w:rPr>
            </w:pPr>
          </w:p>
        </w:tc>
        <w:tc>
          <w:tcPr>
            <w:tcW w:w="1276" w:type="dxa"/>
          </w:tcPr>
          <w:p w14:paraId="5425ADF8">
            <w:pPr>
              <w:rPr>
                <w:rFonts w:ascii="宋体" w:hAnsi="宋体"/>
                <w:color w:val="000000" w:themeColor="text1"/>
                <w:sz w:val="24"/>
                <w:szCs w:val="30"/>
                <w14:textFill>
                  <w14:solidFill>
                    <w14:schemeClr w14:val="tx1"/>
                  </w14:solidFill>
                </w14:textFill>
              </w:rPr>
            </w:pPr>
          </w:p>
        </w:tc>
        <w:tc>
          <w:tcPr>
            <w:tcW w:w="1450" w:type="dxa"/>
          </w:tcPr>
          <w:p w14:paraId="448FE2B4">
            <w:pPr>
              <w:rPr>
                <w:rFonts w:ascii="宋体" w:hAnsi="宋体"/>
                <w:color w:val="000000" w:themeColor="text1"/>
                <w:sz w:val="24"/>
                <w:szCs w:val="30"/>
                <w14:textFill>
                  <w14:solidFill>
                    <w14:schemeClr w14:val="tx1"/>
                  </w14:solidFill>
                </w14:textFill>
              </w:rPr>
            </w:pPr>
          </w:p>
        </w:tc>
        <w:tc>
          <w:tcPr>
            <w:tcW w:w="1243" w:type="dxa"/>
          </w:tcPr>
          <w:p w14:paraId="5EF8E489">
            <w:pPr>
              <w:rPr>
                <w:rFonts w:ascii="宋体" w:hAnsi="宋体"/>
                <w:color w:val="000000" w:themeColor="text1"/>
                <w:sz w:val="24"/>
                <w:szCs w:val="30"/>
                <w14:textFill>
                  <w14:solidFill>
                    <w14:schemeClr w14:val="tx1"/>
                  </w14:solidFill>
                </w14:textFill>
              </w:rPr>
            </w:pPr>
          </w:p>
        </w:tc>
        <w:tc>
          <w:tcPr>
            <w:tcW w:w="1450" w:type="dxa"/>
          </w:tcPr>
          <w:p w14:paraId="0D64511C">
            <w:pPr>
              <w:rPr>
                <w:rFonts w:ascii="宋体" w:hAnsi="宋体"/>
                <w:color w:val="000000" w:themeColor="text1"/>
                <w:sz w:val="24"/>
                <w:szCs w:val="30"/>
                <w14:textFill>
                  <w14:solidFill>
                    <w14:schemeClr w14:val="tx1"/>
                  </w14:solidFill>
                </w14:textFill>
              </w:rPr>
            </w:pPr>
          </w:p>
        </w:tc>
        <w:tc>
          <w:tcPr>
            <w:tcW w:w="1667" w:type="dxa"/>
          </w:tcPr>
          <w:p w14:paraId="5C8863E1">
            <w:pPr>
              <w:rPr>
                <w:rFonts w:ascii="宋体" w:hAnsi="宋体"/>
                <w:color w:val="000000" w:themeColor="text1"/>
                <w:sz w:val="24"/>
                <w:szCs w:val="30"/>
                <w14:textFill>
                  <w14:solidFill>
                    <w14:schemeClr w14:val="tx1"/>
                  </w14:solidFill>
                </w14:textFill>
              </w:rPr>
            </w:pPr>
          </w:p>
        </w:tc>
      </w:tr>
      <w:tr w14:paraId="658963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CFF2211">
            <w:pPr>
              <w:rPr>
                <w:rFonts w:ascii="宋体" w:hAnsi="宋体"/>
                <w:color w:val="000000" w:themeColor="text1"/>
                <w:sz w:val="24"/>
                <w:szCs w:val="30"/>
                <w14:textFill>
                  <w14:solidFill>
                    <w14:schemeClr w14:val="tx1"/>
                  </w14:solidFill>
                </w14:textFill>
              </w:rPr>
            </w:pPr>
          </w:p>
        </w:tc>
        <w:tc>
          <w:tcPr>
            <w:tcW w:w="1276" w:type="dxa"/>
          </w:tcPr>
          <w:p w14:paraId="02CA978F">
            <w:pPr>
              <w:rPr>
                <w:rFonts w:ascii="宋体" w:hAnsi="宋体"/>
                <w:color w:val="000000" w:themeColor="text1"/>
                <w:sz w:val="24"/>
                <w:szCs w:val="30"/>
                <w14:textFill>
                  <w14:solidFill>
                    <w14:schemeClr w14:val="tx1"/>
                  </w14:solidFill>
                </w14:textFill>
              </w:rPr>
            </w:pPr>
          </w:p>
        </w:tc>
        <w:tc>
          <w:tcPr>
            <w:tcW w:w="1450" w:type="dxa"/>
          </w:tcPr>
          <w:p w14:paraId="3124F0F6">
            <w:pPr>
              <w:rPr>
                <w:rFonts w:ascii="宋体" w:hAnsi="宋体"/>
                <w:color w:val="000000" w:themeColor="text1"/>
                <w:sz w:val="24"/>
                <w:szCs w:val="30"/>
                <w14:textFill>
                  <w14:solidFill>
                    <w14:schemeClr w14:val="tx1"/>
                  </w14:solidFill>
                </w14:textFill>
              </w:rPr>
            </w:pPr>
          </w:p>
        </w:tc>
        <w:tc>
          <w:tcPr>
            <w:tcW w:w="1243" w:type="dxa"/>
          </w:tcPr>
          <w:p w14:paraId="713CE70E">
            <w:pPr>
              <w:rPr>
                <w:rFonts w:ascii="宋体" w:hAnsi="宋体"/>
                <w:color w:val="000000" w:themeColor="text1"/>
                <w:sz w:val="24"/>
                <w:szCs w:val="30"/>
                <w14:textFill>
                  <w14:solidFill>
                    <w14:schemeClr w14:val="tx1"/>
                  </w14:solidFill>
                </w14:textFill>
              </w:rPr>
            </w:pPr>
          </w:p>
        </w:tc>
        <w:tc>
          <w:tcPr>
            <w:tcW w:w="1450" w:type="dxa"/>
          </w:tcPr>
          <w:p w14:paraId="48790530">
            <w:pPr>
              <w:rPr>
                <w:rFonts w:ascii="宋体" w:hAnsi="宋体"/>
                <w:color w:val="000000" w:themeColor="text1"/>
                <w:sz w:val="24"/>
                <w:szCs w:val="30"/>
                <w14:textFill>
                  <w14:solidFill>
                    <w14:schemeClr w14:val="tx1"/>
                  </w14:solidFill>
                </w14:textFill>
              </w:rPr>
            </w:pPr>
          </w:p>
        </w:tc>
        <w:tc>
          <w:tcPr>
            <w:tcW w:w="1667" w:type="dxa"/>
          </w:tcPr>
          <w:p w14:paraId="65C8DB13">
            <w:pPr>
              <w:rPr>
                <w:rFonts w:ascii="宋体" w:hAnsi="宋体"/>
                <w:color w:val="000000" w:themeColor="text1"/>
                <w:sz w:val="24"/>
                <w:szCs w:val="30"/>
                <w14:textFill>
                  <w14:solidFill>
                    <w14:schemeClr w14:val="tx1"/>
                  </w14:solidFill>
                </w14:textFill>
              </w:rPr>
            </w:pPr>
          </w:p>
        </w:tc>
      </w:tr>
      <w:tr w14:paraId="04AC92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2BC4D5E">
            <w:pPr>
              <w:rPr>
                <w:rFonts w:ascii="宋体" w:hAnsi="宋体"/>
                <w:color w:val="000000" w:themeColor="text1"/>
                <w:sz w:val="24"/>
                <w:szCs w:val="30"/>
                <w14:textFill>
                  <w14:solidFill>
                    <w14:schemeClr w14:val="tx1"/>
                  </w14:solidFill>
                </w14:textFill>
              </w:rPr>
            </w:pPr>
          </w:p>
        </w:tc>
        <w:tc>
          <w:tcPr>
            <w:tcW w:w="1276" w:type="dxa"/>
          </w:tcPr>
          <w:p w14:paraId="6CF0FDBD">
            <w:pPr>
              <w:rPr>
                <w:rFonts w:ascii="宋体" w:hAnsi="宋体"/>
                <w:color w:val="000000" w:themeColor="text1"/>
                <w:sz w:val="24"/>
                <w:szCs w:val="30"/>
                <w14:textFill>
                  <w14:solidFill>
                    <w14:schemeClr w14:val="tx1"/>
                  </w14:solidFill>
                </w14:textFill>
              </w:rPr>
            </w:pPr>
          </w:p>
        </w:tc>
        <w:tc>
          <w:tcPr>
            <w:tcW w:w="1450" w:type="dxa"/>
          </w:tcPr>
          <w:p w14:paraId="74433FC2">
            <w:pPr>
              <w:rPr>
                <w:rFonts w:ascii="宋体" w:hAnsi="宋体"/>
                <w:color w:val="000000" w:themeColor="text1"/>
                <w:sz w:val="24"/>
                <w:szCs w:val="30"/>
                <w14:textFill>
                  <w14:solidFill>
                    <w14:schemeClr w14:val="tx1"/>
                  </w14:solidFill>
                </w14:textFill>
              </w:rPr>
            </w:pPr>
          </w:p>
        </w:tc>
        <w:tc>
          <w:tcPr>
            <w:tcW w:w="1243" w:type="dxa"/>
          </w:tcPr>
          <w:p w14:paraId="52F1D84E">
            <w:pPr>
              <w:rPr>
                <w:rFonts w:ascii="宋体" w:hAnsi="宋体"/>
                <w:color w:val="000000" w:themeColor="text1"/>
                <w:sz w:val="24"/>
                <w:szCs w:val="30"/>
                <w14:textFill>
                  <w14:solidFill>
                    <w14:schemeClr w14:val="tx1"/>
                  </w14:solidFill>
                </w14:textFill>
              </w:rPr>
            </w:pPr>
          </w:p>
        </w:tc>
        <w:tc>
          <w:tcPr>
            <w:tcW w:w="1450" w:type="dxa"/>
          </w:tcPr>
          <w:p w14:paraId="230418A8">
            <w:pPr>
              <w:rPr>
                <w:rFonts w:ascii="宋体" w:hAnsi="宋体"/>
                <w:color w:val="000000" w:themeColor="text1"/>
                <w:sz w:val="24"/>
                <w:szCs w:val="30"/>
                <w14:textFill>
                  <w14:solidFill>
                    <w14:schemeClr w14:val="tx1"/>
                  </w14:solidFill>
                </w14:textFill>
              </w:rPr>
            </w:pPr>
          </w:p>
        </w:tc>
        <w:tc>
          <w:tcPr>
            <w:tcW w:w="1667" w:type="dxa"/>
          </w:tcPr>
          <w:p w14:paraId="6F32A338">
            <w:pPr>
              <w:rPr>
                <w:rFonts w:ascii="宋体" w:hAnsi="宋体"/>
                <w:color w:val="000000" w:themeColor="text1"/>
                <w:sz w:val="24"/>
                <w:szCs w:val="30"/>
                <w14:textFill>
                  <w14:solidFill>
                    <w14:schemeClr w14:val="tx1"/>
                  </w14:solidFill>
                </w14:textFill>
              </w:rPr>
            </w:pPr>
          </w:p>
        </w:tc>
      </w:tr>
      <w:tr w14:paraId="67B57B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B796B62">
            <w:pPr>
              <w:rPr>
                <w:rFonts w:ascii="宋体" w:hAnsi="宋体"/>
                <w:color w:val="000000" w:themeColor="text1"/>
                <w:sz w:val="24"/>
                <w:szCs w:val="30"/>
                <w14:textFill>
                  <w14:solidFill>
                    <w14:schemeClr w14:val="tx1"/>
                  </w14:solidFill>
                </w14:textFill>
              </w:rPr>
            </w:pPr>
          </w:p>
        </w:tc>
        <w:tc>
          <w:tcPr>
            <w:tcW w:w="1276" w:type="dxa"/>
          </w:tcPr>
          <w:p w14:paraId="2C197302">
            <w:pPr>
              <w:rPr>
                <w:rFonts w:ascii="宋体" w:hAnsi="宋体"/>
                <w:color w:val="000000" w:themeColor="text1"/>
                <w:sz w:val="24"/>
                <w:szCs w:val="30"/>
                <w14:textFill>
                  <w14:solidFill>
                    <w14:schemeClr w14:val="tx1"/>
                  </w14:solidFill>
                </w14:textFill>
              </w:rPr>
            </w:pPr>
          </w:p>
        </w:tc>
        <w:tc>
          <w:tcPr>
            <w:tcW w:w="1450" w:type="dxa"/>
          </w:tcPr>
          <w:p w14:paraId="675DD67C">
            <w:pPr>
              <w:rPr>
                <w:rFonts w:ascii="宋体" w:hAnsi="宋体"/>
                <w:color w:val="000000" w:themeColor="text1"/>
                <w:sz w:val="24"/>
                <w:szCs w:val="30"/>
                <w14:textFill>
                  <w14:solidFill>
                    <w14:schemeClr w14:val="tx1"/>
                  </w14:solidFill>
                </w14:textFill>
              </w:rPr>
            </w:pPr>
          </w:p>
        </w:tc>
        <w:tc>
          <w:tcPr>
            <w:tcW w:w="1243" w:type="dxa"/>
          </w:tcPr>
          <w:p w14:paraId="15FA4D2F">
            <w:pPr>
              <w:rPr>
                <w:rFonts w:ascii="宋体" w:hAnsi="宋体"/>
                <w:color w:val="000000" w:themeColor="text1"/>
                <w:sz w:val="24"/>
                <w:szCs w:val="30"/>
                <w14:textFill>
                  <w14:solidFill>
                    <w14:schemeClr w14:val="tx1"/>
                  </w14:solidFill>
                </w14:textFill>
              </w:rPr>
            </w:pPr>
          </w:p>
        </w:tc>
        <w:tc>
          <w:tcPr>
            <w:tcW w:w="1450" w:type="dxa"/>
          </w:tcPr>
          <w:p w14:paraId="3E6FBA66">
            <w:pPr>
              <w:rPr>
                <w:rFonts w:ascii="宋体" w:hAnsi="宋体"/>
                <w:color w:val="000000" w:themeColor="text1"/>
                <w:sz w:val="24"/>
                <w:szCs w:val="30"/>
                <w14:textFill>
                  <w14:solidFill>
                    <w14:schemeClr w14:val="tx1"/>
                  </w14:solidFill>
                </w14:textFill>
              </w:rPr>
            </w:pPr>
          </w:p>
        </w:tc>
        <w:tc>
          <w:tcPr>
            <w:tcW w:w="1667" w:type="dxa"/>
          </w:tcPr>
          <w:p w14:paraId="5F4EA8FB">
            <w:pPr>
              <w:rPr>
                <w:rFonts w:ascii="宋体" w:hAnsi="宋体"/>
                <w:color w:val="000000" w:themeColor="text1"/>
                <w:sz w:val="24"/>
                <w:szCs w:val="30"/>
                <w14:textFill>
                  <w14:solidFill>
                    <w14:schemeClr w14:val="tx1"/>
                  </w14:solidFill>
                </w14:textFill>
              </w:rPr>
            </w:pPr>
          </w:p>
        </w:tc>
      </w:tr>
    </w:tbl>
    <w:p w14:paraId="384CE10F">
      <w:pPr>
        <w:spacing w:line="440" w:lineRule="exact"/>
        <w:rPr>
          <w:rFonts w:ascii="宋体" w:hAnsi="宋体"/>
          <w:color w:val="000000" w:themeColor="text1"/>
          <w:sz w:val="24"/>
          <w:szCs w:val="30"/>
          <w14:textFill>
            <w14:solidFill>
              <w14:schemeClr w14:val="tx1"/>
            </w14:solidFill>
          </w14:textFill>
        </w:rPr>
      </w:pPr>
    </w:p>
    <w:p w14:paraId="7862DBD4">
      <w:pPr>
        <w:spacing w:line="440" w:lineRule="exac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br w:type="page"/>
      </w:r>
      <w:r>
        <w:rPr>
          <w:rFonts w:hint="eastAsia" w:ascii="宋体" w:hAnsi="宋体" w:cs="黑体"/>
          <w:color w:val="000000" w:themeColor="text1"/>
          <w:sz w:val="24"/>
          <w:szCs w:val="32"/>
          <w14:textFill>
            <w14:solidFill>
              <w14:schemeClr w14:val="tx1"/>
            </w14:solidFill>
          </w14:textFill>
        </w:rPr>
        <w:t>附件5</w:t>
      </w:r>
    </w:p>
    <w:p w14:paraId="03985CFD">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承包人用于本工程施工的机械设备表</w:t>
      </w:r>
    </w:p>
    <w:tbl>
      <w:tblPr>
        <w:tblStyle w:val="28"/>
        <w:tblW w:w="98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201D62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07340AE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序号</w:t>
            </w:r>
          </w:p>
        </w:tc>
        <w:tc>
          <w:tcPr>
            <w:tcW w:w="1418" w:type="dxa"/>
            <w:tcBorders>
              <w:top w:val="single" w:color="auto" w:sz="12" w:space="0"/>
              <w:bottom w:val="double" w:color="auto" w:sz="6" w:space="0"/>
            </w:tcBorders>
            <w:vAlign w:val="center"/>
          </w:tcPr>
          <w:p w14:paraId="72926A0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机械或</w:t>
            </w:r>
          </w:p>
          <w:p w14:paraId="75FB486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设备名称</w:t>
            </w:r>
          </w:p>
        </w:tc>
        <w:tc>
          <w:tcPr>
            <w:tcW w:w="850" w:type="dxa"/>
            <w:tcBorders>
              <w:top w:val="single" w:color="auto" w:sz="12" w:space="0"/>
              <w:bottom w:val="double" w:color="auto" w:sz="6" w:space="0"/>
            </w:tcBorders>
            <w:vAlign w:val="center"/>
          </w:tcPr>
          <w:p w14:paraId="441606A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规格型号</w:t>
            </w:r>
          </w:p>
        </w:tc>
        <w:tc>
          <w:tcPr>
            <w:tcW w:w="1058" w:type="dxa"/>
            <w:tcBorders>
              <w:top w:val="single" w:color="auto" w:sz="12" w:space="0"/>
              <w:bottom w:val="double" w:color="auto" w:sz="6" w:space="0"/>
            </w:tcBorders>
            <w:vAlign w:val="center"/>
          </w:tcPr>
          <w:p w14:paraId="1C0A80D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数量</w:t>
            </w:r>
          </w:p>
        </w:tc>
        <w:tc>
          <w:tcPr>
            <w:tcW w:w="880" w:type="dxa"/>
            <w:tcBorders>
              <w:top w:val="single" w:color="auto" w:sz="12" w:space="0"/>
              <w:bottom w:val="double" w:color="auto" w:sz="6" w:space="0"/>
            </w:tcBorders>
            <w:vAlign w:val="center"/>
          </w:tcPr>
          <w:p w14:paraId="59FDDD8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产地</w:t>
            </w:r>
          </w:p>
        </w:tc>
        <w:tc>
          <w:tcPr>
            <w:tcW w:w="1020" w:type="dxa"/>
            <w:tcBorders>
              <w:top w:val="single" w:color="auto" w:sz="12" w:space="0"/>
              <w:bottom w:val="double" w:color="auto" w:sz="6" w:space="0"/>
            </w:tcBorders>
            <w:vAlign w:val="center"/>
          </w:tcPr>
          <w:p w14:paraId="7B29201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制造年份</w:t>
            </w:r>
          </w:p>
        </w:tc>
        <w:tc>
          <w:tcPr>
            <w:tcW w:w="1480" w:type="dxa"/>
            <w:tcBorders>
              <w:top w:val="single" w:color="auto" w:sz="12" w:space="0"/>
              <w:bottom w:val="double" w:color="auto" w:sz="6" w:space="0"/>
            </w:tcBorders>
            <w:vAlign w:val="center"/>
          </w:tcPr>
          <w:p w14:paraId="73C1298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额定功率</w:t>
            </w:r>
          </w:p>
          <w:p w14:paraId="5464421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(kW)</w:t>
            </w:r>
          </w:p>
        </w:tc>
        <w:tc>
          <w:tcPr>
            <w:tcW w:w="1020" w:type="dxa"/>
            <w:tcBorders>
              <w:top w:val="single" w:color="auto" w:sz="12" w:space="0"/>
              <w:bottom w:val="double" w:color="auto" w:sz="6" w:space="0"/>
            </w:tcBorders>
            <w:vAlign w:val="center"/>
          </w:tcPr>
          <w:p w14:paraId="25476E6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生产</w:t>
            </w:r>
          </w:p>
          <w:p w14:paraId="4063324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能力</w:t>
            </w:r>
          </w:p>
        </w:tc>
        <w:tc>
          <w:tcPr>
            <w:tcW w:w="921" w:type="dxa"/>
            <w:tcBorders>
              <w:top w:val="single" w:color="auto" w:sz="12" w:space="0"/>
              <w:bottom w:val="double" w:color="auto" w:sz="6" w:space="0"/>
            </w:tcBorders>
            <w:vAlign w:val="center"/>
          </w:tcPr>
          <w:p w14:paraId="388D4F0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备注</w:t>
            </w:r>
          </w:p>
        </w:tc>
      </w:tr>
      <w:tr w14:paraId="51F012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225CD4D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18" w:type="dxa"/>
            <w:tcBorders>
              <w:top w:val="double" w:color="auto" w:sz="6" w:space="0"/>
              <w:bottom w:val="single" w:color="auto" w:sz="6" w:space="0"/>
            </w:tcBorders>
            <w:vAlign w:val="center"/>
          </w:tcPr>
          <w:p w14:paraId="5E5CF6B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50" w:type="dxa"/>
            <w:tcBorders>
              <w:top w:val="double" w:color="auto" w:sz="6" w:space="0"/>
              <w:bottom w:val="single" w:color="auto" w:sz="6" w:space="0"/>
            </w:tcBorders>
            <w:vAlign w:val="center"/>
          </w:tcPr>
          <w:p w14:paraId="2F72C64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58" w:type="dxa"/>
            <w:tcBorders>
              <w:top w:val="double" w:color="auto" w:sz="6" w:space="0"/>
              <w:bottom w:val="single" w:color="auto" w:sz="6" w:space="0"/>
            </w:tcBorders>
            <w:vAlign w:val="center"/>
          </w:tcPr>
          <w:p w14:paraId="612DFAF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80" w:type="dxa"/>
            <w:tcBorders>
              <w:top w:val="double" w:color="auto" w:sz="6" w:space="0"/>
              <w:bottom w:val="single" w:color="auto" w:sz="6" w:space="0"/>
            </w:tcBorders>
            <w:vAlign w:val="center"/>
          </w:tcPr>
          <w:p w14:paraId="3C01E02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tcBorders>
              <w:top w:val="double" w:color="auto" w:sz="6" w:space="0"/>
              <w:bottom w:val="single" w:color="auto" w:sz="6" w:space="0"/>
            </w:tcBorders>
            <w:vAlign w:val="center"/>
          </w:tcPr>
          <w:p w14:paraId="2EFFF1E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0" w:type="dxa"/>
            <w:tcBorders>
              <w:top w:val="double" w:color="auto" w:sz="6" w:space="0"/>
              <w:bottom w:val="single" w:color="auto" w:sz="6" w:space="0"/>
            </w:tcBorders>
            <w:vAlign w:val="center"/>
          </w:tcPr>
          <w:p w14:paraId="2BF039A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tcBorders>
              <w:top w:val="double" w:color="auto" w:sz="6" w:space="0"/>
              <w:bottom w:val="single" w:color="auto" w:sz="6" w:space="0"/>
            </w:tcBorders>
            <w:vAlign w:val="center"/>
          </w:tcPr>
          <w:p w14:paraId="39E0BCD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21" w:type="dxa"/>
            <w:tcBorders>
              <w:top w:val="double" w:color="auto" w:sz="6" w:space="0"/>
              <w:bottom w:val="single" w:color="auto" w:sz="6" w:space="0"/>
            </w:tcBorders>
            <w:vAlign w:val="center"/>
          </w:tcPr>
          <w:p w14:paraId="7DB98A00">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435B9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020431B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18" w:type="dxa"/>
            <w:tcBorders>
              <w:top w:val="nil"/>
            </w:tcBorders>
            <w:vAlign w:val="center"/>
          </w:tcPr>
          <w:p w14:paraId="75F5184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50" w:type="dxa"/>
            <w:tcBorders>
              <w:top w:val="nil"/>
            </w:tcBorders>
            <w:vAlign w:val="center"/>
          </w:tcPr>
          <w:p w14:paraId="56B1E00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58" w:type="dxa"/>
            <w:tcBorders>
              <w:top w:val="nil"/>
            </w:tcBorders>
            <w:vAlign w:val="center"/>
          </w:tcPr>
          <w:p w14:paraId="00EC0A7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80" w:type="dxa"/>
            <w:tcBorders>
              <w:top w:val="nil"/>
            </w:tcBorders>
            <w:vAlign w:val="center"/>
          </w:tcPr>
          <w:p w14:paraId="7A5956B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tcBorders>
              <w:top w:val="nil"/>
            </w:tcBorders>
            <w:vAlign w:val="center"/>
          </w:tcPr>
          <w:p w14:paraId="5061414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0" w:type="dxa"/>
            <w:tcBorders>
              <w:top w:val="nil"/>
            </w:tcBorders>
            <w:vAlign w:val="center"/>
          </w:tcPr>
          <w:p w14:paraId="3E1294E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tcBorders>
              <w:top w:val="nil"/>
            </w:tcBorders>
            <w:vAlign w:val="center"/>
          </w:tcPr>
          <w:p w14:paraId="69E7B77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21" w:type="dxa"/>
            <w:tcBorders>
              <w:top w:val="nil"/>
            </w:tcBorders>
            <w:vAlign w:val="center"/>
          </w:tcPr>
          <w:p w14:paraId="79761DA1">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2B7D83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2C70352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18" w:type="dxa"/>
            <w:vAlign w:val="center"/>
          </w:tcPr>
          <w:p w14:paraId="67B41C4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50" w:type="dxa"/>
            <w:vAlign w:val="center"/>
          </w:tcPr>
          <w:p w14:paraId="03AE3E2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58" w:type="dxa"/>
            <w:vAlign w:val="center"/>
          </w:tcPr>
          <w:p w14:paraId="4E92BD3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80" w:type="dxa"/>
            <w:vAlign w:val="center"/>
          </w:tcPr>
          <w:p w14:paraId="6E712A5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06730DA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0" w:type="dxa"/>
            <w:vAlign w:val="center"/>
          </w:tcPr>
          <w:p w14:paraId="06DF677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4390B84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21" w:type="dxa"/>
            <w:vAlign w:val="center"/>
          </w:tcPr>
          <w:p w14:paraId="21FABEFC">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DCAD6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931F55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18" w:type="dxa"/>
            <w:vAlign w:val="center"/>
          </w:tcPr>
          <w:p w14:paraId="5C9DF4D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50" w:type="dxa"/>
            <w:vAlign w:val="center"/>
          </w:tcPr>
          <w:p w14:paraId="32C73EC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58" w:type="dxa"/>
            <w:vAlign w:val="center"/>
          </w:tcPr>
          <w:p w14:paraId="20BFAA7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80" w:type="dxa"/>
            <w:vAlign w:val="center"/>
          </w:tcPr>
          <w:p w14:paraId="73FA5E3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66FDEB9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0" w:type="dxa"/>
            <w:vAlign w:val="center"/>
          </w:tcPr>
          <w:p w14:paraId="3643673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52DB18F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21" w:type="dxa"/>
            <w:vAlign w:val="center"/>
          </w:tcPr>
          <w:p w14:paraId="3A58DAB3">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8EE5F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98A2B3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18" w:type="dxa"/>
            <w:vAlign w:val="center"/>
          </w:tcPr>
          <w:p w14:paraId="74A7DDD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50" w:type="dxa"/>
            <w:vAlign w:val="center"/>
          </w:tcPr>
          <w:p w14:paraId="66F5DE7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58" w:type="dxa"/>
            <w:vAlign w:val="center"/>
          </w:tcPr>
          <w:p w14:paraId="01653E8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80" w:type="dxa"/>
            <w:vAlign w:val="center"/>
          </w:tcPr>
          <w:p w14:paraId="241D523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13E8855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0" w:type="dxa"/>
            <w:vAlign w:val="center"/>
          </w:tcPr>
          <w:p w14:paraId="5A4F384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2C2EAE5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21" w:type="dxa"/>
            <w:vAlign w:val="center"/>
          </w:tcPr>
          <w:p w14:paraId="15E2CD65">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D62AD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2BCCDA5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18" w:type="dxa"/>
            <w:vAlign w:val="center"/>
          </w:tcPr>
          <w:p w14:paraId="6CE1CD0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50" w:type="dxa"/>
            <w:vAlign w:val="center"/>
          </w:tcPr>
          <w:p w14:paraId="2D830B3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58" w:type="dxa"/>
            <w:vAlign w:val="center"/>
          </w:tcPr>
          <w:p w14:paraId="1752F58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80" w:type="dxa"/>
            <w:vAlign w:val="center"/>
          </w:tcPr>
          <w:p w14:paraId="64A1479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1A44D4C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0" w:type="dxa"/>
            <w:vAlign w:val="center"/>
          </w:tcPr>
          <w:p w14:paraId="5DA4D85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180BBAC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21" w:type="dxa"/>
            <w:vAlign w:val="center"/>
          </w:tcPr>
          <w:p w14:paraId="150A0B5D">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442F3F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DB2621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18" w:type="dxa"/>
            <w:vAlign w:val="center"/>
          </w:tcPr>
          <w:p w14:paraId="0F6A1DA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50" w:type="dxa"/>
            <w:vAlign w:val="center"/>
          </w:tcPr>
          <w:p w14:paraId="74FFFE2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58" w:type="dxa"/>
            <w:vAlign w:val="center"/>
          </w:tcPr>
          <w:p w14:paraId="1BC54B3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80" w:type="dxa"/>
            <w:vAlign w:val="center"/>
          </w:tcPr>
          <w:p w14:paraId="7AE3A0B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0998C87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0" w:type="dxa"/>
            <w:vAlign w:val="center"/>
          </w:tcPr>
          <w:p w14:paraId="454E99F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7374E5A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21" w:type="dxa"/>
            <w:vAlign w:val="center"/>
          </w:tcPr>
          <w:p w14:paraId="669A2FF9">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27EFE0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9A1AE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18" w:type="dxa"/>
            <w:vAlign w:val="center"/>
          </w:tcPr>
          <w:p w14:paraId="2A078AB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50" w:type="dxa"/>
            <w:vAlign w:val="center"/>
          </w:tcPr>
          <w:p w14:paraId="7E60F35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58" w:type="dxa"/>
            <w:vAlign w:val="center"/>
          </w:tcPr>
          <w:p w14:paraId="6864CD5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80" w:type="dxa"/>
            <w:vAlign w:val="center"/>
          </w:tcPr>
          <w:p w14:paraId="7E26500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1ED8288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0" w:type="dxa"/>
            <w:vAlign w:val="center"/>
          </w:tcPr>
          <w:p w14:paraId="6598A28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2BA0182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21" w:type="dxa"/>
            <w:vAlign w:val="center"/>
          </w:tcPr>
          <w:p w14:paraId="37CBFE84">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8DB66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87415BD">
            <w:pPr>
              <w:rPr>
                <w:rFonts w:ascii="宋体" w:hAnsi="宋体"/>
                <w:color w:val="000000" w:themeColor="text1"/>
                <w:sz w:val="24"/>
                <w:szCs w:val="30"/>
                <w14:textFill>
                  <w14:solidFill>
                    <w14:schemeClr w14:val="tx1"/>
                  </w14:solidFill>
                </w14:textFill>
              </w:rPr>
            </w:pPr>
          </w:p>
        </w:tc>
        <w:tc>
          <w:tcPr>
            <w:tcW w:w="1418" w:type="dxa"/>
          </w:tcPr>
          <w:p w14:paraId="5872CF85">
            <w:pPr>
              <w:rPr>
                <w:rFonts w:ascii="宋体" w:hAnsi="宋体"/>
                <w:color w:val="000000" w:themeColor="text1"/>
                <w:sz w:val="24"/>
                <w:szCs w:val="30"/>
                <w14:textFill>
                  <w14:solidFill>
                    <w14:schemeClr w14:val="tx1"/>
                  </w14:solidFill>
                </w14:textFill>
              </w:rPr>
            </w:pPr>
          </w:p>
        </w:tc>
        <w:tc>
          <w:tcPr>
            <w:tcW w:w="850" w:type="dxa"/>
          </w:tcPr>
          <w:p w14:paraId="479015AE">
            <w:pPr>
              <w:rPr>
                <w:rFonts w:ascii="宋体" w:hAnsi="宋体"/>
                <w:color w:val="000000" w:themeColor="text1"/>
                <w:sz w:val="24"/>
                <w:szCs w:val="30"/>
                <w14:textFill>
                  <w14:solidFill>
                    <w14:schemeClr w14:val="tx1"/>
                  </w14:solidFill>
                </w14:textFill>
              </w:rPr>
            </w:pPr>
          </w:p>
        </w:tc>
        <w:tc>
          <w:tcPr>
            <w:tcW w:w="1058" w:type="dxa"/>
          </w:tcPr>
          <w:p w14:paraId="7D9C916B">
            <w:pPr>
              <w:rPr>
                <w:rFonts w:ascii="宋体" w:hAnsi="宋体"/>
                <w:color w:val="000000" w:themeColor="text1"/>
                <w:sz w:val="24"/>
                <w:szCs w:val="30"/>
                <w14:textFill>
                  <w14:solidFill>
                    <w14:schemeClr w14:val="tx1"/>
                  </w14:solidFill>
                </w14:textFill>
              </w:rPr>
            </w:pPr>
          </w:p>
        </w:tc>
        <w:tc>
          <w:tcPr>
            <w:tcW w:w="880" w:type="dxa"/>
          </w:tcPr>
          <w:p w14:paraId="7A83B492">
            <w:pPr>
              <w:rPr>
                <w:rFonts w:ascii="宋体" w:hAnsi="宋体"/>
                <w:color w:val="000000" w:themeColor="text1"/>
                <w:sz w:val="24"/>
                <w:szCs w:val="30"/>
                <w14:textFill>
                  <w14:solidFill>
                    <w14:schemeClr w14:val="tx1"/>
                  </w14:solidFill>
                </w14:textFill>
              </w:rPr>
            </w:pPr>
          </w:p>
        </w:tc>
        <w:tc>
          <w:tcPr>
            <w:tcW w:w="1020" w:type="dxa"/>
          </w:tcPr>
          <w:p w14:paraId="29B34B3D">
            <w:pPr>
              <w:rPr>
                <w:rFonts w:ascii="宋体" w:hAnsi="宋体"/>
                <w:color w:val="000000" w:themeColor="text1"/>
                <w:sz w:val="24"/>
                <w:szCs w:val="30"/>
                <w14:textFill>
                  <w14:solidFill>
                    <w14:schemeClr w14:val="tx1"/>
                  </w14:solidFill>
                </w14:textFill>
              </w:rPr>
            </w:pPr>
          </w:p>
        </w:tc>
        <w:tc>
          <w:tcPr>
            <w:tcW w:w="1480" w:type="dxa"/>
          </w:tcPr>
          <w:p w14:paraId="5E5A22EC">
            <w:pPr>
              <w:rPr>
                <w:rFonts w:ascii="宋体" w:hAnsi="宋体"/>
                <w:color w:val="000000" w:themeColor="text1"/>
                <w:sz w:val="24"/>
                <w:szCs w:val="30"/>
                <w14:textFill>
                  <w14:solidFill>
                    <w14:schemeClr w14:val="tx1"/>
                  </w14:solidFill>
                </w14:textFill>
              </w:rPr>
            </w:pPr>
          </w:p>
        </w:tc>
        <w:tc>
          <w:tcPr>
            <w:tcW w:w="1020" w:type="dxa"/>
          </w:tcPr>
          <w:p w14:paraId="42FAA7AD">
            <w:pPr>
              <w:rPr>
                <w:rFonts w:ascii="宋体" w:hAnsi="宋体"/>
                <w:color w:val="000000" w:themeColor="text1"/>
                <w:sz w:val="24"/>
                <w:szCs w:val="30"/>
                <w14:textFill>
                  <w14:solidFill>
                    <w14:schemeClr w14:val="tx1"/>
                  </w14:solidFill>
                </w14:textFill>
              </w:rPr>
            </w:pPr>
          </w:p>
        </w:tc>
        <w:tc>
          <w:tcPr>
            <w:tcW w:w="921" w:type="dxa"/>
          </w:tcPr>
          <w:p w14:paraId="24FF7FED">
            <w:pPr>
              <w:rPr>
                <w:rFonts w:ascii="宋体" w:hAnsi="宋体"/>
                <w:color w:val="000000" w:themeColor="text1"/>
                <w:sz w:val="24"/>
                <w:szCs w:val="30"/>
                <w14:textFill>
                  <w14:solidFill>
                    <w14:schemeClr w14:val="tx1"/>
                  </w14:solidFill>
                </w14:textFill>
              </w:rPr>
            </w:pPr>
          </w:p>
        </w:tc>
      </w:tr>
      <w:tr w14:paraId="34A458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13E6574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18" w:type="dxa"/>
            <w:vAlign w:val="center"/>
          </w:tcPr>
          <w:p w14:paraId="06AF7AA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50" w:type="dxa"/>
            <w:vAlign w:val="center"/>
          </w:tcPr>
          <w:p w14:paraId="1500A75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58" w:type="dxa"/>
            <w:vAlign w:val="center"/>
          </w:tcPr>
          <w:p w14:paraId="5521870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880" w:type="dxa"/>
            <w:vAlign w:val="center"/>
          </w:tcPr>
          <w:p w14:paraId="02470FF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7B3CFF9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480" w:type="dxa"/>
            <w:vAlign w:val="center"/>
          </w:tcPr>
          <w:p w14:paraId="6E26949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020" w:type="dxa"/>
            <w:vAlign w:val="center"/>
          </w:tcPr>
          <w:p w14:paraId="591FF12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921" w:type="dxa"/>
            <w:vAlign w:val="center"/>
          </w:tcPr>
          <w:p w14:paraId="3974105B">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4C77F5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FD331F6">
            <w:pPr>
              <w:rPr>
                <w:rFonts w:ascii="宋体" w:hAnsi="宋体"/>
                <w:color w:val="000000" w:themeColor="text1"/>
                <w:sz w:val="24"/>
                <w:szCs w:val="30"/>
                <w14:textFill>
                  <w14:solidFill>
                    <w14:schemeClr w14:val="tx1"/>
                  </w14:solidFill>
                </w14:textFill>
              </w:rPr>
            </w:pPr>
          </w:p>
        </w:tc>
        <w:tc>
          <w:tcPr>
            <w:tcW w:w="1418" w:type="dxa"/>
          </w:tcPr>
          <w:p w14:paraId="04305D2C">
            <w:pPr>
              <w:rPr>
                <w:rFonts w:ascii="宋体" w:hAnsi="宋体"/>
                <w:color w:val="000000" w:themeColor="text1"/>
                <w:sz w:val="24"/>
                <w:szCs w:val="30"/>
                <w14:textFill>
                  <w14:solidFill>
                    <w14:schemeClr w14:val="tx1"/>
                  </w14:solidFill>
                </w14:textFill>
              </w:rPr>
            </w:pPr>
          </w:p>
        </w:tc>
        <w:tc>
          <w:tcPr>
            <w:tcW w:w="850" w:type="dxa"/>
          </w:tcPr>
          <w:p w14:paraId="4E731A4E">
            <w:pPr>
              <w:rPr>
                <w:rFonts w:ascii="宋体" w:hAnsi="宋体"/>
                <w:color w:val="000000" w:themeColor="text1"/>
                <w:sz w:val="24"/>
                <w:szCs w:val="30"/>
                <w14:textFill>
                  <w14:solidFill>
                    <w14:schemeClr w14:val="tx1"/>
                  </w14:solidFill>
                </w14:textFill>
              </w:rPr>
            </w:pPr>
          </w:p>
        </w:tc>
        <w:tc>
          <w:tcPr>
            <w:tcW w:w="1058" w:type="dxa"/>
          </w:tcPr>
          <w:p w14:paraId="30C4FA74">
            <w:pPr>
              <w:rPr>
                <w:rFonts w:ascii="宋体" w:hAnsi="宋体"/>
                <w:color w:val="000000" w:themeColor="text1"/>
                <w:sz w:val="24"/>
                <w:szCs w:val="30"/>
                <w14:textFill>
                  <w14:solidFill>
                    <w14:schemeClr w14:val="tx1"/>
                  </w14:solidFill>
                </w14:textFill>
              </w:rPr>
            </w:pPr>
          </w:p>
        </w:tc>
        <w:tc>
          <w:tcPr>
            <w:tcW w:w="880" w:type="dxa"/>
          </w:tcPr>
          <w:p w14:paraId="0FC8FEFF">
            <w:pPr>
              <w:rPr>
                <w:rFonts w:ascii="宋体" w:hAnsi="宋体"/>
                <w:color w:val="000000" w:themeColor="text1"/>
                <w:sz w:val="24"/>
                <w:szCs w:val="30"/>
                <w14:textFill>
                  <w14:solidFill>
                    <w14:schemeClr w14:val="tx1"/>
                  </w14:solidFill>
                </w14:textFill>
              </w:rPr>
            </w:pPr>
          </w:p>
        </w:tc>
        <w:tc>
          <w:tcPr>
            <w:tcW w:w="1020" w:type="dxa"/>
          </w:tcPr>
          <w:p w14:paraId="2CEB41B9">
            <w:pPr>
              <w:rPr>
                <w:rFonts w:ascii="宋体" w:hAnsi="宋体"/>
                <w:color w:val="000000" w:themeColor="text1"/>
                <w:sz w:val="24"/>
                <w:szCs w:val="30"/>
                <w14:textFill>
                  <w14:solidFill>
                    <w14:schemeClr w14:val="tx1"/>
                  </w14:solidFill>
                </w14:textFill>
              </w:rPr>
            </w:pPr>
          </w:p>
        </w:tc>
        <w:tc>
          <w:tcPr>
            <w:tcW w:w="1480" w:type="dxa"/>
          </w:tcPr>
          <w:p w14:paraId="58451BD0">
            <w:pPr>
              <w:rPr>
                <w:rFonts w:ascii="宋体" w:hAnsi="宋体"/>
                <w:color w:val="000000" w:themeColor="text1"/>
                <w:sz w:val="24"/>
                <w:szCs w:val="30"/>
                <w14:textFill>
                  <w14:solidFill>
                    <w14:schemeClr w14:val="tx1"/>
                  </w14:solidFill>
                </w14:textFill>
              </w:rPr>
            </w:pPr>
          </w:p>
        </w:tc>
        <w:tc>
          <w:tcPr>
            <w:tcW w:w="1020" w:type="dxa"/>
          </w:tcPr>
          <w:p w14:paraId="6E48F0F2">
            <w:pPr>
              <w:rPr>
                <w:rFonts w:ascii="宋体" w:hAnsi="宋体"/>
                <w:color w:val="000000" w:themeColor="text1"/>
                <w:sz w:val="24"/>
                <w:szCs w:val="30"/>
                <w14:textFill>
                  <w14:solidFill>
                    <w14:schemeClr w14:val="tx1"/>
                  </w14:solidFill>
                </w14:textFill>
              </w:rPr>
            </w:pPr>
          </w:p>
        </w:tc>
        <w:tc>
          <w:tcPr>
            <w:tcW w:w="921" w:type="dxa"/>
          </w:tcPr>
          <w:p w14:paraId="7F5073D0">
            <w:pPr>
              <w:rPr>
                <w:rFonts w:ascii="宋体" w:hAnsi="宋体"/>
                <w:color w:val="000000" w:themeColor="text1"/>
                <w:sz w:val="24"/>
                <w:szCs w:val="30"/>
                <w14:textFill>
                  <w14:solidFill>
                    <w14:schemeClr w14:val="tx1"/>
                  </w14:solidFill>
                </w14:textFill>
              </w:rPr>
            </w:pPr>
          </w:p>
        </w:tc>
      </w:tr>
      <w:tr w14:paraId="5FECD5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10516D0">
            <w:pPr>
              <w:rPr>
                <w:rFonts w:ascii="宋体" w:hAnsi="宋体"/>
                <w:color w:val="000000" w:themeColor="text1"/>
                <w:sz w:val="24"/>
                <w:szCs w:val="30"/>
                <w14:textFill>
                  <w14:solidFill>
                    <w14:schemeClr w14:val="tx1"/>
                  </w14:solidFill>
                </w14:textFill>
              </w:rPr>
            </w:pPr>
          </w:p>
        </w:tc>
        <w:tc>
          <w:tcPr>
            <w:tcW w:w="1418" w:type="dxa"/>
          </w:tcPr>
          <w:p w14:paraId="2B48F923">
            <w:pPr>
              <w:rPr>
                <w:rFonts w:ascii="宋体" w:hAnsi="宋体"/>
                <w:color w:val="000000" w:themeColor="text1"/>
                <w:sz w:val="24"/>
                <w:szCs w:val="30"/>
                <w14:textFill>
                  <w14:solidFill>
                    <w14:schemeClr w14:val="tx1"/>
                  </w14:solidFill>
                </w14:textFill>
              </w:rPr>
            </w:pPr>
          </w:p>
        </w:tc>
        <w:tc>
          <w:tcPr>
            <w:tcW w:w="850" w:type="dxa"/>
          </w:tcPr>
          <w:p w14:paraId="298A89CF">
            <w:pPr>
              <w:rPr>
                <w:rFonts w:ascii="宋体" w:hAnsi="宋体"/>
                <w:color w:val="000000" w:themeColor="text1"/>
                <w:sz w:val="24"/>
                <w:szCs w:val="30"/>
                <w14:textFill>
                  <w14:solidFill>
                    <w14:schemeClr w14:val="tx1"/>
                  </w14:solidFill>
                </w14:textFill>
              </w:rPr>
            </w:pPr>
          </w:p>
        </w:tc>
        <w:tc>
          <w:tcPr>
            <w:tcW w:w="1058" w:type="dxa"/>
          </w:tcPr>
          <w:p w14:paraId="42D598B9">
            <w:pPr>
              <w:rPr>
                <w:rFonts w:ascii="宋体" w:hAnsi="宋体"/>
                <w:color w:val="000000" w:themeColor="text1"/>
                <w:sz w:val="24"/>
                <w:szCs w:val="30"/>
                <w14:textFill>
                  <w14:solidFill>
                    <w14:schemeClr w14:val="tx1"/>
                  </w14:solidFill>
                </w14:textFill>
              </w:rPr>
            </w:pPr>
          </w:p>
        </w:tc>
        <w:tc>
          <w:tcPr>
            <w:tcW w:w="880" w:type="dxa"/>
          </w:tcPr>
          <w:p w14:paraId="1750D8D6">
            <w:pPr>
              <w:rPr>
                <w:rFonts w:ascii="宋体" w:hAnsi="宋体"/>
                <w:color w:val="000000" w:themeColor="text1"/>
                <w:sz w:val="24"/>
                <w:szCs w:val="30"/>
                <w14:textFill>
                  <w14:solidFill>
                    <w14:schemeClr w14:val="tx1"/>
                  </w14:solidFill>
                </w14:textFill>
              </w:rPr>
            </w:pPr>
          </w:p>
        </w:tc>
        <w:tc>
          <w:tcPr>
            <w:tcW w:w="1020" w:type="dxa"/>
          </w:tcPr>
          <w:p w14:paraId="139B453D">
            <w:pPr>
              <w:rPr>
                <w:rFonts w:ascii="宋体" w:hAnsi="宋体"/>
                <w:color w:val="000000" w:themeColor="text1"/>
                <w:sz w:val="24"/>
                <w:szCs w:val="30"/>
                <w14:textFill>
                  <w14:solidFill>
                    <w14:schemeClr w14:val="tx1"/>
                  </w14:solidFill>
                </w14:textFill>
              </w:rPr>
            </w:pPr>
          </w:p>
        </w:tc>
        <w:tc>
          <w:tcPr>
            <w:tcW w:w="1480" w:type="dxa"/>
          </w:tcPr>
          <w:p w14:paraId="46BBF12D">
            <w:pPr>
              <w:rPr>
                <w:rFonts w:ascii="宋体" w:hAnsi="宋体"/>
                <w:color w:val="000000" w:themeColor="text1"/>
                <w:sz w:val="24"/>
                <w:szCs w:val="30"/>
                <w14:textFill>
                  <w14:solidFill>
                    <w14:schemeClr w14:val="tx1"/>
                  </w14:solidFill>
                </w14:textFill>
              </w:rPr>
            </w:pPr>
          </w:p>
        </w:tc>
        <w:tc>
          <w:tcPr>
            <w:tcW w:w="1020" w:type="dxa"/>
          </w:tcPr>
          <w:p w14:paraId="33203825">
            <w:pPr>
              <w:rPr>
                <w:rFonts w:ascii="宋体" w:hAnsi="宋体"/>
                <w:color w:val="000000" w:themeColor="text1"/>
                <w:sz w:val="24"/>
                <w:szCs w:val="30"/>
                <w14:textFill>
                  <w14:solidFill>
                    <w14:schemeClr w14:val="tx1"/>
                  </w14:solidFill>
                </w14:textFill>
              </w:rPr>
            </w:pPr>
          </w:p>
        </w:tc>
        <w:tc>
          <w:tcPr>
            <w:tcW w:w="921" w:type="dxa"/>
          </w:tcPr>
          <w:p w14:paraId="7616B363">
            <w:pPr>
              <w:rPr>
                <w:rFonts w:ascii="宋体" w:hAnsi="宋体"/>
                <w:color w:val="000000" w:themeColor="text1"/>
                <w:sz w:val="24"/>
                <w:szCs w:val="30"/>
                <w14:textFill>
                  <w14:solidFill>
                    <w14:schemeClr w14:val="tx1"/>
                  </w14:solidFill>
                </w14:textFill>
              </w:rPr>
            </w:pPr>
          </w:p>
        </w:tc>
      </w:tr>
      <w:tr w14:paraId="0D1D52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BD6B8FD">
            <w:pPr>
              <w:rPr>
                <w:rFonts w:ascii="宋体" w:hAnsi="宋体"/>
                <w:color w:val="000000" w:themeColor="text1"/>
                <w:sz w:val="24"/>
                <w:szCs w:val="30"/>
                <w14:textFill>
                  <w14:solidFill>
                    <w14:schemeClr w14:val="tx1"/>
                  </w14:solidFill>
                </w14:textFill>
              </w:rPr>
            </w:pPr>
          </w:p>
        </w:tc>
        <w:tc>
          <w:tcPr>
            <w:tcW w:w="1418" w:type="dxa"/>
          </w:tcPr>
          <w:p w14:paraId="178392FC">
            <w:pPr>
              <w:rPr>
                <w:rFonts w:ascii="宋体" w:hAnsi="宋体"/>
                <w:color w:val="000000" w:themeColor="text1"/>
                <w:sz w:val="24"/>
                <w:szCs w:val="30"/>
                <w14:textFill>
                  <w14:solidFill>
                    <w14:schemeClr w14:val="tx1"/>
                  </w14:solidFill>
                </w14:textFill>
              </w:rPr>
            </w:pPr>
          </w:p>
        </w:tc>
        <w:tc>
          <w:tcPr>
            <w:tcW w:w="850" w:type="dxa"/>
          </w:tcPr>
          <w:p w14:paraId="2DAA958E">
            <w:pPr>
              <w:rPr>
                <w:rFonts w:ascii="宋体" w:hAnsi="宋体"/>
                <w:color w:val="000000" w:themeColor="text1"/>
                <w:sz w:val="24"/>
                <w:szCs w:val="30"/>
                <w14:textFill>
                  <w14:solidFill>
                    <w14:schemeClr w14:val="tx1"/>
                  </w14:solidFill>
                </w14:textFill>
              </w:rPr>
            </w:pPr>
          </w:p>
        </w:tc>
        <w:tc>
          <w:tcPr>
            <w:tcW w:w="1058" w:type="dxa"/>
          </w:tcPr>
          <w:p w14:paraId="0438316C">
            <w:pPr>
              <w:rPr>
                <w:rFonts w:ascii="宋体" w:hAnsi="宋体"/>
                <w:color w:val="000000" w:themeColor="text1"/>
                <w:sz w:val="24"/>
                <w:szCs w:val="30"/>
                <w14:textFill>
                  <w14:solidFill>
                    <w14:schemeClr w14:val="tx1"/>
                  </w14:solidFill>
                </w14:textFill>
              </w:rPr>
            </w:pPr>
          </w:p>
        </w:tc>
        <w:tc>
          <w:tcPr>
            <w:tcW w:w="880" w:type="dxa"/>
          </w:tcPr>
          <w:p w14:paraId="7ACC9EA0">
            <w:pPr>
              <w:rPr>
                <w:rFonts w:ascii="宋体" w:hAnsi="宋体"/>
                <w:color w:val="000000" w:themeColor="text1"/>
                <w:sz w:val="24"/>
                <w:szCs w:val="30"/>
                <w14:textFill>
                  <w14:solidFill>
                    <w14:schemeClr w14:val="tx1"/>
                  </w14:solidFill>
                </w14:textFill>
              </w:rPr>
            </w:pPr>
          </w:p>
        </w:tc>
        <w:tc>
          <w:tcPr>
            <w:tcW w:w="1020" w:type="dxa"/>
          </w:tcPr>
          <w:p w14:paraId="16EE4847">
            <w:pPr>
              <w:rPr>
                <w:rFonts w:ascii="宋体" w:hAnsi="宋体"/>
                <w:color w:val="000000" w:themeColor="text1"/>
                <w:sz w:val="24"/>
                <w:szCs w:val="30"/>
                <w14:textFill>
                  <w14:solidFill>
                    <w14:schemeClr w14:val="tx1"/>
                  </w14:solidFill>
                </w14:textFill>
              </w:rPr>
            </w:pPr>
          </w:p>
        </w:tc>
        <w:tc>
          <w:tcPr>
            <w:tcW w:w="1480" w:type="dxa"/>
          </w:tcPr>
          <w:p w14:paraId="4E5791DA">
            <w:pPr>
              <w:rPr>
                <w:rFonts w:ascii="宋体" w:hAnsi="宋体"/>
                <w:color w:val="000000" w:themeColor="text1"/>
                <w:sz w:val="24"/>
                <w:szCs w:val="30"/>
                <w14:textFill>
                  <w14:solidFill>
                    <w14:schemeClr w14:val="tx1"/>
                  </w14:solidFill>
                </w14:textFill>
              </w:rPr>
            </w:pPr>
          </w:p>
        </w:tc>
        <w:tc>
          <w:tcPr>
            <w:tcW w:w="1020" w:type="dxa"/>
          </w:tcPr>
          <w:p w14:paraId="10832BAB">
            <w:pPr>
              <w:rPr>
                <w:rFonts w:ascii="宋体" w:hAnsi="宋体"/>
                <w:color w:val="000000" w:themeColor="text1"/>
                <w:sz w:val="24"/>
                <w:szCs w:val="30"/>
                <w14:textFill>
                  <w14:solidFill>
                    <w14:schemeClr w14:val="tx1"/>
                  </w14:solidFill>
                </w14:textFill>
              </w:rPr>
            </w:pPr>
          </w:p>
        </w:tc>
        <w:tc>
          <w:tcPr>
            <w:tcW w:w="921" w:type="dxa"/>
          </w:tcPr>
          <w:p w14:paraId="132EFFF0">
            <w:pPr>
              <w:rPr>
                <w:rFonts w:ascii="宋体" w:hAnsi="宋体"/>
                <w:color w:val="000000" w:themeColor="text1"/>
                <w:sz w:val="24"/>
                <w:szCs w:val="30"/>
                <w14:textFill>
                  <w14:solidFill>
                    <w14:schemeClr w14:val="tx1"/>
                  </w14:solidFill>
                </w14:textFill>
              </w:rPr>
            </w:pPr>
          </w:p>
        </w:tc>
      </w:tr>
      <w:tr w14:paraId="088CB8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8E89C8B">
            <w:pPr>
              <w:rPr>
                <w:rFonts w:ascii="宋体" w:hAnsi="宋体"/>
                <w:color w:val="000000" w:themeColor="text1"/>
                <w:sz w:val="24"/>
                <w:szCs w:val="30"/>
                <w14:textFill>
                  <w14:solidFill>
                    <w14:schemeClr w14:val="tx1"/>
                  </w14:solidFill>
                </w14:textFill>
              </w:rPr>
            </w:pPr>
          </w:p>
        </w:tc>
        <w:tc>
          <w:tcPr>
            <w:tcW w:w="1418" w:type="dxa"/>
          </w:tcPr>
          <w:p w14:paraId="4ECA44AE">
            <w:pPr>
              <w:rPr>
                <w:rFonts w:ascii="宋体" w:hAnsi="宋体"/>
                <w:color w:val="000000" w:themeColor="text1"/>
                <w:sz w:val="24"/>
                <w:szCs w:val="30"/>
                <w14:textFill>
                  <w14:solidFill>
                    <w14:schemeClr w14:val="tx1"/>
                  </w14:solidFill>
                </w14:textFill>
              </w:rPr>
            </w:pPr>
          </w:p>
        </w:tc>
        <w:tc>
          <w:tcPr>
            <w:tcW w:w="850" w:type="dxa"/>
          </w:tcPr>
          <w:p w14:paraId="40B9AC4A">
            <w:pPr>
              <w:rPr>
                <w:rFonts w:ascii="宋体" w:hAnsi="宋体"/>
                <w:color w:val="000000" w:themeColor="text1"/>
                <w:sz w:val="24"/>
                <w:szCs w:val="30"/>
                <w14:textFill>
                  <w14:solidFill>
                    <w14:schemeClr w14:val="tx1"/>
                  </w14:solidFill>
                </w14:textFill>
              </w:rPr>
            </w:pPr>
          </w:p>
        </w:tc>
        <w:tc>
          <w:tcPr>
            <w:tcW w:w="1058" w:type="dxa"/>
          </w:tcPr>
          <w:p w14:paraId="2E136DFF">
            <w:pPr>
              <w:rPr>
                <w:rFonts w:ascii="宋体" w:hAnsi="宋体"/>
                <w:color w:val="000000" w:themeColor="text1"/>
                <w:sz w:val="24"/>
                <w:szCs w:val="30"/>
                <w14:textFill>
                  <w14:solidFill>
                    <w14:schemeClr w14:val="tx1"/>
                  </w14:solidFill>
                </w14:textFill>
              </w:rPr>
            </w:pPr>
          </w:p>
        </w:tc>
        <w:tc>
          <w:tcPr>
            <w:tcW w:w="880" w:type="dxa"/>
          </w:tcPr>
          <w:p w14:paraId="3A6FA4AE">
            <w:pPr>
              <w:rPr>
                <w:rFonts w:ascii="宋体" w:hAnsi="宋体"/>
                <w:color w:val="000000" w:themeColor="text1"/>
                <w:sz w:val="24"/>
                <w:szCs w:val="30"/>
                <w14:textFill>
                  <w14:solidFill>
                    <w14:schemeClr w14:val="tx1"/>
                  </w14:solidFill>
                </w14:textFill>
              </w:rPr>
            </w:pPr>
          </w:p>
        </w:tc>
        <w:tc>
          <w:tcPr>
            <w:tcW w:w="1020" w:type="dxa"/>
          </w:tcPr>
          <w:p w14:paraId="680D8744">
            <w:pPr>
              <w:rPr>
                <w:rFonts w:ascii="宋体" w:hAnsi="宋体"/>
                <w:color w:val="000000" w:themeColor="text1"/>
                <w:sz w:val="24"/>
                <w:szCs w:val="30"/>
                <w14:textFill>
                  <w14:solidFill>
                    <w14:schemeClr w14:val="tx1"/>
                  </w14:solidFill>
                </w14:textFill>
              </w:rPr>
            </w:pPr>
          </w:p>
        </w:tc>
        <w:tc>
          <w:tcPr>
            <w:tcW w:w="1480" w:type="dxa"/>
          </w:tcPr>
          <w:p w14:paraId="6A0B36A9">
            <w:pPr>
              <w:rPr>
                <w:rFonts w:ascii="宋体" w:hAnsi="宋体"/>
                <w:color w:val="000000" w:themeColor="text1"/>
                <w:sz w:val="24"/>
                <w:szCs w:val="30"/>
                <w14:textFill>
                  <w14:solidFill>
                    <w14:schemeClr w14:val="tx1"/>
                  </w14:solidFill>
                </w14:textFill>
              </w:rPr>
            </w:pPr>
          </w:p>
        </w:tc>
        <w:tc>
          <w:tcPr>
            <w:tcW w:w="1020" w:type="dxa"/>
          </w:tcPr>
          <w:p w14:paraId="4B3CCE01">
            <w:pPr>
              <w:rPr>
                <w:rFonts w:ascii="宋体" w:hAnsi="宋体"/>
                <w:color w:val="000000" w:themeColor="text1"/>
                <w:sz w:val="24"/>
                <w:szCs w:val="30"/>
                <w14:textFill>
                  <w14:solidFill>
                    <w14:schemeClr w14:val="tx1"/>
                  </w14:solidFill>
                </w14:textFill>
              </w:rPr>
            </w:pPr>
          </w:p>
        </w:tc>
        <w:tc>
          <w:tcPr>
            <w:tcW w:w="921" w:type="dxa"/>
          </w:tcPr>
          <w:p w14:paraId="76B7E9AE">
            <w:pPr>
              <w:rPr>
                <w:rFonts w:ascii="宋体" w:hAnsi="宋体"/>
                <w:color w:val="000000" w:themeColor="text1"/>
                <w:sz w:val="24"/>
                <w:szCs w:val="30"/>
                <w14:textFill>
                  <w14:solidFill>
                    <w14:schemeClr w14:val="tx1"/>
                  </w14:solidFill>
                </w14:textFill>
              </w:rPr>
            </w:pPr>
          </w:p>
        </w:tc>
      </w:tr>
      <w:tr w14:paraId="107694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99FAB6D">
            <w:pPr>
              <w:rPr>
                <w:rFonts w:ascii="宋体" w:hAnsi="宋体"/>
                <w:color w:val="000000" w:themeColor="text1"/>
                <w:sz w:val="24"/>
                <w:szCs w:val="30"/>
                <w14:textFill>
                  <w14:solidFill>
                    <w14:schemeClr w14:val="tx1"/>
                  </w14:solidFill>
                </w14:textFill>
              </w:rPr>
            </w:pPr>
          </w:p>
        </w:tc>
        <w:tc>
          <w:tcPr>
            <w:tcW w:w="1418" w:type="dxa"/>
          </w:tcPr>
          <w:p w14:paraId="1D803F14">
            <w:pPr>
              <w:rPr>
                <w:rFonts w:ascii="宋体" w:hAnsi="宋体"/>
                <w:color w:val="000000" w:themeColor="text1"/>
                <w:sz w:val="24"/>
                <w:szCs w:val="30"/>
                <w14:textFill>
                  <w14:solidFill>
                    <w14:schemeClr w14:val="tx1"/>
                  </w14:solidFill>
                </w14:textFill>
              </w:rPr>
            </w:pPr>
          </w:p>
        </w:tc>
        <w:tc>
          <w:tcPr>
            <w:tcW w:w="850" w:type="dxa"/>
          </w:tcPr>
          <w:p w14:paraId="5C00AADF">
            <w:pPr>
              <w:rPr>
                <w:rFonts w:ascii="宋体" w:hAnsi="宋体"/>
                <w:color w:val="000000" w:themeColor="text1"/>
                <w:sz w:val="24"/>
                <w:szCs w:val="30"/>
                <w14:textFill>
                  <w14:solidFill>
                    <w14:schemeClr w14:val="tx1"/>
                  </w14:solidFill>
                </w14:textFill>
              </w:rPr>
            </w:pPr>
          </w:p>
        </w:tc>
        <w:tc>
          <w:tcPr>
            <w:tcW w:w="1058" w:type="dxa"/>
          </w:tcPr>
          <w:p w14:paraId="20A8073A">
            <w:pPr>
              <w:rPr>
                <w:rFonts w:ascii="宋体" w:hAnsi="宋体"/>
                <w:color w:val="000000" w:themeColor="text1"/>
                <w:sz w:val="24"/>
                <w:szCs w:val="30"/>
                <w14:textFill>
                  <w14:solidFill>
                    <w14:schemeClr w14:val="tx1"/>
                  </w14:solidFill>
                </w14:textFill>
              </w:rPr>
            </w:pPr>
          </w:p>
        </w:tc>
        <w:tc>
          <w:tcPr>
            <w:tcW w:w="880" w:type="dxa"/>
          </w:tcPr>
          <w:p w14:paraId="692A0A38">
            <w:pPr>
              <w:rPr>
                <w:rFonts w:ascii="宋体" w:hAnsi="宋体"/>
                <w:color w:val="000000" w:themeColor="text1"/>
                <w:sz w:val="24"/>
                <w:szCs w:val="30"/>
                <w14:textFill>
                  <w14:solidFill>
                    <w14:schemeClr w14:val="tx1"/>
                  </w14:solidFill>
                </w14:textFill>
              </w:rPr>
            </w:pPr>
          </w:p>
        </w:tc>
        <w:tc>
          <w:tcPr>
            <w:tcW w:w="1020" w:type="dxa"/>
          </w:tcPr>
          <w:p w14:paraId="0CD6F17F">
            <w:pPr>
              <w:rPr>
                <w:rFonts w:ascii="宋体" w:hAnsi="宋体"/>
                <w:color w:val="000000" w:themeColor="text1"/>
                <w:sz w:val="24"/>
                <w:szCs w:val="30"/>
                <w14:textFill>
                  <w14:solidFill>
                    <w14:schemeClr w14:val="tx1"/>
                  </w14:solidFill>
                </w14:textFill>
              </w:rPr>
            </w:pPr>
          </w:p>
        </w:tc>
        <w:tc>
          <w:tcPr>
            <w:tcW w:w="1480" w:type="dxa"/>
          </w:tcPr>
          <w:p w14:paraId="2CFB3EE0">
            <w:pPr>
              <w:rPr>
                <w:rFonts w:ascii="宋体" w:hAnsi="宋体"/>
                <w:color w:val="000000" w:themeColor="text1"/>
                <w:sz w:val="24"/>
                <w:szCs w:val="30"/>
                <w14:textFill>
                  <w14:solidFill>
                    <w14:schemeClr w14:val="tx1"/>
                  </w14:solidFill>
                </w14:textFill>
              </w:rPr>
            </w:pPr>
          </w:p>
        </w:tc>
        <w:tc>
          <w:tcPr>
            <w:tcW w:w="1020" w:type="dxa"/>
          </w:tcPr>
          <w:p w14:paraId="3DA7D185">
            <w:pPr>
              <w:rPr>
                <w:rFonts w:ascii="宋体" w:hAnsi="宋体"/>
                <w:color w:val="000000" w:themeColor="text1"/>
                <w:sz w:val="24"/>
                <w:szCs w:val="30"/>
                <w14:textFill>
                  <w14:solidFill>
                    <w14:schemeClr w14:val="tx1"/>
                  </w14:solidFill>
                </w14:textFill>
              </w:rPr>
            </w:pPr>
          </w:p>
        </w:tc>
        <w:tc>
          <w:tcPr>
            <w:tcW w:w="921" w:type="dxa"/>
          </w:tcPr>
          <w:p w14:paraId="6A1DB35B">
            <w:pPr>
              <w:rPr>
                <w:rFonts w:ascii="宋体" w:hAnsi="宋体"/>
                <w:color w:val="000000" w:themeColor="text1"/>
                <w:sz w:val="24"/>
                <w:szCs w:val="30"/>
                <w14:textFill>
                  <w14:solidFill>
                    <w14:schemeClr w14:val="tx1"/>
                  </w14:solidFill>
                </w14:textFill>
              </w:rPr>
            </w:pPr>
          </w:p>
        </w:tc>
      </w:tr>
      <w:tr w14:paraId="684649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02463E8">
            <w:pPr>
              <w:rPr>
                <w:rFonts w:ascii="宋体" w:hAnsi="宋体"/>
                <w:color w:val="000000" w:themeColor="text1"/>
                <w:sz w:val="24"/>
                <w:szCs w:val="30"/>
                <w14:textFill>
                  <w14:solidFill>
                    <w14:schemeClr w14:val="tx1"/>
                  </w14:solidFill>
                </w14:textFill>
              </w:rPr>
            </w:pPr>
          </w:p>
        </w:tc>
        <w:tc>
          <w:tcPr>
            <w:tcW w:w="1418" w:type="dxa"/>
          </w:tcPr>
          <w:p w14:paraId="7F198083">
            <w:pPr>
              <w:rPr>
                <w:rFonts w:ascii="宋体" w:hAnsi="宋体"/>
                <w:color w:val="000000" w:themeColor="text1"/>
                <w:sz w:val="24"/>
                <w:szCs w:val="30"/>
                <w14:textFill>
                  <w14:solidFill>
                    <w14:schemeClr w14:val="tx1"/>
                  </w14:solidFill>
                </w14:textFill>
              </w:rPr>
            </w:pPr>
          </w:p>
        </w:tc>
        <w:tc>
          <w:tcPr>
            <w:tcW w:w="850" w:type="dxa"/>
          </w:tcPr>
          <w:p w14:paraId="10641B80">
            <w:pPr>
              <w:rPr>
                <w:rFonts w:ascii="宋体" w:hAnsi="宋体"/>
                <w:color w:val="000000" w:themeColor="text1"/>
                <w:sz w:val="24"/>
                <w:szCs w:val="30"/>
                <w14:textFill>
                  <w14:solidFill>
                    <w14:schemeClr w14:val="tx1"/>
                  </w14:solidFill>
                </w14:textFill>
              </w:rPr>
            </w:pPr>
          </w:p>
        </w:tc>
        <w:tc>
          <w:tcPr>
            <w:tcW w:w="1058" w:type="dxa"/>
          </w:tcPr>
          <w:p w14:paraId="6B7FC55B">
            <w:pPr>
              <w:rPr>
                <w:rFonts w:ascii="宋体" w:hAnsi="宋体"/>
                <w:color w:val="000000" w:themeColor="text1"/>
                <w:sz w:val="24"/>
                <w:szCs w:val="30"/>
                <w14:textFill>
                  <w14:solidFill>
                    <w14:schemeClr w14:val="tx1"/>
                  </w14:solidFill>
                </w14:textFill>
              </w:rPr>
            </w:pPr>
          </w:p>
        </w:tc>
        <w:tc>
          <w:tcPr>
            <w:tcW w:w="880" w:type="dxa"/>
          </w:tcPr>
          <w:p w14:paraId="1FC31551">
            <w:pPr>
              <w:rPr>
                <w:rFonts w:ascii="宋体" w:hAnsi="宋体"/>
                <w:color w:val="000000" w:themeColor="text1"/>
                <w:sz w:val="24"/>
                <w:szCs w:val="30"/>
                <w14:textFill>
                  <w14:solidFill>
                    <w14:schemeClr w14:val="tx1"/>
                  </w14:solidFill>
                </w14:textFill>
              </w:rPr>
            </w:pPr>
          </w:p>
        </w:tc>
        <w:tc>
          <w:tcPr>
            <w:tcW w:w="1020" w:type="dxa"/>
          </w:tcPr>
          <w:p w14:paraId="1A159593">
            <w:pPr>
              <w:rPr>
                <w:rFonts w:ascii="宋体" w:hAnsi="宋体"/>
                <w:color w:val="000000" w:themeColor="text1"/>
                <w:sz w:val="24"/>
                <w:szCs w:val="30"/>
                <w14:textFill>
                  <w14:solidFill>
                    <w14:schemeClr w14:val="tx1"/>
                  </w14:solidFill>
                </w14:textFill>
              </w:rPr>
            </w:pPr>
          </w:p>
        </w:tc>
        <w:tc>
          <w:tcPr>
            <w:tcW w:w="1480" w:type="dxa"/>
          </w:tcPr>
          <w:p w14:paraId="4917F760">
            <w:pPr>
              <w:rPr>
                <w:rFonts w:ascii="宋体" w:hAnsi="宋体"/>
                <w:color w:val="000000" w:themeColor="text1"/>
                <w:sz w:val="24"/>
                <w:szCs w:val="30"/>
                <w14:textFill>
                  <w14:solidFill>
                    <w14:schemeClr w14:val="tx1"/>
                  </w14:solidFill>
                </w14:textFill>
              </w:rPr>
            </w:pPr>
          </w:p>
        </w:tc>
        <w:tc>
          <w:tcPr>
            <w:tcW w:w="1020" w:type="dxa"/>
          </w:tcPr>
          <w:p w14:paraId="377A08F3">
            <w:pPr>
              <w:rPr>
                <w:rFonts w:ascii="宋体" w:hAnsi="宋体"/>
                <w:color w:val="000000" w:themeColor="text1"/>
                <w:sz w:val="24"/>
                <w:szCs w:val="30"/>
                <w14:textFill>
                  <w14:solidFill>
                    <w14:schemeClr w14:val="tx1"/>
                  </w14:solidFill>
                </w14:textFill>
              </w:rPr>
            </w:pPr>
          </w:p>
        </w:tc>
        <w:tc>
          <w:tcPr>
            <w:tcW w:w="921" w:type="dxa"/>
          </w:tcPr>
          <w:p w14:paraId="5FB61B68">
            <w:pPr>
              <w:rPr>
                <w:rFonts w:ascii="宋体" w:hAnsi="宋体"/>
                <w:color w:val="000000" w:themeColor="text1"/>
                <w:sz w:val="24"/>
                <w:szCs w:val="30"/>
                <w14:textFill>
                  <w14:solidFill>
                    <w14:schemeClr w14:val="tx1"/>
                  </w14:solidFill>
                </w14:textFill>
              </w:rPr>
            </w:pPr>
          </w:p>
        </w:tc>
      </w:tr>
      <w:tr w14:paraId="795265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6B7B18CF">
            <w:pPr>
              <w:rPr>
                <w:rFonts w:ascii="宋体" w:hAnsi="宋体"/>
                <w:color w:val="000000" w:themeColor="text1"/>
                <w:sz w:val="24"/>
                <w:szCs w:val="30"/>
                <w14:textFill>
                  <w14:solidFill>
                    <w14:schemeClr w14:val="tx1"/>
                  </w14:solidFill>
                </w14:textFill>
              </w:rPr>
            </w:pPr>
          </w:p>
        </w:tc>
        <w:tc>
          <w:tcPr>
            <w:tcW w:w="1418" w:type="dxa"/>
          </w:tcPr>
          <w:p w14:paraId="6C73AAF7">
            <w:pPr>
              <w:rPr>
                <w:rFonts w:ascii="宋体" w:hAnsi="宋体"/>
                <w:color w:val="000000" w:themeColor="text1"/>
                <w:sz w:val="24"/>
                <w:szCs w:val="30"/>
                <w14:textFill>
                  <w14:solidFill>
                    <w14:schemeClr w14:val="tx1"/>
                  </w14:solidFill>
                </w14:textFill>
              </w:rPr>
            </w:pPr>
          </w:p>
        </w:tc>
        <w:tc>
          <w:tcPr>
            <w:tcW w:w="850" w:type="dxa"/>
          </w:tcPr>
          <w:p w14:paraId="2C72C9FB">
            <w:pPr>
              <w:rPr>
                <w:rFonts w:ascii="宋体" w:hAnsi="宋体"/>
                <w:color w:val="000000" w:themeColor="text1"/>
                <w:sz w:val="24"/>
                <w:szCs w:val="30"/>
                <w14:textFill>
                  <w14:solidFill>
                    <w14:schemeClr w14:val="tx1"/>
                  </w14:solidFill>
                </w14:textFill>
              </w:rPr>
            </w:pPr>
          </w:p>
        </w:tc>
        <w:tc>
          <w:tcPr>
            <w:tcW w:w="1058" w:type="dxa"/>
          </w:tcPr>
          <w:p w14:paraId="4ABB6C96">
            <w:pPr>
              <w:rPr>
                <w:rFonts w:ascii="宋体" w:hAnsi="宋体"/>
                <w:color w:val="000000" w:themeColor="text1"/>
                <w:sz w:val="24"/>
                <w:szCs w:val="30"/>
                <w14:textFill>
                  <w14:solidFill>
                    <w14:schemeClr w14:val="tx1"/>
                  </w14:solidFill>
                </w14:textFill>
              </w:rPr>
            </w:pPr>
          </w:p>
        </w:tc>
        <w:tc>
          <w:tcPr>
            <w:tcW w:w="880" w:type="dxa"/>
          </w:tcPr>
          <w:p w14:paraId="13419E7F">
            <w:pPr>
              <w:rPr>
                <w:rFonts w:ascii="宋体" w:hAnsi="宋体"/>
                <w:color w:val="000000" w:themeColor="text1"/>
                <w:sz w:val="24"/>
                <w:szCs w:val="30"/>
                <w14:textFill>
                  <w14:solidFill>
                    <w14:schemeClr w14:val="tx1"/>
                  </w14:solidFill>
                </w14:textFill>
              </w:rPr>
            </w:pPr>
          </w:p>
        </w:tc>
        <w:tc>
          <w:tcPr>
            <w:tcW w:w="1020" w:type="dxa"/>
          </w:tcPr>
          <w:p w14:paraId="576A261B">
            <w:pPr>
              <w:rPr>
                <w:rFonts w:ascii="宋体" w:hAnsi="宋体"/>
                <w:color w:val="000000" w:themeColor="text1"/>
                <w:sz w:val="24"/>
                <w:szCs w:val="30"/>
                <w14:textFill>
                  <w14:solidFill>
                    <w14:schemeClr w14:val="tx1"/>
                  </w14:solidFill>
                </w14:textFill>
              </w:rPr>
            </w:pPr>
          </w:p>
        </w:tc>
        <w:tc>
          <w:tcPr>
            <w:tcW w:w="1480" w:type="dxa"/>
          </w:tcPr>
          <w:p w14:paraId="1E44CDF3">
            <w:pPr>
              <w:rPr>
                <w:rFonts w:ascii="宋体" w:hAnsi="宋体"/>
                <w:color w:val="000000" w:themeColor="text1"/>
                <w:sz w:val="24"/>
                <w:szCs w:val="30"/>
                <w14:textFill>
                  <w14:solidFill>
                    <w14:schemeClr w14:val="tx1"/>
                  </w14:solidFill>
                </w14:textFill>
              </w:rPr>
            </w:pPr>
          </w:p>
        </w:tc>
        <w:tc>
          <w:tcPr>
            <w:tcW w:w="1020" w:type="dxa"/>
          </w:tcPr>
          <w:p w14:paraId="509DAB95">
            <w:pPr>
              <w:rPr>
                <w:rFonts w:ascii="宋体" w:hAnsi="宋体"/>
                <w:color w:val="000000" w:themeColor="text1"/>
                <w:sz w:val="24"/>
                <w:szCs w:val="30"/>
                <w14:textFill>
                  <w14:solidFill>
                    <w14:schemeClr w14:val="tx1"/>
                  </w14:solidFill>
                </w14:textFill>
              </w:rPr>
            </w:pPr>
          </w:p>
        </w:tc>
        <w:tc>
          <w:tcPr>
            <w:tcW w:w="921" w:type="dxa"/>
          </w:tcPr>
          <w:p w14:paraId="4BCC57D5">
            <w:pPr>
              <w:rPr>
                <w:rFonts w:ascii="宋体" w:hAnsi="宋体"/>
                <w:color w:val="000000" w:themeColor="text1"/>
                <w:sz w:val="24"/>
                <w:szCs w:val="30"/>
                <w14:textFill>
                  <w14:solidFill>
                    <w14:schemeClr w14:val="tx1"/>
                  </w14:solidFill>
                </w14:textFill>
              </w:rPr>
            </w:pPr>
          </w:p>
        </w:tc>
      </w:tr>
      <w:tr w14:paraId="7ADE45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68FA0DBD">
            <w:pPr>
              <w:rPr>
                <w:rFonts w:ascii="宋体" w:hAnsi="宋体"/>
                <w:color w:val="000000" w:themeColor="text1"/>
                <w:sz w:val="24"/>
                <w:szCs w:val="30"/>
                <w14:textFill>
                  <w14:solidFill>
                    <w14:schemeClr w14:val="tx1"/>
                  </w14:solidFill>
                </w14:textFill>
              </w:rPr>
            </w:pPr>
          </w:p>
        </w:tc>
        <w:tc>
          <w:tcPr>
            <w:tcW w:w="1418" w:type="dxa"/>
          </w:tcPr>
          <w:p w14:paraId="5BEDE9FE">
            <w:pPr>
              <w:rPr>
                <w:rFonts w:ascii="宋体" w:hAnsi="宋体"/>
                <w:color w:val="000000" w:themeColor="text1"/>
                <w:sz w:val="24"/>
                <w:szCs w:val="30"/>
                <w14:textFill>
                  <w14:solidFill>
                    <w14:schemeClr w14:val="tx1"/>
                  </w14:solidFill>
                </w14:textFill>
              </w:rPr>
            </w:pPr>
          </w:p>
        </w:tc>
        <w:tc>
          <w:tcPr>
            <w:tcW w:w="850" w:type="dxa"/>
          </w:tcPr>
          <w:p w14:paraId="5136A969">
            <w:pPr>
              <w:rPr>
                <w:rFonts w:ascii="宋体" w:hAnsi="宋体"/>
                <w:color w:val="000000" w:themeColor="text1"/>
                <w:sz w:val="24"/>
                <w:szCs w:val="30"/>
                <w14:textFill>
                  <w14:solidFill>
                    <w14:schemeClr w14:val="tx1"/>
                  </w14:solidFill>
                </w14:textFill>
              </w:rPr>
            </w:pPr>
          </w:p>
        </w:tc>
        <w:tc>
          <w:tcPr>
            <w:tcW w:w="1058" w:type="dxa"/>
          </w:tcPr>
          <w:p w14:paraId="390E0FD0">
            <w:pPr>
              <w:rPr>
                <w:rFonts w:ascii="宋体" w:hAnsi="宋体"/>
                <w:color w:val="000000" w:themeColor="text1"/>
                <w:sz w:val="24"/>
                <w:szCs w:val="30"/>
                <w14:textFill>
                  <w14:solidFill>
                    <w14:schemeClr w14:val="tx1"/>
                  </w14:solidFill>
                </w14:textFill>
              </w:rPr>
            </w:pPr>
          </w:p>
        </w:tc>
        <w:tc>
          <w:tcPr>
            <w:tcW w:w="880" w:type="dxa"/>
          </w:tcPr>
          <w:p w14:paraId="6B818344">
            <w:pPr>
              <w:rPr>
                <w:rFonts w:ascii="宋体" w:hAnsi="宋体"/>
                <w:color w:val="000000" w:themeColor="text1"/>
                <w:sz w:val="24"/>
                <w:szCs w:val="30"/>
                <w14:textFill>
                  <w14:solidFill>
                    <w14:schemeClr w14:val="tx1"/>
                  </w14:solidFill>
                </w14:textFill>
              </w:rPr>
            </w:pPr>
          </w:p>
        </w:tc>
        <w:tc>
          <w:tcPr>
            <w:tcW w:w="1020" w:type="dxa"/>
          </w:tcPr>
          <w:p w14:paraId="6295A656">
            <w:pPr>
              <w:rPr>
                <w:rFonts w:ascii="宋体" w:hAnsi="宋体"/>
                <w:color w:val="000000" w:themeColor="text1"/>
                <w:sz w:val="24"/>
                <w:szCs w:val="30"/>
                <w14:textFill>
                  <w14:solidFill>
                    <w14:schemeClr w14:val="tx1"/>
                  </w14:solidFill>
                </w14:textFill>
              </w:rPr>
            </w:pPr>
          </w:p>
        </w:tc>
        <w:tc>
          <w:tcPr>
            <w:tcW w:w="1480" w:type="dxa"/>
          </w:tcPr>
          <w:p w14:paraId="221B1AF8">
            <w:pPr>
              <w:rPr>
                <w:rFonts w:ascii="宋体" w:hAnsi="宋体"/>
                <w:color w:val="000000" w:themeColor="text1"/>
                <w:sz w:val="24"/>
                <w:szCs w:val="30"/>
                <w14:textFill>
                  <w14:solidFill>
                    <w14:schemeClr w14:val="tx1"/>
                  </w14:solidFill>
                </w14:textFill>
              </w:rPr>
            </w:pPr>
          </w:p>
        </w:tc>
        <w:tc>
          <w:tcPr>
            <w:tcW w:w="1020" w:type="dxa"/>
          </w:tcPr>
          <w:p w14:paraId="04E65AE3">
            <w:pPr>
              <w:rPr>
                <w:rFonts w:ascii="宋体" w:hAnsi="宋体"/>
                <w:color w:val="000000" w:themeColor="text1"/>
                <w:sz w:val="24"/>
                <w:szCs w:val="30"/>
                <w14:textFill>
                  <w14:solidFill>
                    <w14:schemeClr w14:val="tx1"/>
                  </w14:solidFill>
                </w14:textFill>
              </w:rPr>
            </w:pPr>
          </w:p>
        </w:tc>
        <w:tc>
          <w:tcPr>
            <w:tcW w:w="921" w:type="dxa"/>
          </w:tcPr>
          <w:p w14:paraId="14397230">
            <w:pPr>
              <w:rPr>
                <w:rFonts w:ascii="宋体" w:hAnsi="宋体"/>
                <w:color w:val="000000" w:themeColor="text1"/>
                <w:sz w:val="24"/>
                <w:szCs w:val="30"/>
                <w14:textFill>
                  <w14:solidFill>
                    <w14:schemeClr w14:val="tx1"/>
                  </w14:solidFill>
                </w14:textFill>
              </w:rPr>
            </w:pPr>
          </w:p>
        </w:tc>
      </w:tr>
      <w:tr w14:paraId="47284C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C302812">
            <w:pPr>
              <w:rPr>
                <w:rFonts w:ascii="宋体" w:hAnsi="宋体"/>
                <w:color w:val="000000" w:themeColor="text1"/>
                <w:sz w:val="24"/>
                <w:szCs w:val="30"/>
                <w14:textFill>
                  <w14:solidFill>
                    <w14:schemeClr w14:val="tx1"/>
                  </w14:solidFill>
                </w14:textFill>
              </w:rPr>
            </w:pPr>
          </w:p>
        </w:tc>
        <w:tc>
          <w:tcPr>
            <w:tcW w:w="1418" w:type="dxa"/>
          </w:tcPr>
          <w:p w14:paraId="1E7E0BB0">
            <w:pPr>
              <w:rPr>
                <w:rFonts w:ascii="宋体" w:hAnsi="宋体"/>
                <w:color w:val="000000" w:themeColor="text1"/>
                <w:sz w:val="24"/>
                <w:szCs w:val="30"/>
                <w14:textFill>
                  <w14:solidFill>
                    <w14:schemeClr w14:val="tx1"/>
                  </w14:solidFill>
                </w14:textFill>
              </w:rPr>
            </w:pPr>
          </w:p>
        </w:tc>
        <w:tc>
          <w:tcPr>
            <w:tcW w:w="850" w:type="dxa"/>
          </w:tcPr>
          <w:p w14:paraId="64932DE9">
            <w:pPr>
              <w:rPr>
                <w:rFonts w:ascii="宋体" w:hAnsi="宋体"/>
                <w:color w:val="000000" w:themeColor="text1"/>
                <w:sz w:val="24"/>
                <w:szCs w:val="30"/>
                <w14:textFill>
                  <w14:solidFill>
                    <w14:schemeClr w14:val="tx1"/>
                  </w14:solidFill>
                </w14:textFill>
              </w:rPr>
            </w:pPr>
          </w:p>
        </w:tc>
        <w:tc>
          <w:tcPr>
            <w:tcW w:w="1058" w:type="dxa"/>
          </w:tcPr>
          <w:p w14:paraId="7D552EB7">
            <w:pPr>
              <w:rPr>
                <w:rFonts w:ascii="宋体" w:hAnsi="宋体"/>
                <w:color w:val="000000" w:themeColor="text1"/>
                <w:sz w:val="24"/>
                <w:szCs w:val="30"/>
                <w14:textFill>
                  <w14:solidFill>
                    <w14:schemeClr w14:val="tx1"/>
                  </w14:solidFill>
                </w14:textFill>
              </w:rPr>
            </w:pPr>
          </w:p>
        </w:tc>
        <w:tc>
          <w:tcPr>
            <w:tcW w:w="880" w:type="dxa"/>
          </w:tcPr>
          <w:p w14:paraId="47EE11F9">
            <w:pPr>
              <w:rPr>
                <w:rFonts w:ascii="宋体" w:hAnsi="宋体"/>
                <w:color w:val="000000" w:themeColor="text1"/>
                <w:sz w:val="24"/>
                <w:szCs w:val="30"/>
                <w14:textFill>
                  <w14:solidFill>
                    <w14:schemeClr w14:val="tx1"/>
                  </w14:solidFill>
                </w14:textFill>
              </w:rPr>
            </w:pPr>
          </w:p>
        </w:tc>
        <w:tc>
          <w:tcPr>
            <w:tcW w:w="1020" w:type="dxa"/>
          </w:tcPr>
          <w:p w14:paraId="13346217">
            <w:pPr>
              <w:rPr>
                <w:rFonts w:ascii="宋体" w:hAnsi="宋体"/>
                <w:color w:val="000000" w:themeColor="text1"/>
                <w:sz w:val="24"/>
                <w:szCs w:val="30"/>
                <w14:textFill>
                  <w14:solidFill>
                    <w14:schemeClr w14:val="tx1"/>
                  </w14:solidFill>
                </w14:textFill>
              </w:rPr>
            </w:pPr>
          </w:p>
        </w:tc>
        <w:tc>
          <w:tcPr>
            <w:tcW w:w="1480" w:type="dxa"/>
          </w:tcPr>
          <w:p w14:paraId="5BA3BDA8">
            <w:pPr>
              <w:rPr>
                <w:rFonts w:ascii="宋体" w:hAnsi="宋体"/>
                <w:color w:val="000000" w:themeColor="text1"/>
                <w:sz w:val="24"/>
                <w:szCs w:val="30"/>
                <w14:textFill>
                  <w14:solidFill>
                    <w14:schemeClr w14:val="tx1"/>
                  </w14:solidFill>
                </w14:textFill>
              </w:rPr>
            </w:pPr>
          </w:p>
        </w:tc>
        <w:tc>
          <w:tcPr>
            <w:tcW w:w="1020" w:type="dxa"/>
          </w:tcPr>
          <w:p w14:paraId="33AFC3CD">
            <w:pPr>
              <w:rPr>
                <w:rFonts w:ascii="宋体" w:hAnsi="宋体"/>
                <w:color w:val="000000" w:themeColor="text1"/>
                <w:sz w:val="24"/>
                <w:szCs w:val="30"/>
                <w14:textFill>
                  <w14:solidFill>
                    <w14:schemeClr w14:val="tx1"/>
                  </w14:solidFill>
                </w14:textFill>
              </w:rPr>
            </w:pPr>
          </w:p>
        </w:tc>
        <w:tc>
          <w:tcPr>
            <w:tcW w:w="921" w:type="dxa"/>
          </w:tcPr>
          <w:p w14:paraId="78F76D48">
            <w:pPr>
              <w:rPr>
                <w:rFonts w:ascii="宋体" w:hAnsi="宋体"/>
                <w:color w:val="000000" w:themeColor="text1"/>
                <w:sz w:val="24"/>
                <w:szCs w:val="30"/>
                <w14:textFill>
                  <w14:solidFill>
                    <w14:schemeClr w14:val="tx1"/>
                  </w14:solidFill>
                </w14:textFill>
              </w:rPr>
            </w:pPr>
          </w:p>
        </w:tc>
      </w:tr>
    </w:tbl>
    <w:p w14:paraId="701A38F7">
      <w:pPr>
        <w:spacing w:line="440" w:lineRule="exact"/>
        <w:rPr>
          <w:rFonts w:ascii="宋体" w:hAnsi="宋体" w:cs="黑体"/>
          <w:color w:val="000000" w:themeColor="text1"/>
          <w:sz w:val="24"/>
          <w:szCs w:val="32"/>
          <w14:textFill>
            <w14:solidFill>
              <w14:schemeClr w14:val="tx1"/>
            </w14:solidFill>
          </w14:textFill>
        </w:rPr>
      </w:pPr>
      <w:r>
        <w:rPr>
          <w:rFonts w:hint="eastAsia" w:ascii="宋体" w:hAnsi="宋体" w:cs="黑体"/>
          <w:color w:val="000000" w:themeColor="text1"/>
          <w:sz w:val="24"/>
          <w:szCs w:val="32"/>
          <w14:textFill>
            <w14:solidFill>
              <w14:schemeClr w14:val="tx1"/>
            </w14:solidFill>
          </w14:textFill>
        </w:rPr>
        <w:t>附件6</w:t>
      </w:r>
    </w:p>
    <w:p w14:paraId="390844C8">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承包人主要施工管理人员表</w:t>
      </w:r>
    </w:p>
    <w:tbl>
      <w:tblPr>
        <w:tblStyle w:val="28"/>
        <w:tblW w:w="98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2E8832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0D43799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名    称</w:t>
            </w:r>
          </w:p>
        </w:tc>
        <w:tc>
          <w:tcPr>
            <w:tcW w:w="1418" w:type="dxa"/>
            <w:tcBorders>
              <w:top w:val="single" w:color="auto" w:sz="12" w:space="0"/>
              <w:bottom w:val="double" w:color="auto" w:sz="6" w:space="0"/>
            </w:tcBorders>
            <w:vAlign w:val="center"/>
          </w:tcPr>
          <w:p w14:paraId="709D1E0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姓名</w:t>
            </w:r>
          </w:p>
        </w:tc>
        <w:tc>
          <w:tcPr>
            <w:tcW w:w="1134" w:type="dxa"/>
            <w:tcBorders>
              <w:top w:val="single" w:color="auto" w:sz="12" w:space="0"/>
              <w:bottom w:val="double" w:color="auto" w:sz="6" w:space="0"/>
            </w:tcBorders>
            <w:vAlign w:val="center"/>
          </w:tcPr>
          <w:p w14:paraId="5696C465">
            <w:pPr>
              <w:pStyle w:val="16"/>
              <w:keepNext/>
              <w:spacing w:line="440" w:lineRule="exact"/>
              <w:ind w:left="63" w:right="63"/>
              <w:rPr>
                <w:rFonts w:ascii="宋体" w:hAnsi="宋体"/>
                <w:color w:val="000000" w:themeColor="text1"/>
                <w:kern w:val="2"/>
                <w:szCs w:val="30"/>
                <w14:textFill>
                  <w14:solidFill>
                    <w14:schemeClr w14:val="tx1"/>
                  </w14:solidFill>
                </w14:textFill>
              </w:rPr>
            </w:pPr>
            <w:r>
              <w:rPr>
                <w:rFonts w:ascii="宋体" w:hAnsi="宋体"/>
                <w:color w:val="000000" w:themeColor="text1"/>
                <w:kern w:val="2"/>
                <w:szCs w:val="30"/>
                <w14:textFill>
                  <w14:solidFill>
                    <w14:schemeClr w14:val="tx1"/>
                  </w14:solidFill>
                </w14:textFill>
              </w:rPr>
              <w:t>职务</w:t>
            </w:r>
          </w:p>
        </w:tc>
        <w:tc>
          <w:tcPr>
            <w:tcW w:w="1134" w:type="dxa"/>
            <w:tcBorders>
              <w:top w:val="single" w:color="auto" w:sz="12" w:space="0"/>
              <w:bottom w:val="double" w:color="auto" w:sz="6" w:space="0"/>
            </w:tcBorders>
            <w:vAlign w:val="center"/>
          </w:tcPr>
          <w:p w14:paraId="70F93147">
            <w:pPr>
              <w:pStyle w:val="16"/>
              <w:keepNext/>
              <w:spacing w:line="440" w:lineRule="exact"/>
              <w:ind w:left="63" w:right="63"/>
              <w:rPr>
                <w:rFonts w:ascii="宋体" w:hAnsi="宋体"/>
                <w:color w:val="000000" w:themeColor="text1"/>
                <w:kern w:val="2"/>
                <w:szCs w:val="30"/>
                <w14:textFill>
                  <w14:solidFill>
                    <w14:schemeClr w14:val="tx1"/>
                  </w14:solidFill>
                </w14:textFill>
              </w:rPr>
            </w:pPr>
            <w:r>
              <w:rPr>
                <w:rFonts w:ascii="宋体" w:hAnsi="宋体"/>
                <w:color w:val="000000" w:themeColor="text1"/>
                <w:kern w:val="2"/>
                <w:szCs w:val="30"/>
                <w14:textFill>
                  <w14:solidFill>
                    <w14:schemeClr w14:val="tx1"/>
                  </w14:solidFill>
                </w14:textFill>
              </w:rPr>
              <w:t>职称</w:t>
            </w:r>
          </w:p>
        </w:tc>
        <w:tc>
          <w:tcPr>
            <w:tcW w:w="4252" w:type="dxa"/>
            <w:tcBorders>
              <w:top w:val="single" w:color="auto" w:sz="12" w:space="0"/>
              <w:bottom w:val="double" w:color="auto" w:sz="6" w:space="0"/>
            </w:tcBorders>
            <w:vAlign w:val="center"/>
          </w:tcPr>
          <w:p w14:paraId="22E461C9">
            <w:pPr>
              <w:pStyle w:val="16"/>
              <w:keepNext/>
              <w:spacing w:line="440" w:lineRule="exact"/>
              <w:ind w:left="63" w:right="63"/>
              <w:rPr>
                <w:rFonts w:ascii="宋体" w:hAnsi="宋体"/>
                <w:color w:val="000000" w:themeColor="text1"/>
                <w:kern w:val="2"/>
                <w:szCs w:val="30"/>
                <w14:textFill>
                  <w14:solidFill>
                    <w14:schemeClr w14:val="tx1"/>
                  </w14:solidFill>
                </w14:textFill>
              </w:rPr>
            </w:pPr>
            <w:r>
              <w:rPr>
                <w:rFonts w:ascii="宋体" w:hAnsi="宋体"/>
                <w:color w:val="000000" w:themeColor="text1"/>
                <w:kern w:val="2"/>
                <w:szCs w:val="30"/>
                <w14:textFill>
                  <w14:solidFill>
                    <w14:schemeClr w14:val="tx1"/>
                  </w14:solidFill>
                </w14:textFill>
              </w:rPr>
              <w:t>主要资历、经验及承担过的项目</w:t>
            </w:r>
          </w:p>
        </w:tc>
      </w:tr>
      <w:tr w14:paraId="75940F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3A08904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一、总部人员</w:t>
            </w:r>
          </w:p>
        </w:tc>
      </w:tr>
      <w:tr w14:paraId="4CADA48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C205FF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项目主管</w:t>
            </w:r>
          </w:p>
        </w:tc>
        <w:tc>
          <w:tcPr>
            <w:tcW w:w="1418" w:type="dxa"/>
            <w:tcBorders>
              <w:top w:val="nil"/>
            </w:tcBorders>
            <w:vAlign w:val="center"/>
          </w:tcPr>
          <w:p w14:paraId="110EC71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tcBorders>
              <w:top w:val="nil"/>
            </w:tcBorders>
            <w:vAlign w:val="center"/>
          </w:tcPr>
          <w:p w14:paraId="7EF7E1C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tcBorders>
              <w:top w:val="nil"/>
            </w:tcBorders>
            <w:vAlign w:val="center"/>
          </w:tcPr>
          <w:p w14:paraId="069E03F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tcBorders>
              <w:top w:val="nil"/>
            </w:tcBorders>
            <w:vAlign w:val="center"/>
          </w:tcPr>
          <w:p w14:paraId="7709C3E8">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B56CA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C8E861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vAlign w:val="center"/>
          </w:tcPr>
          <w:p w14:paraId="42BA3A0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7D500D8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0324EE9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3AE1967B">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0FA8CE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B92054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其他人员</w:t>
            </w:r>
          </w:p>
        </w:tc>
        <w:tc>
          <w:tcPr>
            <w:tcW w:w="1418" w:type="dxa"/>
            <w:vAlign w:val="center"/>
          </w:tcPr>
          <w:p w14:paraId="3BE1433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4BDD822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0BD804B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7938B5F1">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81025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5A14FF4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vAlign w:val="center"/>
          </w:tcPr>
          <w:p w14:paraId="72921E7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6AA75C4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318BC75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5A6A38C1">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80CEA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5E6DDEE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二、现场人员</w:t>
            </w:r>
          </w:p>
        </w:tc>
      </w:tr>
      <w:tr w14:paraId="3EAA7B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29E84D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项目经理</w:t>
            </w:r>
          </w:p>
        </w:tc>
        <w:tc>
          <w:tcPr>
            <w:tcW w:w="1418" w:type="dxa"/>
            <w:vAlign w:val="center"/>
          </w:tcPr>
          <w:p w14:paraId="765AB25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1077F6E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6548440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206786C8">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212F39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4722D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项目副经理</w:t>
            </w:r>
          </w:p>
        </w:tc>
        <w:tc>
          <w:tcPr>
            <w:tcW w:w="1418" w:type="dxa"/>
            <w:vAlign w:val="center"/>
          </w:tcPr>
          <w:p w14:paraId="1D113F3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39B407E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4A9F6B8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60EDE320">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4626BC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BCAA03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技术负责人</w:t>
            </w:r>
          </w:p>
        </w:tc>
        <w:tc>
          <w:tcPr>
            <w:tcW w:w="1418" w:type="dxa"/>
            <w:vAlign w:val="center"/>
          </w:tcPr>
          <w:p w14:paraId="1770E67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6145916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44E8357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1B592680">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68EBF1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717060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合同管理</w:t>
            </w:r>
          </w:p>
        </w:tc>
        <w:tc>
          <w:tcPr>
            <w:tcW w:w="1418" w:type="dxa"/>
            <w:vAlign w:val="center"/>
          </w:tcPr>
          <w:p w14:paraId="294EF40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54F3FD2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2F43370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40A3D9EB">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5FF57A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E94E42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施工管理</w:t>
            </w:r>
          </w:p>
        </w:tc>
        <w:tc>
          <w:tcPr>
            <w:tcW w:w="1418" w:type="dxa"/>
            <w:vAlign w:val="center"/>
          </w:tcPr>
          <w:p w14:paraId="7101631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5D4348A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79477D6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46A26B26">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4258A3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76A723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材料管理</w:t>
            </w:r>
          </w:p>
        </w:tc>
        <w:tc>
          <w:tcPr>
            <w:tcW w:w="1418" w:type="dxa"/>
            <w:vAlign w:val="center"/>
          </w:tcPr>
          <w:p w14:paraId="79ABCA3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4E7AA3C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51EB1CA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43B643ED">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0CE50E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D760BA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质量管理</w:t>
            </w:r>
          </w:p>
        </w:tc>
        <w:tc>
          <w:tcPr>
            <w:tcW w:w="1418" w:type="dxa"/>
            <w:vAlign w:val="center"/>
          </w:tcPr>
          <w:p w14:paraId="14A95B5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4021B40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68045CD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0A698376">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1AD70E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A7A516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安全管理</w:t>
            </w:r>
          </w:p>
        </w:tc>
        <w:tc>
          <w:tcPr>
            <w:tcW w:w="1418" w:type="dxa"/>
            <w:vAlign w:val="center"/>
          </w:tcPr>
          <w:p w14:paraId="51916B7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52D514B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538891D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394EB087">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10F789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74D537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财务管理</w:t>
            </w:r>
          </w:p>
        </w:tc>
        <w:tc>
          <w:tcPr>
            <w:tcW w:w="1418" w:type="dxa"/>
            <w:vAlign w:val="center"/>
          </w:tcPr>
          <w:p w14:paraId="7C885A8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16065D9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0D4039D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73F8202E">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0CFBEF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3650EB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标准管理</w:t>
            </w:r>
          </w:p>
        </w:tc>
        <w:tc>
          <w:tcPr>
            <w:tcW w:w="1418" w:type="dxa"/>
            <w:vAlign w:val="center"/>
          </w:tcPr>
          <w:p w14:paraId="56F32FB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4A797AA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316270D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288EE535">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B30CC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822EBF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机械管理</w:t>
            </w:r>
          </w:p>
        </w:tc>
        <w:tc>
          <w:tcPr>
            <w:tcW w:w="1418" w:type="dxa"/>
            <w:vAlign w:val="center"/>
          </w:tcPr>
          <w:p w14:paraId="2EC41FF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350B963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188E47A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256051DA">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649A5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A2D753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劳务管理</w:t>
            </w:r>
          </w:p>
        </w:tc>
        <w:tc>
          <w:tcPr>
            <w:tcW w:w="1418" w:type="dxa"/>
            <w:vAlign w:val="center"/>
          </w:tcPr>
          <w:p w14:paraId="5CF6A75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7D7F28D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124FD28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1B4D0F1E">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09242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262C52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资料管理</w:t>
            </w:r>
          </w:p>
        </w:tc>
        <w:tc>
          <w:tcPr>
            <w:tcW w:w="1418" w:type="dxa"/>
            <w:vAlign w:val="center"/>
          </w:tcPr>
          <w:p w14:paraId="223282F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06D846F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3226F913">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1C2E201A">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5356CC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761CD63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其他人员</w:t>
            </w:r>
          </w:p>
        </w:tc>
        <w:tc>
          <w:tcPr>
            <w:tcW w:w="1418" w:type="dxa"/>
            <w:vAlign w:val="center"/>
          </w:tcPr>
          <w:p w14:paraId="4B527DA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36AA635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41B15F3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4C9D8DD4">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02FFE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43E6324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Borders>
              <w:bottom w:val="nil"/>
            </w:tcBorders>
            <w:vAlign w:val="center"/>
          </w:tcPr>
          <w:p w14:paraId="712399C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tcBorders>
              <w:bottom w:val="nil"/>
            </w:tcBorders>
            <w:vAlign w:val="center"/>
          </w:tcPr>
          <w:p w14:paraId="7DCEFB7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tcBorders>
              <w:bottom w:val="nil"/>
            </w:tcBorders>
            <w:vAlign w:val="center"/>
          </w:tcPr>
          <w:p w14:paraId="08913F6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tcBorders>
              <w:bottom w:val="nil"/>
            </w:tcBorders>
            <w:vAlign w:val="center"/>
          </w:tcPr>
          <w:p w14:paraId="4738FC33">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A1984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C417E6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vAlign w:val="center"/>
          </w:tcPr>
          <w:p w14:paraId="779A522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764DEF2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26DC1D9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6568A1F1">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6792BD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FF176B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vAlign w:val="center"/>
          </w:tcPr>
          <w:p w14:paraId="2D640A6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71EF9C3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10487D1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47F39B1F">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078967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0389C92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vAlign w:val="center"/>
          </w:tcPr>
          <w:p w14:paraId="57F7CF0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58CD961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620478D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609D2460">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44988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3D4B873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Borders>
              <w:bottom w:val="single" w:color="auto" w:sz="12" w:space="0"/>
            </w:tcBorders>
            <w:vAlign w:val="center"/>
          </w:tcPr>
          <w:p w14:paraId="158F88A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tcBorders>
              <w:bottom w:val="single" w:color="auto" w:sz="12" w:space="0"/>
            </w:tcBorders>
            <w:vAlign w:val="center"/>
          </w:tcPr>
          <w:p w14:paraId="3E7A143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tcBorders>
              <w:bottom w:val="single" w:color="auto" w:sz="12" w:space="0"/>
            </w:tcBorders>
            <w:vAlign w:val="center"/>
          </w:tcPr>
          <w:p w14:paraId="6C660F2A">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tcBorders>
              <w:bottom w:val="single" w:color="auto" w:sz="12" w:space="0"/>
            </w:tcBorders>
            <w:vAlign w:val="center"/>
          </w:tcPr>
          <w:p w14:paraId="2260BD43">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bl>
    <w:p w14:paraId="440D7724">
      <w:pPr>
        <w:spacing w:line="440" w:lineRule="exac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br w:type="page"/>
      </w:r>
      <w:r>
        <w:rPr>
          <w:rFonts w:hint="eastAsia" w:ascii="宋体" w:hAnsi="宋体" w:cs="黑体"/>
          <w:color w:val="000000" w:themeColor="text1"/>
          <w:sz w:val="24"/>
          <w:szCs w:val="32"/>
          <w14:textFill>
            <w14:solidFill>
              <w14:schemeClr w14:val="tx1"/>
            </w14:solidFill>
          </w14:textFill>
        </w:rPr>
        <w:t>附件7</w:t>
      </w:r>
    </w:p>
    <w:p w14:paraId="53A08AB3">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分包人主要施工管理人员表</w:t>
      </w:r>
    </w:p>
    <w:tbl>
      <w:tblPr>
        <w:tblStyle w:val="28"/>
        <w:tblW w:w="98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06CD02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50F5E11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名    称</w:t>
            </w:r>
          </w:p>
        </w:tc>
        <w:tc>
          <w:tcPr>
            <w:tcW w:w="1418" w:type="dxa"/>
            <w:tcBorders>
              <w:top w:val="single" w:color="auto" w:sz="12" w:space="0"/>
              <w:bottom w:val="double" w:color="auto" w:sz="6" w:space="0"/>
            </w:tcBorders>
            <w:vAlign w:val="center"/>
          </w:tcPr>
          <w:p w14:paraId="03C86CE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姓名</w:t>
            </w:r>
          </w:p>
        </w:tc>
        <w:tc>
          <w:tcPr>
            <w:tcW w:w="1134" w:type="dxa"/>
            <w:tcBorders>
              <w:top w:val="single" w:color="auto" w:sz="12" w:space="0"/>
              <w:bottom w:val="double" w:color="auto" w:sz="6" w:space="0"/>
            </w:tcBorders>
            <w:vAlign w:val="center"/>
          </w:tcPr>
          <w:p w14:paraId="3B06629C">
            <w:pPr>
              <w:pStyle w:val="16"/>
              <w:keepNext/>
              <w:spacing w:line="440" w:lineRule="exact"/>
              <w:ind w:left="63" w:right="63"/>
              <w:rPr>
                <w:rFonts w:ascii="宋体" w:hAnsi="宋体"/>
                <w:color w:val="000000" w:themeColor="text1"/>
                <w:kern w:val="2"/>
                <w:szCs w:val="30"/>
                <w14:textFill>
                  <w14:solidFill>
                    <w14:schemeClr w14:val="tx1"/>
                  </w14:solidFill>
                </w14:textFill>
              </w:rPr>
            </w:pPr>
            <w:r>
              <w:rPr>
                <w:rFonts w:ascii="宋体" w:hAnsi="宋体"/>
                <w:color w:val="000000" w:themeColor="text1"/>
                <w:kern w:val="2"/>
                <w:szCs w:val="30"/>
                <w14:textFill>
                  <w14:solidFill>
                    <w14:schemeClr w14:val="tx1"/>
                  </w14:solidFill>
                </w14:textFill>
              </w:rPr>
              <w:t>职务</w:t>
            </w:r>
          </w:p>
        </w:tc>
        <w:tc>
          <w:tcPr>
            <w:tcW w:w="1134" w:type="dxa"/>
            <w:tcBorders>
              <w:top w:val="single" w:color="auto" w:sz="12" w:space="0"/>
              <w:bottom w:val="double" w:color="auto" w:sz="6" w:space="0"/>
            </w:tcBorders>
            <w:vAlign w:val="center"/>
          </w:tcPr>
          <w:p w14:paraId="7F01D734">
            <w:pPr>
              <w:pStyle w:val="16"/>
              <w:keepNext/>
              <w:spacing w:line="440" w:lineRule="exact"/>
              <w:ind w:left="63" w:right="63"/>
              <w:rPr>
                <w:rFonts w:ascii="宋体" w:hAnsi="宋体"/>
                <w:color w:val="000000" w:themeColor="text1"/>
                <w:kern w:val="2"/>
                <w:szCs w:val="30"/>
                <w14:textFill>
                  <w14:solidFill>
                    <w14:schemeClr w14:val="tx1"/>
                  </w14:solidFill>
                </w14:textFill>
              </w:rPr>
            </w:pPr>
            <w:r>
              <w:rPr>
                <w:rFonts w:ascii="宋体" w:hAnsi="宋体"/>
                <w:color w:val="000000" w:themeColor="text1"/>
                <w:kern w:val="2"/>
                <w:szCs w:val="30"/>
                <w14:textFill>
                  <w14:solidFill>
                    <w14:schemeClr w14:val="tx1"/>
                  </w14:solidFill>
                </w14:textFill>
              </w:rPr>
              <w:t>职称</w:t>
            </w:r>
          </w:p>
        </w:tc>
        <w:tc>
          <w:tcPr>
            <w:tcW w:w="4252" w:type="dxa"/>
            <w:tcBorders>
              <w:top w:val="single" w:color="auto" w:sz="12" w:space="0"/>
              <w:bottom w:val="double" w:color="auto" w:sz="6" w:space="0"/>
            </w:tcBorders>
            <w:vAlign w:val="center"/>
          </w:tcPr>
          <w:p w14:paraId="04A9F29C">
            <w:pPr>
              <w:pStyle w:val="16"/>
              <w:keepNext/>
              <w:spacing w:line="440" w:lineRule="exact"/>
              <w:ind w:left="63" w:right="63"/>
              <w:rPr>
                <w:rFonts w:ascii="宋体" w:hAnsi="宋体"/>
                <w:color w:val="000000" w:themeColor="text1"/>
                <w:kern w:val="2"/>
                <w:szCs w:val="30"/>
                <w14:textFill>
                  <w14:solidFill>
                    <w14:schemeClr w14:val="tx1"/>
                  </w14:solidFill>
                </w14:textFill>
              </w:rPr>
            </w:pPr>
            <w:r>
              <w:rPr>
                <w:rFonts w:ascii="宋体" w:hAnsi="宋体"/>
                <w:color w:val="000000" w:themeColor="text1"/>
                <w:kern w:val="2"/>
                <w:szCs w:val="30"/>
                <w14:textFill>
                  <w14:solidFill>
                    <w14:schemeClr w14:val="tx1"/>
                  </w14:solidFill>
                </w14:textFill>
              </w:rPr>
              <w:t>主要资历、经验及承担过的项目</w:t>
            </w:r>
          </w:p>
        </w:tc>
      </w:tr>
      <w:tr w14:paraId="725E9F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01F6C13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一、总部人员</w:t>
            </w:r>
          </w:p>
        </w:tc>
      </w:tr>
      <w:tr w14:paraId="31593B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3321EF5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项目主管</w:t>
            </w:r>
          </w:p>
        </w:tc>
        <w:tc>
          <w:tcPr>
            <w:tcW w:w="1418" w:type="dxa"/>
            <w:tcBorders>
              <w:top w:val="nil"/>
            </w:tcBorders>
            <w:vAlign w:val="center"/>
          </w:tcPr>
          <w:p w14:paraId="37E7046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tcBorders>
              <w:top w:val="nil"/>
            </w:tcBorders>
            <w:vAlign w:val="center"/>
          </w:tcPr>
          <w:p w14:paraId="34A1385D">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tcBorders>
              <w:top w:val="nil"/>
            </w:tcBorders>
            <w:vAlign w:val="center"/>
          </w:tcPr>
          <w:p w14:paraId="27FC2A2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tcBorders>
              <w:top w:val="nil"/>
            </w:tcBorders>
            <w:vAlign w:val="center"/>
          </w:tcPr>
          <w:p w14:paraId="0FEA7A0F">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9F93F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473A9AD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vAlign w:val="center"/>
          </w:tcPr>
          <w:p w14:paraId="2E530A6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42C2617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3621E27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4CFA50C4">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2A5E85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9F2CE0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其他人员</w:t>
            </w:r>
          </w:p>
        </w:tc>
        <w:tc>
          <w:tcPr>
            <w:tcW w:w="1418" w:type="dxa"/>
            <w:vAlign w:val="center"/>
          </w:tcPr>
          <w:p w14:paraId="62D5982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373B45A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77EBA23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25BBA2BA">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7177A1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7390C9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vAlign w:val="center"/>
          </w:tcPr>
          <w:p w14:paraId="32A5B36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19E17F5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7ADF1A8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5C09726D">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02EBA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157121E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二、现场人员</w:t>
            </w:r>
          </w:p>
        </w:tc>
      </w:tr>
      <w:tr w14:paraId="778F9F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BB90F9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项目经理</w:t>
            </w:r>
          </w:p>
        </w:tc>
        <w:tc>
          <w:tcPr>
            <w:tcW w:w="1418" w:type="dxa"/>
            <w:vAlign w:val="center"/>
          </w:tcPr>
          <w:p w14:paraId="5598F54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6807105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720BC2F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48441969">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455011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DEEB6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项目副经理</w:t>
            </w:r>
          </w:p>
        </w:tc>
        <w:tc>
          <w:tcPr>
            <w:tcW w:w="1418" w:type="dxa"/>
            <w:vAlign w:val="center"/>
          </w:tcPr>
          <w:p w14:paraId="11F951F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24C952A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5A73E0A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2A7E2B4E">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64DF6C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BBC1DE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技术负责人</w:t>
            </w:r>
          </w:p>
        </w:tc>
        <w:tc>
          <w:tcPr>
            <w:tcW w:w="1418" w:type="dxa"/>
            <w:vAlign w:val="center"/>
          </w:tcPr>
          <w:p w14:paraId="6AD364C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4ACD316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3CED2ED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722A893A">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0451E4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A5EFD7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合同管理</w:t>
            </w:r>
          </w:p>
        </w:tc>
        <w:tc>
          <w:tcPr>
            <w:tcW w:w="1418" w:type="dxa"/>
            <w:vAlign w:val="center"/>
          </w:tcPr>
          <w:p w14:paraId="592ED97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755A2B4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1F3C578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68F7C51D">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180860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4AEF2C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施工管理</w:t>
            </w:r>
          </w:p>
        </w:tc>
        <w:tc>
          <w:tcPr>
            <w:tcW w:w="1418" w:type="dxa"/>
            <w:vAlign w:val="center"/>
          </w:tcPr>
          <w:p w14:paraId="56A4694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7C66957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0681C311">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3B2510F5">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5E17A5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5E314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材料管理</w:t>
            </w:r>
          </w:p>
        </w:tc>
        <w:tc>
          <w:tcPr>
            <w:tcW w:w="1418" w:type="dxa"/>
            <w:vAlign w:val="center"/>
          </w:tcPr>
          <w:p w14:paraId="7C96557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2E590DF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297AB4C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6376C2AF">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2B84A9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C42030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质量管理</w:t>
            </w:r>
          </w:p>
        </w:tc>
        <w:tc>
          <w:tcPr>
            <w:tcW w:w="1418" w:type="dxa"/>
            <w:vAlign w:val="center"/>
          </w:tcPr>
          <w:p w14:paraId="1B7AAF7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4CA9F0C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2E86AA8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7F48EBA2">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6ABDD1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B78B21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安全管理</w:t>
            </w:r>
          </w:p>
        </w:tc>
        <w:tc>
          <w:tcPr>
            <w:tcW w:w="1418" w:type="dxa"/>
            <w:vAlign w:val="center"/>
          </w:tcPr>
          <w:p w14:paraId="0055A60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70D01E4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7B27918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380674DB">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B752E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26499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财务管理</w:t>
            </w:r>
          </w:p>
        </w:tc>
        <w:tc>
          <w:tcPr>
            <w:tcW w:w="1418" w:type="dxa"/>
            <w:vAlign w:val="center"/>
          </w:tcPr>
          <w:p w14:paraId="4AE1EE7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5885FF1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279796C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7D803B70">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8FF6C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978486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标准管理</w:t>
            </w:r>
          </w:p>
        </w:tc>
        <w:tc>
          <w:tcPr>
            <w:tcW w:w="1418" w:type="dxa"/>
            <w:vAlign w:val="center"/>
          </w:tcPr>
          <w:p w14:paraId="367DDCF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15932296">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48A29E12">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2197009E">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1F4055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9EC0F4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机械管理</w:t>
            </w:r>
          </w:p>
        </w:tc>
        <w:tc>
          <w:tcPr>
            <w:tcW w:w="1418" w:type="dxa"/>
            <w:vAlign w:val="center"/>
          </w:tcPr>
          <w:p w14:paraId="3012460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48150F00">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6AED3D0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2A4B2111">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3D06F3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22978E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劳务管理</w:t>
            </w:r>
          </w:p>
        </w:tc>
        <w:tc>
          <w:tcPr>
            <w:tcW w:w="1418" w:type="dxa"/>
            <w:vAlign w:val="center"/>
          </w:tcPr>
          <w:p w14:paraId="0C0F724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479F26F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3FA7C70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228AAC76">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5FF82A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EBFE2C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hint="eastAsia" w:ascii="宋体" w:hAnsi="宋体"/>
                <w:color w:val="000000" w:themeColor="text1"/>
                <w:kern w:val="2"/>
                <w:sz w:val="22"/>
                <w:szCs w:val="30"/>
                <w14:textFill>
                  <w14:solidFill>
                    <w14:schemeClr w14:val="tx1"/>
                  </w14:solidFill>
                </w14:textFill>
              </w:rPr>
              <w:t>资料管理</w:t>
            </w:r>
          </w:p>
        </w:tc>
        <w:tc>
          <w:tcPr>
            <w:tcW w:w="1418" w:type="dxa"/>
            <w:vAlign w:val="center"/>
          </w:tcPr>
          <w:p w14:paraId="326BFAC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73819D1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4E7500B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79A8E8CE">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00E7C5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4E9115D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其他人员</w:t>
            </w:r>
          </w:p>
        </w:tc>
        <w:tc>
          <w:tcPr>
            <w:tcW w:w="1418" w:type="dxa"/>
            <w:vAlign w:val="center"/>
          </w:tcPr>
          <w:p w14:paraId="2F006DE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3E849CEB">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0084BC1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7F30743A">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2BA00B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6A0762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Borders>
              <w:bottom w:val="nil"/>
            </w:tcBorders>
            <w:vAlign w:val="center"/>
          </w:tcPr>
          <w:p w14:paraId="64E18F5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tcBorders>
              <w:bottom w:val="nil"/>
            </w:tcBorders>
            <w:vAlign w:val="center"/>
          </w:tcPr>
          <w:p w14:paraId="3C449B07">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tcBorders>
              <w:bottom w:val="nil"/>
            </w:tcBorders>
            <w:vAlign w:val="center"/>
          </w:tcPr>
          <w:p w14:paraId="2EFC2BA5">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tcBorders>
              <w:bottom w:val="nil"/>
            </w:tcBorders>
            <w:vAlign w:val="center"/>
          </w:tcPr>
          <w:p w14:paraId="1B231317">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559B35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5D41C2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vAlign w:val="center"/>
          </w:tcPr>
          <w:p w14:paraId="2548F3B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7ABB5EE4">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01344AB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4E23FC84">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09CABD0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E55351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vAlign w:val="center"/>
          </w:tcPr>
          <w:p w14:paraId="65E21FA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2EE505E9">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232096FC">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344D0522">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43942F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41C34B1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vAlign w:val="center"/>
          </w:tcPr>
          <w:p w14:paraId="7C24104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vAlign w:val="center"/>
          </w:tcPr>
          <w:p w14:paraId="0E92A2E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vAlign w:val="center"/>
          </w:tcPr>
          <w:p w14:paraId="2A816498">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vAlign w:val="center"/>
          </w:tcPr>
          <w:p w14:paraId="40FCF6C8">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r w14:paraId="6B3871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26E18C2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Borders>
              <w:bottom w:val="single" w:color="auto" w:sz="12" w:space="0"/>
            </w:tcBorders>
            <w:vAlign w:val="center"/>
          </w:tcPr>
          <w:p w14:paraId="35C9F18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134" w:type="dxa"/>
            <w:tcBorders>
              <w:bottom w:val="single" w:color="auto" w:sz="12" w:space="0"/>
            </w:tcBorders>
            <w:vAlign w:val="center"/>
          </w:tcPr>
          <w:p w14:paraId="1F44C26F">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1134" w:type="dxa"/>
            <w:tcBorders>
              <w:bottom w:val="single" w:color="auto" w:sz="12" w:space="0"/>
            </w:tcBorders>
            <w:vAlign w:val="center"/>
          </w:tcPr>
          <w:p w14:paraId="2BE3DABE">
            <w:pPr>
              <w:pStyle w:val="16"/>
              <w:keepNext/>
              <w:spacing w:line="440" w:lineRule="exact"/>
              <w:ind w:left="63" w:right="63"/>
              <w:rPr>
                <w:rFonts w:ascii="宋体" w:hAnsi="宋体"/>
                <w:color w:val="000000" w:themeColor="text1"/>
                <w:kern w:val="2"/>
                <w:szCs w:val="30"/>
                <w14:textFill>
                  <w14:solidFill>
                    <w14:schemeClr w14:val="tx1"/>
                  </w14:solidFill>
                </w14:textFill>
              </w:rPr>
            </w:pPr>
          </w:p>
        </w:tc>
        <w:tc>
          <w:tcPr>
            <w:tcW w:w="4252" w:type="dxa"/>
            <w:tcBorders>
              <w:bottom w:val="single" w:color="auto" w:sz="12" w:space="0"/>
            </w:tcBorders>
            <w:vAlign w:val="center"/>
          </w:tcPr>
          <w:p w14:paraId="5F4B6A43">
            <w:pPr>
              <w:pStyle w:val="16"/>
              <w:keepNext/>
              <w:spacing w:line="440" w:lineRule="exact"/>
              <w:ind w:left="63" w:right="63"/>
              <w:rPr>
                <w:rFonts w:ascii="宋体" w:hAnsi="宋体"/>
                <w:color w:val="000000" w:themeColor="text1"/>
                <w:kern w:val="2"/>
                <w:szCs w:val="30"/>
                <w14:textFill>
                  <w14:solidFill>
                    <w14:schemeClr w14:val="tx1"/>
                  </w14:solidFill>
                </w14:textFill>
              </w:rPr>
            </w:pPr>
          </w:p>
        </w:tc>
      </w:tr>
    </w:tbl>
    <w:p w14:paraId="6F753035">
      <w:pPr>
        <w:spacing w:line="440" w:lineRule="exac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br w:type="page"/>
      </w:r>
      <w:r>
        <w:rPr>
          <w:rFonts w:hint="eastAsia" w:ascii="宋体" w:hAnsi="宋体" w:cs="黑体"/>
          <w:color w:val="000000" w:themeColor="text1"/>
          <w:sz w:val="24"/>
          <w:szCs w:val="32"/>
          <w14:textFill>
            <w14:solidFill>
              <w14:schemeClr w14:val="tx1"/>
            </w14:solidFill>
          </w14:textFill>
        </w:rPr>
        <w:t>附件8</w:t>
      </w:r>
    </w:p>
    <w:p w14:paraId="7DC74415">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履约担保</w:t>
      </w:r>
    </w:p>
    <w:p w14:paraId="608BC9F2">
      <w:pPr>
        <w:spacing w:line="440" w:lineRule="exac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14:textFill>
            <w14:solidFill>
              <w14:schemeClr w14:val="tx1"/>
            </w14:solidFill>
          </w14:textFill>
        </w:rPr>
        <w:t>（发包人名称）：</w:t>
      </w:r>
    </w:p>
    <w:p w14:paraId="6DCF2D8A">
      <w:pPr>
        <w:spacing w:line="440" w:lineRule="exact"/>
        <w:rPr>
          <w:rFonts w:ascii="宋体" w:hAnsi="宋体"/>
          <w:color w:val="000000" w:themeColor="text1"/>
          <w:sz w:val="24"/>
          <w:szCs w:val="30"/>
          <w14:textFill>
            <w14:solidFill>
              <w14:schemeClr w14:val="tx1"/>
            </w14:solidFill>
          </w14:textFill>
        </w:rPr>
      </w:pPr>
    </w:p>
    <w:p w14:paraId="4013052A">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鉴于</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（发包人名称，以下简称“发包人”）与</w:t>
      </w:r>
    </w:p>
    <w:p w14:paraId="34B9E3D1">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（承包人名称）（以下称“承包人”）于</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月</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日就</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（工程名称）施工及有关事项协商一致共同签订《建设工程施工合同》。我方愿意无条件地、不可撤销地就承包人履行与你方签订的合同，向你方提供连带责任担保。 </w:t>
      </w:r>
    </w:p>
    <w:p w14:paraId="5A658E4F">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1.担保金额人民币（大写）</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元（¥</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05114E2F">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2.担保有效期自你方与承包人签订的合同生效之日起至你方签发或应签发工程接收证书之日止。</w:t>
      </w:r>
    </w:p>
    <w:p w14:paraId="03F1209E">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3.在本担保有效期内，因承包人违反合同约定的义务给你方造成经济损失时，我方在收到你方以书面形式提出的在担保金额内的赔偿要求后，在7天内无条件支付。</w:t>
      </w:r>
    </w:p>
    <w:p w14:paraId="547D0212">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4.你方和承包人按合同约定变更合同时，我方承担本担保规定的义务不变。</w:t>
      </w:r>
    </w:p>
    <w:p w14:paraId="5AC560FA">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5.因本保函发生的纠纷，可由双方协商解决，协商不成的，任何一方均可提请</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仲裁委员会仲裁。</w:t>
      </w:r>
    </w:p>
    <w:p w14:paraId="61263AFF">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6.本保函自我方法定代表人（或其授权代理人）签字并加盖公章之日起生效。</w:t>
      </w:r>
    </w:p>
    <w:p w14:paraId="12B24339">
      <w:pPr>
        <w:spacing w:line="360" w:lineRule="auto"/>
        <w:rPr>
          <w:rFonts w:ascii="宋体" w:hAnsi="宋体"/>
          <w:color w:val="000000" w:themeColor="text1"/>
          <w:sz w:val="24"/>
          <w:szCs w:val="30"/>
          <w14:textFill>
            <w14:solidFill>
              <w14:schemeClr w14:val="tx1"/>
            </w14:solidFill>
          </w14:textFill>
        </w:rPr>
      </w:pPr>
    </w:p>
    <w:p w14:paraId="5BC99B7A">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担 保 人：</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（盖单位章）</w:t>
      </w:r>
    </w:p>
    <w:p w14:paraId="605E72E2">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法定代表人或其委托代理人：</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（签字）</w:t>
      </w:r>
    </w:p>
    <w:p w14:paraId="226A2098">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地    址：</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5C712E8D">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xml:space="preserve">邮政编码：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7D13AE10">
      <w:pPr>
        <w:spacing w:line="360" w:lineRule="auto"/>
        <w:rPr>
          <w:rFonts w:ascii="宋体" w:hAnsi="宋体"/>
          <w:color w:val="000000" w:themeColor="text1"/>
          <w:sz w:val="24"/>
          <w:szCs w:val="30"/>
          <w:u w:val="single"/>
          <w14:textFill>
            <w14:solidFill>
              <w14:schemeClr w14:val="tx1"/>
            </w14:solidFill>
          </w14:textFill>
        </w:rPr>
      </w:pPr>
      <w:r>
        <w:rPr>
          <w:rFonts w:ascii="宋体" w:hAnsi="宋体"/>
          <w:color w:val="000000" w:themeColor="text1"/>
          <w:sz w:val="24"/>
          <w:szCs w:val="30"/>
          <w14:textFill>
            <w14:solidFill>
              <w14:schemeClr w14:val="tx1"/>
            </w14:solidFill>
          </w14:textFill>
        </w:rPr>
        <w:t>电    话：</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770989A8">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传    真：</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43F2D6F6">
      <w:pPr>
        <w:spacing w:line="360" w:lineRule="auto"/>
        <w:jc w:val="left"/>
        <w:rPr>
          <w:rFonts w:ascii="宋体" w:hAnsi="宋体"/>
          <w:color w:val="000000" w:themeColor="text1"/>
          <w:sz w:val="24"/>
          <w:szCs w:val="30"/>
          <w:u w:val="single"/>
          <w14:textFill>
            <w14:solidFill>
              <w14:schemeClr w14:val="tx1"/>
            </w14:solidFill>
          </w14:textFill>
        </w:rPr>
      </w:pPr>
    </w:p>
    <w:p w14:paraId="562D689E">
      <w:pPr>
        <w:spacing w:line="360" w:lineRule="auto"/>
        <w:ind w:left="1519" w:hanging="1519" w:hangingChars="633"/>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xml:space="preserve">             </w:t>
      </w:r>
      <w:r>
        <w:rPr>
          <w:rFonts w:hint="eastAsia"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月</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日</w:t>
      </w:r>
    </w:p>
    <w:p w14:paraId="271359A8">
      <w:pPr>
        <w:spacing w:line="360" w:lineRule="auto"/>
        <w:ind w:left="1519" w:hanging="1519" w:hangingChars="633"/>
        <w:rPr>
          <w:rFonts w:ascii="宋体" w:hAnsi="宋体"/>
          <w:color w:val="000000" w:themeColor="text1"/>
          <w:sz w:val="24"/>
          <w:szCs w:val="30"/>
          <w14:textFill>
            <w14:solidFill>
              <w14:schemeClr w14:val="tx1"/>
            </w14:solidFill>
          </w14:textFill>
        </w:rPr>
      </w:pPr>
    </w:p>
    <w:p w14:paraId="2C6336DB">
      <w:pPr>
        <w:spacing w:line="360" w:lineRule="auto"/>
        <w:ind w:left="1519" w:hanging="1519" w:hangingChars="633"/>
        <w:rPr>
          <w:rFonts w:ascii="宋体" w:hAnsi="宋体"/>
          <w:color w:val="000000" w:themeColor="text1"/>
          <w:sz w:val="24"/>
          <w:szCs w:val="30"/>
          <w14:textFill>
            <w14:solidFill>
              <w14:schemeClr w14:val="tx1"/>
            </w14:solidFill>
          </w14:textFill>
        </w:rPr>
      </w:pPr>
    </w:p>
    <w:p w14:paraId="753C4B91">
      <w:pPr>
        <w:spacing w:line="360" w:lineRule="auto"/>
        <w:ind w:left="1519" w:hanging="1519" w:hangingChars="633"/>
        <w:rPr>
          <w:rFonts w:ascii="宋体" w:hAnsi="宋体"/>
          <w:color w:val="000000" w:themeColor="text1"/>
          <w:sz w:val="24"/>
          <w:szCs w:val="30"/>
          <w14:textFill>
            <w14:solidFill>
              <w14:schemeClr w14:val="tx1"/>
            </w14:solidFill>
          </w14:textFill>
        </w:rPr>
      </w:pPr>
    </w:p>
    <w:p w14:paraId="252BFBFA">
      <w:pPr>
        <w:spacing w:line="440" w:lineRule="exact"/>
        <w:rPr>
          <w:rFonts w:ascii="宋体" w:hAnsi="宋体" w:cs="黑体"/>
          <w:color w:val="000000" w:themeColor="text1"/>
          <w:sz w:val="24"/>
          <w:szCs w:val="32"/>
          <w14:textFill>
            <w14:solidFill>
              <w14:schemeClr w14:val="tx1"/>
            </w14:solidFill>
          </w14:textFill>
        </w:rPr>
      </w:pPr>
      <w:r>
        <w:rPr>
          <w:rFonts w:ascii="宋体" w:hAnsi="宋体" w:cs="黑体"/>
          <w:color w:val="000000" w:themeColor="text1"/>
          <w:sz w:val="24"/>
          <w:szCs w:val="32"/>
          <w14:textFill>
            <w14:solidFill>
              <w14:schemeClr w14:val="tx1"/>
            </w14:solidFill>
          </w14:textFill>
        </w:rPr>
        <w:br w:type="page"/>
      </w:r>
      <w:r>
        <w:rPr>
          <w:rFonts w:hint="eastAsia" w:ascii="宋体" w:hAnsi="宋体" w:cs="黑体"/>
          <w:color w:val="000000" w:themeColor="text1"/>
          <w:sz w:val="24"/>
          <w:szCs w:val="32"/>
          <w14:textFill>
            <w14:solidFill>
              <w14:schemeClr w14:val="tx1"/>
            </w14:solidFill>
          </w14:textFill>
        </w:rPr>
        <w:t>附件9</w:t>
      </w:r>
    </w:p>
    <w:p w14:paraId="236E7ADE">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预付款担保</w:t>
      </w:r>
    </w:p>
    <w:p w14:paraId="606C5057">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 xml:space="preserve"> （发包人名称）：</w:t>
      </w:r>
    </w:p>
    <w:p w14:paraId="36531490">
      <w:pPr>
        <w:spacing w:line="360" w:lineRule="auto"/>
        <w:rPr>
          <w:rFonts w:ascii="宋体" w:hAnsi="宋体"/>
          <w:color w:val="000000" w:themeColor="text1"/>
          <w:sz w:val="24"/>
          <w:szCs w:val="30"/>
          <w14:textFill>
            <w14:solidFill>
              <w14:schemeClr w14:val="tx1"/>
            </w14:solidFill>
          </w14:textFill>
        </w:rPr>
      </w:pPr>
    </w:p>
    <w:p w14:paraId="2C48B4ED">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根据</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（承包人名称）（以下称</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承包人</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）与</w:t>
      </w:r>
    </w:p>
    <w:p w14:paraId="7C51AF0D">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（发包人名称）（以下简称</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发包人</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w:t>
      </w:r>
    </w:p>
    <w:p w14:paraId="64B58673">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于</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月</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日签订的</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（工程名称）《建设工程施工合同》，承包人按约定的金额向</w:t>
      </w:r>
      <w:r>
        <w:rPr>
          <w:rFonts w:hint="eastAsia" w:ascii="宋体" w:hAnsi="宋体"/>
          <w:color w:val="000000" w:themeColor="text1"/>
          <w:sz w:val="24"/>
          <w:szCs w:val="30"/>
          <w14:textFill>
            <w14:solidFill>
              <w14:schemeClr w14:val="tx1"/>
            </w14:solidFill>
          </w14:textFill>
        </w:rPr>
        <w:t>你方</w:t>
      </w:r>
      <w:r>
        <w:rPr>
          <w:rFonts w:ascii="宋体" w:hAnsi="宋体"/>
          <w:color w:val="000000" w:themeColor="text1"/>
          <w:sz w:val="24"/>
          <w:szCs w:val="30"/>
          <w14:textFill>
            <w14:solidFill>
              <w14:schemeClr w14:val="tx1"/>
            </w14:solidFill>
          </w14:textFill>
        </w:rPr>
        <w:t>提交一份预付款担保，即有权得到</w:t>
      </w:r>
      <w:r>
        <w:rPr>
          <w:rFonts w:hint="eastAsia" w:ascii="宋体" w:hAnsi="宋体"/>
          <w:color w:val="000000" w:themeColor="text1"/>
          <w:sz w:val="24"/>
          <w:szCs w:val="30"/>
          <w14:textFill>
            <w14:solidFill>
              <w14:schemeClr w14:val="tx1"/>
            </w14:solidFill>
          </w14:textFill>
        </w:rPr>
        <w:t>你方</w:t>
      </w:r>
      <w:r>
        <w:rPr>
          <w:rFonts w:ascii="宋体" w:hAnsi="宋体"/>
          <w:color w:val="000000" w:themeColor="text1"/>
          <w:sz w:val="24"/>
          <w:szCs w:val="30"/>
          <w14:textFill>
            <w14:solidFill>
              <w14:schemeClr w14:val="tx1"/>
            </w14:solidFill>
          </w14:textFill>
        </w:rPr>
        <w:t>支付相等金额的预付款。我方愿意就你方提供给承包人的预付款</w:t>
      </w:r>
      <w:r>
        <w:rPr>
          <w:rFonts w:hint="eastAsia" w:ascii="宋体" w:hAnsi="宋体"/>
          <w:color w:val="000000" w:themeColor="text1"/>
          <w:sz w:val="24"/>
          <w:szCs w:val="30"/>
          <w14:textFill>
            <w14:solidFill>
              <w14:schemeClr w14:val="tx1"/>
            </w14:solidFill>
          </w14:textFill>
        </w:rPr>
        <w:t>为承包人</w:t>
      </w:r>
      <w:r>
        <w:rPr>
          <w:rFonts w:ascii="宋体" w:hAnsi="宋体"/>
          <w:color w:val="000000" w:themeColor="text1"/>
          <w:sz w:val="24"/>
          <w:szCs w:val="30"/>
          <w14:textFill>
            <w14:solidFill>
              <w14:schemeClr w14:val="tx1"/>
            </w14:solidFill>
          </w14:textFill>
        </w:rPr>
        <w:t>提供连带责任担保。</w:t>
      </w:r>
    </w:p>
    <w:p w14:paraId="22F3C604">
      <w:pPr>
        <w:spacing w:line="360" w:lineRule="auto"/>
        <w:ind w:firstLine="480" w:firstLineChars="20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1.担保金额人民币（大写）</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14:textFill>
            <w14:solidFill>
              <w14:schemeClr w14:val="tx1"/>
            </w14:solidFill>
          </w14:textFill>
        </w:rPr>
        <w:t>元</w:t>
      </w:r>
      <w:r>
        <w:rPr>
          <w:rFonts w:ascii="宋体" w:hAnsi="宋体"/>
          <w:color w:val="000000" w:themeColor="text1"/>
          <w:sz w:val="24"/>
          <w:szCs w:val="30"/>
          <w14:textFill>
            <w14:solidFill>
              <w14:schemeClr w14:val="tx1"/>
            </w14:solidFill>
          </w14:textFill>
        </w:rPr>
        <w:t>（¥</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7D0051EE">
      <w:pPr>
        <w:spacing w:line="360" w:lineRule="auto"/>
        <w:ind w:firstLine="480" w:firstLineChars="20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2.担保有效期自预付款支付给承包人起生效，至你方</w:t>
      </w:r>
      <w:r>
        <w:rPr>
          <w:rFonts w:ascii="宋体" w:hAnsi="宋体"/>
          <w:color w:val="000000" w:themeColor="text1"/>
          <w:sz w:val="24"/>
          <w:szCs w:val="30"/>
          <w14:textFill>
            <w14:solidFill>
              <w14:schemeClr w14:val="tx1"/>
            </w14:solidFill>
          </w14:textFill>
        </w:rPr>
        <w:t>签发的</w:t>
      </w:r>
      <w:r>
        <w:rPr>
          <w:rFonts w:hint="eastAsia" w:ascii="宋体" w:hAnsi="宋体"/>
          <w:color w:val="000000" w:themeColor="text1"/>
          <w:sz w:val="24"/>
          <w:szCs w:val="30"/>
          <w14:textFill>
            <w14:solidFill>
              <w14:schemeClr w14:val="tx1"/>
            </w14:solidFill>
          </w14:textFill>
        </w:rPr>
        <w:t>进</w:t>
      </w:r>
      <w:r>
        <w:rPr>
          <w:rFonts w:ascii="宋体" w:hAnsi="宋体"/>
          <w:color w:val="000000" w:themeColor="text1"/>
          <w:sz w:val="24"/>
          <w:szCs w:val="30"/>
          <w14:textFill>
            <w14:solidFill>
              <w14:schemeClr w14:val="tx1"/>
            </w14:solidFill>
          </w14:textFill>
        </w:rPr>
        <w:t>度款支付证书说明已完全扣清止。</w:t>
      </w:r>
    </w:p>
    <w:p w14:paraId="1054066F">
      <w:pPr>
        <w:spacing w:line="360" w:lineRule="auto"/>
        <w:ind w:firstLine="480" w:firstLineChars="20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3.在本保函有效期内，因承包人违反合同约定的义务而要求收</w:t>
      </w:r>
      <w:r>
        <w:rPr>
          <w:rFonts w:ascii="宋体" w:hAnsi="宋体"/>
          <w:color w:val="000000" w:themeColor="text1"/>
          <w:sz w:val="24"/>
          <w:szCs w:val="30"/>
          <w14:textFill>
            <w14:solidFill>
              <w14:schemeClr w14:val="tx1"/>
            </w14:solidFill>
          </w14:textFill>
        </w:rPr>
        <w:t>回预付款时，我方在收到你方的书面通知后，在７天内无条件支付。但本保函的担保金额，在任何时候不应超过预付款金额减去</w:t>
      </w:r>
      <w:r>
        <w:rPr>
          <w:rFonts w:hint="eastAsia" w:ascii="宋体" w:hAnsi="宋体"/>
          <w:color w:val="000000" w:themeColor="text1"/>
          <w:sz w:val="24"/>
          <w:szCs w:val="30"/>
          <w14:textFill>
            <w14:solidFill>
              <w14:schemeClr w14:val="tx1"/>
            </w14:solidFill>
          </w14:textFill>
        </w:rPr>
        <w:t>你方</w:t>
      </w:r>
      <w:r>
        <w:rPr>
          <w:rFonts w:ascii="宋体" w:hAnsi="宋体"/>
          <w:color w:val="000000" w:themeColor="text1"/>
          <w:sz w:val="24"/>
          <w:szCs w:val="30"/>
          <w14:textFill>
            <w14:solidFill>
              <w14:schemeClr w14:val="tx1"/>
            </w14:solidFill>
          </w14:textFill>
        </w:rPr>
        <w:t>按合同约定在向承包人签发的进度款支付证书中扣除的金额。</w:t>
      </w:r>
    </w:p>
    <w:p w14:paraId="02878441">
      <w:pPr>
        <w:spacing w:line="360" w:lineRule="auto"/>
        <w:ind w:firstLine="480" w:firstLineChars="200"/>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4.你方</w:t>
      </w:r>
      <w:r>
        <w:rPr>
          <w:rFonts w:ascii="宋体" w:hAnsi="宋体"/>
          <w:color w:val="000000" w:themeColor="text1"/>
          <w:sz w:val="24"/>
          <w:szCs w:val="30"/>
          <w14:textFill>
            <w14:solidFill>
              <w14:schemeClr w14:val="tx1"/>
            </w14:solidFill>
          </w14:textFill>
        </w:rPr>
        <w:t>和承包人按合同约定变更合同时，我方承担本保函规定的义务不变。</w:t>
      </w:r>
    </w:p>
    <w:p w14:paraId="23E9605F">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5.因本保函发生的纠纷，可由双方协商解决，协商不成的，任何一方均可提请</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仲裁委员会仲裁。</w:t>
      </w:r>
    </w:p>
    <w:p w14:paraId="4B22DD2D">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6.本保函自我方法定代表人（或其授权代理人）签字并加盖公章之日起生效。</w:t>
      </w:r>
    </w:p>
    <w:p w14:paraId="138BEED4">
      <w:pPr>
        <w:spacing w:line="360" w:lineRule="auto"/>
        <w:rPr>
          <w:rFonts w:ascii="宋体" w:hAnsi="宋体"/>
          <w:color w:val="000000" w:themeColor="text1"/>
          <w:sz w:val="24"/>
          <w:szCs w:val="30"/>
          <w14:textFill>
            <w14:solidFill>
              <w14:schemeClr w14:val="tx1"/>
            </w14:solidFill>
          </w14:textFill>
        </w:rPr>
      </w:pPr>
    </w:p>
    <w:p w14:paraId="7A55E892">
      <w:pPr>
        <w:spacing w:line="360" w:lineRule="auto"/>
        <w:rPr>
          <w:rFonts w:ascii="宋体" w:hAnsi="宋体"/>
          <w:color w:val="000000" w:themeColor="text1"/>
          <w:sz w:val="24"/>
          <w:szCs w:val="30"/>
          <w14:textFill>
            <w14:solidFill>
              <w14:schemeClr w14:val="tx1"/>
            </w14:solidFill>
          </w14:textFill>
        </w:rPr>
      </w:pPr>
    </w:p>
    <w:p w14:paraId="4CC813A9">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担保人：</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（盖单位章）</w:t>
      </w:r>
    </w:p>
    <w:p w14:paraId="32A72684">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法定代表人或其委托代理人：</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（签字）</w:t>
      </w:r>
    </w:p>
    <w:p w14:paraId="517D73EA">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地    址：</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p>
    <w:p w14:paraId="54D4A94E">
      <w:pPr>
        <w:spacing w:line="360" w:lineRule="auto"/>
        <w:rPr>
          <w:rFonts w:ascii="宋体" w:hAnsi="宋体"/>
          <w:color w:val="000000" w:themeColor="text1"/>
          <w:sz w:val="24"/>
          <w:szCs w:val="30"/>
          <w:u w:val="single"/>
          <w14:textFill>
            <w14:solidFill>
              <w14:schemeClr w14:val="tx1"/>
            </w14:solidFill>
          </w14:textFill>
        </w:rPr>
      </w:pPr>
      <w:r>
        <w:rPr>
          <w:rFonts w:ascii="宋体" w:hAnsi="宋体"/>
          <w:color w:val="000000" w:themeColor="text1"/>
          <w:sz w:val="24"/>
          <w:szCs w:val="30"/>
          <w14:textFill>
            <w14:solidFill>
              <w14:schemeClr w14:val="tx1"/>
            </w14:solidFill>
          </w14:textFill>
        </w:rPr>
        <w:t>邮政编码：</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p>
    <w:p w14:paraId="7D6FF23E">
      <w:pPr>
        <w:spacing w:line="360" w:lineRule="auto"/>
        <w:rPr>
          <w:rFonts w:ascii="宋体" w:hAnsi="宋体"/>
          <w:color w:val="000000" w:themeColor="text1"/>
          <w:sz w:val="24"/>
          <w:szCs w:val="30"/>
          <w:u w:val="single"/>
          <w14:textFill>
            <w14:solidFill>
              <w14:schemeClr w14:val="tx1"/>
            </w14:solidFill>
          </w14:textFill>
        </w:rPr>
      </w:pPr>
      <w:r>
        <w:rPr>
          <w:rFonts w:ascii="宋体" w:hAnsi="宋体"/>
          <w:color w:val="000000" w:themeColor="text1"/>
          <w:sz w:val="24"/>
          <w:szCs w:val="30"/>
          <w14:textFill>
            <w14:solidFill>
              <w14:schemeClr w14:val="tx1"/>
            </w14:solidFill>
          </w14:textFill>
        </w:rPr>
        <w:t>电    话：</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p>
    <w:p w14:paraId="4AAD3DB8">
      <w:pPr>
        <w:spacing w:line="360" w:lineRule="auto"/>
        <w:rPr>
          <w:rFonts w:ascii="宋体" w:hAnsi="宋体"/>
          <w:color w:val="000000" w:themeColor="text1"/>
          <w:sz w:val="24"/>
          <w:szCs w:val="30"/>
          <w:u w:val="single"/>
          <w14:textFill>
            <w14:solidFill>
              <w14:schemeClr w14:val="tx1"/>
            </w14:solidFill>
          </w14:textFill>
        </w:rPr>
      </w:pPr>
      <w:r>
        <w:rPr>
          <w:rFonts w:ascii="宋体" w:hAnsi="宋体"/>
          <w:color w:val="000000" w:themeColor="text1"/>
          <w:sz w:val="24"/>
          <w:szCs w:val="30"/>
          <w14:textFill>
            <w14:solidFill>
              <w14:schemeClr w14:val="tx1"/>
            </w14:solidFill>
          </w14:textFill>
        </w:rPr>
        <w:t>传    真：</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r>
        <w:rPr>
          <w:rFonts w:ascii="宋体" w:hAnsi="宋体"/>
          <w:color w:val="000000" w:themeColor="text1"/>
          <w:sz w:val="24"/>
          <w:szCs w:val="30"/>
          <w:u w:val="single"/>
          <w14:textFill>
            <w14:solidFill>
              <w14:schemeClr w14:val="tx1"/>
            </w14:solidFill>
          </w14:textFill>
        </w:rPr>
        <w:tab/>
      </w:r>
    </w:p>
    <w:p w14:paraId="732585CC">
      <w:pPr>
        <w:spacing w:line="360" w:lineRule="auto"/>
        <w:rPr>
          <w:rFonts w:ascii="宋体" w:hAnsi="宋体"/>
          <w:color w:val="000000" w:themeColor="text1"/>
          <w:sz w:val="24"/>
          <w:szCs w:val="30"/>
          <w:u w:val="single"/>
          <w14:textFill>
            <w14:solidFill>
              <w14:schemeClr w14:val="tx1"/>
            </w14:solidFill>
          </w14:textFill>
        </w:rPr>
      </w:pPr>
      <w:r>
        <w:rPr>
          <w:rFonts w:ascii="宋体" w:hAnsi="宋体"/>
          <w:color w:val="000000" w:themeColor="text1"/>
          <w:sz w:val="24"/>
          <w:szCs w:val="30"/>
          <w14:textFill>
            <w14:solidFill>
              <w14:schemeClr w14:val="tx1"/>
            </w14:solidFill>
          </w14:textFill>
        </w:rPr>
        <w:t xml:space="preserve"> </w:t>
      </w:r>
    </w:p>
    <w:p w14:paraId="018AC7AB">
      <w:pPr>
        <w:spacing w:line="360" w:lineRule="auto"/>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月</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日</w:t>
      </w:r>
    </w:p>
    <w:p w14:paraId="441A959B">
      <w:pPr>
        <w:spacing w:line="440" w:lineRule="exact"/>
        <w:rPr>
          <w:rFonts w:ascii="宋体" w:hAnsi="宋体"/>
          <w:color w:val="000000" w:themeColor="text1"/>
          <w:sz w:val="24"/>
          <w:szCs w:val="30"/>
          <w14:textFill>
            <w14:solidFill>
              <w14:schemeClr w14:val="tx1"/>
            </w14:solidFill>
          </w14:textFill>
        </w:rPr>
      </w:pPr>
      <w:r>
        <w:rPr>
          <w:rFonts w:ascii="宋体" w:hAnsi="宋体"/>
          <w:b/>
          <w:color w:val="000000" w:themeColor="text1"/>
          <w:sz w:val="24"/>
          <w:szCs w:val="30"/>
          <w14:textFill>
            <w14:solidFill>
              <w14:schemeClr w14:val="tx1"/>
            </w14:solidFill>
          </w14:textFill>
        </w:rPr>
        <w:br w:type="page"/>
      </w:r>
      <w:r>
        <w:rPr>
          <w:rFonts w:hint="eastAsia" w:ascii="宋体" w:hAnsi="宋体" w:cs="黑体"/>
          <w:color w:val="000000" w:themeColor="text1"/>
          <w:sz w:val="24"/>
          <w:szCs w:val="32"/>
          <w14:textFill>
            <w14:solidFill>
              <w14:schemeClr w14:val="tx1"/>
            </w14:solidFill>
          </w14:textFill>
        </w:rPr>
        <w:t>附件10</w:t>
      </w:r>
    </w:p>
    <w:p w14:paraId="4AEA34C6">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支付担保</w:t>
      </w:r>
    </w:p>
    <w:p w14:paraId="15F77097">
      <w:pPr>
        <w:spacing w:line="440" w:lineRule="exact"/>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（承包人）：</w:t>
      </w:r>
    </w:p>
    <w:p w14:paraId="50A71078">
      <w:pPr>
        <w:spacing w:line="440" w:lineRule="exact"/>
        <w:jc w:val="left"/>
        <w:rPr>
          <w:rFonts w:ascii="宋体" w:hAnsi="宋体"/>
          <w:color w:val="000000" w:themeColor="text1"/>
          <w:sz w:val="24"/>
          <w:szCs w:val="30"/>
          <w14:textFill>
            <w14:solidFill>
              <w14:schemeClr w14:val="tx1"/>
            </w14:solidFill>
          </w14:textFill>
        </w:rPr>
      </w:pPr>
    </w:p>
    <w:p w14:paraId="342FAD9A">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鉴于你方作为承包人已经与</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（发包人名称）（以下称</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发包人</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）于</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年</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月</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日签订了</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（工程名称）《建设工程施工合同》（以下称</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主合同</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），应发包人的申请，我方愿就发包人履行主合同约定的工程款支付义务以保证的方式向你方提供如下担保：</w:t>
      </w:r>
    </w:p>
    <w:p w14:paraId="2423B6E7">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一、保证的范围及保证金额</w:t>
      </w:r>
    </w:p>
    <w:p w14:paraId="092C7A1D">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1.我方的保证范围是主合同约定的工程款。</w:t>
      </w:r>
    </w:p>
    <w:p w14:paraId="0A5554E0">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2.本保函所称主合同约定的工程款是指主合同约定的除工程质量保证金以外的合同价款</w:t>
      </w:r>
      <w:r>
        <w:rPr>
          <w:rFonts w:hint="eastAsia" w:ascii="宋体" w:hAnsi="宋体"/>
          <w:iCs/>
          <w:color w:val="000000" w:themeColor="text1"/>
          <w:sz w:val="24"/>
          <w:szCs w:val="30"/>
          <w14:textFill>
            <w14:solidFill>
              <w14:schemeClr w14:val="tx1"/>
            </w14:solidFill>
          </w14:textFill>
        </w:rPr>
        <w:t>，包括人工费与其他工程款</w:t>
      </w:r>
      <w:r>
        <w:rPr>
          <w:rFonts w:ascii="宋体" w:hAnsi="宋体"/>
          <w:color w:val="000000" w:themeColor="text1"/>
          <w:sz w:val="24"/>
          <w:szCs w:val="30"/>
          <w14:textFill>
            <w14:solidFill>
              <w14:schemeClr w14:val="tx1"/>
            </w14:solidFill>
          </w14:textFill>
        </w:rPr>
        <w:t>。</w:t>
      </w:r>
    </w:p>
    <w:p w14:paraId="06A5BA8B">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3.我方保证的金额是主合同约定的工程款的</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%，数额最高不超过人民币元（大写：</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w:t>
      </w:r>
    </w:p>
    <w:p w14:paraId="1EF21D92">
      <w:pPr>
        <w:spacing w:line="360" w:lineRule="auto"/>
        <w:ind w:firstLine="480" w:firstLineChars="200"/>
        <w:jc w:val="left"/>
        <w:rPr>
          <w:rFonts w:ascii="宋体" w:hAnsi="宋体"/>
          <w:iCs/>
          <w:color w:val="000000" w:themeColor="text1"/>
          <w:sz w:val="24"/>
          <w:szCs w:val="30"/>
          <w14:textFill>
            <w14:solidFill>
              <w14:schemeClr w14:val="tx1"/>
            </w14:solidFill>
          </w14:textFill>
        </w:rPr>
      </w:pPr>
      <w:r>
        <w:rPr>
          <w:rFonts w:hint="eastAsia" w:ascii="宋体" w:hAnsi="宋体"/>
          <w:iCs/>
          <w:color w:val="000000" w:themeColor="text1"/>
          <w:sz w:val="24"/>
          <w:szCs w:val="30"/>
          <w14:textFill>
            <w14:solidFill>
              <w14:schemeClr w14:val="tx1"/>
            </w14:solidFill>
          </w14:textFill>
        </w:rPr>
        <w:t>4.我方保证范围内主合同约定的人工费支付采用以下第</w:t>
      </w:r>
      <w:r>
        <w:rPr>
          <w:rFonts w:hint="eastAsia" w:ascii="宋体" w:hAnsi="宋体"/>
          <w:iCs/>
          <w:color w:val="000000" w:themeColor="text1"/>
          <w:sz w:val="24"/>
          <w:szCs w:val="30"/>
          <w:u w:val="single"/>
          <w14:textFill>
            <w14:solidFill>
              <w14:schemeClr w14:val="tx1"/>
            </w14:solidFill>
          </w14:textFill>
        </w:rPr>
        <w:t xml:space="preserve">    </w:t>
      </w:r>
      <w:r>
        <w:rPr>
          <w:rFonts w:hint="eastAsia" w:ascii="宋体" w:hAnsi="宋体"/>
          <w:iCs/>
          <w:color w:val="000000" w:themeColor="text1"/>
          <w:sz w:val="24"/>
          <w:szCs w:val="30"/>
          <w14:textFill>
            <w14:solidFill>
              <w14:schemeClr w14:val="tx1"/>
            </w14:solidFill>
          </w14:textFill>
        </w:rPr>
        <w:t>种方式：</w:t>
      </w:r>
    </w:p>
    <w:p w14:paraId="496530EC">
      <w:pPr>
        <w:spacing w:line="360" w:lineRule="auto"/>
        <w:ind w:firstLine="480" w:firstLineChars="200"/>
        <w:jc w:val="left"/>
        <w:rPr>
          <w:rFonts w:ascii="宋体" w:hAnsi="宋体"/>
          <w:iCs/>
          <w:color w:val="000000" w:themeColor="text1"/>
          <w:sz w:val="24"/>
          <w:szCs w:val="30"/>
          <w14:textFill>
            <w14:solidFill>
              <w14:schemeClr w14:val="tx1"/>
            </w14:solidFill>
          </w14:textFill>
        </w:rPr>
      </w:pPr>
      <w:r>
        <w:rPr>
          <w:rFonts w:hint="eastAsia" w:ascii="宋体" w:hAnsi="宋体"/>
          <w:iCs/>
          <w:color w:val="000000" w:themeColor="text1"/>
          <w:sz w:val="24"/>
          <w:szCs w:val="30"/>
          <w14:textFill>
            <w14:solidFill>
              <w14:schemeClr w14:val="tx1"/>
            </w14:solidFill>
          </w14:textFill>
        </w:rPr>
        <w:t>（1）一次性预付；</w:t>
      </w:r>
    </w:p>
    <w:p w14:paraId="4A12A121">
      <w:pPr>
        <w:spacing w:line="360" w:lineRule="auto"/>
        <w:ind w:firstLine="480" w:firstLineChars="200"/>
        <w:jc w:val="left"/>
        <w:rPr>
          <w:rFonts w:ascii="宋体" w:hAnsi="宋体"/>
          <w:iCs/>
          <w:color w:val="000000" w:themeColor="text1"/>
          <w:sz w:val="24"/>
          <w:szCs w:val="30"/>
          <w14:textFill>
            <w14:solidFill>
              <w14:schemeClr w14:val="tx1"/>
            </w14:solidFill>
          </w14:textFill>
        </w:rPr>
      </w:pPr>
      <w:r>
        <w:rPr>
          <w:rFonts w:hint="eastAsia" w:ascii="宋体" w:hAnsi="宋体"/>
          <w:iCs/>
          <w:color w:val="000000" w:themeColor="text1"/>
          <w:sz w:val="24"/>
          <w:szCs w:val="30"/>
          <w14:textFill>
            <w14:solidFill>
              <w14:schemeClr w14:val="tx1"/>
            </w14:solidFill>
          </w14:textFill>
        </w:rPr>
        <w:t>（2）按月预付；</w:t>
      </w:r>
    </w:p>
    <w:p w14:paraId="47BC4F32">
      <w:pPr>
        <w:spacing w:line="360" w:lineRule="auto"/>
        <w:ind w:firstLine="480" w:firstLineChars="200"/>
        <w:jc w:val="left"/>
        <w:rPr>
          <w:rFonts w:ascii="宋体" w:hAnsi="宋体"/>
          <w:iCs/>
          <w:color w:val="000000" w:themeColor="text1"/>
          <w:sz w:val="24"/>
          <w:szCs w:val="30"/>
          <w14:textFill>
            <w14:solidFill>
              <w14:schemeClr w14:val="tx1"/>
            </w14:solidFill>
          </w14:textFill>
        </w:rPr>
      </w:pPr>
      <w:r>
        <w:rPr>
          <w:rFonts w:hint="eastAsia" w:ascii="宋体" w:hAnsi="宋体"/>
          <w:iCs/>
          <w:color w:val="000000" w:themeColor="text1"/>
          <w:sz w:val="24"/>
          <w:szCs w:val="30"/>
          <w14:textFill>
            <w14:solidFill>
              <w14:schemeClr w14:val="tx1"/>
            </w14:solidFill>
          </w14:textFill>
        </w:rPr>
        <w:t>（3）按节点预付；</w:t>
      </w:r>
    </w:p>
    <w:p w14:paraId="1E3713B2">
      <w:pPr>
        <w:spacing w:line="360" w:lineRule="auto"/>
        <w:ind w:firstLine="480" w:firstLineChars="200"/>
        <w:jc w:val="left"/>
        <w:rPr>
          <w:rFonts w:ascii="宋体" w:hAnsi="宋体"/>
          <w:iCs/>
          <w:color w:val="000000" w:themeColor="text1"/>
          <w:sz w:val="24"/>
          <w:szCs w:val="30"/>
          <w14:textFill>
            <w14:solidFill>
              <w14:schemeClr w14:val="tx1"/>
            </w14:solidFill>
          </w14:textFill>
        </w:rPr>
      </w:pPr>
      <w:r>
        <w:rPr>
          <w:rFonts w:hint="eastAsia" w:ascii="宋体" w:hAnsi="宋体"/>
          <w:iCs/>
          <w:color w:val="000000" w:themeColor="text1"/>
          <w:sz w:val="24"/>
          <w:szCs w:val="30"/>
          <w14:textFill>
            <w14:solidFill>
              <w14:schemeClr w14:val="tx1"/>
            </w14:solidFill>
          </w14:textFill>
        </w:rPr>
        <w:t>（4）按月支付。</w:t>
      </w:r>
    </w:p>
    <w:p w14:paraId="41FB6809">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二、保证的方式及保证期间</w:t>
      </w:r>
    </w:p>
    <w:p w14:paraId="64D2E8F9">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1.</w:t>
      </w:r>
      <w:r>
        <w:rPr>
          <w:rFonts w:ascii="宋体" w:hAnsi="宋体"/>
          <w:color w:val="000000" w:themeColor="text1"/>
          <w:sz w:val="24"/>
          <w:szCs w:val="30"/>
          <w14:textFill>
            <w14:solidFill>
              <w14:schemeClr w14:val="tx1"/>
            </w14:solidFill>
          </w14:textFill>
        </w:rPr>
        <w:t>我方保证的方式为：连带责任保证。</w:t>
      </w:r>
    </w:p>
    <w:p w14:paraId="0A409225">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2.我方保证的期间为：自本合同生效之日</w:t>
      </w:r>
      <w:r>
        <w:rPr>
          <w:rFonts w:ascii="宋体" w:hAnsi="宋体"/>
          <w:color w:val="000000" w:themeColor="text1"/>
          <w:sz w:val="24"/>
          <w:szCs w:val="30"/>
          <w14:textFill>
            <w14:solidFill>
              <w14:schemeClr w14:val="tx1"/>
            </w14:solidFill>
          </w14:textFill>
        </w:rPr>
        <w:t>起至主合同约定的工程款支付完毕之日后</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日内。</w:t>
      </w:r>
    </w:p>
    <w:p w14:paraId="6A334851">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3.你方与发包人协议变更工程款支付日期的，经我方书面同意后，保证期间按照变更后的支付日期做相应调整。</w:t>
      </w:r>
    </w:p>
    <w:p w14:paraId="4C6A3214">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三、承担保证责任的形式</w:t>
      </w:r>
    </w:p>
    <w:p w14:paraId="210FFD43">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我方承担保证责任的形式是代为支付。发包人未按主合同约定向你方支付工程款的，由我方在保证金额内代为支付。</w:t>
      </w:r>
    </w:p>
    <w:p w14:paraId="7D73BE90">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四、代偿的安排</w:t>
      </w:r>
    </w:p>
    <w:p w14:paraId="5C62A89A">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1.你方要求我方承担保证责任的，应向我方发出书面索赔通知及发包人未支付主合同约定工程款的证明材料。索赔通知应写明要求索赔的金额，支付款项应到达的账号。</w:t>
      </w:r>
    </w:p>
    <w:p w14:paraId="4FEAF363">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2.在出现你方与发包人因工程质量发生争议，发包人拒绝向你方支付工程款的情形时，你方要求我方履行保证责任代为支付的，需提供符合相应条件要求的工程质量检测机构出具的质量说明材料。</w:t>
      </w:r>
    </w:p>
    <w:p w14:paraId="0387F5D5">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3.我方收到你方的书面索赔通知及相应的证明材料后７天内无条件支付。</w:t>
      </w:r>
    </w:p>
    <w:p w14:paraId="11EEB031">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五、保证责任的解除</w:t>
      </w:r>
    </w:p>
    <w:p w14:paraId="0CEA0A0A">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1.在本保函承诺的保证期间内，你方未书面向我方主张保证责任的，</w:t>
      </w:r>
      <w:r>
        <w:rPr>
          <w:rFonts w:ascii="宋体" w:hAnsi="宋体"/>
          <w:color w:val="000000" w:themeColor="text1"/>
          <w:sz w:val="24"/>
          <w:szCs w:val="30"/>
          <w14:textFill>
            <w14:solidFill>
              <w14:schemeClr w14:val="tx1"/>
            </w14:solidFill>
          </w14:textFill>
        </w:rPr>
        <w:t>自保证期间届满次日起，我方保证责任解除。</w:t>
      </w:r>
    </w:p>
    <w:p w14:paraId="098FEAFE">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2.发包人按主合同约定履行了工程款的全部支付义务的，自本保函承诺的保证期间届满次日起，我方保证责任解除。</w:t>
      </w:r>
    </w:p>
    <w:p w14:paraId="7136BF14">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3.我方按照本保函向你方履行保证责任所支付金额达到本保函保证金额时，自我方向你方支付（支付款项从我方账户划出）之日起，保证责任即解除。</w:t>
      </w:r>
    </w:p>
    <w:p w14:paraId="5C4D53EE">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4.按照法律法规的规定或出现应解除我方保证责任的其他情形的，我方在本保函项下的保证责任亦解除。</w:t>
      </w:r>
    </w:p>
    <w:p w14:paraId="1D99C06F">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5.我方解除保证责任后，你方应自我方保证责任解除之日起</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个工作日内，将本保函原件返还我方。</w:t>
      </w:r>
    </w:p>
    <w:p w14:paraId="2E78162D">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六、免责条款</w:t>
      </w:r>
    </w:p>
    <w:p w14:paraId="4FF78A7F">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1.</w:t>
      </w:r>
      <w:r>
        <w:rPr>
          <w:rFonts w:ascii="宋体" w:hAnsi="宋体"/>
          <w:color w:val="000000" w:themeColor="text1"/>
          <w:sz w:val="24"/>
          <w:szCs w:val="30"/>
          <w14:textFill>
            <w14:solidFill>
              <w14:schemeClr w14:val="tx1"/>
            </w14:solidFill>
          </w14:textFill>
        </w:rPr>
        <w:t>因你方违约致使发包人不能履行义务的，我方不承担保证责任。</w:t>
      </w:r>
    </w:p>
    <w:p w14:paraId="66891548">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2.依照法律法规的规定或你方与发包人的另行约定，免除发包人部分或全部义务的，我方亦免除其相应的保证责任。</w:t>
      </w:r>
    </w:p>
    <w:p w14:paraId="3402619E">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3.你方与发包人协议变更主合同的，如加重发包人责任致使我方保证责任加重的，需征得我方书面同意，否则我方不再承担因此而加重部分的保证责任，但主合同第</w:t>
      </w:r>
      <w:r>
        <w:rPr>
          <w:rFonts w:ascii="宋体" w:hAnsi="宋体"/>
          <w:color w:val="000000" w:themeColor="text1"/>
          <w:sz w:val="24"/>
          <w:szCs w:val="30"/>
          <w14:textFill>
            <w14:solidFill>
              <w14:schemeClr w14:val="tx1"/>
            </w14:solidFill>
          </w14:textFill>
        </w:rPr>
        <w:t>10条</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变更</w:t>
      </w:r>
      <w:r>
        <w:rPr>
          <w:rFonts w:hint="eastAsia" w:ascii="宋体" w:hAnsi="宋体"/>
          <w:color w:val="000000" w:themeColor="text1"/>
          <w:sz w:val="24"/>
          <w:szCs w:val="30"/>
          <w14:textFill>
            <w14:solidFill>
              <w14:schemeClr w14:val="tx1"/>
            </w14:solidFill>
          </w14:textFill>
        </w:rPr>
        <w:t>〕</w:t>
      </w:r>
      <w:r>
        <w:rPr>
          <w:rFonts w:ascii="宋体" w:hAnsi="宋体"/>
          <w:color w:val="000000" w:themeColor="text1"/>
          <w:sz w:val="24"/>
          <w:szCs w:val="30"/>
          <w14:textFill>
            <w14:solidFill>
              <w14:schemeClr w14:val="tx1"/>
            </w14:solidFill>
          </w14:textFill>
        </w:rPr>
        <w:t>约定的变更不受本款限制。</w:t>
      </w:r>
    </w:p>
    <w:p w14:paraId="5A67CAE8">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hint="eastAsia" w:ascii="宋体" w:hAnsi="宋体"/>
          <w:color w:val="000000" w:themeColor="text1"/>
          <w:sz w:val="24"/>
          <w:szCs w:val="30"/>
          <w14:textFill>
            <w14:solidFill>
              <w14:schemeClr w14:val="tx1"/>
            </w14:solidFill>
          </w14:textFill>
        </w:rPr>
        <w:t>4.因不可抗力造成发包人不能履行义务的，我方不承担保证责任。</w:t>
      </w:r>
    </w:p>
    <w:p w14:paraId="5ADFFE52">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七、争议解决</w:t>
      </w:r>
    </w:p>
    <w:p w14:paraId="5E2C7A09">
      <w:pPr>
        <w:spacing w:after="120" w:line="360" w:lineRule="auto"/>
        <w:ind w:firstLine="480" w:firstLineChars="200"/>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0"/>
          <w14:textFill>
            <w14:solidFill>
              <w14:schemeClr w14:val="tx1"/>
            </w14:solidFill>
          </w14:textFill>
        </w:rPr>
        <w:t>因本保函或本保函相关事项发生的纠纷，可由双方协商解决，协商不成的，</w:t>
      </w:r>
      <w:r>
        <w:rPr>
          <w:rFonts w:ascii="宋体" w:hAnsi="宋体"/>
          <w:color w:val="000000" w:themeColor="text1"/>
          <w:sz w:val="24"/>
          <w:szCs w:val="32"/>
          <w14:textFill>
            <w14:solidFill>
              <w14:schemeClr w14:val="tx1"/>
            </w14:solidFill>
          </w14:textFill>
        </w:rPr>
        <w:t>按下列第</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种方式</w:t>
      </w:r>
      <w:r>
        <w:rPr>
          <w:rFonts w:hint="eastAsia" w:ascii="宋体" w:hAnsi="宋体"/>
          <w:color w:val="000000" w:themeColor="text1"/>
          <w:sz w:val="24"/>
          <w:szCs w:val="32"/>
          <w14:textFill>
            <w14:solidFill>
              <w14:schemeClr w14:val="tx1"/>
            </w14:solidFill>
          </w14:textFill>
        </w:rPr>
        <w:t>解</w:t>
      </w:r>
      <w:r>
        <w:rPr>
          <w:rFonts w:ascii="宋体" w:hAnsi="宋体"/>
          <w:color w:val="000000" w:themeColor="text1"/>
          <w:sz w:val="24"/>
          <w:szCs w:val="32"/>
          <w14:textFill>
            <w14:solidFill>
              <w14:schemeClr w14:val="tx1"/>
            </w14:solidFill>
          </w14:textFill>
        </w:rPr>
        <w:t>决：</w:t>
      </w:r>
    </w:p>
    <w:p w14:paraId="6B529AD6">
      <w:pPr>
        <w:spacing w:line="360" w:lineRule="auto"/>
        <w:ind w:firstLine="480" w:firstLineChars="200"/>
        <w:jc w:val="left"/>
        <w:rPr>
          <w:rFonts w:ascii="宋体" w:hAnsi="宋体"/>
          <w:color w:val="000000" w:themeColor="text1"/>
          <w:sz w:val="24"/>
          <w:szCs w:val="32"/>
          <w14:textFill>
            <w14:solidFill>
              <w14:schemeClr w14:val="tx1"/>
            </w14:solidFill>
          </w14:textFill>
        </w:rPr>
      </w:pPr>
      <w:r>
        <w:rPr>
          <w:rFonts w:ascii="宋体" w:hAnsi="宋体"/>
          <w:color w:val="000000" w:themeColor="text1"/>
          <w:sz w:val="24"/>
          <w:szCs w:val="32"/>
          <w14:textFill>
            <w14:solidFill>
              <w14:schemeClr w14:val="tx1"/>
            </w14:solidFill>
          </w14:textFill>
        </w:rPr>
        <w:t>（1）向</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仲裁委员会申请仲裁；</w:t>
      </w:r>
    </w:p>
    <w:p w14:paraId="5B0AEF56">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2"/>
          <w14:textFill>
            <w14:solidFill>
              <w14:schemeClr w14:val="tx1"/>
            </w14:solidFill>
          </w14:textFill>
        </w:rPr>
        <w:t>（2）向</w:t>
      </w:r>
      <w:r>
        <w:rPr>
          <w:rFonts w:ascii="宋体" w:hAnsi="宋体"/>
          <w:color w:val="000000" w:themeColor="text1"/>
          <w:sz w:val="24"/>
          <w:szCs w:val="32"/>
          <w:u w:val="single"/>
          <w14:textFill>
            <w14:solidFill>
              <w14:schemeClr w14:val="tx1"/>
            </w14:solidFill>
          </w14:textFill>
        </w:rPr>
        <w:t xml:space="preserve">                     </w:t>
      </w:r>
      <w:r>
        <w:rPr>
          <w:rFonts w:ascii="宋体" w:hAnsi="宋体"/>
          <w:color w:val="000000" w:themeColor="text1"/>
          <w:sz w:val="24"/>
          <w:szCs w:val="32"/>
          <w14:textFill>
            <w14:solidFill>
              <w14:schemeClr w14:val="tx1"/>
            </w14:solidFill>
          </w14:textFill>
        </w:rPr>
        <w:t>人民法院起诉。</w:t>
      </w:r>
    </w:p>
    <w:p w14:paraId="4D8CB026">
      <w:pPr>
        <w:spacing w:line="360" w:lineRule="auto"/>
        <w:ind w:firstLine="480" w:firstLineChars="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八、保函的生效</w:t>
      </w:r>
    </w:p>
    <w:p w14:paraId="294E8FF3">
      <w:pPr>
        <w:spacing w:line="360" w:lineRule="auto"/>
        <w:ind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本保函自我方法定代表人（或其授权代理人）签字并加盖公章之日起生效。</w:t>
      </w:r>
    </w:p>
    <w:p w14:paraId="45F53791">
      <w:pPr>
        <w:spacing w:line="360" w:lineRule="auto"/>
        <w:ind w:firstLine="480" w:firstLineChars="200"/>
        <w:jc w:val="left"/>
        <w:rPr>
          <w:rFonts w:ascii="宋体" w:hAnsi="宋体"/>
          <w:color w:val="000000" w:themeColor="text1"/>
          <w:sz w:val="24"/>
          <w:szCs w:val="30"/>
          <w14:textFill>
            <w14:solidFill>
              <w14:schemeClr w14:val="tx1"/>
            </w14:solidFill>
          </w14:textFill>
        </w:rPr>
      </w:pPr>
    </w:p>
    <w:p w14:paraId="6B618ACB">
      <w:pPr>
        <w:spacing w:line="360" w:lineRule="auto"/>
        <w:ind w:right="600"/>
        <w:jc w:val="left"/>
        <w:rPr>
          <w:rFonts w:ascii="宋体" w:hAnsi="宋体"/>
          <w:color w:val="000000" w:themeColor="text1"/>
          <w:sz w:val="24"/>
          <w:szCs w:val="30"/>
          <w14:textFill>
            <w14:solidFill>
              <w14:schemeClr w14:val="tx1"/>
            </w14:solidFill>
          </w14:textFill>
        </w:rPr>
      </w:pPr>
    </w:p>
    <w:p w14:paraId="181674C6">
      <w:pPr>
        <w:spacing w:line="360" w:lineRule="auto"/>
        <w:ind w:right="600"/>
        <w:jc w:val="left"/>
        <w:rPr>
          <w:rFonts w:ascii="宋体" w:hAnsi="宋体"/>
          <w:color w:val="000000" w:themeColor="text1"/>
          <w:sz w:val="24"/>
          <w:szCs w:val="30"/>
          <w14:textFill>
            <w14:solidFill>
              <w14:schemeClr w14:val="tx1"/>
            </w14:solidFill>
          </w14:textFill>
        </w:rPr>
      </w:pPr>
    </w:p>
    <w:p w14:paraId="308AA07B">
      <w:pPr>
        <w:spacing w:line="360" w:lineRule="auto"/>
        <w:ind w:right="600"/>
        <w:jc w:val="left"/>
        <w:rPr>
          <w:rFonts w:ascii="宋体" w:hAnsi="宋体"/>
          <w:color w:val="000000" w:themeColor="text1"/>
          <w:sz w:val="24"/>
          <w:szCs w:val="30"/>
          <w14:textFill>
            <w14:solidFill>
              <w14:schemeClr w14:val="tx1"/>
            </w14:solidFill>
          </w14:textFill>
        </w:rPr>
      </w:pPr>
    </w:p>
    <w:p w14:paraId="513B4C46">
      <w:pPr>
        <w:spacing w:line="360" w:lineRule="auto"/>
        <w:ind w:right="6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担保人：</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（盖章）</w:t>
      </w:r>
    </w:p>
    <w:p w14:paraId="6AE9FF1B">
      <w:pPr>
        <w:spacing w:line="360" w:lineRule="auto"/>
        <w:ind w:right="1200"/>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法定代表人或委托代理人：</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（签字）</w:t>
      </w:r>
    </w:p>
    <w:p w14:paraId="2DEC9B4E">
      <w:pPr>
        <w:spacing w:line="360" w:lineRule="auto"/>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地    址：</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690ED9C6">
      <w:pPr>
        <w:spacing w:line="360" w:lineRule="auto"/>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xml:space="preserve">邮政编码：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79C563FB">
      <w:pPr>
        <w:spacing w:line="360" w:lineRule="auto"/>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传    真：</w:t>
      </w:r>
      <w:r>
        <w:rPr>
          <w:rFonts w:ascii="宋体" w:hAnsi="宋体"/>
          <w:color w:val="000000" w:themeColor="text1"/>
          <w:sz w:val="24"/>
          <w:szCs w:val="30"/>
          <w:u w:val="single"/>
          <w14:textFill>
            <w14:solidFill>
              <w14:schemeClr w14:val="tx1"/>
            </w14:solidFill>
          </w14:textFill>
        </w:rPr>
        <w:t xml:space="preserve">      </w:t>
      </w:r>
      <w:r>
        <w:rPr>
          <w:rFonts w:hint="eastAsia"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u w:val="single"/>
          <w14:textFill>
            <w14:solidFill>
              <w14:schemeClr w14:val="tx1"/>
            </w14:solidFill>
          </w14:textFill>
        </w:rPr>
        <w:t xml:space="preserve">                          </w:t>
      </w:r>
    </w:p>
    <w:p w14:paraId="24999955">
      <w:pPr>
        <w:spacing w:line="360" w:lineRule="auto"/>
        <w:ind w:right="150" w:firstLine="480" w:firstLineChars="200"/>
        <w:jc w:val="left"/>
        <w:rPr>
          <w:rFonts w:ascii="宋体" w:hAnsi="宋体"/>
          <w:color w:val="000000" w:themeColor="text1"/>
          <w:sz w:val="24"/>
          <w:szCs w:val="30"/>
          <w:u w:val="single"/>
          <w14:textFill>
            <w14:solidFill>
              <w14:schemeClr w14:val="tx1"/>
            </w14:solidFill>
          </w14:textFill>
        </w:rPr>
      </w:pPr>
    </w:p>
    <w:p w14:paraId="339C232D">
      <w:pPr>
        <w:spacing w:line="360" w:lineRule="auto"/>
        <w:ind w:right="150" w:firstLine="480" w:firstLineChars="200"/>
        <w:jc w:val="lef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 xml:space="preserve">                            年</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月</w:t>
      </w:r>
      <w:r>
        <w:rPr>
          <w:rFonts w:ascii="宋体" w:hAnsi="宋体"/>
          <w:color w:val="000000" w:themeColor="text1"/>
          <w:sz w:val="24"/>
          <w:szCs w:val="30"/>
          <w:u w:val="single"/>
          <w14:textFill>
            <w14:solidFill>
              <w14:schemeClr w14:val="tx1"/>
            </w14:solidFill>
          </w14:textFill>
        </w:rPr>
        <w:t xml:space="preserve">      </w:t>
      </w:r>
      <w:r>
        <w:rPr>
          <w:rFonts w:ascii="宋体" w:hAnsi="宋体"/>
          <w:color w:val="000000" w:themeColor="text1"/>
          <w:sz w:val="24"/>
          <w:szCs w:val="30"/>
          <w14:textFill>
            <w14:solidFill>
              <w14:schemeClr w14:val="tx1"/>
            </w14:solidFill>
          </w14:textFill>
        </w:rPr>
        <w:t>日</w:t>
      </w:r>
    </w:p>
    <w:p w14:paraId="07FE5243">
      <w:pPr>
        <w:spacing w:line="440" w:lineRule="exact"/>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br w:type="page"/>
      </w:r>
      <w:r>
        <w:rPr>
          <w:rFonts w:hint="eastAsia" w:ascii="宋体" w:hAnsi="宋体" w:cs="黑体"/>
          <w:color w:val="000000" w:themeColor="text1"/>
          <w:sz w:val="24"/>
          <w:szCs w:val="32"/>
          <w14:textFill>
            <w14:solidFill>
              <w14:schemeClr w14:val="tx1"/>
            </w14:solidFill>
          </w14:textFill>
        </w:rPr>
        <w:t>附件11</w:t>
      </w:r>
    </w:p>
    <w:p w14:paraId="42A690CF">
      <w:pPr>
        <w:spacing w:line="360" w:lineRule="auto"/>
        <w:ind w:firstLine="480" w:firstLineChars="200"/>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11-1：材料暂估价表</w:t>
      </w:r>
    </w:p>
    <w:tbl>
      <w:tblPr>
        <w:tblStyle w:val="28"/>
        <w:tblW w:w="9073" w:type="dxa"/>
        <w:tblInd w:w="-114"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4D933E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single" w:color="auto" w:sz="12" w:space="0"/>
              <w:bottom w:val="double" w:color="auto" w:sz="6" w:space="0"/>
            </w:tcBorders>
          </w:tcPr>
          <w:p w14:paraId="0B0E1F1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序号</w:t>
            </w:r>
          </w:p>
        </w:tc>
        <w:tc>
          <w:tcPr>
            <w:tcW w:w="1984" w:type="dxa"/>
            <w:tcBorders>
              <w:top w:val="single" w:color="auto" w:sz="12" w:space="0"/>
              <w:bottom w:val="double" w:color="auto" w:sz="6" w:space="0"/>
            </w:tcBorders>
          </w:tcPr>
          <w:p w14:paraId="37CB1FD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名称</w:t>
            </w:r>
          </w:p>
        </w:tc>
        <w:tc>
          <w:tcPr>
            <w:tcW w:w="851" w:type="dxa"/>
            <w:tcBorders>
              <w:top w:val="single" w:color="auto" w:sz="12" w:space="0"/>
              <w:bottom w:val="double" w:color="auto" w:sz="6" w:space="0"/>
            </w:tcBorders>
          </w:tcPr>
          <w:p w14:paraId="0691C30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单位</w:t>
            </w:r>
          </w:p>
        </w:tc>
        <w:tc>
          <w:tcPr>
            <w:tcW w:w="774" w:type="dxa"/>
            <w:tcBorders>
              <w:top w:val="single" w:color="auto" w:sz="12" w:space="0"/>
              <w:bottom w:val="double" w:color="auto" w:sz="6" w:space="0"/>
            </w:tcBorders>
          </w:tcPr>
          <w:p w14:paraId="20F33B9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数量</w:t>
            </w:r>
          </w:p>
        </w:tc>
        <w:tc>
          <w:tcPr>
            <w:tcW w:w="1352" w:type="dxa"/>
            <w:tcBorders>
              <w:top w:val="single" w:color="auto" w:sz="12" w:space="0"/>
              <w:bottom w:val="double" w:color="auto" w:sz="6" w:space="0"/>
            </w:tcBorders>
          </w:tcPr>
          <w:p w14:paraId="2E428A4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单价</w:t>
            </w:r>
            <w:r>
              <w:rPr>
                <w:rFonts w:hint="eastAsia" w:ascii="宋体" w:hAnsi="宋体"/>
                <w:color w:val="000000" w:themeColor="text1"/>
                <w:kern w:val="2"/>
                <w:sz w:val="22"/>
                <w:szCs w:val="30"/>
                <w14:textFill>
                  <w14:solidFill>
                    <w14:schemeClr w14:val="tx1"/>
                  </w14:solidFill>
                </w14:textFill>
              </w:rPr>
              <w:t>（元）</w:t>
            </w:r>
          </w:p>
        </w:tc>
        <w:tc>
          <w:tcPr>
            <w:tcW w:w="1418" w:type="dxa"/>
            <w:tcBorders>
              <w:top w:val="single" w:color="auto" w:sz="12" w:space="0"/>
              <w:bottom w:val="double" w:color="auto" w:sz="6" w:space="0"/>
            </w:tcBorders>
          </w:tcPr>
          <w:p w14:paraId="49BF2E3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合价（元）</w:t>
            </w:r>
          </w:p>
        </w:tc>
        <w:tc>
          <w:tcPr>
            <w:tcW w:w="1701" w:type="dxa"/>
            <w:tcBorders>
              <w:top w:val="single" w:color="auto" w:sz="12" w:space="0"/>
              <w:bottom w:val="double" w:color="auto" w:sz="6" w:space="0"/>
            </w:tcBorders>
          </w:tcPr>
          <w:p w14:paraId="465BDF5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备注</w:t>
            </w:r>
          </w:p>
        </w:tc>
      </w:tr>
      <w:tr w14:paraId="414626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double" w:color="auto" w:sz="6" w:space="0"/>
              <w:bottom w:val="single" w:color="auto" w:sz="6" w:space="0"/>
            </w:tcBorders>
          </w:tcPr>
          <w:p w14:paraId="24D596C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Borders>
              <w:top w:val="double" w:color="auto" w:sz="6" w:space="0"/>
              <w:bottom w:val="single" w:color="auto" w:sz="6" w:space="0"/>
            </w:tcBorders>
          </w:tcPr>
          <w:p w14:paraId="31061B4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Borders>
              <w:top w:val="double" w:color="auto" w:sz="6" w:space="0"/>
              <w:bottom w:val="single" w:color="auto" w:sz="6" w:space="0"/>
            </w:tcBorders>
          </w:tcPr>
          <w:p w14:paraId="525205A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Borders>
              <w:top w:val="double" w:color="auto" w:sz="6" w:space="0"/>
              <w:bottom w:val="single" w:color="auto" w:sz="6" w:space="0"/>
            </w:tcBorders>
          </w:tcPr>
          <w:p w14:paraId="2FAED53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Borders>
              <w:top w:val="double" w:color="auto" w:sz="6" w:space="0"/>
              <w:bottom w:val="single" w:color="auto" w:sz="6" w:space="0"/>
            </w:tcBorders>
          </w:tcPr>
          <w:p w14:paraId="6136961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Borders>
              <w:top w:val="double" w:color="auto" w:sz="6" w:space="0"/>
              <w:bottom w:val="single" w:color="auto" w:sz="6" w:space="0"/>
            </w:tcBorders>
          </w:tcPr>
          <w:p w14:paraId="0629CF6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Borders>
              <w:top w:val="double" w:color="auto" w:sz="6" w:space="0"/>
              <w:bottom w:val="single" w:color="auto" w:sz="6" w:space="0"/>
            </w:tcBorders>
          </w:tcPr>
          <w:p w14:paraId="0D062F0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3431B2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nil"/>
            </w:tcBorders>
          </w:tcPr>
          <w:p w14:paraId="3B52616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Borders>
              <w:top w:val="nil"/>
            </w:tcBorders>
          </w:tcPr>
          <w:p w14:paraId="627037D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Borders>
              <w:top w:val="nil"/>
            </w:tcBorders>
          </w:tcPr>
          <w:p w14:paraId="061AF12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Borders>
              <w:top w:val="nil"/>
            </w:tcBorders>
          </w:tcPr>
          <w:p w14:paraId="52A2019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Borders>
              <w:top w:val="nil"/>
            </w:tcBorders>
          </w:tcPr>
          <w:p w14:paraId="2C22EB7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Borders>
              <w:top w:val="nil"/>
            </w:tcBorders>
          </w:tcPr>
          <w:p w14:paraId="52AF511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Borders>
              <w:top w:val="nil"/>
            </w:tcBorders>
          </w:tcPr>
          <w:p w14:paraId="2AC7205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356F8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1A3729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266F50C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177B11B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6762E25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5791BCB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0D013FD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03FA53D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0ED6D7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3E637F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01FD806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7532E2E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3C38883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5FCDDED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77EC02C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3432759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351C5B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30BF26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C5F894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5822282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316C602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25B274A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4A32813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0E92E9B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31AD64A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BDC338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69B230D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74087DA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04CA19F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5852AA3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7657D9A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2345392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3E1E25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3FB475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39EBB07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21DC938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2613750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537DA47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161AA2E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16E72FB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1C568C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59BC97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648BA37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5C0B7EB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40086AC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1DF50E4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5D31F6F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60DD140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2742A4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F491AA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28F8F3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087727E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5E435FE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59C1F7B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0149953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7EEEB92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558C51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42AACE1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2DB09EF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BD06C4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35D7099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159763A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6BD8002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588A87E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36778F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31233C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6C589D9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1EA1F32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45FA45E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2D57CEB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1CA1ED4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0B1818A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40BC6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3D919D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AC217E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31C43A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4E5D0B4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62859A6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3A820AF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29EB3E2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5DCD2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6B965F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6189486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AACC1C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00921DD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008FD6A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292B008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71BF953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7E2D8C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2ADB35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CC4F61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2B222ED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596AED0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76131A7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55EB8F5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48E7C2E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54AA56E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484855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AFB3BD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7333383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0EFF732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78F1D11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6FF07B4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77B7790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09C8E6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5D4F50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5C7B7F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09EA97E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07D2C39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3BA6AB6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0409B08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02C63AC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6D571C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B4AA3B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9773CC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E6437F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15C3370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7D22C19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396A751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441B7B5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10AE0A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41E4DD0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040064E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1E2AF7F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717670C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67D0694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4164195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382C25A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7CCE99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FE439F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18FDB7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36E278D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29435EA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1893C2A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779F562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36B9466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6FA305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CDB646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27A6B59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4190CE8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6B4FC9C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6EFC2AE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5B07FEA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5CC0E87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228CB8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C29457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365B245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18D572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065616B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2FB23B4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6397FF1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5922AE7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435605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B95480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8F7CD3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5589819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173C5A7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01664E7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4CDCBB3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4B0614B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2390BC0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615493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09A777D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78AD1BF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2415C62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72601C6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6C2DE7B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381F4B1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39DAA9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28AFA8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28B971D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D5147C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623BAC1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264669B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7653610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77BD726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7F0AEA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4B18D0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A7BC75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799B3C3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5362855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05A32A3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5F9722E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44229DC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bl>
    <w:p w14:paraId="60E26812">
      <w:pPr>
        <w:spacing w:before="156" w:beforeLines="50" w:after="156" w:afterLines="50" w:line="440" w:lineRule="exact"/>
        <w:rPr>
          <w:rFonts w:ascii="宋体" w:hAnsi="宋体"/>
          <w:color w:val="000000" w:themeColor="text1"/>
          <w:sz w:val="24"/>
          <w:szCs w:val="30"/>
          <w14:textFill>
            <w14:solidFill>
              <w14:schemeClr w14:val="tx1"/>
            </w14:solidFill>
          </w14:textFill>
        </w:rPr>
      </w:pPr>
    </w:p>
    <w:p w14:paraId="68BF77BE">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t>11-2：工程设备暂估价表</w:t>
      </w:r>
    </w:p>
    <w:tbl>
      <w:tblPr>
        <w:tblStyle w:val="28"/>
        <w:tblW w:w="9073" w:type="dxa"/>
        <w:tblInd w:w="-114"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7D4E5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single" w:color="auto" w:sz="12" w:space="0"/>
              <w:bottom w:val="double" w:color="auto" w:sz="6" w:space="0"/>
            </w:tcBorders>
          </w:tcPr>
          <w:p w14:paraId="1461A1D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序号</w:t>
            </w:r>
          </w:p>
        </w:tc>
        <w:tc>
          <w:tcPr>
            <w:tcW w:w="1984" w:type="dxa"/>
            <w:tcBorders>
              <w:top w:val="single" w:color="auto" w:sz="12" w:space="0"/>
              <w:bottom w:val="double" w:color="auto" w:sz="6" w:space="0"/>
            </w:tcBorders>
          </w:tcPr>
          <w:p w14:paraId="008BA66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名称</w:t>
            </w:r>
          </w:p>
        </w:tc>
        <w:tc>
          <w:tcPr>
            <w:tcW w:w="851" w:type="dxa"/>
            <w:tcBorders>
              <w:top w:val="single" w:color="auto" w:sz="12" w:space="0"/>
              <w:bottom w:val="double" w:color="auto" w:sz="6" w:space="0"/>
            </w:tcBorders>
          </w:tcPr>
          <w:p w14:paraId="087C893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单位</w:t>
            </w:r>
          </w:p>
        </w:tc>
        <w:tc>
          <w:tcPr>
            <w:tcW w:w="774" w:type="dxa"/>
            <w:tcBorders>
              <w:top w:val="single" w:color="auto" w:sz="12" w:space="0"/>
              <w:bottom w:val="double" w:color="auto" w:sz="6" w:space="0"/>
            </w:tcBorders>
          </w:tcPr>
          <w:p w14:paraId="2CA84F0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数量</w:t>
            </w:r>
          </w:p>
        </w:tc>
        <w:tc>
          <w:tcPr>
            <w:tcW w:w="1352" w:type="dxa"/>
            <w:tcBorders>
              <w:top w:val="single" w:color="auto" w:sz="12" w:space="0"/>
              <w:bottom w:val="double" w:color="auto" w:sz="6" w:space="0"/>
            </w:tcBorders>
          </w:tcPr>
          <w:p w14:paraId="4FEDB62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单价</w:t>
            </w:r>
            <w:r>
              <w:rPr>
                <w:rFonts w:hint="eastAsia" w:ascii="宋体" w:hAnsi="宋体"/>
                <w:color w:val="000000" w:themeColor="text1"/>
                <w:kern w:val="2"/>
                <w:sz w:val="22"/>
                <w:szCs w:val="30"/>
                <w14:textFill>
                  <w14:solidFill>
                    <w14:schemeClr w14:val="tx1"/>
                  </w14:solidFill>
                </w14:textFill>
              </w:rPr>
              <w:t>（元）</w:t>
            </w:r>
          </w:p>
        </w:tc>
        <w:tc>
          <w:tcPr>
            <w:tcW w:w="1418" w:type="dxa"/>
            <w:tcBorders>
              <w:top w:val="single" w:color="auto" w:sz="12" w:space="0"/>
              <w:bottom w:val="double" w:color="auto" w:sz="6" w:space="0"/>
            </w:tcBorders>
          </w:tcPr>
          <w:p w14:paraId="6D719AC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合价（元）</w:t>
            </w:r>
          </w:p>
        </w:tc>
        <w:tc>
          <w:tcPr>
            <w:tcW w:w="1701" w:type="dxa"/>
            <w:tcBorders>
              <w:top w:val="single" w:color="auto" w:sz="12" w:space="0"/>
              <w:bottom w:val="double" w:color="auto" w:sz="6" w:space="0"/>
            </w:tcBorders>
          </w:tcPr>
          <w:p w14:paraId="3A4B5A5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备注</w:t>
            </w:r>
          </w:p>
        </w:tc>
      </w:tr>
      <w:tr w14:paraId="64C22C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double" w:color="auto" w:sz="6" w:space="0"/>
              <w:bottom w:val="single" w:color="auto" w:sz="6" w:space="0"/>
            </w:tcBorders>
          </w:tcPr>
          <w:p w14:paraId="3D6A384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Borders>
              <w:top w:val="double" w:color="auto" w:sz="6" w:space="0"/>
              <w:bottom w:val="single" w:color="auto" w:sz="6" w:space="0"/>
            </w:tcBorders>
          </w:tcPr>
          <w:p w14:paraId="2EFD2EB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Borders>
              <w:top w:val="double" w:color="auto" w:sz="6" w:space="0"/>
              <w:bottom w:val="single" w:color="auto" w:sz="6" w:space="0"/>
            </w:tcBorders>
          </w:tcPr>
          <w:p w14:paraId="41F519A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Borders>
              <w:top w:val="double" w:color="auto" w:sz="6" w:space="0"/>
              <w:bottom w:val="single" w:color="auto" w:sz="6" w:space="0"/>
            </w:tcBorders>
          </w:tcPr>
          <w:p w14:paraId="72E64EA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Borders>
              <w:top w:val="double" w:color="auto" w:sz="6" w:space="0"/>
              <w:bottom w:val="single" w:color="auto" w:sz="6" w:space="0"/>
            </w:tcBorders>
          </w:tcPr>
          <w:p w14:paraId="0864F40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Borders>
              <w:top w:val="double" w:color="auto" w:sz="6" w:space="0"/>
              <w:bottom w:val="single" w:color="auto" w:sz="6" w:space="0"/>
            </w:tcBorders>
          </w:tcPr>
          <w:p w14:paraId="23F183D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Borders>
              <w:top w:val="double" w:color="auto" w:sz="6" w:space="0"/>
              <w:bottom w:val="single" w:color="auto" w:sz="6" w:space="0"/>
            </w:tcBorders>
          </w:tcPr>
          <w:p w14:paraId="035B686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725AFB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Borders>
              <w:top w:val="nil"/>
            </w:tcBorders>
          </w:tcPr>
          <w:p w14:paraId="0842B90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Borders>
              <w:top w:val="nil"/>
            </w:tcBorders>
          </w:tcPr>
          <w:p w14:paraId="02C0D9C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Borders>
              <w:top w:val="nil"/>
            </w:tcBorders>
          </w:tcPr>
          <w:p w14:paraId="3B6E419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Borders>
              <w:top w:val="nil"/>
            </w:tcBorders>
          </w:tcPr>
          <w:p w14:paraId="0FD60E9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Borders>
              <w:top w:val="nil"/>
            </w:tcBorders>
          </w:tcPr>
          <w:p w14:paraId="21FAF9E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Borders>
              <w:top w:val="nil"/>
            </w:tcBorders>
          </w:tcPr>
          <w:p w14:paraId="345198C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Borders>
              <w:top w:val="nil"/>
            </w:tcBorders>
          </w:tcPr>
          <w:p w14:paraId="395E512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37A73B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779381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069928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1D26825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6963C41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3366507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7729C23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180CA1C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1C3D59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59F2F7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66ECDFE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28560AB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07E6D77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3DE5C6A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3302D24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0E48DC6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750DE0B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89E7E4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35F454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28F1ACC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5A7D3A9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113E4BF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1DF5F02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7F0B717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598CDF2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073972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D7A09E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2DD9F9B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1E4DE0C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2CB549C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41DCFB9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55AC999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1CBF06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C59452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7BE407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38BC96A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35ED95E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769CD96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7A4DCC8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15ACAEE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47F0C0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762644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44AE1EF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6E6800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33CB9E3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2582350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0F38D6C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1293B76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56DB77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A14765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E0CAAA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46FC2B7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531CBA9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102E1EF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546614B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6B34778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680748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C8BE44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DC1078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514AA56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37B9293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556E8B3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0CE01A0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0C53058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7AA4C8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7A6DD0B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61EE054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034C6EC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264170F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3796F2C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34EC4DE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687564B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7903FA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EBEB6C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15778EB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26ABF8A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2E6FBCA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0FA5D25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67828AB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160FD8F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379FDB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8BBB66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4452014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190916C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0CBAC8E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74B9F0C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1C56D83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4AB25CD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256E33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AA6379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25B0457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7665F8B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4103627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39E45A8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0870A4F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6476322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043E36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FB48D8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1CA5AC9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1AD9DF3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3354FEB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5EBCCC7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2E55570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721755A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2841F8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1C7FF8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0A1CCD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A3BE07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161F345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462696F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51793FA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338C4BB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7677D3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05F2052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30BD2DC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491AEA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43E6904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7F3958B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560E5B4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7FD055C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53BEACE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DEDCA4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674F62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0142E9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014BB9A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511D5BD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6E58EE5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64BD785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592109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4FBC0B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91DA33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10B7AA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106D344F">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487C73C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69731C5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00124D0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2DB575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637D751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F02A84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03FECEB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614C0B6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3D5F5E7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0EB7DD7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3EB7D6B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6C70B5E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5738BA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5CC1B9B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0EFEB43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5C53884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0BA0DD4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35557E1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2BD383B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16337D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3AFF687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35849C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1D12D38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764A78B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220558E0">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422F47F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2AE7B5B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08E08E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507019D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779D354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651210F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0122308C">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17AD29A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6923A76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17D95D64">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497496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29B4C3E9">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16CC8BA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4017310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54BFE64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60F30A3D">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66DCA01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38F5D18B">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r w14:paraId="203443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993" w:type="dxa"/>
          </w:tcPr>
          <w:p w14:paraId="18C8ABCE">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984" w:type="dxa"/>
          </w:tcPr>
          <w:p w14:paraId="6573C611">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851" w:type="dxa"/>
          </w:tcPr>
          <w:p w14:paraId="258257EA">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774" w:type="dxa"/>
          </w:tcPr>
          <w:p w14:paraId="14736867">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352" w:type="dxa"/>
          </w:tcPr>
          <w:p w14:paraId="2A78FA5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418" w:type="dxa"/>
          </w:tcPr>
          <w:p w14:paraId="7E284A3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c>
          <w:tcPr>
            <w:tcW w:w="1701" w:type="dxa"/>
          </w:tcPr>
          <w:p w14:paraId="6AB44126">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p>
        </w:tc>
      </w:tr>
    </w:tbl>
    <w:p w14:paraId="101E648B">
      <w:pPr>
        <w:spacing w:line="440" w:lineRule="exact"/>
        <w:rPr>
          <w:rFonts w:ascii="宋体" w:hAnsi="宋体"/>
          <w:color w:val="000000" w:themeColor="text1"/>
          <w:sz w:val="24"/>
          <w:szCs w:val="30"/>
          <w14:textFill>
            <w14:solidFill>
              <w14:schemeClr w14:val="tx1"/>
            </w14:solidFill>
          </w14:textFill>
        </w:rPr>
      </w:pPr>
    </w:p>
    <w:p w14:paraId="7903D79F">
      <w:pPr>
        <w:spacing w:before="156" w:beforeLines="50" w:after="156" w:afterLines="50" w:line="440" w:lineRule="exact"/>
        <w:jc w:val="center"/>
        <w:rPr>
          <w:rFonts w:ascii="宋体" w:hAnsi="宋体"/>
          <w:color w:val="000000" w:themeColor="text1"/>
          <w:sz w:val="24"/>
          <w:szCs w:val="30"/>
          <w14:textFill>
            <w14:solidFill>
              <w14:schemeClr w14:val="tx1"/>
            </w14:solidFill>
          </w14:textFill>
        </w:rPr>
      </w:pPr>
      <w:r>
        <w:rPr>
          <w:rFonts w:ascii="宋体" w:hAnsi="宋体"/>
          <w:color w:val="000000" w:themeColor="text1"/>
          <w:sz w:val="24"/>
          <w:szCs w:val="30"/>
          <w14:textFill>
            <w14:solidFill>
              <w14:schemeClr w14:val="tx1"/>
            </w14:solidFill>
          </w14:textFill>
        </w:rPr>
        <w:br w:type="page"/>
      </w:r>
      <w:r>
        <w:rPr>
          <w:rFonts w:ascii="宋体" w:hAnsi="宋体"/>
          <w:color w:val="000000" w:themeColor="text1"/>
          <w:sz w:val="24"/>
          <w:szCs w:val="30"/>
          <w14:textFill>
            <w14:solidFill>
              <w14:schemeClr w14:val="tx1"/>
            </w14:solidFill>
          </w14:textFill>
        </w:rPr>
        <w:t>11-3：专业工程暂估价表</w:t>
      </w:r>
    </w:p>
    <w:tbl>
      <w:tblPr>
        <w:tblStyle w:val="28"/>
        <w:tblW w:w="8817" w:type="dxa"/>
        <w:tblInd w:w="2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08C4E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single" w:color="auto" w:sz="12" w:space="0"/>
              <w:bottom w:val="double" w:color="auto" w:sz="6" w:space="0"/>
            </w:tcBorders>
          </w:tcPr>
          <w:p w14:paraId="2373F8A2">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序号</w:t>
            </w:r>
          </w:p>
        </w:tc>
        <w:tc>
          <w:tcPr>
            <w:tcW w:w="1984" w:type="dxa"/>
            <w:tcBorders>
              <w:top w:val="single" w:color="auto" w:sz="12" w:space="0"/>
              <w:bottom w:val="double" w:color="auto" w:sz="6" w:space="0"/>
            </w:tcBorders>
          </w:tcPr>
          <w:p w14:paraId="33161AB8">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专业工程名称</w:t>
            </w:r>
          </w:p>
        </w:tc>
        <w:tc>
          <w:tcPr>
            <w:tcW w:w="4678" w:type="dxa"/>
            <w:tcBorders>
              <w:top w:val="single" w:color="auto" w:sz="12" w:space="0"/>
              <w:bottom w:val="double" w:color="auto" w:sz="6" w:space="0"/>
            </w:tcBorders>
          </w:tcPr>
          <w:p w14:paraId="720BE3B3">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工程内容</w:t>
            </w:r>
          </w:p>
        </w:tc>
        <w:tc>
          <w:tcPr>
            <w:tcW w:w="1276" w:type="dxa"/>
            <w:tcBorders>
              <w:top w:val="single" w:color="auto" w:sz="12" w:space="0"/>
              <w:bottom w:val="double" w:color="auto" w:sz="6" w:space="0"/>
            </w:tcBorders>
          </w:tcPr>
          <w:p w14:paraId="4D2B4895">
            <w:pPr>
              <w:pStyle w:val="16"/>
              <w:keepNext/>
              <w:spacing w:line="440" w:lineRule="exact"/>
              <w:ind w:left="63" w:right="63"/>
              <w:rPr>
                <w:rFonts w:ascii="宋体" w:hAnsi="宋体"/>
                <w:color w:val="000000" w:themeColor="text1"/>
                <w:kern w:val="2"/>
                <w:sz w:val="22"/>
                <w:szCs w:val="30"/>
                <w14:textFill>
                  <w14:solidFill>
                    <w14:schemeClr w14:val="tx1"/>
                  </w14:solidFill>
                </w14:textFill>
              </w:rPr>
            </w:pPr>
            <w:r>
              <w:rPr>
                <w:rFonts w:ascii="宋体" w:hAnsi="宋体"/>
                <w:color w:val="000000" w:themeColor="text1"/>
                <w:kern w:val="2"/>
                <w:sz w:val="22"/>
                <w:szCs w:val="30"/>
                <w14:textFill>
                  <w14:solidFill>
                    <w14:schemeClr w14:val="tx1"/>
                  </w14:solidFill>
                </w14:textFill>
              </w:rPr>
              <w:t>金额</w:t>
            </w:r>
          </w:p>
        </w:tc>
      </w:tr>
      <w:tr w14:paraId="18E861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double" w:color="auto" w:sz="6" w:space="0"/>
              <w:bottom w:val="single" w:color="auto" w:sz="6" w:space="0"/>
            </w:tcBorders>
          </w:tcPr>
          <w:p w14:paraId="719A2A79">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Borders>
              <w:top w:val="double" w:color="auto" w:sz="6" w:space="0"/>
              <w:bottom w:val="single" w:color="auto" w:sz="6" w:space="0"/>
            </w:tcBorders>
          </w:tcPr>
          <w:p w14:paraId="425C4C2F">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Borders>
              <w:top w:val="double" w:color="auto" w:sz="6" w:space="0"/>
              <w:bottom w:val="single" w:color="auto" w:sz="6" w:space="0"/>
            </w:tcBorders>
          </w:tcPr>
          <w:p w14:paraId="69E37406">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Borders>
              <w:top w:val="double" w:color="auto" w:sz="6" w:space="0"/>
              <w:bottom w:val="single" w:color="auto" w:sz="6" w:space="0"/>
            </w:tcBorders>
          </w:tcPr>
          <w:p w14:paraId="55E6F8EC">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3ED9C7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nil"/>
            </w:tcBorders>
          </w:tcPr>
          <w:p w14:paraId="25EDAD4C">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Borders>
              <w:top w:val="nil"/>
            </w:tcBorders>
          </w:tcPr>
          <w:p w14:paraId="2A1E0045">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Borders>
              <w:top w:val="nil"/>
            </w:tcBorders>
          </w:tcPr>
          <w:p w14:paraId="5BFD31BA">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Borders>
              <w:top w:val="nil"/>
            </w:tcBorders>
          </w:tcPr>
          <w:p w14:paraId="1B69A488">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5D7936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Borders>
              <w:top w:val="nil"/>
            </w:tcBorders>
          </w:tcPr>
          <w:p w14:paraId="43D3E25D">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Borders>
              <w:top w:val="nil"/>
            </w:tcBorders>
          </w:tcPr>
          <w:p w14:paraId="329FD52A">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Borders>
              <w:top w:val="nil"/>
            </w:tcBorders>
          </w:tcPr>
          <w:p w14:paraId="38C17BC2">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Borders>
              <w:top w:val="nil"/>
            </w:tcBorders>
          </w:tcPr>
          <w:p w14:paraId="71B59099">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57DF84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0E30262F">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68359F0E">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6C23CEF3">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34C72B93">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17F5D9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34E894F4">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59A72D6E">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7D86B82A">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34540FFB">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607B79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4D9BD6D2">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6E8D1213">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34FB504C">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284454F1">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0E48F7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7BF1A03B">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7F9CEB1F">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41F4EF7C">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6C943F30">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191B90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2056FB31">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43EF557A">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4FAEF885">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0680DFEF">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68132BB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5186D69B">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3CE3EBC6">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0ED8E140">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31461151">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27F2FD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427FE1EB">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3F0ACC30">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1C4822C9">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166B283A">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5ACDC7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2FE7ABD2">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65B77685">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4A4AC759">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31CE84EA">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5B7663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23788435">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6174BDD1">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56A2EF97">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43CE4694">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72DFEF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67D8AC04">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7E4C0CCF">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46946EF7">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4771C6AF">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360C872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4054F51">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2AC08AA7">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3793F34C">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41E98127">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236C60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9A93EFB">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0CE1E0EE">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507EB159">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27668797">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36A957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0FC5CF3A">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32AB99A5">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7C3223E8">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2A987ABC">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2A0E98B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97ECA33">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301FCCE3">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4F03E972">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641F911B">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3BBACC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0D059181">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29ABC05B">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3CFF2944">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23DEF71D">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15A02C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083506F9">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755925CB">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780BC472">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767C323C">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2E9982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3CD7D1FD">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3E9FA62F">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0DB739A9">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492BC10A">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55305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523A3C6B">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1F2CBCF3">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12597538">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0CF2AF00">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18C6C2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3B3A0365">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3BA103B9">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2B18955E">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692703B9">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048F25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1C1F75E0">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7DF9C4A6">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71FA0FEF">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214238F0">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520E01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029BC96D">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2D8B139F">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4B7C7702">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00EE53B5">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355551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79" w:type="dxa"/>
          </w:tcPr>
          <w:p w14:paraId="7E53AEF2">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984" w:type="dxa"/>
          </w:tcPr>
          <w:p w14:paraId="6B6B8162">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4678" w:type="dxa"/>
          </w:tcPr>
          <w:p w14:paraId="164F7607">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c>
          <w:tcPr>
            <w:tcW w:w="1276" w:type="dxa"/>
          </w:tcPr>
          <w:p w14:paraId="016FB3E7">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p>
        </w:tc>
      </w:tr>
      <w:tr w14:paraId="4DF9C0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8817" w:type="dxa"/>
            <w:gridSpan w:val="4"/>
          </w:tcPr>
          <w:p w14:paraId="252D17E0">
            <w:pPr>
              <w:pStyle w:val="16"/>
              <w:keepNext/>
              <w:spacing w:line="440" w:lineRule="exact"/>
              <w:ind w:left="63" w:right="63"/>
              <w:rPr>
                <w:rFonts w:ascii="宋体" w:hAnsi="宋体"/>
                <w:color w:val="000000" w:themeColor="text1"/>
                <w:kern w:val="2"/>
                <w:sz w:val="18"/>
                <w:szCs w:val="21"/>
                <w14:textFill>
                  <w14:solidFill>
                    <w14:schemeClr w14:val="tx1"/>
                  </w14:solidFill>
                </w14:textFill>
              </w:rPr>
            </w:pPr>
            <w:r>
              <w:rPr>
                <w:rFonts w:ascii="宋体" w:hAnsi="宋体"/>
                <w:color w:val="000000" w:themeColor="text1"/>
                <w:kern w:val="2"/>
                <w:sz w:val="22"/>
                <w:szCs w:val="30"/>
                <w14:textFill>
                  <w14:solidFill>
                    <w14:schemeClr w14:val="tx1"/>
                  </w14:solidFill>
                </w14:textFill>
              </w:rPr>
              <w:t>小计：</w:t>
            </w:r>
          </w:p>
        </w:tc>
      </w:tr>
    </w:tbl>
    <w:p w14:paraId="015737AE">
      <w:pPr>
        <w:spacing w:line="560" w:lineRule="exact"/>
        <w:rPr>
          <w:rFonts w:ascii="宋体" w:hAnsi="宋体"/>
          <w:bCs/>
          <w:color w:val="000000" w:themeColor="text1"/>
          <w:sz w:val="22"/>
          <w:szCs w:val="28"/>
          <w14:textFill>
            <w14:solidFill>
              <w14:schemeClr w14:val="tx1"/>
            </w14:solidFill>
          </w14:textFill>
        </w:rPr>
      </w:pPr>
    </w:p>
    <w:p w14:paraId="09FFBA92">
      <w:pPr>
        <w:spacing w:line="560" w:lineRule="exact"/>
        <w:rPr>
          <w:rFonts w:ascii="宋体" w:hAnsi="宋体"/>
          <w:bCs/>
          <w:color w:val="000000" w:themeColor="text1"/>
          <w:sz w:val="22"/>
          <w:szCs w:val="28"/>
          <w14:textFill>
            <w14:solidFill>
              <w14:schemeClr w14:val="tx1"/>
            </w14:solidFill>
          </w14:textFill>
        </w:rPr>
      </w:pPr>
    </w:p>
    <w:p w14:paraId="32A53AE6">
      <w:pPr>
        <w:spacing w:line="560" w:lineRule="exact"/>
        <w:rPr>
          <w:rFonts w:ascii="宋体" w:hAnsi="宋体"/>
          <w:bCs/>
          <w:color w:val="000000" w:themeColor="text1"/>
          <w:sz w:val="22"/>
          <w:szCs w:val="28"/>
          <w14:textFill>
            <w14:solidFill>
              <w14:schemeClr w14:val="tx1"/>
            </w14:solidFill>
          </w14:textFill>
        </w:rPr>
      </w:pPr>
      <w:r>
        <w:rPr>
          <w:rFonts w:hint="eastAsia" w:ascii="宋体" w:hAnsi="宋体" w:cs="黑体"/>
          <w:color w:val="000000" w:themeColor="text1"/>
          <w:sz w:val="24"/>
          <w:szCs w:val="32"/>
          <w14:textFill>
            <w14:solidFill>
              <w14:schemeClr w14:val="tx1"/>
            </w14:solidFill>
          </w14:textFill>
        </w:rPr>
        <w:t>附件1</w:t>
      </w:r>
      <w:r>
        <w:rPr>
          <w:rFonts w:hint="eastAsia" w:ascii="宋体" w:hAnsi="宋体"/>
          <w:color w:val="000000" w:themeColor="text1"/>
          <w:sz w:val="24"/>
          <w:szCs w:val="30"/>
          <w14:textFill>
            <w14:solidFill>
              <w14:schemeClr w14:val="tx1"/>
            </w14:solidFill>
          </w14:textFill>
        </w:rPr>
        <w:t>2：乙方联合体协议</w:t>
      </w:r>
      <w:r>
        <w:rPr>
          <w:rFonts w:hint="eastAsia" w:ascii="宋体" w:hAnsi="宋体"/>
          <w:bCs/>
          <w:color w:val="000000" w:themeColor="text1"/>
          <w:sz w:val="22"/>
          <w:szCs w:val="28"/>
          <w14:textFill>
            <w14:solidFill>
              <w14:schemeClr w14:val="tx1"/>
            </w14:solidFill>
          </w14:textFill>
        </w:rPr>
        <w:t>（如有）。</w:t>
      </w:r>
    </w:p>
    <w:p w14:paraId="07D14FF4">
      <w:pPr>
        <w:spacing w:line="560" w:lineRule="exact"/>
        <w:rPr>
          <w:rFonts w:ascii="宋体" w:hAnsi="宋体"/>
          <w:bCs/>
          <w:color w:val="000000" w:themeColor="text1"/>
          <w:sz w:val="22"/>
          <w:szCs w:val="28"/>
          <w14:textFill>
            <w14:solidFill>
              <w14:schemeClr w14:val="tx1"/>
            </w14:solidFill>
          </w14:textFill>
        </w:rPr>
      </w:pPr>
    </w:p>
    <w:p w14:paraId="03F4FCED">
      <w:pPr>
        <w:rPr>
          <w:rFonts w:ascii="宋体" w:hAnsi="宋体"/>
          <w:color w:val="000000" w:themeColor="text1"/>
          <w:sz w:val="18"/>
          <w14:textFill>
            <w14:solidFill>
              <w14:schemeClr w14:val="tx1"/>
            </w14:solidFill>
          </w14:textFill>
        </w:rPr>
      </w:pPr>
    </w:p>
    <w:p w14:paraId="6897D18C">
      <w:pPr>
        <w:rPr>
          <w:color w:val="000000" w:themeColor="text1"/>
          <w14:textFill>
            <w14:solidFill>
              <w14:schemeClr w14:val="tx1"/>
            </w14:solidFill>
          </w14:textFill>
        </w:rPr>
      </w:pPr>
    </w:p>
    <w:p w14:paraId="234EC7F5">
      <w:pPr>
        <w:rPr>
          <w:color w:val="000000" w:themeColor="text1"/>
          <w14:textFill>
            <w14:solidFill>
              <w14:schemeClr w14:val="tx1"/>
            </w14:solidFill>
          </w14:textFill>
        </w:rPr>
      </w:pPr>
    </w:p>
    <w:p w14:paraId="2059C6F1">
      <w:pPr>
        <w:rPr>
          <w:color w:val="000000" w:themeColor="text1"/>
          <w14:textFill>
            <w14:solidFill>
              <w14:schemeClr w14:val="tx1"/>
            </w14:solidFill>
          </w14:textFill>
        </w:rPr>
        <w:sectPr>
          <w:headerReference r:id="rId32" w:type="default"/>
          <w:footerReference r:id="rId33" w:type="default"/>
          <w:pgSz w:w="11906" w:h="16838"/>
          <w:pgMar w:top="1440" w:right="1077" w:bottom="1440" w:left="1077" w:header="851" w:footer="992" w:gutter="0"/>
          <w:cols w:space="720" w:num="1"/>
          <w:docGrid w:type="lines" w:linePitch="312" w:charSpace="0"/>
        </w:sectPr>
      </w:pPr>
    </w:p>
    <w:p w14:paraId="2F31C339">
      <w:pPr>
        <w:rPr>
          <w:color w:val="000000" w:themeColor="text1"/>
          <w14:textFill>
            <w14:solidFill>
              <w14:schemeClr w14:val="tx1"/>
            </w14:solidFill>
          </w14:textFill>
        </w:rPr>
      </w:pPr>
    </w:p>
    <w:sectPr>
      <w:headerReference r:id="rId34" w:type="default"/>
      <w:footerReference r:id="rId35" w:type="default"/>
      <w:type w:val="continuous"/>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70D0B7A-E3FA-4C6F-B106-8CE4AD4ADFC7}"/>
  </w:font>
  <w:font w:name="黑体">
    <w:panose1 w:val="02010609060101010101"/>
    <w:charset w:val="86"/>
    <w:family w:val="auto"/>
    <w:pitch w:val="default"/>
    <w:sig w:usb0="800002BF" w:usb1="38CF7CFA" w:usb2="00000016" w:usb3="00000000" w:csb0="00040001" w:csb1="00000000"/>
    <w:embedRegular r:id="rId2" w:fontKey="{4A986791-E8E0-40BB-A8F0-60B997329EE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90A8A40E-4A97-466D-A71A-3CC2D8934C37}"/>
  </w:font>
  <w:font w:name="等线">
    <w:panose1 w:val="02010600030101010101"/>
    <w:charset w:val="86"/>
    <w:family w:val="auto"/>
    <w:pitch w:val="default"/>
    <w:sig w:usb0="A00002BF" w:usb1="38CF7CFA" w:usb2="00000016" w:usb3="00000000" w:csb0="0004000F" w:csb1="00000000"/>
    <w:embedRegular r:id="rId4" w:fontKey="{D37A1E51-D3F9-47CA-A012-641983845BFA}"/>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auto"/>
    <w:pitch w:val="default"/>
    <w:sig w:usb0="00000001" w:usb1="08000000" w:usb2="00000000" w:usb3="00000000" w:csb0="00040000" w:csb1="00000000"/>
    <w:embedRegular r:id="rId5" w:fontKey="{3925E281-720F-435D-864B-097DA303A2E1}"/>
  </w:font>
  <w:font w:name="仿宋_GB2312">
    <w:panose1 w:val="02010609030101010101"/>
    <w:charset w:val="86"/>
    <w:family w:val="modern"/>
    <w:pitch w:val="default"/>
    <w:sig w:usb0="00000001" w:usb1="080E0000" w:usb2="00000000" w:usb3="00000000" w:csb0="00040000" w:csb1="00000000"/>
    <w:embedRegular r:id="rId6" w:fontKey="{2F86A873-01C4-4A9C-AAB3-57845938762F}"/>
  </w:font>
  <w:font w:name="仿宋">
    <w:panose1 w:val="02010609060101010101"/>
    <w:charset w:val="86"/>
    <w:family w:val="modern"/>
    <w:pitch w:val="default"/>
    <w:sig w:usb0="800002BF" w:usb1="38CF7CFA" w:usb2="00000016" w:usb3="00000000" w:csb0="00040001" w:csb1="00000000"/>
    <w:embedRegular r:id="rId7" w:fontKey="{A80E33C3-C3F8-43DD-AE06-821F04ED95B5}"/>
  </w:font>
  <w:font w:name="方正楷体简体">
    <w:panose1 w:val="02000000000000000000"/>
    <w:charset w:val="86"/>
    <w:family w:val="auto"/>
    <w:pitch w:val="default"/>
    <w:sig w:usb0="A00002BF" w:usb1="184F6CFA" w:usb2="00000012" w:usb3="00000000" w:csb0="00040001" w:csb1="00000000"/>
    <w:embedRegular r:id="rId8" w:fontKey="{42B4384B-8A56-40B8-B23A-2DC1B2BC4408}"/>
  </w:font>
  <w:font w:name="楷体_GB2312">
    <w:panose1 w:val="02010609030101010101"/>
    <w:charset w:val="86"/>
    <w:family w:val="modern"/>
    <w:pitch w:val="default"/>
    <w:sig w:usb0="00000001" w:usb1="080E0000" w:usb2="00000000" w:usb3="00000000" w:csb0="00040000" w:csb1="00000000"/>
    <w:embedRegular r:id="rId9" w:fontKey="{12C8C3B6-99B7-41E8-A35B-5D7EB4993B3A}"/>
  </w:font>
  <w:font w:name="Cambria Math">
    <w:panose1 w:val="02040503050406030204"/>
    <w:charset w:val="00"/>
    <w:family w:val="roman"/>
    <w:pitch w:val="default"/>
    <w:sig w:usb0="E00006FF" w:usb1="420024FF" w:usb2="02000000" w:usb3="00000000" w:csb0="2000019F" w:csb1="00000000"/>
    <w:embedRegular r:id="rId10" w:fontKey="{A11FD81D-70A3-4443-925A-944549A2A9B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A9259">
    <w:pPr>
      <w:jc w:val="center"/>
    </w:pPr>
    <w:r>
      <w:fldChar w:fldCharType="begin"/>
    </w:r>
    <w:r>
      <w:instrText xml:space="preserve"> PAGE   \* MERGEFORMAT </w:instrText>
    </w:r>
    <w:r>
      <w:fldChar w:fldCharType="separate"/>
    </w:r>
    <w:r>
      <w:rPr>
        <w:lang w:val="en-US" w:eastAsia="zh-CN"/>
      </w:rPr>
      <w:t>2</w:t>
    </w:r>
    <w:r>
      <w:rPr>
        <w:lang w:val="zh-CN" w:eastAsia="zh-CN"/>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FEE8F9">
    <w:pPr>
      <w:tabs>
        <w:tab w:val="center" w:pos="4411"/>
      </w:tabs>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BD9905">
    <w:pPr>
      <w:pStyle w:val="21"/>
      <w:jc w:val="center"/>
      <w:rPr>
        <w:rFonts w:eastAsia="仿宋_GB2312"/>
        <w:sz w:val="24"/>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jGzwTTAAAABQEAAA8AAAAAAAAAAQAgAAAAIgAAAGRycy9kb3ducmV2LnhtbFBL&#10;AQIUABQAAAAIAIdO4kDedYjT+wEAAO0DAAAOAAAAAAAAAAEAIAAAACIBAABkcnMvZTJvRG9jLnht&#10;bFBLBQYAAAAABgAGAFkBAACPBQAAAAA=&#10;">
              <v:fill on="f" focussize="0,0"/>
              <v:stroke on="f"/>
              <v:imagedata o:title=""/>
              <o:lock v:ext="edit" aspectratio="t"/>
            </v:rect>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F87EBC">
    <w:pPr>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Yxs8E0wAAAAUBAAAPAAAAAAAAAAEAIAAAACIAAABkcnMvZG93bnJldi54bWxQSwEC&#10;FAAUAAAACACHTuJAi05u7/kBAADtAwAADgAAAAAAAAABACAAAAAiAQAAZHJzL2Uyb0RvYy54bWxQ&#10;SwUGAAAAAAYABgBZAQAAjQUAAAAA&#10;">
              <v:fill on="f" focussize="0,0"/>
              <v:stroke on="f"/>
              <v:imagedata o:title=""/>
              <o:lock v:ext="edit" aspectratio="t"/>
            </v:rect>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6B9E7C">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p w14:paraId="35ABCF14">
    <w:pPr>
      <w:pStyle w:val="16"/>
      <w:spacing w:line="14" w:lineRule="auto"/>
      <w:jc w:val="center"/>
      <w:rPr>
        <w:sz w:val="20"/>
        <w:szCs w:val="2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CD15D3">
    <w:pPr>
      <w:pStyle w:val="21"/>
      <w:jc w:val="center"/>
    </w:pPr>
    <w:r>
      <w:fldChar w:fldCharType="begin"/>
    </w:r>
    <w:r>
      <w:instrText xml:space="preserve">PAGE   \* MERGEFORMAT</w:instrText>
    </w:r>
    <w:r>
      <w:fldChar w:fldCharType="separate"/>
    </w:r>
    <w:r>
      <w:rPr>
        <w:rFonts w:hint="eastAsia"/>
        <w:lang w:val="zh-CN" w:eastAsia="zh-CN"/>
      </w:rPr>
      <w:t>7</w:t>
    </w:r>
    <w:r>
      <w:rPr>
        <w:lang w:val="zh-CN" w:eastAsia="zh-CN"/>
      </w:rPr>
      <w:fldChar w:fldCharType="end"/>
    </w:r>
  </w:p>
  <w:p w14:paraId="24CB123A">
    <w:pPr>
      <w:pStyle w:val="16"/>
      <w:spacing w:line="14" w:lineRule="auto"/>
      <w:jc w:val="center"/>
      <w:rPr>
        <w:sz w:val="20"/>
        <w:szCs w:val="2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3435C6">
    <w:pPr>
      <w:pStyle w:val="21"/>
      <w:jc w:val="center"/>
    </w:pPr>
    <w:r>
      <w:fldChar w:fldCharType="begin"/>
    </w:r>
    <w:r>
      <w:instrText xml:space="preserve">PAGE   \* MERGEFORMAT</w:instrText>
    </w:r>
    <w:r>
      <w:fldChar w:fldCharType="separate"/>
    </w:r>
    <w:r>
      <w:rPr>
        <w:rFonts w:hint="eastAsia"/>
        <w:lang w:val="zh-CN" w:eastAsia="zh-CN"/>
      </w:rPr>
      <w:t>7</w:t>
    </w:r>
    <w:r>
      <w:rPr>
        <w:lang w:val="zh-CN" w:eastAsia="zh-CN"/>
      </w:rPr>
      <w:fldChar w:fldCharType="end"/>
    </w:r>
  </w:p>
  <w:p w14:paraId="76FFBCBA">
    <w:pPr>
      <w:pStyle w:val="16"/>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F2F05">
    <w:pPr>
      <w:jc w:val="center"/>
    </w:pPr>
    <w:r>
      <w:fldChar w:fldCharType="begin"/>
    </w:r>
    <w:r>
      <w:instrText xml:space="preserve"> PAGE   \* MERGEFORMAT </w:instrText>
    </w:r>
    <w:r>
      <w:fldChar w:fldCharType="separate"/>
    </w:r>
    <w:r>
      <w:rPr>
        <w:lang w:val="en-US" w:eastAsia="zh-CN"/>
      </w:rPr>
      <w:t>1</w:t>
    </w:r>
    <w:r>
      <w:rPr>
        <w:lang w:val="zh-CN" w:eastAsia="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260205">
    <w:pPr>
      <w:pStyle w:val="21"/>
      <w:ind w:left="420" w:hanging="420"/>
      <w:jc w:val="center"/>
    </w:pPr>
    <w:r>
      <w:fldChar w:fldCharType="begin"/>
    </w:r>
    <w:r>
      <w:instrText xml:space="preserve">PAGE   \* MERGEFORMAT</w:instrText>
    </w:r>
    <w:r>
      <w:fldChar w:fldCharType="separate"/>
    </w:r>
    <w:r>
      <w:rPr>
        <w:lang w:val="zh-CN"/>
      </w:rPr>
      <w:t>2</w:t>
    </w:r>
    <w:r>
      <w:fldChar w:fldCharType="end"/>
    </w:r>
  </w:p>
  <w:p w14:paraId="51285DC5"/>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AC5AC">
    <w:pPr>
      <w:jc w:val="center"/>
    </w:pPr>
    <w:r>
      <w:fldChar w:fldCharType="begin"/>
    </w:r>
    <w:r>
      <w:instrText xml:space="preserve"> PAGE   \* MERGEFORMAT </w:instrText>
    </w:r>
    <w:r>
      <w:fldChar w:fldCharType="separate"/>
    </w:r>
    <w:r>
      <w:rPr>
        <w:lang w:val="en-US" w:eastAsia="zh-CN"/>
      </w:rPr>
      <w:t>57</w:t>
    </w:r>
    <w:r>
      <w:rPr>
        <w:lang w:val="zh-CN" w:eastAsia="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68862">
    <w:pPr>
      <w:pStyle w:val="21"/>
      <w:jc w:val="center"/>
    </w:pPr>
    <w:r>
      <w:fldChar w:fldCharType="begin"/>
    </w:r>
    <w:r>
      <w:instrText xml:space="preserve">PAGE   \* MERGEFORMAT</w:instrText>
    </w:r>
    <w:r>
      <w:fldChar w:fldCharType="separate"/>
    </w:r>
    <w:r>
      <w:rPr>
        <w:lang w:val="zh-CN"/>
      </w:rPr>
      <w:t>2</w:t>
    </w:r>
    <w:r>
      <w:fldChar w:fldCharType="end"/>
    </w:r>
  </w:p>
  <w:p w14:paraId="3D1B04EC">
    <w:pPr>
      <w:pStyle w:val="21"/>
      <w:tabs>
        <w:tab w:val="clear" w:pos="4153"/>
        <w:tab w:val="clear" w:pos="8306"/>
      </w:tabs>
      <w:rPr>
        <w:rFonts w:ascii="宋体" w:hAnsi="宋体"/>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BEEF19">
    <w:pPr>
      <w:jc w:val="center"/>
    </w:pPr>
    <w:r>
      <w:fldChar w:fldCharType="begin"/>
    </w:r>
    <w:r>
      <w:instrText xml:space="preserve"> PAGE   \* MERGEFORMAT </w:instrText>
    </w:r>
    <w:r>
      <w:fldChar w:fldCharType="separate"/>
    </w:r>
    <w:r>
      <w:rPr>
        <w:lang w:val="en-US" w:eastAsia="zh-CN"/>
      </w:rPr>
      <w:t>1</w:t>
    </w:r>
    <w:r>
      <w:rPr>
        <w:lang w:val="zh-CN" w:eastAsia="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8C742">
    <w:pPr>
      <w:jc w:val="center"/>
    </w:pPr>
    <w:r>
      <w:fldChar w:fldCharType="begin"/>
    </w:r>
    <w:r>
      <w:instrText xml:space="preserve"> PAGE   \* MERGEFORMAT </w:instrText>
    </w:r>
    <w:r>
      <w:fldChar w:fldCharType="separate"/>
    </w:r>
    <w:r>
      <w:rPr>
        <w:lang w:val="en-US" w:eastAsia="zh-CN"/>
      </w:rPr>
      <w:t>33</w:t>
    </w:r>
    <w:r>
      <w:rPr>
        <w:lang w:val="zh-CN" w:eastAsia="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251522">
    <w:pPr>
      <w:jc w:val="center"/>
    </w:pPr>
    <w:r>
      <w:fldChar w:fldCharType="begin"/>
    </w:r>
    <w:r>
      <w:instrText xml:space="preserve"> PAGE   \* MERGEFORMAT </w:instrText>
    </w:r>
    <w:r>
      <w:fldChar w:fldCharType="separate"/>
    </w:r>
    <w:r>
      <w:rPr>
        <w:lang w:val="en-US" w:eastAsia="zh-CN"/>
      </w:rPr>
      <w:t>102</w:t>
    </w:r>
    <w:r>
      <w:rPr>
        <w:lang w:val="zh-CN" w:eastAsia="zh-CN"/>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5A437F">
    <w:pPr>
      <w:pStyle w:val="21"/>
      <w:jc w:val="center"/>
      <w:rPr>
        <w:rFonts w:eastAsia="仿宋_GB2312"/>
        <w:sz w:val="24"/>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767DB8">
    <w:pPr>
      <w:spacing w:after="120" w:afterLines="50" w:line="360" w:lineRule="auto"/>
      <w:jc w:val="left"/>
      <w:rPr>
        <w:rFonts w:ascii="方正小标宋简体" w:hAnsi="黑体" w:eastAsia="方正小标宋简体"/>
        <w:color w:val="80808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1F70B">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6604D9"/>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CED758">
    <w:pPr>
      <w:pStyle w:val="22"/>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B0E323">
    <w:pPr>
      <w:pStyle w:val="22"/>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17AAC7">
    <w:pPr>
      <w:pStyle w:val="22"/>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BB92BF">
    <w:pPr>
      <w:pStyle w:val="22"/>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42962E">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F4CBA5">
    <w:r>
      <w:cr/>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717768">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3E4E21">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A0AE4">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1BC634">
    <w:pPr>
      <w:pStyle w:val="2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E2ABC0">
    <w:pPr>
      <w:pStyle w:val="22"/>
      <w:jc w:val="both"/>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DCC97E">
    <w:pPr>
      <w:pStyle w:val="22"/>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B1B05">
    <w:pPr>
      <w:pStyle w:val="22"/>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FAC83F">
    <w:pPr>
      <w:pStyle w:val="2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AF03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C68084E"/>
    <w:multiLevelType w:val="singleLevel"/>
    <w:tmpl w:val="0C68084E"/>
    <w:lvl w:ilvl="0" w:tentative="0">
      <w:start w:val="1"/>
      <w:numFmt w:val="decimal"/>
      <w:suff w:val="nothing"/>
      <w:lvlText w:val="%1．"/>
      <w:lvlJc w:val="left"/>
      <w:pPr>
        <w:tabs>
          <w:tab w:val="left" w:pos="0"/>
        </w:tabs>
        <w:ind w:left="0" w:firstLine="420"/>
      </w:pPr>
      <w:rPr>
        <w:rFonts w:hint="default"/>
      </w:rPr>
    </w:lvl>
  </w:abstractNum>
  <w:abstractNum w:abstractNumId="1">
    <w:nsid w:val="0DCDFC66"/>
    <w:multiLevelType w:val="singleLevel"/>
    <w:tmpl w:val="0DCDFC66"/>
    <w:lvl w:ilvl="0" w:tentative="0">
      <w:start w:val="1"/>
      <w:numFmt w:val="decimal"/>
      <w:suff w:val="nothing"/>
      <w:lvlText w:val="%1．"/>
      <w:lvlJc w:val="left"/>
      <w:pPr>
        <w:tabs>
          <w:tab w:val="left" w:pos="0"/>
        </w:tabs>
        <w:ind w:left="0" w:firstLine="420"/>
      </w:pPr>
      <w:rPr>
        <w:rFonts w:hint="default"/>
      </w:rPr>
    </w:lvl>
  </w:abstractNum>
  <w:abstractNum w:abstractNumId="2">
    <w:nsid w:val="15039089"/>
    <w:multiLevelType w:val="singleLevel"/>
    <w:tmpl w:val="15039089"/>
    <w:lvl w:ilvl="0" w:tentative="0">
      <w:start w:val="1"/>
      <w:numFmt w:val="decimal"/>
      <w:suff w:val="nothing"/>
      <w:lvlText w:val="%1．"/>
      <w:lvlJc w:val="left"/>
      <w:pPr>
        <w:tabs>
          <w:tab w:val="left" w:pos="0"/>
        </w:tabs>
        <w:ind w:left="0" w:firstLine="420"/>
      </w:pPr>
      <w:rPr>
        <w:rFonts w:hint="default"/>
      </w:rPr>
    </w:lvl>
  </w:abstractNum>
  <w:abstractNum w:abstractNumId="3">
    <w:nsid w:val="47A09113"/>
    <w:multiLevelType w:val="singleLevel"/>
    <w:tmpl w:val="47A09113"/>
    <w:lvl w:ilvl="0" w:tentative="0">
      <w:start w:val="7"/>
      <w:numFmt w:val="chineseCounting"/>
      <w:suff w:val="nothing"/>
      <w:lvlText w:val="%1、"/>
      <w:lvlJc w:val="left"/>
      <w:pPr>
        <w:tabs>
          <w:tab w:val="left" w:pos="0"/>
        </w:tabs>
        <w:ind w:left="-60"/>
      </w:pPr>
      <w:rPr>
        <w:rFonts w:hint="eastAsia"/>
        <w:b w:val="0"/>
        <w:bCs w:val="0"/>
      </w:rPr>
    </w:lvl>
  </w:abstractNum>
  <w:abstractNum w:abstractNumId="4">
    <w:nsid w:val="4F33301F"/>
    <w:multiLevelType w:val="multilevel"/>
    <w:tmpl w:val="4F33301F"/>
    <w:lvl w:ilvl="0" w:tentative="0">
      <w:start w:val="1"/>
      <w:numFmt w:val="decimal"/>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5">
    <w:nsid w:val="694FC1F7"/>
    <w:multiLevelType w:val="singleLevel"/>
    <w:tmpl w:val="694FC1F7"/>
    <w:lvl w:ilvl="0" w:tentative="0">
      <w:start w:val="1"/>
      <w:numFmt w:val="decimal"/>
      <w:suff w:val="nothing"/>
      <w:lvlText w:val="%1．"/>
      <w:lvlJc w:val="left"/>
      <w:pPr>
        <w:tabs>
          <w:tab w:val="left" w:pos="0"/>
        </w:tabs>
        <w:ind w:left="0" w:firstLine="420"/>
      </w:pPr>
      <w:rPr>
        <w:rFonts w:hint="default"/>
      </w:rPr>
    </w:lvl>
  </w:abstractNum>
  <w:abstractNum w:abstractNumId="6">
    <w:nsid w:val="6AAC9691"/>
    <w:multiLevelType w:val="singleLevel"/>
    <w:tmpl w:val="6AAC9691"/>
    <w:lvl w:ilvl="0" w:tentative="0">
      <w:start w:val="1"/>
      <w:numFmt w:val="decimal"/>
      <w:suff w:val="nothing"/>
      <w:lvlText w:val="%1．"/>
      <w:lvlJc w:val="left"/>
      <w:pPr>
        <w:tabs>
          <w:tab w:val="left" w:pos="0"/>
        </w:tabs>
        <w:ind w:left="0" w:firstLine="420"/>
      </w:pPr>
      <w:rPr>
        <w:rFonts w:hint="default"/>
      </w:rPr>
    </w:lvl>
  </w:abstractNum>
  <w:abstractNum w:abstractNumId="7">
    <w:nsid w:val="7F09497D"/>
    <w:multiLevelType w:val="multilevel"/>
    <w:tmpl w:val="7F09497D"/>
    <w:lvl w:ilvl="0" w:tentative="0">
      <w:start w:val="1"/>
      <w:numFmt w:val="japaneseCounting"/>
      <w:lvlText w:val="第%1章"/>
      <w:lvlJc w:val="left"/>
      <w:pPr>
        <w:ind w:left="1440" w:hanging="1440"/>
      </w:pPr>
      <w:rPr>
        <w:rFonts w:hint="eastAsia" w:ascii="楷体_GB2312" w:hAnsi="宋体" w:eastAsia="楷体_GB2312"/>
        <w:b/>
        <w:sz w:val="4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7"/>
  </w:num>
  <w:num w:numId="2">
    <w:abstractNumId w:val="6"/>
  </w:num>
  <w:num w:numId="3">
    <w:abstractNumId w:val="2"/>
  </w:num>
  <w:num w:numId="4">
    <w:abstractNumId w:val="3"/>
  </w:num>
  <w:num w:numId="5">
    <w:abstractNumId w:val="0"/>
  </w:num>
  <w:num w:numId="6">
    <w:abstractNumId w:val="1"/>
  </w:num>
  <w:num w:numId="7">
    <w:abstractNumId w:val="5"/>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5"/>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6C99"/>
    <w:rsid w:val="000553E5"/>
    <w:rsid w:val="00074C72"/>
    <w:rsid w:val="00097466"/>
    <w:rsid w:val="000E5659"/>
    <w:rsid w:val="000F3462"/>
    <w:rsid w:val="00112014"/>
    <w:rsid w:val="00147B57"/>
    <w:rsid w:val="00190146"/>
    <w:rsid w:val="001A392F"/>
    <w:rsid w:val="001B72C2"/>
    <w:rsid w:val="001D144C"/>
    <w:rsid w:val="00206FB5"/>
    <w:rsid w:val="002307A4"/>
    <w:rsid w:val="002944CC"/>
    <w:rsid w:val="002A45EA"/>
    <w:rsid w:val="002B1211"/>
    <w:rsid w:val="002C40C2"/>
    <w:rsid w:val="002C7D0B"/>
    <w:rsid w:val="00336348"/>
    <w:rsid w:val="003E3DDA"/>
    <w:rsid w:val="003F1D1F"/>
    <w:rsid w:val="003F2B49"/>
    <w:rsid w:val="00407D99"/>
    <w:rsid w:val="00421EC0"/>
    <w:rsid w:val="0049276C"/>
    <w:rsid w:val="00507AC7"/>
    <w:rsid w:val="005F0544"/>
    <w:rsid w:val="00652A6D"/>
    <w:rsid w:val="006578B9"/>
    <w:rsid w:val="00681A5A"/>
    <w:rsid w:val="00681FC1"/>
    <w:rsid w:val="006936DF"/>
    <w:rsid w:val="006D51D8"/>
    <w:rsid w:val="00703744"/>
    <w:rsid w:val="00720CEE"/>
    <w:rsid w:val="007425A2"/>
    <w:rsid w:val="00753802"/>
    <w:rsid w:val="007762E5"/>
    <w:rsid w:val="007A041B"/>
    <w:rsid w:val="007E75D6"/>
    <w:rsid w:val="00865219"/>
    <w:rsid w:val="008C3918"/>
    <w:rsid w:val="00906557"/>
    <w:rsid w:val="00950EF5"/>
    <w:rsid w:val="00951E49"/>
    <w:rsid w:val="009571F5"/>
    <w:rsid w:val="00992088"/>
    <w:rsid w:val="00992985"/>
    <w:rsid w:val="009B619E"/>
    <w:rsid w:val="009D01AE"/>
    <w:rsid w:val="00A3648B"/>
    <w:rsid w:val="00A45B8B"/>
    <w:rsid w:val="00A86735"/>
    <w:rsid w:val="00AF70E2"/>
    <w:rsid w:val="00B03867"/>
    <w:rsid w:val="00B1370D"/>
    <w:rsid w:val="00B21787"/>
    <w:rsid w:val="00B36C99"/>
    <w:rsid w:val="00B55830"/>
    <w:rsid w:val="00B64C03"/>
    <w:rsid w:val="00BC0B1F"/>
    <w:rsid w:val="00BE3567"/>
    <w:rsid w:val="00C35E76"/>
    <w:rsid w:val="00C45154"/>
    <w:rsid w:val="00C56787"/>
    <w:rsid w:val="00C66B12"/>
    <w:rsid w:val="00CA101E"/>
    <w:rsid w:val="00CA4162"/>
    <w:rsid w:val="00CE0013"/>
    <w:rsid w:val="00D36646"/>
    <w:rsid w:val="00D85CF2"/>
    <w:rsid w:val="00DC6EFA"/>
    <w:rsid w:val="00DD1876"/>
    <w:rsid w:val="00DD53E0"/>
    <w:rsid w:val="00DE7B99"/>
    <w:rsid w:val="00E227CA"/>
    <w:rsid w:val="00E5055F"/>
    <w:rsid w:val="00E92F67"/>
    <w:rsid w:val="00EC6297"/>
    <w:rsid w:val="00F06858"/>
    <w:rsid w:val="00FB45E7"/>
    <w:rsid w:val="00FD11FA"/>
    <w:rsid w:val="1C48143C"/>
    <w:rsid w:val="1CD43FE4"/>
    <w:rsid w:val="1E690D18"/>
    <w:rsid w:val="1F833218"/>
    <w:rsid w:val="229A7086"/>
    <w:rsid w:val="30397EDB"/>
    <w:rsid w:val="3C217D3F"/>
    <w:rsid w:val="4F30065B"/>
    <w:rsid w:val="6A626BEF"/>
    <w:rsid w:val="701D46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36"/>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37"/>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38"/>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39"/>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0"/>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1"/>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2"/>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3"/>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4"/>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0">
    <w:name w:val="Default Paragraph Font"/>
    <w:unhideWhenUsed/>
    <w:qFormat/>
    <w:uiPriority w:val="1"/>
  </w:style>
  <w:style w:type="table" w:default="1" w:styleId="28">
    <w:name w:val="Normal Table"/>
    <w:unhideWhenUsed/>
    <w:qFormat/>
    <w:uiPriority w:val="99"/>
    <w:tblPr>
      <w:tblCellMar>
        <w:top w:w="0" w:type="dxa"/>
        <w:left w:w="108" w:type="dxa"/>
        <w:bottom w:w="0" w:type="dxa"/>
        <w:right w:w="108" w:type="dxa"/>
      </w:tblCellMar>
    </w:tblPr>
  </w:style>
  <w:style w:type="paragraph" w:styleId="2">
    <w:name w:val="Body Text Indent 3"/>
    <w:basedOn w:val="1"/>
    <w:link w:val="54"/>
    <w:qFormat/>
    <w:uiPriority w:val="0"/>
    <w:pPr>
      <w:spacing w:after="120"/>
      <w:ind w:left="420" w:leftChars="200"/>
    </w:pPr>
    <w:rPr>
      <w:kern w:val="0"/>
      <w:sz w:val="16"/>
      <w:szCs w:val="16"/>
    </w:rPr>
  </w:style>
  <w:style w:type="paragraph" w:styleId="12">
    <w:name w:val="Normal Indent"/>
    <w:basedOn w:val="1"/>
    <w:link w:val="45"/>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46"/>
    <w:qFormat/>
    <w:uiPriority w:val="0"/>
    <w:rPr>
      <w:rFonts w:ascii="宋体"/>
      <w:sz w:val="18"/>
      <w:szCs w:val="18"/>
    </w:rPr>
  </w:style>
  <w:style w:type="paragraph" w:styleId="15">
    <w:name w:val="annotation text"/>
    <w:basedOn w:val="1"/>
    <w:link w:val="47"/>
    <w:qFormat/>
    <w:uiPriority w:val="0"/>
    <w:pPr>
      <w:jc w:val="left"/>
    </w:pPr>
    <w:rPr>
      <w:kern w:val="0"/>
      <w:sz w:val="28"/>
      <w:szCs w:val="28"/>
    </w:rPr>
  </w:style>
  <w:style w:type="paragraph" w:styleId="16">
    <w:name w:val="Body Text"/>
    <w:basedOn w:val="1"/>
    <w:link w:val="48"/>
    <w:qFormat/>
    <w:uiPriority w:val="0"/>
    <w:pPr>
      <w:spacing w:line="420" w:lineRule="auto"/>
    </w:pPr>
    <w:rPr>
      <w:kern w:val="0"/>
      <w:sz w:val="24"/>
      <w:szCs w:val="24"/>
    </w:rPr>
  </w:style>
  <w:style w:type="paragraph" w:styleId="17">
    <w:name w:val="Body Text Indent"/>
    <w:basedOn w:val="1"/>
    <w:link w:val="49"/>
    <w:qFormat/>
    <w:uiPriority w:val="0"/>
    <w:pPr>
      <w:ind w:firstLine="600"/>
    </w:pPr>
    <w:rPr>
      <w:kern w:val="0"/>
      <w:sz w:val="20"/>
      <w:szCs w:val="20"/>
    </w:rPr>
  </w:style>
  <w:style w:type="paragraph" w:styleId="18">
    <w:name w:val="toc 3"/>
    <w:basedOn w:val="1"/>
    <w:next w:val="1"/>
    <w:qFormat/>
    <w:uiPriority w:val="0"/>
    <w:pPr>
      <w:ind w:left="840" w:leftChars="400"/>
    </w:pPr>
    <w:rPr>
      <w:szCs w:val="21"/>
    </w:rPr>
  </w:style>
  <w:style w:type="paragraph" w:styleId="19">
    <w:name w:val="Plain Text"/>
    <w:basedOn w:val="1"/>
    <w:link w:val="50"/>
    <w:qFormat/>
    <w:uiPriority w:val="0"/>
    <w:rPr>
      <w:rFonts w:ascii="宋体" w:hAnsi="Courier New"/>
      <w:kern w:val="0"/>
      <w:szCs w:val="21"/>
    </w:rPr>
  </w:style>
  <w:style w:type="paragraph" w:styleId="20">
    <w:name w:val="Balloon Text"/>
    <w:basedOn w:val="1"/>
    <w:link w:val="51"/>
    <w:qFormat/>
    <w:uiPriority w:val="0"/>
    <w:rPr>
      <w:kern w:val="0"/>
      <w:sz w:val="18"/>
      <w:szCs w:val="18"/>
    </w:rPr>
  </w:style>
  <w:style w:type="paragraph" w:styleId="21">
    <w:name w:val="footer"/>
    <w:basedOn w:val="1"/>
    <w:link w:val="52"/>
    <w:qFormat/>
    <w:uiPriority w:val="99"/>
    <w:pPr>
      <w:tabs>
        <w:tab w:val="center" w:pos="4153"/>
        <w:tab w:val="right" w:pos="8306"/>
      </w:tabs>
      <w:snapToGrid w:val="0"/>
      <w:jc w:val="left"/>
    </w:pPr>
    <w:rPr>
      <w:kern w:val="0"/>
      <w:sz w:val="18"/>
      <w:szCs w:val="18"/>
    </w:rPr>
  </w:style>
  <w:style w:type="paragraph" w:styleId="22">
    <w:name w:val="header"/>
    <w:basedOn w:val="1"/>
    <w:link w:val="53"/>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Body Text 2"/>
    <w:basedOn w:val="1"/>
    <w:link w:val="55"/>
    <w:qFormat/>
    <w:uiPriority w:val="0"/>
    <w:pPr>
      <w:spacing w:after="120" w:line="480" w:lineRule="auto"/>
    </w:pPr>
    <w:rPr>
      <w:kern w:val="0"/>
      <w:sz w:val="24"/>
      <w:szCs w:val="24"/>
    </w:rPr>
  </w:style>
  <w:style w:type="paragraph" w:styleId="25">
    <w:name w:val="Normal (Web)"/>
    <w:basedOn w:val="1"/>
    <w:qFormat/>
    <w:uiPriority w:val="0"/>
    <w:rPr>
      <w:sz w:val="24"/>
      <w:szCs w:val="24"/>
    </w:rPr>
  </w:style>
  <w:style w:type="paragraph" w:styleId="26">
    <w:name w:val="Title"/>
    <w:basedOn w:val="1"/>
    <w:next w:val="1"/>
    <w:link w:val="56"/>
    <w:qFormat/>
    <w:uiPriority w:val="0"/>
    <w:pPr>
      <w:spacing w:before="240" w:after="60"/>
      <w:jc w:val="center"/>
      <w:outlineLvl w:val="0"/>
    </w:pPr>
    <w:rPr>
      <w:rFonts w:ascii="Cambria" w:hAnsi="Cambria"/>
      <w:b/>
      <w:bCs/>
      <w:kern w:val="0"/>
      <w:sz w:val="32"/>
      <w:szCs w:val="32"/>
    </w:rPr>
  </w:style>
  <w:style w:type="paragraph" w:styleId="27">
    <w:name w:val="Body Text First Indent 2"/>
    <w:basedOn w:val="17"/>
    <w:link w:val="57"/>
    <w:unhideWhenUsed/>
    <w:qFormat/>
    <w:uiPriority w:val="99"/>
    <w:pPr>
      <w:spacing w:after="120"/>
      <w:ind w:left="420" w:leftChars="200" w:firstLine="420" w:firstLineChars="200"/>
    </w:pPr>
    <w:rPr>
      <w:kern w:val="2"/>
      <w:sz w:val="21"/>
      <w:szCs w:val="22"/>
    </w:rPr>
  </w:style>
  <w:style w:type="table" w:styleId="29">
    <w:name w:val="Table Grid"/>
    <w:basedOn w:val="28"/>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1">
    <w:name w:val="Strong"/>
    <w:qFormat/>
    <w:uiPriority w:val="0"/>
    <w:rPr>
      <w:b/>
      <w:bCs/>
    </w:rPr>
  </w:style>
  <w:style w:type="character" w:styleId="32">
    <w:name w:val="page number"/>
    <w:qFormat/>
    <w:uiPriority w:val="0"/>
  </w:style>
  <w:style w:type="character" w:styleId="33">
    <w:name w:val="FollowedHyperlink"/>
    <w:qFormat/>
    <w:uiPriority w:val="0"/>
    <w:rPr>
      <w:color w:val="800080"/>
      <w:u w:val="single"/>
    </w:rPr>
  </w:style>
  <w:style w:type="character" w:styleId="34">
    <w:name w:val="Hyperlink"/>
    <w:qFormat/>
    <w:uiPriority w:val="0"/>
    <w:rPr>
      <w:color w:val="0000FF"/>
      <w:u w:val="single"/>
    </w:rPr>
  </w:style>
  <w:style w:type="character" w:styleId="35">
    <w:name w:val="annotation reference"/>
    <w:qFormat/>
    <w:uiPriority w:val="0"/>
    <w:rPr>
      <w:sz w:val="21"/>
      <w:szCs w:val="21"/>
    </w:rPr>
  </w:style>
  <w:style w:type="character" w:customStyle="1" w:styleId="36">
    <w:name w:val="标题 1 字符"/>
    <w:link w:val="3"/>
    <w:qFormat/>
    <w:uiPriority w:val="9"/>
    <w:rPr>
      <w:rFonts w:ascii="Times New Roman" w:hAnsi="Times New Roman" w:eastAsia="宋体" w:cs="Times New Roman"/>
      <w:b/>
      <w:bCs/>
      <w:kern w:val="44"/>
      <w:sz w:val="44"/>
      <w:szCs w:val="44"/>
    </w:rPr>
  </w:style>
  <w:style w:type="character" w:customStyle="1" w:styleId="37">
    <w:name w:val="标题 2 字符"/>
    <w:link w:val="4"/>
    <w:qFormat/>
    <w:uiPriority w:val="0"/>
    <w:rPr>
      <w:rFonts w:ascii="Cambria" w:hAnsi="Cambria" w:eastAsia="宋体" w:cs="Times New Roman"/>
      <w:b/>
      <w:bCs/>
      <w:kern w:val="0"/>
      <w:sz w:val="28"/>
      <w:szCs w:val="28"/>
    </w:rPr>
  </w:style>
  <w:style w:type="character" w:customStyle="1" w:styleId="38">
    <w:name w:val="标题 3 字符"/>
    <w:link w:val="5"/>
    <w:qFormat/>
    <w:uiPriority w:val="0"/>
    <w:rPr>
      <w:rFonts w:ascii="Times New Roman" w:hAnsi="Times New Roman" w:eastAsia="宋体" w:cs="Times New Roman"/>
      <w:b/>
      <w:bCs/>
      <w:kern w:val="0"/>
      <w:sz w:val="32"/>
      <w:szCs w:val="32"/>
    </w:rPr>
  </w:style>
  <w:style w:type="character" w:customStyle="1" w:styleId="39">
    <w:name w:val="标题 4 字符"/>
    <w:link w:val="6"/>
    <w:qFormat/>
    <w:uiPriority w:val="0"/>
    <w:rPr>
      <w:rFonts w:ascii="Cambria" w:hAnsi="Cambria" w:eastAsia="宋体" w:cs="Times New Roman"/>
      <w:b/>
      <w:bCs/>
      <w:kern w:val="0"/>
      <w:sz w:val="28"/>
      <w:szCs w:val="28"/>
    </w:rPr>
  </w:style>
  <w:style w:type="character" w:customStyle="1" w:styleId="40">
    <w:name w:val="标题 5 字符"/>
    <w:link w:val="7"/>
    <w:qFormat/>
    <w:uiPriority w:val="0"/>
    <w:rPr>
      <w:rFonts w:ascii="Times New Roman" w:hAnsi="Times New Roman" w:eastAsia="宋体" w:cs="Times New Roman"/>
      <w:b/>
      <w:bCs/>
      <w:kern w:val="0"/>
      <w:sz w:val="28"/>
      <w:szCs w:val="28"/>
    </w:rPr>
  </w:style>
  <w:style w:type="character" w:customStyle="1" w:styleId="41">
    <w:name w:val="标题 6 字符"/>
    <w:link w:val="8"/>
    <w:qFormat/>
    <w:uiPriority w:val="9"/>
    <w:rPr>
      <w:rFonts w:ascii="Arial" w:hAnsi="Arial" w:eastAsia="黑体" w:cs="Times New Roman"/>
      <w:b/>
      <w:bCs/>
      <w:kern w:val="0"/>
      <w:sz w:val="24"/>
      <w:szCs w:val="24"/>
    </w:rPr>
  </w:style>
  <w:style w:type="character" w:customStyle="1" w:styleId="42">
    <w:name w:val="标题 7 字符"/>
    <w:link w:val="9"/>
    <w:qFormat/>
    <w:uiPriority w:val="0"/>
    <w:rPr>
      <w:rFonts w:ascii="Times New Roman" w:hAnsi="Times New Roman" w:eastAsia="宋体" w:cs="Times New Roman"/>
      <w:b/>
      <w:bCs/>
      <w:kern w:val="0"/>
      <w:sz w:val="24"/>
      <w:szCs w:val="24"/>
    </w:rPr>
  </w:style>
  <w:style w:type="character" w:customStyle="1" w:styleId="43">
    <w:name w:val="标题 8 字符"/>
    <w:link w:val="10"/>
    <w:qFormat/>
    <w:uiPriority w:val="0"/>
    <w:rPr>
      <w:rFonts w:ascii="Arial" w:hAnsi="Arial" w:eastAsia="黑体" w:cs="Times New Roman"/>
      <w:kern w:val="0"/>
      <w:sz w:val="24"/>
      <w:szCs w:val="24"/>
    </w:rPr>
  </w:style>
  <w:style w:type="character" w:customStyle="1" w:styleId="44">
    <w:name w:val="标题 9 字符"/>
    <w:link w:val="11"/>
    <w:qFormat/>
    <w:uiPriority w:val="0"/>
    <w:rPr>
      <w:rFonts w:ascii="Arial" w:hAnsi="Arial" w:eastAsia="黑体" w:cs="Times New Roman"/>
      <w:kern w:val="0"/>
      <w:sz w:val="20"/>
      <w:szCs w:val="20"/>
    </w:rPr>
  </w:style>
  <w:style w:type="character" w:customStyle="1" w:styleId="45">
    <w:name w:val="正文缩进 字符"/>
    <w:link w:val="12"/>
    <w:qFormat/>
    <w:locked/>
    <w:uiPriority w:val="0"/>
    <w:rPr>
      <w:rFonts w:ascii="Times New Roman" w:hAnsi="Times New Roman" w:eastAsia="宋体" w:cs="Times New Roman"/>
      <w:szCs w:val="21"/>
    </w:rPr>
  </w:style>
  <w:style w:type="character" w:customStyle="1" w:styleId="46">
    <w:name w:val="文档结构图 字符"/>
    <w:link w:val="14"/>
    <w:qFormat/>
    <w:uiPriority w:val="0"/>
    <w:rPr>
      <w:rFonts w:ascii="宋体" w:hAnsi="Times New Roman" w:eastAsia="宋体" w:cs="Times New Roman"/>
      <w:sz w:val="18"/>
      <w:szCs w:val="18"/>
    </w:rPr>
  </w:style>
  <w:style w:type="character" w:customStyle="1" w:styleId="47">
    <w:name w:val="批注文字 字符"/>
    <w:link w:val="15"/>
    <w:qFormat/>
    <w:uiPriority w:val="0"/>
    <w:rPr>
      <w:rFonts w:ascii="Times New Roman" w:hAnsi="Times New Roman" w:eastAsia="宋体" w:cs="Times New Roman"/>
      <w:kern w:val="0"/>
      <w:sz w:val="28"/>
      <w:szCs w:val="28"/>
    </w:rPr>
  </w:style>
  <w:style w:type="character" w:customStyle="1" w:styleId="48">
    <w:name w:val="正文文本 字符"/>
    <w:link w:val="16"/>
    <w:qFormat/>
    <w:uiPriority w:val="0"/>
    <w:rPr>
      <w:rFonts w:ascii="Times New Roman" w:hAnsi="Times New Roman" w:eastAsia="宋体" w:cs="Times New Roman"/>
      <w:kern w:val="0"/>
      <w:sz w:val="24"/>
      <w:szCs w:val="24"/>
    </w:rPr>
  </w:style>
  <w:style w:type="character" w:customStyle="1" w:styleId="49">
    <w:name w:val="正文文本缩进 字符"/>
    <w:link w:val="17"/>
    <w:qFormat/>
    <w:uiPriority w:val="0"/>
    <w:rPr>
      <w:rFonts w:ascii="Times New Roman" w:hAnsi="Times New Roman" w:eastAsia="宋体" w:cs="Times New Roman"/>
      <w:kern w:val="0"/>
      <w:sz w:val="20"/>
      <w:szCs w:val="20"/>
    </w:rPr>
  </w:style>
  <w:style w:type="character" w:customStyle="1" w:styleId="50">
    <w:name w:val="纯文本 字符"/>
    <w:link w:val="19"/>
    <w:qFormat/>
    <w:uiPriority w:val="0"/>
    <w:rPr>
      <w:rFonts w:ascii="宋体" w:hAnsi="Courier New" w:eastAsia="宋体" w:cs="Times New Roman"/>
      <w:kern w:val="0"/>
      <w:szCs w:val="21"/>
    </w:rPr>
  </w:style>
  <w:style w:type="character" w:customStyle="1" w:styleId="51">
    <w:name w:val="批注框文本 字符"/>
    <w:link w:val="20"/>
    <w:qFormat/>
    <w:uiPriority w:val="0"/>
    <w:rPr>
      <w:rFonts w:ascii="Times New Roman" w:hAnsi="Times New Roman" w:eastAsia="宋体" w:cs="Times New Roman"/>
      <w:kern w:val="0"/>
      <w:sz w:val="18"/>
      <w:szCs w:val="18"/>
    </w:rPr>
  </w:style>
  <w:style w:type="character" w:customStyle="1" w:styleId="52">
    <w:name w:val="页脚 字符"/>
    <w:link w:val="21"/>
    <w:qFormat/>
    <w:uiPriority w:val="99"/>
    <w:rPr>
      <w:rFonts w:ascii="Times New Roman" w:hAnsi="Times New Roman" w:eastAsia="宋体" w:cs="Times New Roman"/>
      <w:kern w:val="0"/>
      <w:sz w:val="18"/>
      <w:szCs w:val="18"/>
    </w:rPr>
  </w:style>
  <w:style w:type="character" w:customStyle="1" w:styleId="53">
    <w:name w:val="页眉 字符"/>
    <w:link w:val="22"/>
    <w:qFormat/>
    <w:uiPriority w:val="0"/>
    <w:rPr>
      <w:rFonts w:ascii="Times New Roman" w:hAnsi="Times New Roman" w:eastAsia="宋体" w:cs="Times New Roman"/>
      <w:kern w:val="0"/>
      <w:sz w:val="18"/>
      <w:szCs w:val="18"/>
    </w:rPr>
  </w:style>
  <w:style w:type="character" w:customStyle="1" w:styleId="54">
    <w:name w:val="正文文本缩进 3 字符"/>
    <w:link w:val="2"/>
    <w:qFormat/>
    <w:uiPriority w:val="0"/>
    <w:rPr>
      <w:rFonts w:ascii="Times New Roman" w:hAnsi="Times New Roman" w:eastAsia="宋体" w:cs="Times New Roman"/>
      <w:kern w:val="0"/>
      <w:sz w:val="16"/>
      <w:szCs w:val="16"/>
    </w:rPr>
  </w:style>
  <w:style w:type="character" w:customStyle="1" w:styleId="55">
    <w:name w:val="正文文本 2 字符"/>
    <w:link w:val="24"/>
    <w:qFormat/>
    <w:uiPriority w:val="0"/>
    <w:rPr>
      <w:rFonts w:ascii="Times New Roman" w:hAnsi="Times New Roman" w:eastAsia="宋体" w:cs="Times New Roman"/>
      <w:kern w:val="0"/>
      <w:sz w:val="24"/>
      <w:szCs w:val="24"/>
    </w:rPr>
  </w:style>
  <w:style w:type="character" w:customStyle="1" w:styleId="56">
    <w:name w:val="标题 字符"/>
    <w:link w:val="26"/>
    <w:qFormat/>
    <w:uiPriority w:val="0"/>
    <w:rPr>
      <w:rFonts w:ascii="Cambria" w:hAnsi="Cambria" w:eastAsia="宋体" w:cs="Times New Roman"/>
      <w:b/>
      <w:bCs/>
      <w:kern w:val="0"/>
      <w:sz w:val="32"/>
      <w:szCs w:val="32"/>
    </w:rPr>
  </w:style>
  <w:style w:type="character" w:customStyle="1" w:styleId="57">
    <w:name w:val="正文文本首行缩进 2 字符"/>
    <w:link w:val="27"/>
    <w:semiHidden/>
    <w:qFormat/>
    <w:uiPriority w:val="99"/>
  </w:style>
  <w:style w:type="paragraph" w:styleId="58">
    <w:name w:val="List Paragraph"/>
    <w:basedOn w:val="1"/>
    <w:qFormat/>
    <w:uiPriority w:val="0"/>
    <w:pPr>
      <w:ind w:firstLine="420" w:firstLineChars="200"/>
    </w:pPr>
    <w:rPr>
      <w:sz w:val="28"/>
      <w:szCs w:val="28"/>
    </w:rPr>
  </w:style>
  <w:style w:type="character" w:customStyle="1" w:styleId="59">
    <w:name w:val="标题 4 Char"/>
    <w:qFormat/>
    <w:uiPriority w:val="0"/>
    <w:rPr>
      <w:rFonts w:ascii="Cambria" w:hAnsi="Cambria" w:cs="宋体"/>
      <w:b/>
      <w:bCs/>
      <w:kern w:val="2"/>
      <w:sz w:val="28"/>
      <w:szCs w:val="28"/>
    </w:rPr>
  </w:style>
  <w:style w:type="table" w:customStyle="1" w:styleId="60">
    <w:name w:val="网格型1"/>
    <w:basedOn w:val="28"/>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1">
    <w:name w:val="列出段落1"/>
    <w:basedOn w:val="1"/>
    <w:qFormat/>
    <w:uiPriority w:val="0"/>
    <w:pPr>
      <w:ind w:firstLine="420" w:firstLineChars="200"/>
    </w:pPr>
    <w:rPr>
      <w:rFonts w:cs="Calibri"/>
      <w:szCs w:val="21"/>
    </w:rPr>
  </w:style>
  <w:style w:type="paragraph" w:customStyle="1" w:styleId="62">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3">
    <w:name w:val="Char Char"/>
    <w:basedOn w:val="1"/>
    <w:qFormat/>
    <w:uiPriority w:val="0"/>
    <w:rPr>
      <w:rFonts w:ascii="Tahoma" w:hAnsi="Tahoma" w:cs="Tahoma"/>
      <w:sz w:val="24"/>
      <w:szCs w:val="24"/>
    </w:rPr>
  </w:style>
  <w:style w:type="paragraph" w:customStyle="1" w:styleId="64">
    <w:name w:val="大汉方案正文"/>
    <w:basedOn w:val="1"/>
    <w:qFormat/>
    <w:uiPriority w:val="0"/>
    <w:pPr>
      <w:spacing w:line="360" w:lineRule="auto"/>
      <w:ind w:firstLine="200" w:firstLineChars="200"/>
    </w:pPr>
    <w:rPr>
      <w:rFonts w:ascii="Arial" w:hAnsi="Arial" w:cs="Arial"/>
      <w:sz w:val="24"/>
      <w:szCs w:val="24"/>
    </w:rPr>
  </w:style>
  <w:style w:type="character" w:customStyle="1" w:styleId="65">
    <w:name w:val="纯文本 Char1"/>
    <w:qFormat/>
    <w:uiPriority w:val="0"/>
    <w:rPr>
      <w:rFonts w:ascii="宋体" w:hAnsi="Courier New" w:cs="宋体"/>
      <w:kern w:val="2"/>
      <w:sz w:val="21"/>
      <w:szCs w:val="21"/>
    </w:rPr>
  </w:style>
  <w:style w:type="character" w:customStyle="1" w:styleId="66">
    <w:name w:val="批注文字 Char1"/>
    <w:qFormat/>
    <w:uiPriority w:val="0"/>
    <w:rPr>
      <w:rFonts w:ascii="Times New Roman" w:hAnsi="Times New Roman" w:eastAsia="宋体" w:cs="Times New Roman"/>
      <w:sz w:val="24"/>
      <w:szCs w:val="24"/>
    </w:rPr>
  </w:style>
  <w:style w:type="paragraph" w:customStyle="1" w:styleId="67">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68">
    <w:name w:val="apple-converted-space"/>
    <w:qFormat/>
    <w:uiPriority w:val="0"/>
  </w:style>
  <w:style w:type="paragraph" w:customStyle="1" w:styleId="69">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0">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1">
    <w:name w:val="列出段落2"/>
    <w:basedOn w:val="1"/>
    <w:qFormat/>
    <w:uiPriority w:val="0"/>
    <w:pPr>
      <w:ind w:firstLine="420" w:firstLineChars="200"/>
    </w:pPr>
    <w:rPr>
      <w:rFonts w:cs="Calibri"/>
      <w:szCs w:val="21"/>
    </w:rPr>
  </w:style>
  <w:style w:type="paragraph" w:customStyle="1" w:styleId="72">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3">
    <w:name w:val="标题 3 Char1"/>
    <w:qFormat/>
    <w:uiPriority w:val="0"/>
    <w:rPr>
      <w:rFonts w:ascii="Times New Roman" w:hAnsi="Times New Roman" w:eastAsia="宋体" w:cs="Times New Roman"/>
      <w:sz w:val="20"/>
      <w:szCs w:val="20"/>
    </w:rPr>
  </w:style>
  <w:style w:type="paragraph" w:customStyle="1" w:styleId="74">
    <w:name w:val="Char Char11 Char Char Char Char"/>
    <w:basedOn w:val="1"/>
    <w:qFormat/>
    <w:uiPriority w:val="0"/>
    <w:pPr>
      <w:tabs>
        <w:tab w:val="left" w:pos="360"/>
      </w:tabs>
    </w:pPr>
    <w:rPr>
      <w:szCs w:val="21"/>
    </w:rPr>
  </w:style>
  <w:style w:type="paragraph" w:customStyle="1" w:styleId="75">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6">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7">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0">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3">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4">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8">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9">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1">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2">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3">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4">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5">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7">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98">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99">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0">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2">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08">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09">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0">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2">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3">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4">
    <w:name w:val="纯文本 Char3"/>
    <w:qFormat/>
    <w:uiPriority w:val="0"/>
    <w:rPr>
      <w:rFonts w:ascii="宋体" w:hAnsi="Courier New"/>
      <w:sz w:val="21"/>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theme" Target="theme/theme1.xml"/><Relationship Id="rId35" Type="http://schemas.openxmlformats.org/officeDocument/2006/relationships/footer" Target="footer15.xml"/><Relationship Id="rId34" Type="http://schemas.openxmlformats.org/officeDocument/2006/relationships/header" Target="header18.xml"/><Relationship Id="rId33" Type="http://schemas.openxmlformats.org/officeDocument/2006/relationships/footer" Target="footer14.xml"/><Relationship Id="rId32" Type="http://schemas.openxmlformats.org/officeDocument/2006/relationships/header" Target="header17.xml"/><Relationship Id="rId31" Type="http://schemas.openxmlformats.org/officeDocument/2006/relationships/footer" Target="footer13.xml"/><Relationship Id="rId30" Type="http://schemas.openxmlformats.org/officeDocument/2006/relationships/footer" Target="footer12.xml"/><Relationship Id="rId3" Type="http://schemas.openxmlformats.org/officeDocument/2006/relationships/header" Target="header1.xml"/><Relationship Id="rId29" Type="http://schemas.openxmlformats.org/officeDocument/2006/relationships/footer" Target="footer11.xml"/><Relationship Id="rId28" Type="http://schemas.openxmlformats.org/officeDocument/2006/relationships/footer" Target="footer10.xml"/><Relationship Id="rId27" Type="http://schemas.openxmlformats.org/officeDocument/2006/relationships/footer" Target="footer9.xml"/><Relationship Id="rId26" Type="http://schemas.openxmlformats.org/officeDocument/2006/relationships/header" Target="header16.xml"/><Relationship Id="rId25" Type="http://schemas.openxmlformats.org/officeDocument/2006/relationships/footer" Target="footer8.xml"/><Relationship Id="rId24" Type="http://schemas.openxmlformats.org/officeDocument/2006/relationships/header" Target="header15.xml"/><Relationship Id="rId23" Type="http://schemas.openxmlformats.org/officeDocument/2006/relationships/header" Target="header14.xml"/><Relationship Id="rId22" Type="http://schemas.openxmlformats.org/officeDocument/2006/relationships/footer" Target="footer7.xml"/><Relationship Id="rId21" Type="http://schemas.openxmlformats.org/officeDocument/2006/relationships/header" Target="header13.xml"/><Relationship Id="rId20" Type="http://schemas.openxmlformats.org/officeDocument/2006/relationships/header" Target="header12.xml"/><Relationship Id="rId2" Type="http://schemas.openxmlformats.org/officeDocument/2006/relationships/settings" Target="settings.xml"/><Relationship Id="rId19" Type="http://schemas.openxmlformats.org/officeDocument/2006/relationships/header" Target="header11.xml"/><Relationship Id="rId18" Type="http://schemas.openxmlformats.org/officeDocument/2006/relationships/footer" Target="footer6.xml"/><Relationship Id="rId17" Type="http://schemas.openxmlformats.org/officeDocument/2006/relationships/header" Target="header10.xml"/><Relationship Id="rId16" Type="http://schemas.openxmlformats.org/officeDocument/2006/relationships/footer" Target="footer5.xml"/><Relationship Id="rId15" Type="http://schemas.openxmlformats.org/officeDocument/2006/relationships/header" Target="header9.xml"/><Relationship Id="rId14" Type="http://schemas.openxmlformats.org/officeDocument/2006/relationships/footer" Target="footer4.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footer" Target="footer3.xml"/><Relationship Id="rId10" Type="http://schemas.openxmlformats.org/officeDocument/2006/relationships/header" Target="head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129</Pages>
  <Words>20782</Words>
  <Characters>22341</Characters>
  <Lines>3628</Lines>
  <Paragraphs>2246</Paragraphs>
  <TotalTime>49</TotalTime>
  <ScaleCrop>false</ScaleCrop>
  <LinksUpToDate>false</LinksUpToDate>
  <CharactersWithSpaces>22414</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2026-04-28T07:24:00Z</dcterms:created>
  <dc:creator>柯 耀辉</dc:creator>
  <cp:lastModifiedBy>旗开得胜</cp:lastModifiedBy>
  <dcterms:modified xsi:type="dcterms:W3CDTF">2026-05-06T03:24:33Z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3527360FC3834C87A3E01C272EA0487C_13</vt:lpwstr>
  </property>
  <property fmtid="{D5CDD505-2E9C-101B-9397-08002B2CF9AE}" pid="4" name="KSOTemplateDocerSaveRecord">
    <vt:lpwstr>eyJoZGlkIjoiMzY2MzJmNjNjYWU5YzY5NTkwNzBiM2ViYzk5YjEzNDIiLCJ1c2VySWQiOiI0OTUxNjUwNjgifQ==</vt:lpwstr>
  </property>
</Properties>
</file>