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bookmarkStart w:id="555" w:name="_GoBack"/>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乳山银滩文化旅游有限公司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和尚洞环海路附属工程</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WHJX-ZB-2026-037</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和尚洞环海路附属工程（</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4</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和尚洞环海路附属工程</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和尚洞环海路附属工程</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05月14日14时00分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WHJX-ZB-2026-037</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和尚洞环海路附属工程</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和尚洞环海路附属工程</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1608000.00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04月30日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05月11日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04月30日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05月14日14时00分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05月14日14时00分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乳山银滩文化旅游有限公司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山东省威海市乳山市滨海新区长江路中段管委大厦868号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0631-6771368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04月30日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和尚洞环海路附属工程</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WHJX-ZB-2026-037</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乳山银滩文化旅游有限公司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山东省威海市乳山市滨海新区长江路中段管委大厦868号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翟晓伟</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0631-6771368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6"/>
                <w:rFonts w:hint="eastAsia" w:ascii="仿宋_GB2312" w:hAnsi="宋体" w:eastAsia="仿宋_GB2312"/>
                <w:color w:val="auto"/>
              </w:rPr>
              <w:t>http://ggzyjy.weihai.cn/rushan/</w:t>
            </w:r>
            <w:r>
              <w:rPr>
                <w:rStyle w:val="36"/>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1608000.00元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04月30日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05月14日14时00分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05月14日14时00分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工期：2026年06月30日前完工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代理服务费：参照发改价格〔2011〕534号文标准的80%收取。由成交单位在签订合同前向采购代理机构缴纳，包含在报价中。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具有市政公用工程项目负责人具有市政公用工程专业贰级及以上注册建造师执业资格证书和安全生产考核合格证（B证）证书扫描件；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和尚洞环海路附属工程</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WHJX-ZB-2026-037</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为完善和尚东环海路市政、绿化等服务配套，拟实施和尚洞环海路附属工程，主要包括土石方、人行道、绿化、路灯等内容，附属总面积6800平方米，控制价160.8万元。</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1"/>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和尚洞环海路附属工程</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1608000.00元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和尚洞环海路附属工程</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eastAsia="仿宋_GB2312"/>
                <w:color w:val="auto"/>
                <w:lang w:eastAsia="zh-CN"/>
              </w:rPr>
              <w:t>为完善和尚东环海路市政、绿化等服务配套，拟实施和尚洞环海路附属工程，主要包括土石方、人行道、绿化、路灯等内容，附属总面积6800平方米，控制价160.8万元。</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工期：2026年06月30日前完工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0A2963C4">
      <w:pPr>
        <w:pStyle w:val="38"/>
        <w:numPr>
          <w:ilvl w:val="0"/>
          <w:numId w:val="0"/>
        </w:numPr>
        <w:rPr>
          <w:rFonts w:hint="default" w:eastAsia="宋体"/>
          <w:color w:val="auto"/>
          <w:lang w:val="en-US" w:eastAsia="zh-CN"/>
        </w:rPr>
      </w:pPr>
      <w:r>
        <w:rPr>
          <w:rFonts w:hint="eastAsia"/>
          <w:color w:val="auto"/>
          <w:lang w:val="en-US" w:eastAsia="zh-CN"/>
        </w:rPr>
        <w:t xml:space="preserve">     </w:t>
      </w:r>
      <w:r>
        <w:rPr>
          <w:rFonts w:hint="eastAsia" w:ascii="仿宋_GB2312" w:hAnsi="宋体" w:eastAsia="仿宋_GB2312" w:cs="Times New Roman"/>
          <w:color w:val="auto"/>
          <w:kern w:val="2"/>
          <w:sz w:val="28"/>
          <w:szCs w:val="28"/>
          <w:lang w:val="en-US" w:eastAsia="zh-CN" w:bidi="ar-SA"/>
        </w:rPr>
        <w:t>本项目土方运输所涉及手续（包括但不限于土石方利用方案编制及送审、砂石平台交易等）需由中标单位负责办理及承担费用、工程产生的检测费用一切由中标单位承担。</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乳山银滩文化旅游有限公司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山东省威海市乳山市滨海新区长江路中段管委大厦868号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翟晓伟</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0631-6771368</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和尚洞环海路附属工程</w:t>
      </w:r>
    </w:p>
    <w:tbl>
      <w:tblPr>
        <w:tblStyle w:val="30"/>
        <w:tblW w:w="0" w:type="auto"/>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5"/>
      </w:tblGrid>
      <w:tr w14:paraId="6F07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8" w:hRule="atLeast"/>
        </w:trPr>
        <w:tc>
          <w:tcPr>
            <w:tcW w:w="9995" w:type="dxa"/>
            <w:tcBorders>
              <w:top w:val="single" w:color="auto" w:sz="4" w:space="0"/>
              <w:left w:val="single" w:color="auto" w:sz="4" w:space="0"/>
              <w:right w:val="single" w:color="auto" w:sz="4" w:space="0"/>
            </w:tcBorders>
            <w:noWrap w:val="0"/>
            <w:vAlign w:val="top"/>
          </w:tcPr>
          <w:p w14:paraId="06DEEAD5">
            <w:pPr>
              <w:tabs>
                <w:tab w:val="left" w:pos="412"/>
              </w:tabs>
              <w:adjustRightInd w:val="0"/>
              <w:snapToGrid w:val="0"/>
              <w:spacing w:line="580" w:lineRule="exact"/>
              <w:ind w:firstLine="482" w:firstLineChars="200"/>
              <w:rPr>
                <w:b/>
                <w:bCs/>
                <w:color w:val="auto"/>
                <w:sz w:val="24"/>
              </w:rPr>
            </w:pPr>
            <w:r>
              <w:rPr>
                <w:b/>
                <w:bCs/>
                <w:color w:val="auto"/>
                <w:sz w:val="24"/>
              </w:rPr>
              <w:t>1、投标人须知</w:t>
            </w:r>
          </w:p>
          <w:p w14:paraId="019D9509">
            <w:pPr>
              <w:adjustRightInd w:val="0"/>
              <w:snapToGrid w:val="0"/>
              <w:spacing w:line="580" w:lineRule="exact"/>
              <w:ind w:firstLine="480" w:firstLineChars="200"/>
              <w:rPr>
                <w:color w:val="auto"/>
                <w:sz w:val="24"/>
              </w:rPr>
            </w:pPr>
            <w:r>
              <w:rPr>
                <w:rFonts w:hAnsi="宋体"/>
                <w:color w:val="auto"/>
                <w:sz w:val="24"/>
              </w:rPr>
              <w:t>（</w:t>
            </w:r>
            <w:r>
              <w:rPr>
                <w:color w:val="auto"/>
                <w:sz w:val="24"/>
              </w:rPr>
              <w:t>1</w:t>
            </w:r>
            <w:r>
              <w:rPr>
                <w:rFonts w:hAnsi="宋体"/>
                <w:color w:val="auto"/>
                <w:sz w:val="24"/>
              </w:rPr>
              <w:t>）应按工程量清单报价格式规定的内容进行编制、填写、签字、盖章；</w:t>
            </w:r>
          </w:p>
          <w:p w14:paraId="75B480D1">
            <w:pPr>
              <w:adjustRightInd w:val="0"/>
              <w:snapToGrid w:val="0"/>
              <w:spacing w:line="580" w:lineRule="exact"/>
              <w:ind w:firstLine="480" w:firstLineChars="200"/>
              <w:rPr>
                <w:color w:val="auto"/>
                <w:sz w:val="24"/>
              </w:rPr>
            </w:pPr>
            <w:r>
              <w:rPr>
                <w:rFonts w:hAnsi="宋体"/>
                <w:color w:val="auto"/>
                <w:sz w:val="24"/>
              </w:rPr>
              <w:t>（</w:t>
            </w:r>
            <w:r>
              <w:rPr>
                <w:color w:val="auto"/>
                <w:sz w:val="24"/>
              </w:rPr>
              <w:t>2</w:t>
            </w:r>
            <w:r>
              <w:rPr>
                <w:rFonts w:hAnsi="宋体"/>
                <w:color w:val="auto"/>
                <w:sz w:val="24"/>
              </w:rPr>
              <w:t>）工程量清单及其报价格式中的任何内容不得随意删除或修改；</w:t>
            </w:r>
          </w:p>
          <w:p w14:paraId="71E75919">
            <w:pPr>
              <w:adjustRightInd w:val="0"/>
              <w:snapToGrid w:val="0"/>
              <w:spacing w:line="580" w:lineRule="exact"/>
              <w:ind w:firstLine="480" w:firstLineChars="200"/>
              <w:rPr>
                <w:color w:val="auto"/>
                <w:sz w:val="24"/>
              </w:rPr>
            </w:pPr>
            <w:r>
              <w:rPr>
                <w:rFonts w:hAnsi="宋体"/>
                <w:color w:val="auto"/>
                <w:sz w:val="24"/>
              </w:rPr>
              <w:t>（</w:t>
            </w:r>
            <w:r>
              <w:rPr>
                <w:color w:val="auto"/>
                <w:sz w:val="24"/>
              </w:rPr>
              <w:t>3</w:t>
            </w:r>
            <w:r>
              <w:rPr>
                <w:rFonts w:hAnsi="宋体"/>
                <w:color w:val="auto"/>
                <w:sz w:val="24"/>
              </w:rPr>
              <w:t>）工程量清单报价格式中所有需要填报的综合单价和合价，投标人均应填报，未填报的综合单价和合价视为此项费用已包含在工程量清单的其他综合单价或合价中；</w:t>
            </w:r>
          </w:p>
          <w:p w14:paraId="3BEBA09C">
            <w:pPr>
              <w:adjustRightInd w:val="0"/>
              <w:snapToGrid w:val="0"/>
              <w:spacing w:line="580" w:lineRule="exact"/>
              <w:ind w:firstLine="480" w:firstLineChars="200"/>
              <w:rPr>
                <w:color w:val="auto"/>
                <w:sz w:val="24"/>
              </w:rPr>
            </w:pPr>
            <w:r>
              <w:rPr>
                <w:rFonts w:hAnsi="宋体"/>
                <w:color w:val="auto"/>
                <w:sz w:val="24"/>
              </w:rPr>
              <w:t>（</w:t>
            </w:r>
            <w:r>
              <w:rPr>
                <w:color w:val="auto"/>
                <w:sz w:val="24"/>
              </w:rPr>
              <w:t>4</w:t>
            </w:r>
            <w:r>
              <w:rPr>
                <w:rFonts w:hAnsi="宋体"/>
                <w:color w:val="auto"/>
                <w:sz w:val="24"/>
              </w:rPr>
              <w:t>）金额（价格）均</w:t>
            </w:r>
            <w:r>
              <w:rPr>
                <w:color w:val="auto"/>
                <w:sz w:val="24"/>
              </w:rPr>
              <w:t>应以人民币表示；</w:t>
            </w:r>
          </w:p>
          <w:p w14:paraId="05F56749">
            <w:pPr>
              <w:adjustRightInd w:val="0"/>
              <w:snapToGrid w:val="0"/>
              <w:spacing w:line="580" w:lineRule="exact"/>
              <w:ind w:firstLine="480" w:firstLineChars="200"/>
              <w:rPr>
                <w:b/>
                <w:color w:val="auto"/>
                <w:sz w:val="24"/>
              </w:rPr>
            </w:pPr>
            <w:r>
              <w:rPr>
                <w:rFonts w:hAnsi="宋体"/>
                <w:color w:val="auto"/>
                <w:sz w:val="24"/>
              </w:rPr>
              <w:t>（</w:t>
            </w:r>
            <w:r>
              <w:rPr>
                <w:color w:val="auto"/>
                <w:sz w:val="24"/>
              </w:rPr>
              <w:t>5</w:t>
            </w:r>
            <w:r>
              <w:rPr>
                <w:rFonts w:hAnsi="宋体"/>
                <w:color w:val="auto"/>
                <w:sz w:val="24"/>
              </w:rPr>
              <w:t>）</w:t>
            </w:r>
            <w:r>
              <w:rPr>
                <w:b/>
                <w:color w:val="auto"/>
                <w:sz w:val="24"/>
              </w:rPr>
              <w:t>总说明中黑体字内容请投标人予以重点关注。</w:t>
            </w:r>
          </w:p>
          <w:p w14:paraId="233D77F6">
            <w:pPr>
              <w:adjustRightInd w:val="0"/>
              <w:snapToGrid w:val="0"/>
              <w:spacing w:line="580" w:lineRule="exact"/>
              <w:ind w:firstLine="482" w:firstLineChars="200"/>
              <w:rPr>
                <w:b/>
                <w:bCs/>
                <w:color w:val="auto"/>
                <w:sz w:val="24"/>
              </w:rPr>
            </w:pPr>
            <w:r>
              <w:rPr>
                <w:b/>
                <w:bCs/>
                <w:color w:val="auto"/>
                <w:sz w:val="24"/>
              </w:rPr>
              <w:t>2、工程概况</w:t>
            </w:r>
          </w:p>
          <w:p w14:paraId="6F083ED9">
            <w:pPr>
              <w:autoSpaceDE w:val="0"/>
              <w:autoSpaceDN w:val="0"/>
              <w:adjustRightInd w:val="0"/>
              <w:snapToGrid w:val="0"/>
              <w:spacing w:line="580" w:lineRule="exact"/>
              <w:ind w:firstLine="528" w:firstLineChars="200"/>
              <w:jc w:val="left"/>
              <w:rPr>
                <w:bCs/>
                <w:color w:val="auto"/>
                <w:spacing w:val="12"/>
                <w:sz w:val="24"/>
                <w:highlight w:val="yellow"/>
              </w:rPr>
            </w:pPr>
            <w:r>
              <w:rPr>
                <w:bCs/>
                <w:color w:val="auto"/>
                <w:spacing w:val="12"/>
                <w:sz w:val="24"/>
              </w:rPr>
              <w:t>本次清单编制项目为</w:t>
            </w:r>
            <w:r>
              <w:rPr>
                <w:rFonts w:hint="eastAsia"/>
                <w:bCs/>
                <w:color w:val="auto"/>
                <w:spacing w:val="12"/>
                <w:sz w:val="24"/>
                <w:lang w:eastAsia="zh-CN"/>
              </w:rPr>
              <w:t>和尚洞环海路附属工程</w:t>
            </w:r>
            <w:r>
              <w:rPr>
                <w:bCs/>
                <w:color w:val="auto"/>
                <w:spacing w:val="12"/>
                <w:sz w:val="24"/>
              </w:rPr>
              <w:t>，</w:t>
            </w:r>
            <w:r>
              <w:rPr>
                <w:rFonts w:hint="eastAsia"/>
                <w:bCs/>
                <w:color w:val="auto"/>
                <w:spacing w:val="12"/>
                <w:sz w:val="24"/>
                <w:highlight w:val="none"/>
              </w:rPr>
              <w:t>本工程位于乳山市滨海新区境内，道路总体呈南北走向，起点位于长江路，终点位于乳山农发集团规划地块，路线全长1.038公里</w:t>
            </w:r>
            <w:r>
              <w:rPr>
                <w:bCs/>
                <w:color w:val="auto"/>
                <w:spacing w:val="12"/>
                <w:sz w:val="24"/>
                <w:highlight w:val="none"/>
              </w:rPr>
              <w:t>。</w:t>
            </w:r>
          </w:p>
          <w:p w14:paraId="2CCDBCE1">
            <w:pPr>
              <w:adjustRightInd w:val="0"/>
              <w:snapToGrid w:val="0"/>
              <w:spacing w:line="580" w:lineRule="exact"/>
              <w:ind w:firstLine="482" w:firstLineChars="200"/>
              <w:rPr>
                <w:b/>
                <w:bCs/>
                <w:color w:val="auto"/>
                <w:sz w:val="24"/>
                <w:highlight w:val="yellow"/>
              </w:rPr>
            </w:pPr>
            <w:r>
              <w:rPr>
                <w:b/>
                <w:bCs/>
                <w:color w:val="auto"/>
                <w:sz w:val="24"/>
              </w:rPr>
              <w:t>3、工程编制范</w:t>
            </w:r>
            <w:r>
              <w:rPr>
                <w:b/>
                <w:bCs/>
                <w:color w:val="auto"/>
                <w:sz w:val="24"/>
                <w:highlight w:val="none"/>
              </w:rPr>
              <w:t>围：本工程编制内容包括</w:t>
            </w:r>
            <w:r>
              <w:rPr>
                <w:rFonts w:hint="eastAsia"/>
                <w:b/>
                <w:bCs/>
                <w:color w:val="auto"/>
                <w:sz w:val="24"/>
                <w:highlight w:val="none"/>
                <w:lang w:eastAsia="zh-CN"/>
              </w:rPr>
              <w:t>和尚洞环海路附属工程</w:t>
            </w:r>
            <w:r>
              <w:rPr>
                <w:rFonts w:hint="eastAsia"/>
                <w:b/>
                <w:bCs/>
                <w:color w:val="auto"/>
                <w:sz w:val="24"/>
                <w:highlight w:val="none"/>
                <w:lang w:val="en-US" w:eastAsia="zh-CN"/>
              </w:rPr>
              <w:t>的园路工程、路灯工程、绿化工程</w:t>
            </w:r>
            <w:r>
              <w:rPr>
                <w:b/>
                <w:bCs/>
                <w:color w:val="auto"/>
                <w:sz w:val="24"/>
                <w:highlight w:val="none"/>
              </w:rPr>
              <w:t>等，详见施工图内容及工程编制特别说明。</w:t>
            </w:r>
          </w:p>
          <w:p w14:paraId="154DB727">
            <w:pPr>
              <w:adjustRightInd w:val="0"/>
              <w:snapToGrid w:val="0"/>
              <w:spacing w:line="580" w:lineRule="exact"/>
              <w:ind w:firstLine="482" w:firstLineChars="200"/>
              <w:rPr>
                <w:b/>
                <w:bCs/>
                <w:color w:val="auto"/>
                <w:sz w:val="24"/>
              </w:rPr>
            </w:pPr>
            <w:r>
              <w:rPr>
                <w:b/>
                <w:bCs/>
                <w:color w:val="auto"/>
                <w:sz w:val="24"/>
              </w:rPr>
              <w:t>4、工程量清单编制依据</w:t>
            </w:r>
          </w:p>
          <w:p w14:paraId="6C9C7F9E">
            <w:pPr>
              <w:autoSpaceDE w:val="0"/>
              <w:autoSpaceDN w:val="0"/>
              <w:adjustRightInd w:val="0"/>
              <w:snapToGrid w:val="0"/>
              <w:spacing w:line="580" w:lineRule="exact"/>
              <w:ind w:firstLine="480" w:firstLineChars="200"/>
              <w:rPr>
                <w:color w:val="auto"/>
                <w:spacing w:val="8"/>
                <w:sz w:val="24"/>
              </w:rPr>
            </w:pPr>
            <w:r>
              <w:rPr>
                <w:rFonts w:hAnsi="宋体"/>
                <w:bCs/>
                <w:color w:val="auto"/>
                <w:sz w:val="24"/>
              </w:rPr>
              <w:t>（</w:t>
            </w:r>
            <w:r>
              <w:rPr>
                <w:bCs/>
                <w:color w:val="auto"/>
                <w:sz w:val="24"/>
              </w:rPr>
              <w:t>1</w:t>
            </w:r>
            <w:r>
              <w:rPr>
                <w:rFonts w:hAnsi="宋体"/>
                <w:bCs/>
                <w:color w:val="auto"/>
                <w:sz w:val="24"/>
              </w:rPr>
              <w:t>）</w:t>
            </w:r>
            <w:r>
              <w:rPr>
                <w:rFonts w:hint="eastAsia"/>
                <w:bCs/>
                <w:color w:val="auto"/>
                <w:sz w:val="24"/>
              </w:rPr>
              <w:t>北方工程设计研究院有限公司</w:t>
            </w:r>
            <w:r>
              <w:rPr>
                <w:rFonts w:hAnsi="宋体"/>
                <w:color w:val="auto"/>
                <w:spacing w:val="8"/>
                <w:sz w:val="24"/>
              </w:rPr>
              <w:t>设计的</w:t>
            </w:r>
            <w:r>
              <w:rPr>
                <w:rFonts w:hint="eastAsia"/>
                <w:bCs/>
                <w:color w:val="auto"/>
                <w:spacing w:val="12"/>
                <w:sz w:val="24"/>
                <w:lang w:eastAsia="zh-CN"/>
              </w:rPr>
              <w:t>和尚洞环海路附属工程</w:t>
            </w:r>
            <w:r>
              <w:rPr>
                <w:rFonts w:ascii="宋体" w:hAnsi="宋体"/>
                <w:color w:val="auto"/>
                <w:sz w:val="24"/>
              </w:rPr>
              <w:t>施工图纸</w:t>
            </w:r>
            <w:r>
              <w:rPr>
                <w:rFonts w:hint="eastAsia" w:ascii="宋体" w:hAnsi="宋体"/>
                <w:color w:val="auto"/>
                <w:sz w:val="24"/>
                <w:lang w:eastAsia="zh-CN"/>
              </w:rPr>
              <w:t>、</w:t>
            </w:r>
            <w:r>
              <w:rPr>
                <w:rFonts w:hint="eastAsia" w:ascii="宋体" w:hAnsi="宋体"/>
                <w:color w:val="auto"/>
                <w:sz w:val="24"/>
                <w:lang w:val="en-US" w:eastAsia="zh-CN"/>
              </w:rPr>
              <w:t>答疑及结合现场实际情况考虑</w:t>
            </w:r>
            <w:r>
              <w:rPr>
                <w:rFonts w:hAnsi="宋体"/>
                <w:color w:val="auto"/>
                <w:spacing w:val="8"/>
                <w:sz w:val="24"/>
              </w:rPr>
              <w:t>；</w:t>
            </w:r>
          </w:p>
          <w:p w14:paraId="48DC06D7">
            <w:pPr>
              <w:autoSpaceDE w:val="0"/>
              <w:autoSpaceDN w:val="0"/>
              <w:adjustRightInd w:val="0"/>
              <w:snapToGrid w:val="0"/>
              <w:spacing w:line="580" w:lineRule="exact"/>
              <w:ind w:firstLine="480" w:firstLineChars="200"/>
              <w:rPr>
                <w:bCs/>
                <w:color w:val="auto"/>
                <w:sz w:val="24"/>
              </w:rPr>
            </w:pPr>
            <w:r>
              <w:rPr>
                <w:rFonts w:hAnsi="宋体"/>
                <w:bCs/>
                <w:color w:val="auto"/>
                <w:sz w:val="24"/>
              </w:rPr>
              <w:t>（</w:t>
            </w:r>
            <w:r>
              <w:rPr>
                <w:bCs/>
                <w:color w:val="auto"/>
                <w:sz w:val="24"/>
              </w:rPr>
              <w:t>2</w:t>
            </w:r>
            <w:r>
              <w:rPr>
                <w:rFonts w:hAnsi="宋体"/>
                <w:bCs/>
                <w:color w:val="auto"/>
                <w:sz w:val="24"/>
              </w:rPr>
              <w:t>）</w:t>
            </w:r>
            <w:r>
              <w:rPr>
                <w:rFonts w:hint="eastAsia"/>
                <w:bCs/>
                <w:color w:val="auto"/>
                <w:sz w:val="24"/>
              </w:rPr>
              <w:t>2025年9月1日起执行的</w:t>
            </w:r>
            <w:r>
              <w:rPr>
                <w:rFonts w:hint="eastAsia"/>
                <w:color w:val="auto"/>
                <w:spacing w:val="8"/>
                <w:sz w:val="24"/>
                <w:szCs w:val="24"/>
                <w:highlight w:val="none"/>
              </w:rPr>
              <w:t>GB/T50500-2024《建设工程工程量清单计价标准》、</w:t>
            </w:r>
            <w:r>
              <w:rPr>
                <w:rFonts w:hint="eastAsia"/>
                <w:bCs/>
                <w:color w:val="auto"/>
                <w:sz w:val="24"/>
              </w:rPr>
              <w:t>GB/T50857-2024《市政工程工程量计算标准》</w:t>
            </w:r>
            <w:r>
              <w:rPr>
                <w:rFonts w:hint="eastAsia"/>
                <w:bCs/>
                <w:color w:val="auto"/>
                <w:sz w:val="24"/>
                <w:lang w:eastAsia="zh-CN"/>
              </w:rPr>
              <w:t>、GB/T50858</w:t>
            </w:r>
            <w:r>
              <w:rPr>
                <w:rFonts w:hint="eastAsia"/>
                <w:bCs/>
                <w:color w:val="auto"/>
                <w:sz w:val="24"/>
                <w:lang w:val="en-US" w:eastAsia="zh-CN"/>
              </w:rPr>
              <w:t>-2024</w:t>
            </w:r>
            <w:r>
              <w:rPr>
                <w:rFonts w:hint="eastAsia"/>
                <w:bCs/>
                <w:color w:val="auto"/>
                <w:sz w:val="24"/>
                <w:lang w:eastAsia="zh-CN"/>
              </w:rPr>
              <w:t>《园林绿化工程工程量计算标准》</w:t>
            </w:r>
            <w:r>
              <w:rPr>
                <w:bCs/>
                <w:color w:val="auto"/>
                <w:sz w:val="24"/>
              </w:rPr>
              <w:t>。</w:t>
            </w:r>
          </w:p>
          <w:p w14:paraId="59E3B1FA">
            <w:pPr>
              <w:adjustRightInd w:val="0"/>
              <w:snapToGrid w:val="0"/>
              <w:spacing w:line="580" w:lineRule="exact"/>
              <w:ind w:firstLine="482" w:firstLineChars="200"/>
              <w:rPr>
                <w:color w:val="auto"/>
                <w:sz w:val="24"/>
              </w:rPr>
            </w:pPr>
            <w:r>
              <w:rPr>
                <w:b/>
                <w:bCs/>
                <w:color w:val="auto"/>
                <w:sz w:val="24"/>
              </w:rPr>
              <w:t>5</w:t>
            </w:r>
            <w:r>
              <w:rPr>
                <w:b/>
                <w:color w:val="auto"/>
                <w:sz w:val="24"/>
              </w:rPr>
              <w:t>、</w:t>
            </w:r>
            <w:r>
              <w:rPr>
                <w:color w:val="auto"/>
                <w:sz w:val="24"/>
              </w:rPr>
              <w:t>投标人应按山东省清单计价规则规定的统一格式，提供</w:t>
            </w:r>
            <w:r>
              <w:rPr>
                <w:rFonts w:hint="eastAsia"/>
                <w:color w:val="auto"/>
                <w:sz w:val="24"/>
              </w:rPr>
              <w:t>“</w:t>
            </w:r>
            <w:r>
              <w:rPr>
                <w:rFonts w:hint="eastAsia"/>
                <w:color w:val="auto"/>
                <w:sz w:val="24"/>
                <w:lang w:val="en-US" w:eastAsia="zh-CN"/>
              </w:rPr>
              <w:t>工程项目清单汇总表</w:t>
            </w:r>
            <w:r>
              <w:rPr>
                <w:rFonts w:hint="eastAsia"/>
                <w:color w:val="auto"/>
                <w:sz w:val="24"/>
              </w:rPr>
              <w:t>”</w:t>
            </w:r>
            <w:r>
              <w:rPr>
                <w:color w:val="auto"/>
                <w:sz w:val="24"/>
              </w:rPr>
              <w:t>、</w:t>
            </w:r>
            <w:r>
              <w:rPr>
                <w:rFonts w:hint="eastAsia"/>
                <w:color w:val="auto"/>
                <w:sz w:val="24"/>
              </w:rPr>
              <w:t>“</w:t>
            </w:r>
            <w:r>
              <w:rPr>
                <w:color w:val="auto"/>
                <w:sz w:val="24"/>
              </w:rPr>
              <w:t>分部分项</w:t>
            </w:r>
            <w:r>
              <w:rPr>
                <w:rFonts w:hint="eastAsia"/>
                <w:color w:val="auto"/>
                <w:sz w:val="24"/>
                <w:lang w:val="en-US" w:eastAsia="zh-CN"/>
              </w:rPr>
              <w:t>工程项目清单计价表</w:t>
            </w:r>
            <w:r>
              <w:rPr>
                <w:rFonts w:hint="eastAsia"/>
                <w:color w:val="auto"/>
                <w:sz w:val="24"/>
              </w:rPr>
              <w:t>”</w:t>
            </w:r>
            <w:r>
              <w:rPr>
                <w:color w:val="auto"/>
                <w:sz w:val="24"/>
              </w:rPr>
              <w:t>、</w:t>
            </w:r>
            <w:r>
              <w:rPr>
                <w:rFonts w:hint="eastAsia"/>
                <w:color w:val="auto"/>
                <w:sz w:val="24"/>
              </w:rPr>
              <w:t>“</w:t>
            </w:r>
            <w:r>
              <w:rPr>
                <w:color w:val="auto"/>
                <w:sz w:val="24"/>
              </w:rPr>
              <w:t>措施项目清单计价表</w:t>
            </w:r>
            <w:r>
              <w:rPr>
                <w:rFonts w:hint="eastAsia"/>
                <w:color w:val="auto"/>
                <w:sz w:val="24"/>
              </w:rPr>
              <w:t>”</w:t>
            </w:r>
            <w:r>
              <w:rPr>
                <w:color w:val="auto"/>
                <w:sz w:val="24"/>
              </w:rPr>
              <w:t>、</w:t>
            </w:r>
            <w:r>
              <w:rPr>
                <w:rFonts w:hint="eastAsia"/>
                <w:color w:val="auto"/>
                <w:sz w:val="24"/>
              </w:rPr>
              <w:t>“</w:t>
            </w:r>
            <w:r>
              <w:rPr>
                <w:color w:val="auto"/>
                <w:sz w:val="24"/>
              </w:rPr>
              <w:t>其他项目清单计价表</w:t>
            </w:r>
            <w:r>
              <w:rPr>
                <w:rFonts w:hint="eastAsia"/>
                <w:color w:val="auto"/>
                <w:sz w:val="24"/>
              </w:rPr>
              <w:t>”</w:t>
            </w:r>
            <w:r>
              <w:rPr>
                <w:color w:val="auto"/>
                <w:sz w:val="24"/>
              </w:rPr>
              <w:t>、</w:t>
            </w:r>
            <w:r>
              <w:rPr>
                <w:rFonts w:hint="eastAsia"/>
                <w:color w:val="auto"/>
                <w:sz w:val="24"/>
              </w:rPr>
              <w:t>“分</w:t>
            </w:r>
            <w:r>
              <w:rPr>
                <w:color w:val="auto"/>
                <w:sz w:val="24"/>
              </w:rPr>
              <w:t>部分项工程</w:t>
            </w:r>
            <w:r>
              <w:rPr>
                <w:rFonts w:hint="eastAsia"/>
                <w:color w:val="auto"/>
                <w:sz w:val="24"/>
                <w:lang w:val="en-US" w:eastAsia="zh-CN"/>
              </w:rPr>
              <w:t>项目</w:t>
            </w:r>
            <w:r>
              <w:rPr>
                <w:color w:val="auto"/>
                <w:sz w:val="24"/>
              </w:rPr>
              <w:t>清单综合单价分析表</w:t>
            </w:r>
            <w:r>
              <w:rPr>
                <w:rFonts w:hint="eastAsia"/>
                <w:color w:val="auto"/>
                <w:sz w:val="24"/>
              </w:rPr>
              <w:t>”</w:t>
            </w:r>
            <w:r>
              <w:rPr>
                <w:color w:val="auto"/>
                <w:sz w:val="24"/>
              </w:rPr>
              <w:t>、</w:t>
            </w:r>
            <w:r>
              <w:rPr>
                <w:rFonts w:hint="eastAsia"/>
                <w:color w:val="auto"/>
                <w:sz w:val="24"/>
              </w:rPr>
              <w:t>“</w:t>
            </w:r>
            <w:r>
              <w:rPr>
                <w:color w:val="auto"/>
                <w:sz w:val="24"/>
              </w:rPr>
              <w:t>措施项目</w:t>
            </w:r>
            <w:r>
              <w:rPr>
                <w:rFonts w:hint="eastAsia"/>
                <w:color w:val="auto"/>
                <w:sz w:val="24"/>
                <w:lang w:val="en-US" w:eastAsia="zh-CN"/>
              </w:rPr>
              <w:t>清单构成明细</w:t>
            </w:r>
            <w:r>
              <w:rPr>
                <w:color w:val="auto"/>
                <w:sz w:val="24"/>
              </w:rPr>
              <w:t>分析表</w:t>
            </w:r>
            <w:r>
              <w:rPr>
                <w:rFonts w:hint="eastAsia"/>
                <w:color w:val="auto"/>
                <w:sz w:val="24"/>
              </w:rPr>
              <w:t>”</w:t>
            </w:r>
            <w:r>
              <w:rPr>
                <w:color w:val="auto"/>
                <w:sz w:val="24"/>
              </w:rPr>
              <w:t>、</w:t>
            </w:r>
            <w:r>
              <w:rPr>
                <w:rFonts w:hint="eastAsia"/>
                <w:color w:val="auto"/>
                <w:sz w:val="24"/>
                <w:lang w:eastAsia="zh-CN"/>
              </w:rPr>
              <w:t>“</w:t>
            </w:r>
            <w:r>
              <w:rPr>
                <w:rFonts w:hint="eastAsia"/>
                <w:color w:val="auto"/>
                <w:sz w:val="24"/>
                <w:lang w:val="en-US" w:eastAsia="zh-CN"/>
              </w:rPr>
              <w:t>措施项目费用分拆表</w:t>
            </w:r>
            <w:r>
              <w:rPr>
                <w:rFonts w:hint="eastAsia"/>
                <w:color w:val="auto"/>
                <w:sz w:val="24"/>
                <w:lang w:eastAsia="zh-CN"/>
              </w:rPr>
              <w:t>”、“</w:t>
            </w:r>
            <w:r>
              <w:rPr>
                <w:rFonts w:hint="eastAsia"/>
                <w:color w:val="auto"/>
                <w:sz w:val="24"/>
                <w:lang w:val="en-US" w:eastAsia="zh-CN"/>
              </w:rPr>
              <w:t>大型机械进出场及安拆费用组成明细表</w:t>
            </w:r>
            <w:r>
              <w:rPr>
                <w:rFonts w:hint="eastAsia"/>
                <w:color w:val="auto"/>
                <w:sz w:val="24"/>
                <w:lang w:eastAsia="zh-CN"/>
              </w:rPr>
              <w:t>”</w:t>
            </w:r>
            <w:r>
              <w:rPr>
                <w:rFonts w:hint="eastAsia"/>
                <w:color w:val="auto"/>
                <w:sz w:val="24"/>
              </w:rPr>
              <w:t>、“</w:t>
            </w:r>
            <w:r>
              <w:rPr>
                <w:rFonts w:hint="eastAsia"/>
                <w:color w:val="auto"/>
                <w:sz w:val="24"/>
                <w:lang w:val="en-US" w:eastAsia="zh-CN"/>
              </w:rPr>
              <w:t>增值税计价表</w:t>
            </w:r>
            <w:r>
              <w:rPr>
                <w:rFonts w:hint="eastAsia"/>
                <w:color w:val="auto"/>
                <w:sz w:val="24"/>
              </w:rPr>
              <w:t>”</w:t>
            </w:r>
            <w:r>
              <w:rPr>
                <w:color w:val="auto"/>
                <w:sz w:val="24"/>
              </w:rPr>
              <w:t>。</w:t>
            </w:r>
          </w:p>
          <w:p w14:paraId="1449541A">
            <w:pPr>
              <w:adjustRightInd w:val="0"/>
              <w:snapToGrid w:val="0"/>
              <w:spacing w:line="580" w:lineRule="exact"/>
              <w:ind w:firstLine="482" w:firstLineChars="200"/>
              <w:rPr>
                <w:b/>
                <w:bCs/>
                <w:color w:val="auto"/>
                <w:sz w:val="24"/>
              </w:rPr>
            </w:pPr>
            <w:r>
              <w:rPr>
                <w:b/>
                <w:bCs/>
                <w:color w:val="auto"/>
                <w:sz w:val="24"/>
              </w:rPr>
              <w:t>6</w:t>
            </w:r>
            <w:r>
              <w:rPr>
                <w:color w:val="auto"/>
                <w:sz w:val="24"/>
              </w:rPr>
              <w:t>、投标单位必须详细根据施工图纸内容及现场可预见项目进行计算</w:t>
            </w:r>
            <w:r>
              <w:rPr>
                <w:bCs/>
                <w:color w:val="auto"/>
                <w:sz w:val="24"/>
              </w:rPr>
              <w:t>。若投标人对工程量清单中的工程子项及其工程量有异议，则应在接到工程量清单后</w:t>
            </w:r>
            <w:r>
              <w:rPr>
                <w:rFonts w:hint="eastAsia"/>
                <w:bCs/>
                <w:color w:val="auto"/>
                <w:sz w:val="24"/>
              </w:rPr>
              <w:t>答疑期限</w:t>
            </w:r>
            <w:r>
              <w:rPr>
                <w:bCs/>
                <w:color w:val="auto"/>
                <w:sz w:val="24"/>
              </w:rPr>
              <w:t>内提出。</w:t>
            </w:r>
            <w:r>
              <w:rPr>
                <w:b/>
                <w:bCs/>
                <w:color w:val="auto"/>
                <w:sz w:val="24"/>
              </w:rPr>
              <w:t>若在工程量清单</w:t>
            </w:r>
            <w:r>
              <w:rPr>
                <w:rFonts w:hint="eastAsia"/>
                <w:b/>
                <w:bCs/>
                <w:color w:val="auto"/>
                <w:sz w:val="24"/>
              </w:rPr>
              <w:t>答疑期限</w:t>
            </w:r>
            <w:r>
              <w:rPr>
                <w:b/>
                <w:bCs/>
                <w:color w:val="auto"/>
                <w:sz w:val="24"/>
              </w:rPr>
              <w:t>内，投标人未能提出异议，则视为投标人已完全接受该工程量清单，且招标人认为投标人的投标报价已包含了工程施工图纸中与本次招标相关的全部内容</w:t>
            </w:r>
            <w:r>
              <w:rPr>
                <w:rFonts w:hint="eastAsia"/>
                <w:b/>
                <w:bCs/>
                <w:color w:val="auto"/>
                <w:sz w:val="24"/>
              </w:rPr>
              <w:t>（</w:t>
            </w:r>
            <w:r>
              <w:rPr>
                <w:b/>
                <w:bCs/>
                <w:color w:val="auto"/>
                <w:sz w:val="24"/>
              </w:rPr>
              <w:t>施工期间可能发生的工程设计变更、现场签证除外）。</w:t>
            </w:r>
          </w:p>
          <w:p w14:paraId="54E39A0D">
            <w:pPr>
              <w:adjustRightInd w:val="0"/>
              <w:snapToGrid w:val="0"/>
              <w:spacing w:line="580" w:lineRule="exact"/>
              <w:ind w:firstLine="482" w:firstLineChars="200"/>
              <w:rPr>
                <w:rFonts w:hint="eastAsia"/>
                <w:b/>
                <w:bCs/>
                <w:color w:val="auto"/>
                <w:sz w:val="24"/>
                <w:highlight w:val="yellow"/>
              </w:rPr>
            </w:pPr>
            <w:r>
              <w:rPr>
                <w:b/>
                <w:bCs/>
                <w:color w:val="auto"/>
                <w:sz w:val="24"/>
              </w:rPr>
              <w:t>7、</w:t>
            </w:r>
            <w:r>
              <w:rPr>
                <w:rFonts w:hint="eastAsia"/>
                <w:color w:val="auto"/>
                <w:sz w:val="24"/>
              </w:rPr>
              <w:t>“</w:t>
            </w:r>
            <w:r>
              <w:rPr>
                <w:color w:val="auto"/>
                <w:sz w:val="24"/>
              </w:rPr>
              <w:t>措施项目清单</w:t>
            </w:r>
            <w:r>
              <w:rPr>
                <w:rFonts w:hint="eastAsia"/>
                <w:color w:val="auto"/>
                <w:sz w:val="24"/>
              </w:rPr>
              <w:t>”</w:t>
            </w:r>
            <w:r>
              <w:rPr>
                <w:color w:val="auto"/>
                <w:sz w:val="24"/>
              </w:rPr>
              <w:t>投标人应根据施工方案或施工组织设计及自身企业情况，结合工程实际，充分考虑施工过程中发生的所有费用。</w:t>
            </w:r>
          </w:p>
          <w:p w14:paraId="0FE4CD33">
            <w:pPr>
              <w:adjustRightInd w:val="0"/>
              <w:snapToGrid w:val="0"/>
              <w:spacing w:line="580" w:lineRule="exact"/>
              <w:ind w:firstLine="480" w:firstLineChars="200"/>
              <w:rPr>
                <w:b/>
                <w:color w:val="auto"/>
                <w:sz w:val="24"/>
              </w:rPr>
            </w:pPr>
            <w:r>
              <w:rPr>
                <w:bCs/>
                <w:color w:val="auto"/>
                <w:sz w:val="24"/>
              </w:rPr>
              <w:t>8、</w:t>
            </w:r>
            <w:r>
              <w:rPr>
                <w:rFonts w:hint="eastAsia"/>
                <w:color w:val="auto"/>
                <w:sz w:val="24"/>
              </w:rPr>
              <w:t>投标人填报之清单综合单价应包含完成对应项目所发生的人工费、材料和工程设备费、施工机具使用费和企业管理费、利润以及一定范围内的风险费用</w:t>
            </w:r>
            <w:r>
              <w:rPr>
                <w:rFonts w:hint="eastAsia"/>
                <w:color w:val="auto"/>
                <w:sz w:val="24"/>
                <w:highlight w:val="none"/>
              </w:rPr>
              <w:t>（</w:t>
            </w:r>
            <w:r>
              <w:rPr>
                <w:rFonts w:hint="eastAsia"/>
                <w:b/>
                <w:color w:val="auto"/>
                <w:sz w:val="24"/>
                <w:highlight w:val="none"/>
              </w:rPr>
              <w:t>特别应充分考虑施工期间人工、材料、机械等价格上涨可能带来的各项风险因素，以后不再调整）。</w:t>
            </w:r>
            <w:r>
              <w:rPr>
                <w:rFonts w:hint="eastAsia"/>
                <w:b/>
                <w:color w:val="auto"/>
                <w:sz w:val="24"/>
              </w:rPr>
              <w:t>投标报价优惠应体现在综合单价中，不得汇总报价后再进行优惠下浮。</w:t>
            </w:r>
            <w:r>
              <w:rPr>
                <w:rFonts w:hint="eastAsia" w:ascii="宋体" w:hAnsi="宋体"/>
                <w:b/>
                <w:color w:val="auto"/>
                <w:sz w:val="24"/>
              </w:rPr>
              <w:t>投标总报价应是招标文件所确定招标范围内的全部工程内容的价格体现</w:t>
            </w:r>
            <w:r>
              <w:rPr>
                <w:rFonts w:hint="eastAsia" w:ascii="宋体" w:hAnsi="宋体"/>
                <w:b/>
                <w:color w:val="auto"/>
                <w:sz w:val="24"/>
                <w:lang w:eastAsia="zh-CN"/>
              </w:rPr>
              <w:t>(含暂列金额)</w:t>
            </w:r>
            <w:r>
              <w:rPr>
                <w:rFonts w:hint="eastAsia" w:ascii="宋体" w:hAnsi="宋体"/>
                <w:b/>
                <w:color w:val="auto"/>
                <w:sz w:val="24"/>
              </w:rPr>
              <w:t>。包括合同中明示或暗示的一切风险、责任、义务</w:t>
            </w:r>
            <w:r>
              <w:rPr>
                <w:rFonts w:hint="eastAsia"/>
                <w:b/>
                <w:color w:val="auto"/>
                <w:sz w:val="24"/>
              </w:rPr>
              <w:t>和国家法律、法规和地方政府规范性文件规定的所有费用。</w:t>
            </w:r>
          </w:p>
          <w:p w14:paraId="30AFB430">
            <w:pPr>
              <w:adjustRightInd w:val="0"/>
              <w:snapToGrid w:val="0"/>
              <w:spacing w:line="580" w:lineRule="exact"/>
              <w:ind w:firstLine="472" w:firstLineChars="196"/>
              <w:rPr>
                <w:b/>
                <w:bCs/>
                <w:color w:val="auto"/>
                <w:sz w:val="24"/>
              </w:rPr>
            </w:pPr>
            <w:r>
              <w:rPr>
                <w:b/>
                <w:bCs/>
                <w:color w:val="auto"/>
                <w:sz w:val="24"/>
              </w:rPr>
              <w:t>9、清单编制问题说明</w:t>
            </w:r>
          </w:p>
          <w:p w14:paraId="47A15CF6">
            <w:pPr>
              <w:adjustRightInd w:val="0"/>
              <w:snapToGrid w:val="0"/>
              <w:spacing w:line="560" w:lineRule="exact"/>
              <w:ind w:firstLine="470" w:firstLineChars="196"/>
              <w:rPr>
                <w:rFonts w:hint="eastAsia"/>
                <w:b w:val="0"/>
                <w:bCs w:val="0"/>
                <w:color w:val="auto"/>
                <w:sz w:val="24"/>
                <w:highlight w:val="none"/>
              </w:rPr>
            </w:pPr>
            <w:r>
              <w:rPr>
                <w:rFonts w:hint="eastAsia"/>
                <w:b w:val="0"/>
                <w:bCs w:val="0"/>
                <w:color w:val="auto"/>
                <w:sz w:val="24"/>
                <w:highlight w:val="none"/>
              </w:rPr>
              <w:t>（1）本工程土石方类别投标单位应自行勘查现场综合考虑，结算时综合单价不再调整；</w:t>
            </w:r>
          </w:p>
          <w:p w14:paraId="40DF65FC">
            <w:pPr>
              <w:adjustRightInd w:val="0"/>
              <w:snapToGrid w:val="0"/>
              <w:spacing w:line="560" w:lineRule="exact"/>
              <w:ind w:firstLine="470" w:firstLineChars="196"/>
              <w:rPr>
                <w:rFonts w:hint="eastAsia"/>
                <w:b w:val="0"/>
                <w:bCs w:val="0"/>
                <w:color w:val="auto"/>
                <w:sz w:val="24"/>
                <w:highlight w:val="none"/>
                <w:lang w:val="en-US" w:eastAsia="zh-CN"/>
              </w:rPr>
            </w:pPr>
            <w:r>
              <w:rPr>
                <w:rFonts w:hint="eastAsia"/>
                <w:b w:val="0"/>
                <w:bCs w:val="0"/>
                <w:color w:val="auto"/>
                <w:sz w:val="24"/>
                <w:highlight w:val="none"/>
              </w:rPr>
              <w:t>（2）</w:t>
            </w:r>
            <w:r>
              <w:rPr>
                <w:rFonts w:hint="eastAsia"/>
                <w:b w:val="0"/>
                <w:bCs w:val="0"/>
                <w:color w:val="auto"/>
                <w:sz w:val="24"/>
                <w:highlight w:val="none"/>
                <w:lang w:val="en-US" w:eastAsia="zh-CN"/>
              </w:rPr>
              <w:t>本项目暂列金按68,355.02元计入总价</w:t>
            </w:r>
            <w:r>
              <w:rPr>
                <w:rFonts w:hint="eastAsia"/>
                <w:b w:val="0"/>
                <w:bCs w:val="0"/>
                <w:color w:val="auto"/>
                <w:sz w:val="24"/>
                <w:highlight w:val="none"/>
              </w:rPr>
              <w:t>；</w:t>
            </w:r>
          </w:p>
          <w:p w14:paraId="628065CA">
            <w:pPr>
              <w:adjustRightInd w:val="0"/>
              <w:snapToGrid w:val="0"/>
              <w:spacing w:line="560" w:lineRule="exact"/>
              <w:ind w:firstLine="470" w:firstLineChars="196"/>
              <w:rPr>
                <w:bCs/>
                <w:color w:val="auto"/>
                <w:sz w:val="24"/>
                <w:highlight w:val="none"/>
              </w:rPr>
            </w:pPr>
            <w:r>
              <w:rPr>
                <w:rFonts w:hint="eastAsia"/>
                <w:b w:val="0"/>
                <w:bCs w:val="0"/>
                <w:color w:val="auto"/>
                <w:sz w:val="24"/>
                <w:highlight w:val="none"/>
                <w:lang w:val="en-US" w:eastAsia="zh-CN"/>
              </w:rPr>
              <w:t>（3）</w:t>
            </w:r>
            <w:r>
              <w:rPr>
                <w:rFonts w:hint="eastAsia"/>
                <w:color w:val="auto"/>
                <w:spacing w:val="8"/>
                <w:sz w:val="24"/>
                <w:highlight w:val="none"/>
                <w:lang w:eastAsia="zh-CN"/>
              </w:rPr>
              <w:t>本项目</w:t>
            </w:r>
            <w:r>
              <w:rPr>
                <w:rFonts w:hint="eastAsia"/>
                <w:color w:val="auto"/>
                <w:spacing w:val="8"/>
                <w:sz w:val="24"/>
                <w:highlight w:val="none"/>
                <w:lang w:val="en-US" w:eastAsia="zh-CN"/>
              </w:rPr>
              <w:t>景石</w:t>
            </w:r>
            <w:r>
              <w:rPr>
                <w:rFonts w:hint="eastAsia"/>
                <w:color w:val="auto"/>
                <w:spacing w:val="8"/>
                <w:sz w:val="24"/>
                <w:highlight w:val="none"/>
                <w:lang w:eastAsia="zh-CN"/>
              </w:rPr>
              <w:t>按</w:t>
            </w:r>
            <w:r>
              <w:rPr>
                <w:rFonts w:hint="eastAsia"/>
                <w:color w:val="auto"/>
                <w:spacing w:val="8"/>
                <w:sz w:val="24"/>
                <w:highlight w:val="none"/>
                <w:lang w:val="en-US" w:eastAsia="zh-CN"/>
              </w:rPr>
              <w:t>专业工程暂估价19,000.00</w:t>
            </w:r>
            <w:r>
              <w:rPr>
                <w:rFonts w:hint="eastAsia"/>
                <w:color w:val="auto"/>
                <w:spacing w:val="8"/>
                <w:sz w:val="24"/>
                <w:highlight w:val="none"/>
                <w:lang w:eastAsia="zh-CN"/>
              </w:rPr>
              <w:t>元计入总价</w:t>
            </w:r>
            <w:r>
              <w:rPr>
                <w:rFonts w:hint="eastAsia"/>
                <w:b w:val="0"/>
                <w:bCs w:val="0"/>
                <w:color w:val="auto"/>
                <w:sz w:val="24"/>
                <w:highlight w:val="none"/>
              </w:rPr>
              <w:t>；</w:t>
            </w:r>
          </w:p>
          <w:p w14:paraId="75DC9EFB">
            <w:pPr>
              <w:adjustRightInd w:val="0"/>
              <w:snapToGrid w:val="0"/>
              <w:spacing w:line="560" w:lineRule="exact"/>
              <w:ind w:firstLine="470" w:firstLineChars="196"/>
              <w:rPr>
                <w:rFonts w:hint="eastAsia"/>
                <w:bCs/>
                <w:color w:val="auto"/>
                <w:sz w:val="24"/>
                <w:highlight w:val="none"/>
              </w:rPr>
            </w:pPr>
            <w:r>
              <w:rPr>
                <w:rFonts w:hint="eastAsia"/>
                <w:b w:val="0"/>
                <w:bCs w:val="0"/>
                <w:color w:val="auto"/>
                <w:sz w:val="24"/>
                <w:highlight w:val="none"/>
              </w:rPr>
              <w:t>（</w:t>
            </w:r>
            <w:r>
              <w:rPr>
                <w:rFonts w:hint="eastAsia"/>
                <w:b w:val="0"/>
                <w:bCs w:val="0"/>
                <w:color w:val="auto"/>
                <w:sz w:val="24"/>
                <w:highlight w:val="none"/>
                <w:lang w:val="en-US" w:eastAsia="zh-CN"/>
              </w:rPr>
              <w:t>4</w:t>
            </w:r>
            <w:r>
              <w:rPr>
                <w:rFonts w:hint="eastAsia"/>
                <w:b w:val="0"/>
                <w:bCs w:val="0"/>
                <w:color w:val="auto"/>
                <w:sz w:val="24"/>
                <w:highlight w:val="none"/>
              </w:rPr>
              <w:t>）图纸中不明确的做法，</w:t>
            </w:r>
            <w:r>
              <w:rPr>
                <w:rFonts w:hint="eastAsia"/>
                <w:b w:val="0"/>
                <w:bCs w:val="0"/>
                <w:color w:val="auto"/>
                <w:sz w:val="24"/>
                <w:highlight w:val="none"/>
                <w:lang w:val="en-US" w:eastAsia="zh-CN"/>
              </w:rPr>
              <w:t>结合现场实际情况</w:t>
            </w:r>
            <w:r>
              <w:rPr>
                <w:rFonts w:hint="eastAsia"/>
                <w:b w:val="0"/>
                <w:bCs w:val="0"/>
                <w:color w:val="auto"/>
                <w:sz w:val="24"/>
                <w:highlight w:val="none"/>
              </w:rPr>
              <w:t>考虑</w:t>
            </w:r>
            <w:r>
              <w:rPr>
                <w:bCs/>
                <w:color w:val="auto"/>
                <w:sz w:val="24"/>
                <w:highlight w:val="none"/>
              </w:rPr>
              <w:t>。</w:t>
            </w:r>
          </w:p>
          <w:p w14:paraId="137BCF71">
            <w:pPr>
              <w:adjustRightInd w:val="0"/>
              <w:snapToGrid w:val="0"/>
              <w:spacing w:line="560" w:lineRule="exact"/>
              <w:ind w:firstLine="472" w:firstLineChars="196"/>
              <w:rPr>
                <w:b/>
                <w:bCs/>
                <w:color w:val="auto"/>
                <w:sz w:val="24"/>
                <w:highlight w:val="none"/>
              </w:rPr>
            </w:pPr>
            <w:r>
              <w:rPr>
                <w:b/>
                <w:bCs/>
                <w:color w:val="auto"/>
                <w:sz w:val="24"/>
                <w:highlight w:val="none"/>
              </w:rPr>
              <w:t>10、招标若有工程量清单电子版则仅作参考，我公司所出具并加盖公章的正式书面文本所含内容才具有法律意义上的投标价值。</w:t>
            </w:r>
          </w:p>
          <w:p w14:paraId="255AB06B">
            <w:pPr>
              <w:adjustRightInd w:val="0"/>
              <w:snapToGrid w:val="0"/>
              <w:spacing w:line="560" w:lineRule="exact"/>
              <w:ind w:firstLine="472" w:firstLineChars="196"/>
              <w:rPr>
                <w:b/>
                <w:bCs/>
                <w:color w:val="auto"/>
                <w:sz w:val="24"/>
              </w:rPr>
            </w:pPr>
          </w:p>
          <w:p w14:paraId="0B84AD02">
            <w:pPr>
              <w:adjustRightInd w:val="0"/>
              <w:snapToGrid w:val="0"/>
              <w:spacing w:line="560" w:lineRule="exact"/>
              <w:ind w:firstLine="472" w:firstLineChars="196"/>
              <w:rPr>
                <w:b/>
                <w:bCs/>
                <w:color w:val="auto"/>
                <w:sz w:val="24"/>
              </w:rPr>
            </w:pPr>
          </w:p>
        </w:tc>
      </w:tr>
    </w:tbl>
    <w:p w14:paraId="052A84E6">
      <w:pPr>
        <w:pStyle w:val="28"/>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1"/>
              <w:ind w:firstLine="0"/>
              <w:jc w:val="center"/>
              <w:rPr>
                <w:rFonts w:ascii="仿宋_GB2312" w:hAnsi="宋体" w:eastAsia="仿宋_GB2312"/>
                <w:color w:val="auto"/>
                <w:sz w:val="24"/>
                <w:szCs w:val="24"/>
              </w:rPr>
            </w:pPr>
          </w:p>
          <w:p w14:paraId="7AE8932D">
            <w:pPr>
              <w:pStyle w:val="11"/>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2B9C3116">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2213E14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w:t>
            </w:r>
          </w:p>
          <w:p w14:paraId="6FB7054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分基础上减0.1分；</w:t>
            </w:r>
          </w:p>
          <w:p w14:paraId="5B53ACB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分的基础上减0.1分，扣完为止。</w:t>
            </w:r>
          </w:p>
          <w:p w14:paraId="34151264">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276F451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72BB71FA">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1C107B1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6EA1514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1"/>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1"/>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报价供应商近3年（指从开标日向前推算，精确到日，以此类推，以合同签订时间为准）完成类似业绩每有一项得1分，最高得3分；</w:t>
            </w:r>
          </w:p>
          <w:p w14:paraId="796237A2">
            <w:pPr>
              <w:pStyle w:val="11"/>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1"/>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和尚洞环海路附属工程</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WHJX-ZB-2026-037</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WHJX-ZB-2026-037</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和尚洞环海路附属工程</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WHJX-ZB-2026-037</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乳山银滩文化旅游有限公司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和尚洞环海路附属工程</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WHJX-ZB-2026-037</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和尚洞环海路附属工程</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乳山银滩文化旅游有限公司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乳山银滩文化旅游有限公司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和尚洞环海路附属工程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和尚洞环海路附属工程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为完善和尚东环海路市政、绿化等服务配套，拟实施和尚洞环海路附属工程，主要包括土石方、人行道、绿化、路灯等内容，附属总面积</w:t>
      </w:r>
      <w:r>
        <w:rPr>
          <w:rFonts w:hint="default" w:ascii="仿宋" w:hAnsi="仿宋" w:eastAsia="仿宋" w:cs="仿宋"/>
          <w:bCs/>
          <w:color w:val="auto"/>
          <w:sz w:val="28"/>
          <w:szCs w:val="24"/>
          <w:lang w:val="en-US" w:eastAsia="zh-CN"/>
        </w:rPr>
        <w:t>6800</w:t>
      </w:r>
      <w:r>
        <w:rPr>
          <w:rFonts w:hint="eastAsia" w:ascii="仿宋" w:hAnsi="仿宋" w:eastAsia="仿宋" w:cs="仿宋"/>
          <w:bCs/>
          <w:color w:val="auto"/>
          <w:sz w:val="28"/>
          <w:szCs w:val="24"/>
          <w:lang w:val="en-US" w:eastAsia="zh-CN"/>
        </w:rPr>
        <w:t>平方米。</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乳山银滩文化旅游有限公司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30214"/>
      <w:bookmarkStart w:id="16" w:name="_Toc384733604"/>
      <w:bookmarkStart w:id="17" w:name="_Toc11188081"/>
      <w:bookmarkStart w:id="18" w:name="_Toc29007"/>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384733605"/>
      <w:bookmarkStart w:id="20" w:name="_Toc25666"/>
      <w:bookmarkStart w:id="21" w:name="_Toc11188082"/>
      <w:bookmarkStart w:id="22" w:name="_Toc8295"/>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7120456"/>
      <w:bookmarkStart w:id="25" w:name="_Toc292559361"/>
      <w:bookmarkStart w:id="26" w:name="_Toc296347155"/>
      <w:bookmarkStart w:id="27" w:name="_Toc296891196"/>
      <w:bookmarkStart w:id="28" w:name="_Toc296346657"/>
      <w:bookmarkStart w:id="29" w:name="_Toc296944495"/>
      <w:bookmarkStart w:id="30" w:name="_Toc297048342"/>
      <w:bookmarkStart w:id="31" w:name="_Toc296503156"/>
      <w:bookmarkStart w:id="32" w:name="_Toc296890984"/>
      <w:bookmarkStart w:id="33" w:name="_Toc292559866"/>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3539100"/>
      <w:bookmarkStart w:id="35" w:name="_Toc300934943"/>
      <w:bookmarkStart w:id="36" w:name="_Toc318581155"/>
      <w:bookmarkStart w:id="37" w:name="_Toc304295521"/>
      <w:bookmarkStart w:id="38" w:name="_Toc312677986"/>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3539101"/>
      <w:bookmarkStart w:id="40" w:name="_Toc312677987"/>
      <w:bookmarkStart w:id="41" w:name="_Toc318581156"/>
      <w:bookmarkStart w:id="42" w:name="_Toc304295522"/>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347156"/>
      <w:bookmarkStart w:id="47" w:name="_Toc296944496"/>
      <w:bookmarkStart w:id="48" w:name="_Toc292559867"/>
      <w:bookmarkStart w:id="49" w:name="_Toc296346658"/>
      <w:bookmarkStart w:id="50" w:name="_Toc296503157"/>
      <w:bookmarkStart w:id="51" w:name="_Toc297048343"/>
      <w:bookmarkStart w:id="52" w:name="_Toc296891197"/>
      <w:bookmarkStart w:id="53" w:name="_Toc296890985"/>
      <w:bookmarkStart w:id="54" w:name="_Toc292559362"/>
      <w:bookmarkStart w:id="55" w:name="_Toc29712045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6890986"/>
      <w:bookmarkStart w:id="58" w:name="_Toc297048344"/>
      <w:bookmarkStart w:id="59" w:name="_Toc292559363"/>
      <w:bookmarkStart w:id="60" w:name="_Toc296891198"/>
      <w:bookmarkStart w:id="61" w:name="_Toc296503158"/>
      <w:bookmarkStart w:id="62" w:name="_Toc296346659"/>
      <w:bookmarkStart w:id="63" w:name="_Toc297120458"/>
      <w:bookmarkStart w:id="64" w:name="_Toc296944497"/>
      <w:bookmarkStart w:id="65" w:name="_Toc296347157"/>
      <w:bookmarkStart w:id="66" w:name="_Toc292559868"/>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2559869"/>
      <w:bookmarkStart w:id="68" w:name="_Toc296347158"/>
      <w:bookmarkStart w:id="69" w:name="_Toc296346660"/>
      <w:bookmarkStart w:id="70" w:name="_Toc297216151"/>
      <w:bookmarkStart w:id="71" w:name="_Toc297123492"/>
      <w:bookmarkStart w:id="72" w:name="_Toc297048345"/>
      <w:bookmarkStart w:id="73" w:name="_Toc300934945"/>
      <w:bookmarkStart w:id="74" w:name="_Toc297120459"/>
      <w:bookmarkStart w:id="75" w:name="_Toc312677988"/>
      <w:bookmarkStart w:id="76" w:name="_Toc296891199"/>
      <w:bookmarkStart w:id="77" w:name="_Toc303539102"/>
      <w:bookmarkStart w:id="78" w:name="_Toc304295523"/>
      <w:bookmarkStart w:id="79" w:name="_Toc296890987"/>
      <w:bookmarkStart w:id="80" w:name="_Toc296503159"/>
      <w:bookmarkStart w:id="81" w:name="_Toc292559364"/>
      <w:bookmarkStart w:id="82" w:name="_Toc296944498"/>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891200"/>
      <w:bookmarkStart w:id="84" w:name="_Toc292559870"/>
      <w:bookmarkStart w:id="85" w:name="_Toc300934946"/>
      <w:bookmarkStart w:id="86" w:name="_Toc296347159"/>
      <w:bookmarkStart w:id="87" w:name="_Toc296944499"/>
      <w:bookmarkStart w:id="88" w:name="_Toc292559365"/>
      <w:bookmarkStart w:id="89" w:name="_Toc297216152"/>
      <w:bookmarkStart w:id="90" w:name="_Toc304295524"/>
      <w:bookmarkStart w:id="91" w:name="_Toc296503160"/>
      <w:bookmarkStart w:id="92" w:name="_Toc297048346"/>
      <w:bookmarkStart w:id="93" w:name="_Toc297123493"/>
      <w:bookmarkStart w:id="94" w:name="_Toc297120460"/>
      <w:bookmarkStart w:id="95" w:name="_Toc296346661"/>
      <w:bookmarkStart w:id="96" w:name="_Toc303539103"/>
      <w:bookmarkStart w:id="97" w:name="_Toc296890988"/>
      <w:bookmarkStart w:id="98" w:name="_Toc318581158"/>
      <w:bookmarkStart w:id="99" w:name="_Toc312677989"/>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890989"/>
      <w:bookmarkStart w:id="101" w:name="_Toc300934947"/>
      <w:bookmarkStart w:id="102" w:name="_Toc297216153"/>
      <w:bookmarkStart w:id="103" w:name="_Toc296503161"/>
      <w:bookmarkStart w:id="104" w:name="_Toc296891201"/>
      <w:bookmarkStart w:id="105" w:name="_Toc297048347"/>
      <w:bookmarkStart w:id="106" w:name="_Toc297120461"/>
      <w:bookmarkStart w:id="107" w:name="_Toc296944500"/>
      <w:bookmarkStart w:id="108" w:name="_Toc304295525"/>
      <w:bookmarkStart w:id="109" w:name="_Toc296346662"/>
      <w:bookmarkStart w:id="110" w:name="_Toc296347160"/>
      <w:bookmarkStart w:id="111" w:name="_Toc297123494"/>
      <w:bookmarkStart w:id="112" w:name="_Toc303539104"/>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346663"/>
      <w:bookmarkStart w:id="117" w:name="_Toc292559871"/>
      <w:bookmarkStart w:id="118" w:name="_Toc292559366"/>
      <w:bookmarkStart w:id="119" w:name="_Toc296890990"/>
      <w:bookmarkStart w:id="120" w:name="_Toc296503162"/>
      <w:bookmarkStart w:id="121" w:name="_Toc296891202"/>
      <w:bookmarkStart w:id="122" w:name="_Toc296944501"/>
      <w:bookmarkStart w:id="123" w:name="_Toc296347161"/>
      <w:bookmarkStart w:id="124" w:name="_Toc267251413"/>
      <w:bookmarkStart w:id="125" w:name="_Toc297120462"/>
      <w:bookmarkStart w:id="126" w:name="_Toc297048348"/>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890991"/>
      <w:bookmarkStart w:id="130" w:name="_Toc297120463"/>
      <w:bookmarkStart w:id="131" w:name="_Toc292559872"/>
      <w:bookmarkStart w:id="132" w:name="_Toc296944502"/>
      <w:bookmarkStart w:id="133" w:name="_Toc296891203"/>
      <w:bookmarkStart w:id="134" w:name="_Toc297048349"/>
      <w:bookmarkStart w:id="135" w:name="_Toc296347162"/>
      <w:bookmarkStart w:id="136" w:name="_Toc296503163"/>
      <w:bookmarkStart w:id="137" w:name="_Toc292559367"/>
      <w:bookmarkStart w:id="138" w:name="_Toc296346664"/>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297123496"/>
      <w:bookmarkStart w:id="140" w:name="_Toc318581164"/>
      <w:bookmarkStart w:id="141" w:name="_Toc304295527"/>
      <w:bookmarkStart w:id="142" w:name="_Toc297216155"/>
      <w:bookmarkStart w:id="143" w:name="_Toc312677997"/>
      <w:bookmarkStart w:id="144" w:name="_Toc303539106"/>
      <w:bookmarkStart w:id="145" w:name="_Toc300934949"/>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0934966"/>
      <w:bookmarkStart w:id="149" w:name="_Toc312677479"/>
      <w:bookmarkStart w:id="150" w:name="_Toc297216173"/>
      <w:bookmarkStart w:id="151" w:name="_Toc304295541"/>
      <w:bookmarkStart w:id="152" w:name="_Toc303539123"/>
      <w:bookmarkStart w:id="153" w:name="_Toc297123514"/>
      <w:bookmarkStart w:id="154" w:name="_Toc312678005"/>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3539125"/>
      <w:bookmarkStart w:id="156" w:name="_Toc312677484"/>
      <w:bookmarkStart w:id="157" w:name="_Toc297216175"/>
      <w:bookmarkStart w:id="158" w:name="_Toc300934968"/>
      <w:bookmarkStart w:id="159" w:name="_Toc312678010"/>
      <w:bookmarkStart w:id="160" w:name="_Toc297123516"/>
      <w:bookmarkStart w:id="161" w:name="_Toc30429554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2677486"/>
      <w:bookmarkStart w:id="164" w:name="_Toc318581169"/>
      <w:bookmarkStart w:id="165" w:name="_Toc303539127"/>
      <w:bookmarkStart w:id="166" w:name="_Toc297216177"/>
      <w:bookmarkStart w:id="167" w:name="_Toc304295548"/>
      <w:bookmarkStart w:id="168" w:name="_Toc300934970"/>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0934971"/>
      <w:bookmarkStart w:id="176" w:name="_Toc297216178"/>
      <w:bookmarkStart w:id="177" w:name="_Toc297123519"/>
      <w:bookmarkStart w:id="178" w:name="_Toc303539128"/>
      <w:bookmarkStart w:id="179" w:name="_Toc304295549"/>
      <w:bookmarkStart w:id="180" w:name="_Toc312678015"/>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123520"/>
      <w:bookmarkStart w:id="182" w:name="_Toc312678016"/>
      <w:bookmarkStart w:id="183" w:name="_Toc297216179"/>
      <w:bookmarkStart w:id="184" w:name="_Toc304295550"/>
      <w:bookmarkStart w:id="185" w:name="_Toc303539129"/>
      <w:bookmarkStart w:id="186" w:name="_Toc318581172"/>
      <w:bookmarkStart w:id="187" w:name="_Toc3009349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216180"/>
      <w:bookmarkStart w:id="189" w:name="_Toc304295551"/>
      <w:bookmarkStart w:id="190" w:name="_Toc300934973"/>
      <w:bookmarkStart w:id="191" w:name="_Toc312678017"/>
      <w:bookmarkStart w:id="192" w:name="_Toc297123521"/>
      <w:bookmarkStart w:id="193" w:name="_Toc303539130"/>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6347166"/>
      <w:bookmarkStart w:id="196" w:name="_Toc312677493"/>
      <w:bookmarkStart w:id="197" w:name="_Toc297120467"/>
      <w:bookmarkStart w:id="198" w:name="_Toc292559372"/>
      <w:bookmarkStart w:id="199" w:name="_Toc312678019"/>
      <w:bookmarkStart w:id="200" w:name="_Toc297123527"/>
      <w:bookmarkStart w:id="201" w:name="_Toc300934979"/>
      <w:bookmarkStart w:id="202" w:name="_Toc296944506"/>
      <w:bookmarkStart w:id="203" w:name="_Toc297048353"/>
      <w:bookmarkStart w:id="204" w:name="_Toc296503167"/>
      <w:bookmarkStart w:id="205" w:name="_Toc303539136"/>
      <w:bookmarkStart w:id="206" w:name="_Toc296346668"/>
      <w:bookmarkStart w:id="207" w:name="_Toc296890995"/>
      <w:bookmarkStart w:id="208" w:name="_Toc304295556"/>
      <w:bookmarkStart w:id="209" w:name="_Toc292559877"/>
      <w:bookmarkStart w:id="210" w:name="_Toc297216186"/>
      <w:bookmarkStart w:id="211" w:name="_Toc280868654"/>
      <w:bookmarkStart w:id="212" w:name="_Toc296891207"/>
      <w:bookmarkStart w:id="213" w:name="_Toc280868656"/>
      <w:bookmarkStart w:id="214" w:name="_Toc267251424"/>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297123528"/>
      <w:bookmarkStart w:id="219" w:name="_Toc318581173"/>
      <w:bookmarkStart w:id="220" w:name="_Toc297048354"/>
      <w:bookmarkStart w:id="221" w:name="_Toc296347167"/>
      <w:bookmarkStart w:id="222" w:name="_Toc296944507"/>
      <w:bookmarkStart w:id="223" w:name="_Toc304295557"/>
      <w:bookmarkStart w:id="224" w:name="_Toc312677494"/>
      <w:bookmarkStart w:id="225" w:name="_Toc300934980"/>
      <w:bookmarkStart w:id="226" w:name="_Toc296503168"/>
      <w:bookmarkStart w:id="227" w:name="_Toc297120468"/>
      <w:bookmarkStart w:id="228" w:name="_Toc303539137"/>
      <w:bookmarkStart w:id="229" w:name="_Toc296890996"/>
      <w:bookmarkStart w:id="230" w:name="_Toc297216187"/>
      <w:bookmarkStart w:id="231" w:name="_Toc296346669"/>
      <w:bookmarkStart w:id="232" w:name="_Toc296891208"/>
      <w:bookmarkStart w:id="233" w:name="_Toc312678020"/>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12677495"/>
      <w:bookmarkStart w:id="236" w:name="_Toc297123533"/>
      <w:bookmarkStart w:id="237" w:name="_Toc304295559"/>
      <w:bookmarkStart w:id="238" w:name="_Toc303539139"/>
      <w:bookmarkStart w:id="239" w:name="_Toc312678021"/>
      <w:bookmarkStart w:id="240" w:name="_Toc300934982"/>
      <w:bookmarkStart w:id="241" w:name="_Toc297216192"/>
      <w:bookmarkStart w:id="242" w:name="_Toc267251428"/>
      <w:bookmarkStart w:id="243" w:name="_Toc267251427"/>
      <w:bookmarkStart w:id="244" w:name="_Toc296346674"/>
      <w:bookmarkStart w:id="245" w:name="_Toc297048359"/>
      <w:bookmarkStart w:id="246" w:name="_Toc297120473"/>
      <w:bookmarkStart w:id="247" w:name="_Toc292559378"/>
      <w:bookmarkStart w:id="248" w:name="_Toc296944512"/>
      <w:bookmarkStart w:id="249" w:name="_Toc296891213"/>
      <w:bookmarkStart w:id="250" w:name="_Toc296347172"/>
      <w:bookmarkStart w:id="251" w:name="_Toc296503173"/>
      <w:bookmarkStart w:id="252" w:name="_Toc292559883"/>
      <w:bookmarkStart w:id="253" w:name="_Toc296891001"/>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4295560"/>
      <w:bookmarkStart w:id="255" w:name="_Toc300934983"/>
      <w:bookmarkStart w:id="256" w:name="_Toc312677496"/>
      <w:bookmarkStart w:id="257" w:name="_Toc297123534"/>
      <w:bookmarkStart w:id="258" w:name="_Toc297216193"/>
      <w:bookmarkStart w:id="259" w:name="_Toc312678022"/>
      <w:bookmarkStart w:id="260" w:name="_Toc303539140"/>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12678023"/>
      <w:bookmarkStart w:id="262" w:name="_Toc297123535"/>
      <w:bookmarkStart w:id="263" w:name="_Toc300934984"/>
      <w:bookmarkStart w:id="264" w:name="_Toc312677497"/>
      <w:bookmarkStart w:id="265" w:name="_Toc303539141"/>
      <w:bookmarkStart w:id="266" w:name="_Toc297216194"/>
      <w:bookmarkStart w:id="267" w:name="_Toc30429556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12677498"/>
      <w:bookmarkStart w:id="270" w:name="_Toc304295562"/>
      <w:bookmarkStart w:id="271" w:name="_Toc303539142"/>
      <w:bookmarkStart w:id="272" w:name="_Toc297123536"/>
      <w:bookmarkStart w:id="273" w:name="_Toc312678024"/>
      <w:bookmarkStart w:id="274" w:name="_Toc300934985"/>
      <w:bookmarkStart w:id="275" w:name="_Toc297216195"/>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7123540"/>
      <w:bookmarkStart w:id="278" w:name="_Toc296347192"/>
      <w:bookmarkStart w:id="279" w:name="_Toc296891233"/>
      <w:bookmarkStart w:id="280" w:name="_Toc297120493"/>
      <w:bookmarkStart w:id="281" w:name="_Toc296503193"/>
      <w:bookmarkStart w:id="282" w:name="_Toc296346694"/>
      <w:bookmarkStart w:id="283" w:name="_Toc297216199"/>
      <w:bookmarkStart w:id="284" w:name="_Toc296891021"/>
      <w:bookmarkStart w:id="285" w:name="_Toc297048379"/>
      <w:bookmarkStart w:id="286" w:name="_Toc303539146"/>
      <w:bookmarkStart w:id="287" w:name="_Toc292559398"/>
      <w:bookmarkStart w:id="288" w:name="_Toc300934989"/>
      <w:bookmarkStart w:id="289" w:name="_Toc292559903"/>
      <w:bookmarkStart w:id="290" w:name="_Toc304295566"/>
      <w:bookmarkStart w:id="291" w:name="_Toc296944532"/>
      <w:bookmarkStart w:id="292" w:name="_Toc312678025"/>
      <w:bookmarkStart w:id="293" w:name="_Toc312677499"/>
      <w:bookmarkStart w:id="294" w:name="_Toc267251435"/>
      <w:bookmarkStart w:id="295" w:name="_Toc267251439"/>
      <w:bookmarkStart w:id="296" w:name="_Toc267251433"/>
      <w:bookmarkStart w:id="297" w:name="_Toc267251440"/>
      <w:bookmarkStart w:id="298" w:name="_Toc267251437"/>
      <w:bookmarkStart w:id="299" w:name="_Toc267251441"/>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312678026"/>
      <w:bookmarkStart w:id="302" w:name="_Toc297120494"/>
      <w:bookmarkStart w:id="303" w:name="_Toc292559904"/>
      <w:bookmarkStart w:id="304" w:name="_Toc312677500"/>
      <w:bookmarkStart w:id="305" w:name="_Toc296891022"/>
      <w:bookmarkStart w:id="306" w:name="_Toc304295567"/>
      <w:bookmarkStart w:id="307" w:name="_Toc300934990"/>
      <w:bookmarkStart w:id="308" w:name="_Toc297216200"/>
      <w:bookmarkStart w:id="309" w:name="_Toc296346695"/>
      <w:bookmarkStart w:id="310" w:name="_Toc296503194"/>
      <w:bookmarkStart w:id="311" w:name="_Toc292559399"/>
      <w:bookmarkStart w:id="312" w:name="_Toc296347193"/>
      <w:bookmarkStart w:id="313" w:name="_Toc296891234"/>
      <w:bookmarkStart w:id="314" w:name="_Toc297123541"/>
      <w:bookmarkStart w:id="315" w:name="_Toc303539147"/>
      <w:bookmarkStart w:id="316" w:name="_Toc296944533"/>
      <w:bookmarkStart w:id="317" w:name="_Toc297048380"/>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7216203"/>
      <w:bookmarkStart w:id="319" w:name="_Toc292559907"/>
      <w:bookmarkStart w:id="320" w:name="_Toc303539150"/>
      <w:bookmarkStart w:id="321" w:name="_Toc297120497"/>
      <w:bookmarkStart w:id="322" w:name="_Toc296891237"/>
      <w:bookmarkStart w:id="323" w:name="_Toc292559402"/>
      <w:bookmarkStart w:id="324" w:name="_Toc296347196"/>
      <w:bookmarkStart w:id="325" w:name="_Toc300934993"/>
      <w:bookmarkStart w:id="326" w:name="_Toc296346698"/>
      <w:bookmarkStart w:id="327" w:name="_Toc297123544"/>
      <w:bookmarkStart w:id="328" w:name="_Toc296944536"/>
      <w:bookmarkStart w:id="329" w:name="_Toc296891025"/>
      <w:bookmarkStart w:id="330" w:name="_Toc297048383"/>
      <w:bookmarkStart w:id="331" w:name="_Toc296503197"/>
      <w:bookmarkStart w:id="332" w:name="_Toc304295570"/>
      <w:bookmarkStart w:id="333" w:name="_Toc312677503"/>
      <w:bookmarkStart w:id="334" w:name="_Toc312678029"/>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2559913"/>
      <w:bookmarkStart w:id="336" w:name="_Toc296891243"/>
      <w:bookmarkStart w:id="337" w:name="_Toc296347202"/>
      <w:bookmarkStart w:id="338" w:name="_Toc296346704"/>
      <w:bookmarkStart w:id="339" w:name="_Toc292559408"/>
      <w:bookmarkStart w:id="340" w:name="_Toc303539151"/>
      <w:bookmarkStart w:id="341" w:name="_Toc296503203"/>
      <w:bookmarkStart w:id="342" w:name="_Toc297123545"/>
      <w:bookmarkStart w:id="343" w:name="_Toc296944542"/>
      <w:bookmarkStart w:id="344" w:name="_Toc297120503"/>
      <w:bookmarkStart w:id="345" w:name="_Toc297216204"/>
      <w:bookmarkStart w:id="346" w:name="_Toc297048389"/>
      <w:bookmarkStart w:id="347" w:name="_Toc300934994"/>
      <w:bookmarkStart w:id="348" w:name="_Toc296891031"/>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312677504"/>
      <w:bookmarkStart w:id="350" w:name="_Toc297048390"/>
      <w:bookmarkStart w:id="351" w:name="_Toc296503204"/>
      <w:bookmarkStart w:id="352" w:name="_Toc292559914"/>
      <w:bookmarkStart w:id="353" w:name="_Toc296347203"/>
      <w:bookmarkStart w:id="354" w:name="_Toc297120504"/>
      <w:bookmarkStart w:id="355" w:name="_Toc300934995"/>
      <w:bookmarkStart w:id="356" w:name="_Toc312678030"/>
      <w:bookmarkStart w:id="357" w:name="_Toc296944543"/>
      <w:bookmarkStart w:id="358" w:name="_Toc296891244"/>
      <w:bookmarkStart w:id="359" w:name="_Toc296891032"/>
      <w:bookmarkStart w:id="360" w:name="_Toc297123546"/>
      <w:bookmarkStart w:id="361" w:name="_Toc303539152"/>
      <w:bookmarkStart w:id="362" w:name="_Toc296346705"/>
      <w:bookmarkStart w:id="363" w:name="_Toc297216205"/>
      <w:bookmarkStart w:id="364" w:name="_Toc318581175"/>
      <w:bookmarkStart w:id="365" w:name="_Toc304295571"/>
      <w:bookmarkStart w:id="366" w:name="_Toc292559409"/>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304295574"/>
      <w:bookmarkStart w:id="368" w:name="_Toc297048385"/>
      <w:bookmarkStart w:id="369" w:name="_Toc292559404"/>
      <w:bookmarkStart w:id="370" w:name="_Toc296891239"/>
      <w:bookmarkStart w:id="371" w:name="_Toc300934997"/>
      <w:bookmarkStart w:id="372" w:name="_Toc297216207"/>
      <w:bookmarkStart w:id="373" w:name="_Toc312678033"/>
      <w:bookmarkStart w:id="374" w:name="_Toc312677507"/>
      <w:bookmarkStart w:id="375" w:name="_Toc296347198"/>
      <w:bookmarkStart w:id="376" w:name="_Toc297123548"/>
      <w:bookmarkStart w:id="377" w:name="_Toc296944538"/>
      <w:bookmarkStart w:id="378" w:name="_Toc296891027"/>
      <w:bookmarkStart w:id="379" w:name="_Toc297120499"/>
      <w:bookmarkStart w:id="380" w:name="_Toc296503199"/>
      <w:bookmarkStart w:id="381" w:name="_Toc296346700"/>
      <w:bookmarkStart w:id="382" w:name="_Toc303539154"/>
      <w:bookmarkStart w:id="383" w:name="_Toc292559909"/>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8034"/>
      <w:bookmarkStart w:id="385" w:name="_Toc312677508"/>
      <w:bookmarkStart w:id="386" w:name="_Toc318581176"/>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2678035"/>
      <w:bookmarkStart w:id="389" w:name="_Toc318581177"/>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120501"/>
      <w:bookmarkStart w:id="392" w:name="_Toc296891241"/>
      <w:bookmarkStart w:id="393" w:name="_Toc312678039"/>
      <w:bookmarkStart w:id="394" w:name="_Toc303539157"/>
      <w:bookmarkStart w:id="395" w:name="_Toc304295577"/>
      <w:bookmarkStart w:id="396" w:name="_Toc297216209"/>
      <w:bookmarkStart w:id="397" w:name="_Toc296346702"/>
      <w:bookmarkStart w:id="398" w:name="_Toc297048387"/>
      <w:bookmarkStart w:id="399" w:name="_Toc297123550"/>
      <w:bookmarkStart w:id="400" w:name="_Toc296503201"/>
      <w:bookmarkStart w:id="401" w:name="_Toc296891029"/>
      <w:bookmarkStart w:id="402" w:name="_Toc292559406"/>
      <w:bookmarkStart w:id="403" w:name="_Toc292559911"/>
      <w:bookmarkStart w:id="404" w:name="_Toc296944540"/>
      <w:bookmarkStart w:id="405" w:name="_Toc300935000"/>
      <w:bookmarkStart w:id="406" w:name="_Toc296347200"/>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346706"/>
      <w:bookmarkStart w:id="408" w:name="_Toc292559915"/>
      <w:bookmarkStart w:id="409" w:name="_Toc296891033"/>
      <w:bookmarkStart w:id="410" w:name="_Toc296891245"/>
      <w:bookmarkStart w:id="411" w:name="_Toc296944544"/>
      <w:bookmarkStart w:id="412" w:name="_Toc297120505"/>
      <w:bookmarkStart w:id="413" w:name="_Toc292559410"/>
      <w:bookmarkStart w:id="414" w:name="_Toc297048391"/>
      <w:bookmarkStart w:id="415" w:name="_Toc296503205"/>
      <w:bookmarkStart w:id="416" w:name="_Toc296347204"/>
      <w:bookmarkStart w:id="417" w:name="_Toc351203644"/>
      <w:bookmarkStart w:id="418" w:name="_Toc297123552"/>
      <w:bookmarkStart w:id="419" w:name="_Toc304295579"/>
      <w:bookmarkStart w:id="420" w:name="_Toc300935002"/>
      <w:bookmarkStart w:id="421" w:name="_Toc312678040"/>
      <w:bookmarkStart w:id="422" w:name="_Toc297216211"/>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67251461"/>
      <w:bookmarkStart w:id="425" w:name="_Toc292559916"/>
      <w:bookmarkStart w:id="426" w:name="_Toc292559411"/>
      <w:bookmarkStart w:id="427" w:name="_Toc296944545"/>
      <w:bookmarkStart w:id="428" w:name="_Toc297048392"/>
      <w:bookmarkStart w:id="429" w:name="_Toc297120506"/>
      <w:bookmarkStart w:id="430" w:name="_Toc296891034"/>
      <w:bookmarkStart w:id="431" w:name="_Toc296891246"/>
      <w:bookmarkStart w:id="432" w:name="_Toc296347205"/>
      <w:bookmarkStart w:id="433" w:name="_Toc296503206"/>
      <w:bookmarkStart w:id="434" w:name="_Toc296346707"/>
      <w:bookmarkStart w:id="435" w:name="_Toc300935003"/>
      <w:bookmarkStart w:id="436" w:name="_Toc297123553"/>
      <w:bookmarkStart w:id="437" w:name="_Toc304295580"/>
      <w:bookmarkStart w:id="438" w:name="_Toc312678041"/>
      <w:bookmarkStart w:id="439" w:name="_Toc303539160"/>
      <w:bookmarkStart w:id="440" w:name="_Toc297216212"/>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3539161"/>
      <w:bookmarkStart w:id="442" w:name="_Toc300935004"/>
      <w:bookmarkStart w:id="443" w:name="_Toc312678042"/>
      <w:bookmarkStart w:id="444" w:name="_Toc297123554"/>
      <w:bookmarkStart w:id="445" w:name="_Toc304295581"/>
      <w:bookmarkStart w:id="446" w:name="_Toc297216213"/>
      <w:bookmarkStart w:id="447" w:name="_Toc297048393"/>
      <w:bookmarkStart w:id="448" w:name="_Toc292559412"/>
      <w:bookmarkStart w:id="449" w:name="_Toc296891247"/>
      <w:bookmarkStart w:id="450" w:name="_Toc296346708"/>
      <w:bookmarkStart w:id="451" w:name="_Toc296944546"/>
      <w:bookmarkStart w:id="452" w:name="_Toc296503207"/>
      <w:bookmarkStart w:id="453" w:name="_Toc296347206"/>
      <w:bookmarkStart w:id="454" w:name="_Toc292559917"/>
      <w:bookmarkStart w:id="455" w:name="_Toc297120507"/>
      <w:bookmarkStart w:id="456" w:name="_Toc296891035"/>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891039"/>
      <w:bookmarkStart w:id="458" w:name="_Toc296346712"/>
      <w:bookmarkStart w:id="459" w:name="_Toc292559416"/>
      <w:bookmarkStart w:id="460" w:name="_Toc297216215"/>
      <w:bookmarkStart w:id="461" w:name="_Toc296944550"/>
      <w:bookmarkStart w:id="462" w:name="_Toc300935006"/>
      <w:bookmarkStart w:id="463" w:name="_Toc292559921"/>
      <w:bookmarkStart w:id="464" w:name="_Toc297120511"/>
      <w:bookmarkStart w:id="465" w:name="_Toc303539163"/>
      <w:bookmarkStart w:id="466" w:name="_Toc296347210"/>
      <w:bookmarkStart w:id="467" w:name="_Toc297048397"/>
      <w:bookmarkStart w:id="468" w:name="_Toc296503211"/>
      <w:bookmarkStart w:id="469" w:name="_Toc296891251"/>
      <w:bookmarkStart w:id="470" w:name="_Toc297123556"/>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304295593"/>
      <w:bookmarkStart w:id="473" w:name="_Toc303539172"/>
      <w:bookmarkStart w:id="474" w:name="_Toc297048405"/>
      <w:bookmarkStart w:id="475" w:name="_Toc292559424"/>
      <w:bookmarkStart w:id="476" w:name="_Toc296944558"/>
      <w:bookmarkStart w:id="477" w:name="_Toc292559929"/>
      <w:bookmarkStart w:id="478" w:name="_Toc312678053"/>
      <w:bookmarkStart w:id="479" w:name="_Toc297216223"/>
      <w:bookmarkStart w:id="480" w:name="_Toc296891259"/>
      <w:bookmarkStart w:id="481" w:name="_Toc296503219"/>
      <w:bookmarkStart w:id="482" w:name="_Toc296891047"/>
      <w:bookmarkStart w:id="483" w:name="_Toc300935015"/>
      <w:bookmarkStart w:id="484" w:name="_Toc296347218"/>
      <w:bookmarkStart w:id="485" w:name="_Toc297123564"/>
      <w:bookmarkStart w:id="486" w:name="_Toc297120519"/>
      <w:bookmarkStart w:id="487" w:name="_Toc296346720"/>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7120523"/>
      <w:bookmarkStart w:id="489" w:name="_Toc303539173"/>
      <w:bookmarkStart w:id="490" w:name="_Toc297216224"/>
      <w:bookmarkStart w:id="491" w:name="_Toc297123565"/>
      <w:bookmarkStart w:id="492" w:name="_Toc304295596"/>
      <w:bookmarkStart w:id="493" w:name="_Toc292559933"/>
      <w:bookmarkStart w:id="494" w:name="_Toc292559428"/>
      <w:bookmarkStart w:id="495" w:name="_Toc296891263"/>
      <w:bookmarkStart w:id="496" w:name="_Toc296503223"/>
      <w:bookmarkStart w:id="497" w:name="_Toc296346724"/>
      <w:bookmarkStart w:id="498" w:name="_Toc296944562"/>
      <w:bookmarkStart w:id="499" w:name="_Toc296891051"/>
      <w:bookmarkStart w:id="500" w:name="_Toc300935016"/>
      <w:bookmarkStart w:id="501" w:name="_Toc312678056"/>
      <w:bookmarkStart w:id="502" w:name="_Toc297048409"/>
      <w:bookmarkStart w:id="503" w:name="_Toc296347222"/>
      <w:bookmarkStart w:id="504" w:name="_Toc267251476"/>
      <w:bookmarkStart w:id="505" w:name="_Toc267251473"/>
      <w:bookmarkStart w:id="506" w:name="_Toc267251471"/>
      <w:bookmarkStart w:id="507" w:name="_Toc267251474"/>
      <w:bookmarkStart w:id="508" w:name="_Toc267251475"/>
      <w:bookmarkStart w:id="509" w:name="_Toc267251470"/>
      <w:bookmarkStart w:id="510" w:name="_Toc267251472"/>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90"/>
      <w:bookmarkStart w:id="524" w:name="_Toc267251486"/>
      <w:bookmarkStart w:id="525" w:name="_Toc267251489"/>
      <w:bookmarkStart w:id="526" w:name="_Toc267251488"/>
      <w:bookmarkStart w:id="527" w:name="_Toc267251498"/>
      <w:bookmarkStart w:id="528" w:name="_Toc267251497"/>
      <w:bookmarkStart w:id="529" w:name="_Toc267251491"/>
      <w:bookmarkStart w:id="530" w:name="_Toc267251494"/>
      <w:bookmarkStart w:id="531" w:name="_Toc267251499"/>
      <w:bookmarkStart w:id="532" w:name="_Toc267251502"/>
      <w:bookmarkStart w:id="533" w:name="_Toc267251496"/>
      <w:bookmarkStart w:id="534" w:name="_Toc267251492"/>
      <w:bookmarkStart w:id="535" w:name="_Toc267251503"/>
      <w:bookmarkStart w:id="536" w:name="_Toc267251495"/>
      <w:bookmarkStart w:id="537" w:name="_Toc267251493"/>
      <w:bookmarkStart w:id="538" w:name="_Toc267251501"/>
      <w:bookmarkStart w:id="539" w:name="_Toc267251504"/>
      <w:bookmarkStart w:id="540" w:name="_Toc267251506"/>
      <w:bookmarkStart w:id="541" w:name="_Toc267251507"/>
      <w:bookmarkStart w:id="542" w:name="_Toc267251508"/>
      <w:bookmarkStart w:id="543" w:name="_Toc267251511"/>
      <w:bookmarkStart w:id="544" w:name="_Toc267251510"/>
      <w:bookmarkStart w:id="545" w:name="_Toc267251514"/>
      <w:bookmarkStart w:id="546" w:name="_Toc267251515"/>
      <w:bookmarkStart w:id="547" w:name="_Toc267251509"/>
      <w:bookmarkStart w:id="548" w:name="_Toc267251513"/>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和尚洞环海路附属工程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乳山银滩文化旅游有限公司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和尚洞环海路附属工程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和尚洞环海路附属工程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和尚洞环海路附属工程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4A7D5B60">
      <w:pPr>
        <w:rPr>
          <w:rFonts w:hint="eastAsia" w:ascii="仿宋" w:hAnsi="仿宋" w:eastAsia="仿宋" w:cs="仿宋"/>
          <w:color w:val="auto"/>
          <w:highlight w:val="none"/>
        </w:rPr>
      </w:pPr>
    </w:p>
    <w:p w14:paraId="364772BB">
      <w:pPr>
        <w:rPr>
          <w:color w:val="auto"/>
        </w:rPr>
      </w:pPr>
    </w:p>
    <w:p w14:paraId="700FAEB3">
      <w:pPr>
        <w:spacing w:line="560" w:lineRule="exact"/>
        <w:rPr>
          <w:rFonts w:ascii="宋体" w:hAnsi="宋体"/>
          <w:color w:val="auto"/>
          <w:sz w:val="52"/>
          <w:szCs w:val="52"/>
        </w:rPr>
      </w:pPr>
    </w:p>
    <w:bookmarkEnd w:id="555"/>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136991A-B025-44D5-9409-A446E44BA94F}"/>
  </w:font>
  <w:font w:name="黑体">
    <w:panose1 w:val="02010609060101010101"/>
    <w:charset w:val="86"/>
    <w:family w:val="auto"/>
    <w:pitch w:val="default"/>
    <w:sig w:usb0="800002BF" w:usb1="38CF7CFA" w:usb2="00000016" w:usb3="00000000" w:csb0="00040001" w:csb1="00000000"/>
    <w:embedRegular r:id="rId2" w:fontKey="{C9A3E50D-7C4C-42DF-99B7-A1143427FD59}"/>
  </w:font>
  <w:font w:name="Courier New">
    <w:panose1 w:val="02070309020205020404"/>
    <w:charset w:val="01"/>
    <w:family w:val="modern"/>
    <w:pitch w:val="default"/>
    <w:sig w:usb0="E0002EFF" w:usb1="C0007843" w:usb2="00000009" w:usb3="00000000" w:csb0="400001FF" w:csb1="FFFF0000"/>
    <w:embedRegular r:id="rId3" w:fontKey="{6DADE3C2-B700-40E8-B5AB-0C962B313E6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F6C0354D-6D08-4B1F-9059-97F52432502B}"/>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5" w:fontKey="{9BF11C03-D9D1-41A4-8E69-9D196239B2F7}"/>
  </w:font>
  <w:font w:name="仿宋_GB2312">
    <w:panose1 w:val="02010609030101010101"/>
    <w:charset w:val="86"/>
    <w:family w:val="modern"/>
    <w:pitch w:val="default"/>
    <w:sig w:usb0="00000001" w:usb1="080E0000" w:usb2="00000000" w:usb3="00000000" w:csb0="00040000" w:csb1="00000000"/>
    <w:embedRegular r:id="rId6" w:fontKey="{75BE62F2-D14C-42C5-9511-164BB24B4B5F}"/>
  </w:font>
  <w:font w:name="仿宋">
    <w:panose1 w:val="02010609060101010101"/>
    <w:charset w:val="86"/>
    <w:family w:val="modern"/>
    <w:pitch w:val="default"/>
    <w:sig w:usb0="800002BF" w:usb1="38CF7CFA" w:usb2="00000016" w:usb3="00000000" w:csb0="00040001" w:csb1="00000000"/>
    <w:embedRegular r:id="rId7" w:fontKey="{37297BBA-3783-4356-8586-F29D0884BB91}"/>
  </w:font>
  <w:font w:name="方正楷体简体">
    <w:panose1 w:val="02000000000000000000"/>
    <w:charset w:val="86"/>
    <w:family w:val="auto"/>
    <w:pitch w:val="default"/>
    <w:sig w:usb0="A00002BF" w:usb1="184F6CFA" w:usb2="00000012" w:usb3="00000000" w:csb0="00040001" w:csb1="00000000"/>
    <w:embedRegular r:id="rId8" w:fontKey="{A67EBD9A-9DBB-4E07-B9C8-714F1929D796}"/>
  </w:font>
  <w:font w:name="楷体_GB2312">
    <w:altName w:val="楷体"/>
    <w:panose1 w:val="00000000000000000000"/>
    <w:charset w:val="86"/>
    <w:family w:val="modern"/>
    <w:pitch w:val="default"/>
    <w:sig w:usb0="00000000" w:usb1="00000000" w:usb2="00000010" w:usb3="00000000" w:csb0="00040000" w:csb1="00000000"/>
    <w:embedRegular r:id="rId9" w:fontKey="{B0B338ED-B96A-428C-95F8-3A59DF87BBD4}"/>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C97092F7-A9C6-42DE-A3AB-4354FC0499C4}"/>
  </w:font>
  <w:font w:name="KSOFF9CC6125">
    <w:panose1 w:val="02010609060101010101"/>
    <w:charset w:val="86"/>
    <w:family w:val="auto"/>
    <w:pitch w:val="default"/>
    <w:sig w:usb0="00000001" w:usb1="00000000" w:usb2="00000000" w:usb3="00000000" w:csb0="00040001" w:csb1="00000000"/>
  </w:font>
  <w:font w:name="WPSEMBED82">
    <w:panose1 w:val="02000000000000000000"/>
    <w:charset w:val="86"/>
    <w:family w:val="auto"/>
    <w:pitch w:val="default"/>
    <w:sig w:usb0="A00002BF" w:usb1="184F6CFA" w:usb2="00000012"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B779B"/>
    <w:multiLevelType w:val="singleLevel"/>
    <w:tmpl w:val="CF3B779B"/>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C5780A"/>
    <w:rsid w:val="05D55E68"/>
    <w:rsid w:val="0F4A09BE"/>
    <w:rsid w:val="10BE667A"/>
    <w:rsid w:val="13B93471"/>
    <w:rsid w:val="17043BFD"/>
    <w:rsid w:val="17594F70"/>
    <w:rsid w:val="18BA466F"/>
    <w:rsid w:val="1AC7537C"/>
    <w:rsid w:val="1B953884"/>
    <w:rsid w:val="1C4A5F2B"/>
    <w:rsid w:val="1EE943AA"/>
    <w:rsid w:val="21936EBE"/>
    <w:rsid w:val="22CA6E9F"/>
    <w:rsid w:val="2A6F2E24"/>
    <w:rsid w:val="2D6A4302"/>
    <w:rsid w:val="31104BF6"/>
    <w:rsid w:val="314F45E0"/>
    <w:rsid w:val="319663D0"/>
    <w:rsid w:val="3BB84807"/>
    <w:rsid w:val="3D1B4F89"/>
    <w:rsid w:val="3F1441AF"/>
    <w:rsid w:val="40175FA1"/>
    <w:rsid w:val="447424DD"/>
    <w:rsid w:val="47612FBF"/>
    <w:rsid w:val="4AF071A8"/>
    <w:rsid w:val="4FEA33AB"/>
    <w:rsid w:val="50A70C7B"/>
    <w:rsid w:val="5260377C"/>
    <w:rsid w:val="534A6576"/>
    <w:rsid w:val="54EB7D04"/>
    <w:rsid w:val="5CA05EEB"/>
    <w:rsid w:val="5CD90CFC"/>
    <w:rsid w:val="63540AEC"/>
    <w:rsid w:val="635903CE"/>
    <w:rsid w:val="65994739"/>
    <w:rsid w:val="691E7B1B"/>
    <w:rsid w:val="692F6E7D"/>
    <w:rsid w:val="69525DEF"/>
    <w:rsid w:val="69C579E6"/>
    <w:rsid w:val="6A60519F"/>
    <w:rsid w:val="6E8A0EFA"/>
    <w:rsid w:val="708D5EC9"/>
    <w:rsid w:val="7834638C"/>
    <w:rsid w:val="791365FE"/>
    <w:rsid w:val="7A1B069D"/>
    <w:rsid w:val="7C3E4B07"/>
    <w:rsid w:val="7D5E4F10"/>
    <w:rsid w:val="7DDF773C"/>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next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next w:val="1"/>
    <w:link w:val="51"/>
    <w:qFormat/>
    <w:uiPriority w:val="0"/>
    <w:pPr>
      <w:spacing w:line="420" w:lineRule="auto"/>
    </w:pPr>
    <w:rPr>
      <w:kern w:val="0"/>
      <w:sz w:val="24"/>
      <w:szCs w:val="24"/>
    </w:rPr>
  </w:style>
  <w:style w:type="paragraph" w:styleId="16">
    <w:name w:val="Body Text Indent"/>
    <w:basedOn w:val="1"/>
    <w:link w:val="52"/>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9"/>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9"/>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0"/>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文本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134</Pages>
  <Words>46171</Words>
  <Characters>49061</Characters>
  <Lines>895</Lines>
  <Paragraphs>2075</Paragraphs>
  <TotalTime>158</TotalTime>
  <ScaleCrop>false</ScaleCrop>
  <LinksUpToDate>false</LinksUpToDate>
  <CharactersWithSpaces>52815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2026-04-30T06:29:27Z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0B75257D9E8846038F6C7451398858F5_13</vt:lpwstr>
  </property>
  <property fmtid="{D5CDD505-2E9C-101B-9397-08002B2CF9AE}" pid="4" name="KSOTemplateDocerSaveRecord">
    <vt:lpwstr>eyJoZGlkIjoiOWY1MDQwNTdkYzk0ZTMzZjJiYTAzY2NiYzZhZDNiZWIiLCJ1c2VySWQiOiI4NTE2NTIxOTAifQ==</vt:lpwstr>
  </property>
</Properties>
</file>