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740"/>
        </w:tabs>
        <w:jc w:val="center"/>
        <w:rPr>
          <w:rFonts w:ascii="仿宋_GB2312" w:hAnsi="宋体" w:eastAsia="仿宋_GB2312"/>
          <w:color w:val="000000" w:themeColor="text1"/>
          <w:sz w:val="52"/>
          <w:highlight w:val="none"/>
        </w:rPr>
      </w:pPr>
      <w:bookmarkStart w:id="0" w:name="_Hlk44653633"/>
    </w:p>
    <w:p>
      <w:pPr>
        <w:tabs>
          <w:tab w:val="left" w:pos="7740"/>
        </w:tabs>
        <w:jc w:val="center"/>
        <w:rPr>
          <w:rFonts w:ascii="仿宋_GB2312" w:hAnsi="宋体" w:eastAsia="仿宋_GB2312"/>
          <w:color w:val="000000" w:themeColor="text1"/>
          <w:sz w:val="52"/>
          <w:highlight w:val="none"/>
        </w:rPr>
      </w:pPr>
    </w:p>
    <w:p>
      <w:pPr>
        <w:tabs>
          <w:tab w:val="left" w:pos="7740"/>
        </w:tabs>
        <w:jc w:val="center"/>
        <w:rPr>
          <w:rFonts w:ascii="仿宋_GB2312" w:hAnsi="宋体" w:eastAsia="仿宋_GB2312"/>
          <w:b/>
          <w:bCs/>
          <w:color w:val="000000" w:themeColor="text1"/>
          <w:sz w:val="84"/>
          <w:highlight w:val="none"/>
        </w:rPr>
      </w:pPr>
      <w:r>
        <w:rPr>
          <w:rFonts w:hint="eastAsia" w:ascii="仿宋_GB2312" w:hAnsi="宋体" w:eastAsia="仿宋_GB2312"/>
          <w:color w:val="000000" w:themeColor="text1"/>
          <w:sz w:val="52"/>
          <w:highlight w:val="none"/>
        </w:rPr>
        <w:t>威海市港城建设集团有限公司</w:t>
      </w:r>
      <w:bookmarkEnd w:id="0"/>
      <w:r>
        <w:rPr>
          <w:rFonts w:hint="eastAsia" w:ascii="仿宋_GB2312" w:hAnsi="宋体" w:eastAsia="仿宋_GB2312"/>
          <w:color w:val="000000" w:themeColor="text1"/>
          <w:sz w:val="52"/>
          <w:highlight w:val="none"/>
        </w:rPr>
        <w:cr/>
      </w:r>
      <w:r>
        <w:rPr>
          <w:rFonts w:hint="eastAsia" w:ascii="仿宋_GB2312" w:hAnsi="宋体" w:eastAsia="仿宋_GB2312"/>
          <w:b/>
          <w:bCs/>
          <w:color w:val="000000" w:themeColor="text1"/>
          <w:sz w:val="84"/>
          <w:highlight w:val="none"/>
        </w:rPr>
        <w:t>招 标 文 件</w:t>
      </w:r>
      <w:r>
        <w:rPr>
          <w:rFonts w:hint="eastAsia" w:ascii="仿宋_GB2312" w:hAnsi="宋体" w:eastAsia="仿宋_GB2312"/>
          <w:b/>
          <w:bCs/>
          <w:color w:val="000000" w:themeColor="text1"/>
          <w:sz w:val="84"/>
          <w:highlight w:val="none"/>
        </w:rPr>
        <w:cr/>
      </w:r>
    </w:p>
    <w:p>
      <w:pPr>
        <w:tabs>
          <w:tab w:val="left" w:pos="7740"/>
        </w:tabs>
        <w:ind w:left="1436" w:leftChars="684" w:firstLine="5040" w:firstLineChars="700"/>
        <w:jc w:val="left"/>
        <w:rPr>
          <w:rFonts w:ascii="仿宋_GB2312" w:hAnsi="宋体" w:eastAsia="仿宋_GB2312"/>
          <w:bCs/>
          <w:color w:val="000000" w:themeColor="text1"/>
          <w:sz w:val="36"/>
          <w:highlight w:val="none"/>
        </w:rPr>
      </w:pPr>
      <w:r>
        <w:rPr>
          <w:rFonts w:hint="eastAsia" w:ascii="仿宋_GB2312" w:hAnsi="宋体" w:eastAsia="仿宋_GB2312"/>
          <w:color w:val="000000" w:themeColor="text1"/>
          <w:sz w:val="72"/>
          <w:highlight w:val="none"/>
        </w:rPr>
        <w:cr/>
      </w:r>
      <w:r>
        <w:rPr>
          <w:rFonts w:hint="eastAsia" w:ascii="仿宋_GB2312" w:hAnsi="宋体" w:eastAsia="仿宋_GB2312"/>
          <w:b/>
          <w:bCs/>
          <w:color w:val="000000" w:themeColor="text1"/>
          <w:sz w:val="36"/>
          <w:highlight w:val="none"/>
        </w:rPr>
        <w:t>采购编号：</w:t>
      </w:r>
      <w:bookmarkStart w:id="1" w:name="OLE_LINK2"/>
      <w:r>
        <w:rPr>
          <w:rFonts w:hint="eastAsia" w:ascii="仿宋_GB2312" w:hAnsi="宋体" w:eastAsia="仿宋_GB2312"/>
          <w:bCs/>
          <w:color w:val="000000" w:themeColor="text1"/>
          <w:sz w:val="36"/>
          <w:highlight w:val="none"/>
          <w:lang w:eastAsia="zh-CN"/>
        </w:rPr>
        <w:t>WHHGYSDGQ2026-16</w:t>
      </w:r>
      <w:r>
        <w:rPr>
          <w:rFonts w:hint="eastAsia" w:ascii="仿宋_GB2312" w:hAnsi="宋体" w:eastAsia="仿宋_GB2312"/>
          <w:bCs/>
          <w:color w:val="000000" w:themeColor="text1"/>
          <w:sz w:val="36"/>
          <w:highlight w:val="none"/>
        </w:rPr>
        <w:cr/>
      </w:r>
      <w:bookmarkEnd w:id="1"/>
      <w:r>
        <w:rPr>
          <w:rFonts w:hint="eastAsia" w:ascii="仿宋_GB2312" w:hAnsi="宋体" w:eastAsia="仿宋_GB2312"/>
          <w:b/>
          <w:bCs/>
          <w:color w:val="000000" w:themeColor="text1"/>
          <w:sz w:val="36"/>
          <w:highlight w:val="none"/>
        </w:rPr>
        <w:t>采购项目：</w:t>
      </w:r>
      <w:r>
        <w:rPr>
          <w:rFonts w:hint="eastAsia" w:ascii="仿宋_GB2312" w:hAnsi="宋体" w:eastAsia="仿宋_GB2312"/>
          <w:bCs/>
          <w:color w:val="000000" w:themeColor="text1"/>
          <w:sz w:val="36"/>
          <w:highlight w:val="none"/>
        </w:rPr>
        <w:t>荣成市第二十三中学特色教室及智慧文化建设</w:t>
      </w:r>
    </w:p>
    <w:p>
      <w:pPr>
        <w:tabs>
          <w:tab w:val="left" w:pos="7740"/>
        </w:tabs>
        <w:ind w:firstLine="1428" w:firstLineChars="395"/>
        <w:jc w:val="left"/>
        <w:rPr>
          <w:rFonts w:ascii="仿宋_GB2312" w:hAnsi="宋体" w:eastAsia="仿宋_GB2312"/>
          <w:color w:val="000000" w:themeColor="text1"/>
          <w:sz w:val="44"/>
          <w:highlight w:val="none"/>
        </w:rPr>
      </w:pPr>
      <w:r>
        <w:rPr>
          <w:rFonts w:hint="eastAsia" w:ascii="仿宋_GB2312" w:hAnsi="宋体" w:eastAsia="仿宋_GB2312"/>
          <w:b/>
          <w:bCs/>
          <w:color w:val="000000" w:themeColor="text1"/>
          <w:sz w:val="36"/>
          <w:highlight w:val="none"/>
        </w:rPr>
        <w:t>采购方式：</w:t>
      </w:r>
      <w:r>
        <w:rPr>
          <w:rFonts w:hint="eastAsia" w:ascii="仿宋_GB2312" w:hAnsi="宋体" w:eastAsia="仿宋_GB2312"/>
          <w:color w:val="000000" w:themeColor="text1"/>
          <w:sz w:val="36"/>
          <w:highlight w:val="none"/>
        </w:rPr>
        <w:t>公开招标</w:t>
      </w:r>
      <w:r>
        <w:rPr>
          <w:rFonts w:hint="eastAsia" w:ascii="仿宋_GB2312" w:hAnsi="宋体" w:eastAsia="仿宋_GB2312"/>
          <w:color w:val="000000" w:themeColor="text1"/>
          <w:sz w:val="36"/>
          <w:highlight w:val="none"/>
        </w:rPr>
        <w:cr/>
      </w:r>
      <w:r>
        <w:rPr>
          <w:rFonts w:hint="eastAsia" w:ascii="仿宋_GB2312" w:hAnsi="宋体" w:eastAsia="仿宋_GB2312"/>
          <w:color w:val="000000" w:themeColor="text1"/>
          <w:sz w:val="44"/>
          <w:highlight w:val="none"/>
        </w:rPr>
        <w:cr/>
      </w:r>
    </w:p>
    <w:p>
      <w:pPr>
        <w:pStyle w:val="13"/>
        <w:rPr>
          <w:color w:val="000000" w:themeColor="text1"/>
          <w:highlight w:val="none"/>
        </w:rPr>
      </w:pPr>
    </w:p>
    <w:p>
      <w:pPr>
        <w:pStyle w:val="13"/>
        <w:rPr>
          <w:color w:val="000000" w:themeColor="text1"/>
          <w:highlight w:val="none"/>
        </w:rPr>
      </w:pPr>
    </w:p>
    <w:p>
      <w:pPr>
        <w:pStyle w:val="13"/>
        <w:rPr>
          <w:color w:val="000000" w:themeColor="text1"/>
          <w:highlight w:val="none"/>
        </w:rPr>
      </w:pPr>
    </w:p>
    <w:p>
      <w:pPr>
        <w:pStyle w:val="13"/>
        <w:ind w:firstLine="0"/>
        <w:rPr>
          <w:color w:val="000000" w:themeColor="text1"/>
          <w:highlight w:val="none"/>
        </w:rPr>
      </w:pPr>
    </w:p>
    <w:p>
      <w:pPr>
        <w:ind w:firstLine="2880" w:firstLineChars="800"/>
        <w:rPr>
          <w:rFonts w:ascii="仿宋_GB2312" w:hAnsi="宋体" w:eastAsia="仿宋_GB2312"/>
          <w:color w:val="000000" w:themeColor="text1"/>
          <w:sz w:val="36"/>
          <w:highlight w:val="none"/>
        </w:rPr>
      </w:pPr>
      <w:r>
        <w:rPr>
          <w:rFonts w:hint="eastAsia" w:ascii="仿宋_GB2312" w:hAnsi="宋体" w:eastAsia="仿宋_GB2312"/>
          <w:color w:val="000000" w:themeColor="text1"/>
          <w:sz w:val="36"/>
          <w:highlight w:val="none"/>
        </w:rPr>
        <w:t>山东志诚工程咨询管理有限公司</w:t>
      </w:r>
      <w:r>
        <w:rPr>
          <w:rFonts w:hint="eastAsia" w:ascii="仿宋_GB2312" w:hAnsi="宋体" w:eastAsia="仿宋_GB2312"/>
          <w:color w:val="000000" w:themeColor="text1"/>
          <w:sz w:val="36"/>
          <w:highlight w:val="none"/>
        </w:rPr>
        <w:cr/>
      </w:r>
      <w:r>
        <w:rPr>
          <w:rFonts w:hint="eastAsia" w:ascii="仿宋_GB2312" w:hAnsi="宋体" w:eastAsia="仿宋_GB2312"/>
          <w:color w:val="000000" w:themeColor="text1"/>
          <w:sz w:val="36"/>
          <w:highlight w:val="none"/>
        </w:rPr>
        <w:t xml:space="preserve">                       2026年</w:t>
      </w:r>
      <w:r>
        <w:rPr>
          <w:rFonts w:hint="eastAsia" w:ascii="仿宋_GB2312" w:hAnsi="宋体" w:eastAsia="仿宋_GB2312"/>
          <w:color w:val="000000" w:themeColor="text1"/>
          <w:sz w:val="36"/>
          <w:highlight w:val="none"/>
          <w:lang w:val="en-US" w:eastAsia="zh-CN"/>
        </w:rPr>
        <w:t>4</w:t>
      </w:r>
      <w:r>
        <w:rPr>
          <w:rFonts w:hint="eastAsia" w:ascii="仿宋_GB2312" w:hAnsi="宋体" w:eastAsia="仿宋_GB2312"/>
          <w:color w:val="000000" w:themeColor="text1"/>
          <w:sz w:val="36"/>
          <w:highlight w:val="none"/>
        </w:rPr>
        <w:t>月</w:t>
      </w:r>
      <w:r>
        <w:rPr>
          <w:rFonts w:hint="eastAsia" w:ascii="仿宋_GB2312" w:hAnsi="宋体" w:eastAsia="仿宋_GB2312"/>
          <w:color w:val="000000" w:themeColor="text1"/>
          <w:sz w:val="36"/>
          <w:highlight w:val="none"/>
        </w:rPr>
        <w:cr/>
      </w:r>
    </w:p>
    <w:p>
      <w:pPr>
        <w:ind w:firstLine="3534" w:firstLineChars="800"/>
        <w:rPr>
          <w:rFonts w:ascii="宋体" w:hAnsi="宋体"/>
          <w:b/>
          <w:color w:val="000000" w:themeColor="text1"/>
          <w:sz w:val="44"/>
          <w:szCs w:val="44"/>
          <w:highlight w:val="none"/>
        </w:rPr>
      </w:pPr>
    </w:p>
    <w:p>
      <w:pPr>
        <w:ind w:firstLine="3534" w:firstLineChars="800"/>
        <w:rPr>
          <w:rFonts w:ascii="宋体" w:hAnsi="宋体"/>
          <w:b/>
          <w:color w:val="000000" w:themeColor="text1"/>
          <w:sz w:val="44"/>
          <w:szCs w:val="44"/>
          <w:highlight w:val="none"/>
        </w:rPr>
        <w:sectPr>
          <w:headerReference r:id="rId3" w:type="default"/>
          <w:footerReference r:id="rId4" w:type="default"/>
          <w:pgSz w:w="11906" w:h="16838"/>
          <w:pgMar w:top="1440" w:right="1080" w:bottom="1440" w:left="1080" w:header="851" w:footer="992" w:gutter="0"/>
          <w:cols w:space="425" w:num="1"/>
          <w:docGrid w:type="lines" w:linePitch="312" w:charSpace="0"/>
        </w:sectPr>
      </w:pPr>
    </w:p>
    <w:p>
      <w:pPr>
        <w:ind w:firstLine="3534" w:firstLineChars="800"/>
        <w:rPr>
          <w:rFonts w:ascii="仿宋_GB2312" w:hAnsi="宋体" w:eastAsia="仿宋_GB2312"/>
          <w:color w:val="000000" w:themeColor="text1"/>
          <w:sz w:val="28"/>
          <w:highlight w:val="none"/>
        </w:rPr>
      </w:pPr>
      <w:r>
        <w:rPr>
          <w:rFonts w:hint="eastAsia" w:ascii="宋体" w:hAnsi="宋体"/>
          <w:b/>
          <w:color w:val="000000" w:themeColor="text1"/>
          <w:sz w:val="44"/>
          <w:szCs w:val="44"/>
          <w:highlight w:val="none"/>
        </w:rPr>
        <w:t xml:space="preserve"> 目　录</w:t>
      </w:r>
      <w:r>
        <w:rPr>
          <w:rFonts w:hint="eastAsia" w:ascii="宋体" w:hAnsi="宋体"/>
          <w:b/>
          <w:color w:val="000000" w:themeColor="text1"/>
          <w:sz w:val="44"/>
          <w:szCs w:val="44"/>
          <w:highlight w:val="none"/>
        </w:rPr>
        <w:cr/>
      </w:r>
    </w:p>
    <w:p>
      <w:pPr>
        <w:spacing w:line="700" w:lineRule="exact"/>
        <w:ind w:firstLine="562" w:firstLineChars="200"/>
        <w:jc w:val="left"/>
        <w:rPr>
          <w:rFonts w:ascii="宋体" w:hAnsi="宋体" w:cs="宋体"/>
          <w:color w:val="000000" w:themeColor="text1"/>
          <w:sz w:val="24"/>
          <w:szCs w:val="44"/>
          <w:highlight w:val="none"/>
        </w:rPr>
      </w:pPr>
      <w:r>
        <w:rPr>
          <w:rFonts w:hint="eastAsia" w:ascii="仿宋_GB2312" w:hAnsi="黑体" w:eastAsia="仿宋_GB2312" w:cs="宋体"/>
          <w:b/>
          <w:bCs/>
          <w:caps/>
          <w:color w:val="000000" w:themeColor="text1"/>
          <w:sz w:val="28"/>
          <w:szCs w:val="28"/>
          <w:highlight w:val="none"/>
        </w:rPr>
        <w:t>第一章   招标公告</w:t>
      </w:r>
    </w:p>
    <w:p>
      <w:pPr>
        <w:spacing w:line="700" w:lineRule="exact"/>
        <w:ind w:firstLine="565" w:firstLineChars="201"/>
        <w:jc w:val="left"/>
        <w:rPr>
          <w:rFonts w:ascii="仿宋_GB2312" w:hAnsi="黑体" w:eastAsia="仿宋_GB2312" w:cs="宋体"/>
          <w:b/>
          <w:bCs/>
          <w:caps/>
          <w:color w:val="000000" w:themeColor="text1"/>
          <w:sz w:val="28"/>
          <w:szCs w:val="28"/>
          <w:highlight w:val="none"/>
        </w:rPr>
      </w:pPr>
      <w:r>
        <w:rPr>
          <w:rFonts w:hint="eastAsia" w:ascii="仿宋_GB2312" w:hAnsi="黑体" w:eastAsia="仿宋_GB2312" w:cs="宋体"/>
          <w:b/>
          <w:bCs/>
          <w:caps/>
          <w:color w:val="000000" w:themeColor="text1"/>
          <w:sz w:val="28"/>
          <w:szCs w:val="28"/>
          <w:highlight w:val="none"/>
        </w:rPr>
        <w:t>第二章   投标须知</w:t>
      </w:r>
    </w:p>
    <w:p>
      <w:pPr>
        <w:spacing w:line="700" w:lineRule="exact"/>
        <w:ind w:firstLine="565" w:firstLineChars="201"/>
        <w:jc w:val="left"/>
        <w:rPr>
          <w:rFonts w:ascii="仿宋_GB2312" w:hAnsi="黑体" w:eastAsia="仿宋_GB2312" w:cs="宋体"/>
          <w:b/>
          <w:bCs/>
          <w:caps/>
          <w:color w:val="000000" w:themeColor="text1"/>
          <w:sz w:val="28"/>
          <w:szCs w:val="28"/>
          <w:highlight w:val="none"/>
        </w:rPr>
      </w:pPr>
      <w:r>
        <w:rPr>
          <w:rFonts w:hint="eastAsia" w:ascii="仿宋_GB2312" w:hAnsi="黑体" w:eastAsia="仿宋_GB2312" w:cs="宋体"/>
          <w:b/>
          <w:bCs/>
          <w:caps/>
          <w:color w:val="000000" w:themeColor="text1"/>
          <w:sz w:val="28"/>
          <w:szCs w:val="28"/>
          <w:highlight w:val="none"/>
        </w:rPr>
        <w:t>第三章   采购内容与要求</w:t>
      </w:r>
    </w:p>
    <w:p>
      <w:pPr>
        <w:spacing w:line="700" w:lineRule="exact"/>
        <w:ind w:firstLine="565" w:firstLineChars="201"/>
        <w:jc w:val="left"/>
        <w:rPr>
          <w:rFonts w:ascii="仿宋_GB2312" w:hAnsi="黑体" w:eastAsia="仿宋_GB2312" w:cs="宋体"/>
          <w:b/>
          <w:bCs/>
          <w:caps/>
          <w:color w:val="000000" w:themeColor="text1"/>
          <w:sz w:val="28"/>
          <w:szCs w:val="28"/>
          <w:highlight w:val="none"/>
        </w:rPr>
      </w:pPr>
      <w:r>
        <w:rPr>
          <w:rFonts w:hint="eastAsia" w:ascii="仿宋_GB2312" w:hAnsi="黑体" w:eastAsia="仿宋_GB2312" w:cs="宋体"/>
          <w:b/>
          <w:bCs/>
          <w:caps/>
          <w:color w:val="000000" w:themeColor="text1"/>
          <w:sz w:val="28"/>
          <w:szCs w:val="28"/>
          <w:highlight w:val="none"/>
        </w:rPr>
        <w:t>第四章   评标原则和方法</w:t>
      </w:r>
    </w:p>
    <w:p>
      <w:pPr>
        <w:spacing w:line="700" w:lineRule="exact"/>
        <w:ind w:firstLine="565" w:firstLineChars="201"/>
        <w:jc w:val="left"/>
        <w:rPr>
          <w:rFonts w:ascii="仿宋_GB2312" w:hAnsi="黑体" w:eastAsia="仿宋_GB2312" w:cs="宋体"/>
          <w:b/>
          <w:bCs/>
          <w:caps/>
          <w:color w:val="000000" w:themeColor="text1"/>
          <w:sz w:val="28"/>
          <w:szCs w:val="28"/>
          <w:highlight w:val="none"/>
        </w:rPr>
      </w:pPr>
      <w:r>
        <w:rPr>
          <w:rFonts w:hint="eastAsia" w:ascii="仿宋_GB2312" w:hAnsi="黑体" w:eastAsia="仿宋_GB2312" w:cs="宋体"/>
          <w:b/>
          <w:bCs/>
          <w:caps/>
          <w:color w:val="000000" w:themeColor="text1"/>
          <w:sz w:val="28"/>
          <w:szCs w:val="28"/>
          <w:highlight w:val="none"/>
        </w:rPr>
        <w:t>第五章   投标文件格式与要求</w:t>
      </w:r>
    </w:p>
    <w:p>
      <w:pPr>
        <w:spacing w:line="700" w:lineRule="exact"/>
        <w:ind w:firstLine="562" w:firstLineChars="200"/>
        <w:rPr>
          <w:rFonts w:ascii="仿宋_GB2312" w:hAnsi="宋体" w:eastAsia="仿宋_GB2312"/>
          <w:color w:val="000000" w:themeColor="text1"/>
          <w:sz w:val="28"/>
          <w:highlight w:val="none"/>
        </w:rPr>
      </w:pPr>
      <w:r>
        <w:rPr>
          <w:rFonts w:hint="eastAsia" w:ascii="仿宋_GB2312" w:hAnsi="黑体" w:eastAsia="仿宋_GB2312" w:cs="宋体"/>
          <w:b/>
          <w:bCs/>
          <w:caps/>
          <w:color w:val="000000" w:themeColor="text1"/>
          <w:sz w:val="28"/>
          <w:szCs w:val="28"/>
          <w:highlight w:val="none"/>
        </w:rPr>
        <w:t>第六章   采购合同（范本）</w:t>
      </w:r>
      <w:r>
        <w:rPr>
          <w:rFonts w:hint="eastAsia" w:ascii="仿宋_GB2312" w:hAnsi="宋体" w:eastAsia="仿宋_GB2312"/>
          <w:color w:val="000000" w:themeColor="text1"/>
          <w:sz w:val="28"/>
          <w:highlight w:val="none"/>
        </w:rPr>
        <w:cr/>
      </w:r>
      <w:r>
        <w:rPr>
          <w:rFonts w:hint="eastAsia" w:ascii="仿宋_GB2312" w:hAnsi="宋体" w:eastAsia="仿宋_GB2312"/>
          <w:color w:val="000000" w:themeColor="text1"/>
          <w:sz w:val="28"/>
          <w:highlight w:val="none"/>
        </w:rPr>
        <w:cr/>
      </w:r>
      <w:r>
        <w:rPr>
          <w:rFonts w:hint="eastAsia" w:ascii="仿宋_GB2312" w:hAnsi="宋体" w:eastAsia="仿宋_GB2312"/>
          <w:color w:val="000000" w:themeColor="text1"/>
          <w:sz w:val="28"/>
          <w:highlight w:val="none"/>
        </w:rPr>
        <w:cr/>
      </w:r>
    </w:p>
    <w:p>
      <w:pPr>
        <w:spacing w:line="360" w:lineRule="auto"/>
        <w:ind w:firstLine="422" w:firstLineChars="201"/>
        <w:jc w:val="center"/>
        <w:rPr>
          <w:color w:val="000000" w:themeColor="text1"/>
          <w:kern w:val="0"/>
          <w:highlight w:val="none"/>
        </w:rPr>
      </w:pPr>
    </w:p>
    <w:p>
      <w:pPr>
        <w:rPr>
          <w:color w:val="000000" w:themeColor="text1"/>
          <w:highlight w:val="none"/>
        </w:rPr>
        <w:sectPr>
          <w:pgSz w:w="11906" w:h="16838"/>
          <w:pgMar w:top="1440" w:right="1080" w:bottom="1440" w:left="1080" w:header="851" w:footer="992" w:gutter="0"/>
          <w:cols w:space="425" w:num="1"/>
          <w:docGrid w:type="lines" w:linePitch="312" w:charSpace="0"/>
        </w:sectPr>
      </w:pPr>
    </w:p>
    <w:p>
      <w:pPr>
        <w:pStyle w:val="42"/>
        <w:rPr>
          <w:rFonts w:ascii="宋体" w:hAnsi="宋体" w:cs="宋体"/>
          <w:color w:val="000000" w:themeColor="text1"/>
          <w:kern w:val="36"/>
          <w:highlight w:val="none"/>
        </w:rPr>
      </w:pPr>
      <w:r>
        <w:rPr>
          <w:rFonts w:hint="eastAsia" w:ascii="宋体" w:hAnsi="宋体" w:cs="宋体"/>
          <w:color w:val="000000" w:themeColor="text1"/>
          <w:highlight w:val="none"/>
        </w:rPr>
        <w:t>第一章</w:t>
      </w:r>
      <w:r>
        <w:rPr>
          <w:rFonts w:hint="eastAsia" w:ascii="宋体" w:hAnsi="宋体" w:cs="宋体"/>
          <w:color w:val="000000" w:themeColor="text1"/>
          <w:kern w:val="36"/>
          <w:highlight w:val="none"/>
        </w:rPr>
        <w:t>招标公告</w:t>
      </w:r>
    </w:p>
    <w:p>
      <w:pPr>
        <w:spacing w:line="360" w:lineRule="auto"/>
        <w:jc w:val="center"/>
        <w:rPr>
          <w:rFonts w:ascii="方正小标宋简体" w:hAnsi="Cambria" w:eastAsia="方正小标宋简体"/>
          <w:b/>
          <w:bCs/>
          <w:color w:val="000000" w:themeColor="text1"/>
          <w:sz w:val="30"/>
          <w:szCs w:val="30"/>
          <w:highlight w:val="none"/>
        </w:rPr>
      </w:pPr>
      <w:bookmarkStart w:id="2" w:name="OLE_LINK6"/>
      <w:r>
        <w:rPr>
          <w:rFonts w:hint="eastAsia" w:ascii="方正小标宋简体" w:hAnsi="Cambria" w:eastAsia="方正小标宋简体"/>
          <w:b/>
          <w:bCs/>
          <w:color w:val="000000" w:themeColor="text1"/>
          <w:sz w:val="30"/>
          <w:szCs w:val="30"/>
          <w:highlight w:val="none"/>
        </w:rPr>
        <w:t>威海市港城建设集团有限公司</w:t>
      </w:r>
      <w:bookmarkEnd w:id="2"/>
      <w:r>
        <w:rPr>
          <w:rFonts w:hint="eastAsia" w:ascii="方正小标宋简体" w:hAnsi="Cambria" w:eastAsia="方正小标宋简体"/>
          <w:b/>
          <w:bCs/>
          <w:color w:val="000000" w:themeColor="text1"/>
          <w:sz w:val="30"/>
          <w:szCs w:val="30"/>
          <w:highlight w:val="none"/>
        </w:rPr>
        <w:t>荣成市第二十三中学特色教室及智慧文化建设公开招标公告</w:t>
      </w:r>
    </w:p>
    <w:p>
      <w:pPr>
        <w:pBdr>
          <w:top w:val="single" w:color="auto" w:sz="4" w:space="1"/>
          <w:left w:val="single" w:color="auto" w:sz="4" w:space="4"/>
          <w:bottom w:val="single" w:color="auto" w:sz="4" w:space="1"/>
          <w:right w:val="single" w:color="auto" w:sz="4" w:space="4"/>
        </w:pBdr>
        <w:spacing w:line="360" w:lineRule="auto"/>
        <w:rPr>
          <w:rFonts w:ascii="黑体" w:hAnsi="黑体" w:eastAsia="黑体" w:cs="宋体"/>
          <w:color w:val="000000" w:themeColor="text1"/>
          <w:sz w:val="28"/>
          <w:szCs w:val="28"/>
          <w:highlight w:val="none"/>
        </w:rPr>
      </w:pPr>
      <w:r>
        <w:rPr>
          <w:rFonts w:hint="eastAsia" w:ascii="黑体" w:hAnsi="黑体" w:eastAsia="黑体" w:cs="宋体"/>
          <w:color w:val="000000" w:themeColor="text1"/>
          <w:sz w:val="28"/>
          <w:szCs w:val="28"/>
          <w:highlight w:val="none"/>
        </w:rPr>
        <w:t>项目概况</w:t>
      </w:r>
    </w:p>
    <w:p>
      <w:pPr>
        <w:widowControl/>
        <w:pBdr>
          <w:top w:val="single" w:color="auto" w:sz="4" w:space="1"/>
          <w:left w:val="single" w:color="auto" w:sz="4" w:space="4"/>
          <w:bottom w:val="single" w:color="auto" w:sz="4" w:space="1"/>
          <w:right w:val="single" w:color="auto" w:sz="4" w:space="4"/>
        </w:pBdr>
        <w:adjustRightInd w:val="0"/>
        <w:spacing w:line="360" w:lineRule="auto"/>
        <w:ind w:firstLine="592" w:firstLineChars="200"/>
        <w:jc w:val="left"/>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荣成市第二十三中学特色教室及智慧文化建设招标项目的潜在投标人应在威海市国有企业电子化服务平台（威海市公共资源交易网（荣成市）右侧“交易服务一网通办系统（新版一网通办系统）”进行平台切换点击“国企采购”）获取采购文件，并于2026年</w:t>
      </w:r>
      <w:r>
        <w:rPr>
          <w:rFonts w:hint="eastAsia" w:ascii="仿宋_GB2312" w:hAnsi="仿宋" w:eastAsia="仿宋_GB2312" w:cs="宋体"/>
          <w:color w:val="000000" w:themeColor="text1"/>
          <w:spacing w:val="8"/>
          <w:sz w:val="28"/>
          <w:szCs w:val="28"/>
          <w:highlight w:val="none"/>
          <w:lang w:val="en-US" w:eastAsia="zh-CN"/>
        </w:rPr>
        <w:t>04</w:t>
      </w:r>
      <w:r>
        <w:rPr>
          <w:rFonts w:hint="eastAsia" w:ascii="仿宋_GB2312" w:hAnsi="仿宋" w:eastAsia="仿宋_GB2312" w:cs="宋体"/>
          <w:color w:val="000000" w:themeColor="text1"/>
          <w:spacing w:val="8"/>
          <w:sz w:val="28"/>
          <w:szCs w:val="28"/>
          <w:highlight w:val="none"/>
        </w:rPr>
        <w:t>月</w:t>
      </w:r>
      <w:r>
        <w:rPr>
          <w:rFonts w:hint="eastAsia" w:ascii="仿宋_GB2312" w:hAnsi="仿宋" w:eastAsia="仿宋_GB2312" w:cs="宋体"/>
          <w:color w:val="000000" w:themeColor="text1"/>
          <w:spacing w:val="8"/>
          <w:sz w:val="28"/>
          <w:szCs w:val="28"/>
          <w:highlight w:val="none"/>
          <w:lang w:val="en-US" w:eastAsia="zh-CN"/>
        </w:rPr>
        <w:t>16</w:t>
      </w:r>
      <w:r>
        <w:rPr>
          <w:rFonts w:hint="eastAsia" w:ascii="仿宋_GB2312" w:hAnsi="仿宋" w:eastAsia="仿宋_GB2312" w:cs="宋体"/>
          <w:color w:val="000000" w:themeColor="text1"/>
          <w:spacing w:val="8"/>
          <w:sz w:val="28"/>
          <w:szCs w:val="28"/>
          <w:highlight w:val="none"/>
        </w:rPr>
        <w:t>日09:00（北京时间）前递交投标文件。</w:t>
      </w:r>
    </w:p>
    <w:p>
      <w:pPr>
        <w:spacing w:line="360" w:lineRule="auto"/>
        <w:ind w:firstLine="560" w:firstLineChars="200"/>
        <w:rPr>
          <w:rFonts w:ascii="黑体" w:hAnsi="黑体" w:eastAsia="黑体" w:cs="宋体"/>
          <w:color w:val="000000" w:themeColor="text1"/>
          <w:sz w:val="28"/>
          <w:szCs w:val="28"/>
          <w:highlight w:val="none"/>
        </w:rPr>
      </w:pPr>
      <w:r>
        <w:rPr>
          <w:rFonts w:hint="eastAsia" w:ascii="黑体" w:hAnsi="黑体" w:eastAsia="黑体" w:cs="宋体"/>
          <w:color w:val="000000" w:themeColor="text1"/>
          <w:sz w:val="28"/>
          <w:szCs w:val="28"/>
          <w:highlight w:val="none"/>
        </w:rPr>
        <w:t>一、项目基本情况</w:t>
      </w:r>
    </w:p>
    <w:p>
      <w:pPr>
        <w:widowControl/>
        <w:adjustRightInd w:val="0"/>
        <w:spacing w:line="360" w:lineRule="auto"/>
        <w:ind w:firstLine="592" w:firstLineChars="200"/>
        <w:jc w:val="left"/>
        <w:rPr>
          <w:rFonts w:hint="eastAsia" w:ascii="仿宋_GB2312" w:hAnsi="仿宋" w:eastAsia="仿宋_GB2312" w:cs="宋体"/>
          <w:color w:val="000000" w:themeColor="text1"/>
          <w:spacing w:val="8"/>
          <w:sz w:val="28"/>
          <w:szCs w:val="28"/>
          <w:highlight w:val="none"/>
          <w:lang w:eastAsia="zh-CN"/>
        </w:rPr>
      </w:pPr>
      <w:r>
        <w:rPr>
          <w:rFonts w:hint="eastAsia" w:ascii="仿宋_GB2312" w:hAnsi="仿宋" w:eastAsia="仿宋_GB2312" w:cs="宋体"/>
          <w:color w:val="000000" w:themeColor="text1"/>
          <w:spacing w:val="8"/>
          <w:sz w:val="28"/>
          <w:szCs w:val="28"/>
          <w:highlight w:val="none"/>
        </w:rPr>
        <w:t>项目编号：</w:t>
      </w:r>
      <w:r>
        <w:rPr>
          <w:rFonts w:hint="eastAsia" w:ascii="仿宋_GB2312" w:hAnsi="仿宋" w:eastAsia="仿宋_GB2312" w:cs="宋体"/>
          <w:color w:val="000000" w:themeColor="text1"/>
          <w:spacing w:val="8"/>
          <w:sz w:val="28"/>
          <w:szCs w:val="28"/>
          <w:highlight w:val="none"/>
          <w:lang w:eastAsia="zh-CN"/>
        </w:rPr>
        <w:t>WHHGYSDGQ2026-16</w:t>
      </w:r>
    </w:p>
    <w:p>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项目名称：荣成市第二十三中学特色教室及智慧文化建设</w:t>
      </w:r>
    </w:p>
    <w:p>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采购项目分包情况：</w:t>
      </w:r>
    </w:p>
    <w:tbl>
      <w:tblPr>
        <w:tblStyle w:val="47"/>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
        <w:gridCol w:w="2113"/>
        <w:gridCol w:w="851"/>
        <w:gridCol w:w="1701"/>
        <w:gridCol w:w="1701"/>
        <w:gridCol w:w="1417"/>
        <w:gridCol w:w="13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5" w:hRule="atLeast"/>
        </w:trPr>
        <w:tc>
          <w:tcPr>
            <w:tcW w:w="830" w:type="dxa"/>
            <w:vAlign w:val="center"/>
          </w:tcPr>
          <w:p>
            <w:pPr>
              <w:widowControl/>
              <w:adjustRightInd w:val="0"/>
              <w:spacing w:line="360" w:lineRule="auto"/>
              <w:jc w:val="center"/>
              <w:rPr>
                <w:rFonts w:ascii="仿宋_GB2312" w:hAnsi="宋体" w:eastAsia="仿宋_GB2312" w:cs="宋体"/>
                <w:b/>
                <w:color w:val="000000" w:themeColor="text1"/>
                <w:sz w:val="28"/>
                <w:highlight w:val="none"/>
              </w:rPr>
            </w:pPr>
            <w:r>
              <w:rPr>
                <w:rFonts w:hint="eastAsia" w:ascii="仿宋_GB2312" w:hAnsi="宋体" w:eastAsia="仿宋_GB2312" w:cs="宋体"/>
                <w:b/>
                <w:color w:val="000000" w:themeColor="text1"/>
                <w:sz w:val="28"/>
                <w:highlight w:val="none"/>
              </w:rPr>
              <w:t>标包</w:t>
            </w:r>
          </w:p>
        </w:tc>
        <w:tc>
          <w:tcPr>
            <w:tcW w:w="2113" w:type="dxa"/>
            <w:vAlign w:val="center"/>
          </w:tcPr>
          <w:p>
            <w:pPr>
              <w:widowControl/>
              <w:adjustRightInd w:val="0"/>
              <w:spacing w:line="360" w:lineRule="auto"/>
              <w:jc w:val="center"/>
              <w:rPr>
                <w:rFonts w:ascii="仿宋_GB2312" w:hAnsi="宋体" w:eastAsia="仿宋_GB2312" w:cs="宋体"/>
                <w:b/>
                <w:color w:val="000000" w:themeColor="text1"/>
                <w:sz w:val="28"/>
                <w:highlight w:val="none"/>
              </w:rPr>
            </w:pPr>
            <w:r>
              <w:rPr>
                <w:rFonts w:hint="eastAsia" w:ascii="仿宋_GB2312" w:hAnsi="宋体" w:eastAsia="仿宋_GB2312" w:cs="宋体"/>
                <w:b/>
                <w:color w:val="000000" w:themeColor="text1"/>
                <w:sz w:val="28"/>
                <w:highlight w:val="none"/>
              </w:rPr>
              <w:t>货物\服务名称</w:t>
            </w:r>
          </w:p>
        </w:tc>
        <w:tc>
          <w:tcPr>
            <w:tcW w:w="851" w:type="dxa"/>
            <w:vAlign w:val="center"/>
          </w:tcPr>
          <w:p>
            <w:pPr>
              <w:widowControl/>
              <w:adjustRightInd w:val="0"/>
              <w:spacing w:line="360" w:lineRule="auto"/>
              <w:jc w:val="center"/>
              <w:rPr>
                <w:rFonts w:ascii="仿宋_GB2312" w:hAnsi="宋体" w:eastAsia="仿宋_GB2312" w:cs="宋体"/>
                <w:b/>
                <w:color w:val="000000" w:themeColor="text1"/>
                <w:sz w:val="28"/>
                <w:highlight w:val="none"/>
              </w:rPr>
            </w:pPr>
            <w:r>
              <w:rPr>
                <w:rFonts w:hint="eastAsia" w:ascii="仿宋_GB2312" w:hAnsi="宋体" w:eastAsia="仿宋_GB2312" w:cs="宋体"/>
                <w:b/>
                <w:color w:val="000000" w:themeColor="text1"/>
                <w:sz w:val="28"/>
                <w:highlight w:val="none"/>
              </w:rPr>
              <w:t>数量</w:t>
            </w:r>
          </w:p>
        </w:tc>
        <w:tc>
          <w:tcPr>
            <w:tcW w:w="1701" w:type="dxa"/>
            <w:vAlign w:val="center"/>
          </w:tcPr>
          <w:p>
            <w:pPr>
              <w:widowControl/>
              <w:adjustRightInd w:val="0"/>
              <w:spacing w:line="360" w:lineRule="auto"/>
              <w:jc w:val="center"/>
              <w:rPr>
                <w:rFonts w:ascii="仿宋_GB2312" w:hAnsi="宋体" w:eastAsia="仿宋_GB2312" w:cs="宋体"/>
                <w:b/>
                <w:color w:val="000000" w:themeColor="text1"/>
                <w:sz w:val="28"/>
                <w:highlight w:val="none"/>
              </w:rPr>
            </w:pPr>
            <w:r>
              <w:rPr>
                <w:rFonts w:hint="eastAsia" w:ascii="仿宋_GB2312" w:hAnsi="宋体" w:eastAsia="仿宋_GB2312" w:cs="宋体"/>
                <w:b/>
                <w:color w:val="000000" w:themeColor="text1"/>
                <w:sz w:val="28"/>
                <w:highlight w:val="none"/>
              </w:rPr>
              <w:t>包预算金额</w:t>
            </w:r>
            <w:r>
              <w:rPr>
                <w:rFonts w:hint="eastAsia" w:ascii="仿宋_GB2312" w:hAnsi="宋体" w:eastAsia="仿宋_GB2312" w:cs="宋体"/>
                <w:b/>
                <w:color w:val="000000" w:themeColor="text1"/>
                <w:sz w:val="28"/>
                <w:highlight w:val="none"/>
              </w:rPr>
              <w:br w:type="textWrapping"/>
            </w:r>
            <w:r>
              <w:rPr>
                <w:rFonts w:hint="eastAsia" w:ascii="仿宋_GB2312" w:hAnsi="宋体" w:eastAsia="仿宋_GB2312" w:cs="宋体"/>
                <w:b/>
                <w:color w:val="000000" w:themeColor="text1"/>
                <w:sz w:val="28"/>
                <w:highlight w:val="none"/>
              </w:rPr>
              <w:t>（元）</w:t>
            </w:r>
          </w:p>
        </w:tc>
        <w:tc>
          <w:tcPr>
            <w:tcW w:w="1701" w:type="dxa"/>
            <w:vAlign w:val="center"/>
          </w:tcPr>
          <w:p>
            <w:pPr>
              <w:widowControl/>
              <w:adjustRightInd w:val="0"/>
              <w:spacing w:line="360" w:lineRule="auto"/>
              <w:jc w:val="center"/>
              <w:rPr>
                <w:rFonts w:ascii="仿宋_GB2312" w:hAnsi="宋体" w:eastAsia="仿宋_GB2312" w:cs="宋体"/>
                <w:b/>
                <w:color w:val="000000" w:themeColor="text1"/>
                <w:sz w:val="28"/>
                <w:highlight w:val="none"/>
              </w:rPr>
            </w:pPr>
            <w:r>
              <w:rPr>
                <w:rFonts w:hint="eastAsia" w:ascii="仿宋_GB2312" w:hAnsi="宋体" w:eastAsia="仿宋_GB2312" w:cs="宋体"/>
                <w:b/>
                <w:color w:val="000000" w:themeColor="text1"/>
                <w:sz w:val="28"/>
                <w:highlight w:val="none"/>
              </w:rPr>
              <w:t>最高限价</w:t>
            </w:r>
          </w:p>
          <w:p>
            <w:pPr>
              <w:widowControl/>
              <w:adjustRightInd w:val="0"/>
              <w:spacing w:line="360" w:lineRule="auto"/>
              <w:jc w:val="center"/>
              <w:rPr>
                <w:rFonts w:ascii="仿宋_GB2312" w:hAnsi="宋体" w:eastAsia="仿宋_GB2312" w:cs="宋体"/>
                <w:b/>
                <w:color w:val="000000" w:themeColor="text1"/>
                <w:sz w:val="28"/>
                <w:highlight w:val="none"/>
              </w:rPr>
            </w:pPr>
            <w:r>
              <w:rPr>
                <w:rFonts w:hint="eastAsia" w:ascii="仿宋_GB2312" w:hAnsi="宋体" w:eastAsia="仿宋_GB2312" w:cs="宋体"/>
                <w:b/>
                <w:color w:val="000000" w:themeColor="text1"/>
                <w:sz w:val="28"/>
                <w:highlight w:val="none"/>
              </w:rPr>
              <w:t>（元）</w:t>
            </w:r>
          </w:p>
        </w:tc>
        <w:tc>
          <w:tcPr>
            <w:tcW w:w="1417" w:type="dxa"/>
            <w:vAlign w:val="center"/>
          </w:tcPr>
          <w:p>
            <w:pPr>
              <w:widowControl/>
              <w:adjustRightInd w:val="0"/>
              <w:spacing w:line="360" w:lineRule="auto"/>
              <w:jc w:val="center"/>
              <w:rPr>
                <w:rFonts w:ascii="仿宋_GB2312" w:hAnsi="宋体" w:eastAsia="仿宋_GB2312" w:cs="宋体"/>
                <w:b/>
                <w:color w:val="000000" w:themeColor="text1"/>
                <w:sz w:val="28"/>
                <w:highlight w:val="none"/>
              </w:rPr>
            </w:pPr>
            <w:r>
              <w:rPr>
                <w:rFonts w:hint="eastAsia" w:ascii="仿宋_GB2312" w:hAnsi="宋体" w:eastAsia="仿宋_GB2312" w:cs="宋体"/>
                <w:b/>
                <w:color w:val="000000" w:themeColor="text1"/>
                <w:sz w:val="28"/>
                <w:highlight w:val="none"/>
              </w:rPr>
              <w:t>采购需求</w:t>
            </w:r>
          </w:p>
        </w:tc>
        <w:tc>
          <w:tcPr>
            <w:tcW w:w="1349" w:type="dxa"/>
            <w:vAlign w:val="center"/>
          </w:tcPr>
          <w:p>
            <w:pPr>
              <w:widowControl/>
              <w:adjustRightInd w:val="0"/>
              <w:spacing w:line="360" w:lineRule="auto"/>
              <w:jc w:val="center"/>
              <w:rPr>
                <w:rFonts w:ascii="仿宋_GB2312" w:hAnsi="宋体" w:eastAsia="仿宋_GB2312" w:cs="宋体"/>
                <w:b/>
                <w:color w:val="000000" w:themeColor="text1"/>
                <w:sz w:val="28"/>
                <w:highlight w:val="none"/>
              </w:rPr>
            </w:pPr>
            <w:r>
              <w:rPr>
                <w:rFonts w:hint="eastAsia" w:ascii="仿宋_GB2312" w:hAnsi="宋体" w:eastAsia="仿宋_GB2312" w:cs="宋体"/>
                <w:b/>
                <w:color w:val="000000" w:themeColor="text1"/>
                <w:sz w:val="28"/>
                <w:highlight w:val="none"/>
              </w:rPr>
              <w:t>合同履行期限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3" w:hRule="atLeast"/>
        </w:trPr>
        <w:tc>
          <w:tcPr>
            <w:tcW w:w="830" w:type="dxa"/>
            <w:vAlign w:val="center"/>
          </w:tcPr>
          <w:p>
            <w:pPr>
              <w:jc w:val="center"/>
              <w:rPr>
                <w:rFonts w:ascii="仿宋_GB2312" w:hAnsi="宋体" w:eastAsia="仿宋_GB2312" w:cs="宋体"/>
                <w:color w:val="000000" w:themeColor="text1"/>
                <w:sz w:val="24"/>
                <w:highlight w:val="none"/>
              </w:rPr>
            </w:pPr>
            <w:bookmarkStart w:id="3" w:name="_Hlk223688335"/>
            <w:bookmarkStart w:id="4" w:name="_Hlk223703000"/>
            <w:r>
              <w:rPr>
                <w:rFonts w:hint="eastAsia" w:ascii="仿宋_GB2312" w:hAnsi="宋体" w:eastAsia="仿宋_GB2312" w:cs="宋体"/>
                <w:color w:val="000000" w:themeColor="text1"/>
                <w:sz w:val="24"/>
                <w:highlight w:val="none"/>
              </w:rPr>
              <w:t>001</w:t>
            </w:r>
          </w:p>
        </w:tc>
        <w:tc>
          <w:tcPr>
            <w:tcW w:w="2113" w:type="dxa"/>
            <w:vAlign w:val="center"/>
          </w:tcPr>
          <w:p>
            <w:pPr>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荣成市第二十三中学特色教室及智慧文化建设</w:t>
            </w:r>
          </w:p>
        </w:tc>
        <w:tc>
          <w:tcPr>
            <w:tcW w:w="851" w:type="dxa"/>
            <w:vAlign w:val="center"/>
          </w:tcPr>
          <w:p>
            <w:pPr>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1宗</w:t>
            </w:r>
          </w:p>
        </w:tc>
        <w:tc>
          <w:tcPr>
            <w:tcW w:w="1701" w:type="dxa"/>
            <w:vAlign w:val="center"/>
          </w:tcPr>
          <w:p>
            <w:pPr>
              <w:widowControl/>
              <w:jc w:val="center"/>
              <w:textAlignment w:val="center"/>
              <w:rPr>
                <w:rFonts w:ascii="Calibri" w:hAnsi="Calibri" w:cs="Calibri"/>
                <w:color w:val="000000" w:themeColor="text1"/>
                <w:sz w:val="20"/>
                <w:szCs w:val="20"/>
                <w:highlight w:val="none"/>
              </w:rPr>
            </w:pPr>
            <w:r>
              <w:rPr>
                <w:rFonts w:ascii="仿宋_GB2312" w:hAnsi="宋体" w:eastAsia="仿宋_GB2312" w:cs="宋体"/>
                <w:color w:val="000000" w:themeColor="text1"/>
                <w:sz w:val="24"/>
                <w:highlight w:val="none"/>
              </w:rPr>
              <w:t>3186400</w:t>
            </w:r>
            <w:r>
              <w:rPr>
                <w:rFonts w:hint="eastAsia" w:ascii="仿宋_GB2312" w:hAnsi="宋体" w:eastAsia="仿宋_GB2312" w:cs="宋体"/>
                <w:color w:val="000000" w:themeColor="text1"/>
                <w:sz w:val="24"/>
                <w:highlight w:val="none"/>
              </w:rPr>
              <w:t>.00</w:t>
            </w:r>
          </w:p>
        </w:tc>
        <w:tc>
          <w:tcPr>
            <w:tcW w:w="1701" w:type="dxa"/>
            <w:vAlign w:val="center"/>
          </w:tcPr>
          <w:p>
            <w:pPr>
              <w:widowControl/>
              <w:jc w:val="center"/>
              <w:textAlignment w:val="center"/>
              <w:rPr>
                <w:rFonts w:ascii="Calibri" w:hAnsi="Calibri" w:cs="Calibri"/>
                <w:color w:val="000000" w:themeColor="text1"/>
                <w:sz w:val="20"/>
                <w:szCs w:val="20"/>
                <w:highlight w:val="none"/>
              </w:rPr>
            </w:pPr>
            <w:bookmarkStart w:id="5" w:name="OLE_LINK5"/>
            <w:r>
              <w:rPr>
                <w:rFonts w:ascii="仿宋_GB2312" w:hAnsi="宋体" w:eastAsia="仿宋_GB2312" w:cs="宋体"/>
                <w:color w:val="000000" w:themeColor="text1"/>
                <w:sz w:val="24"/>
                <w:highlight w:val="none"/>
              </w:rPr>
              <w:t>3186400</w:t>
            </w:r>
            <w:bookmarkEnd w:id="5"/>
            <w:r>
              <w:rPr>
                <w:rFonts w:hint="eastAsia" w:ascii="仿宋_GB2312" w:hAnsi="宋体" w:eastAsia="仿宋_GB2312" w:cs="宋体"/>
                <w:color w:val="000000" w:themeColor="text1"/>
                <w:sz w:val="24"/>
                <w:highlight w:val="none"/>
              </w:rPr>
              <w:t>.00</w:t>
            </w:r>
          </w:p>
        </w:tc>
        <w:tc>
          <w:tcPr>
            <w:tcW w:w="1417" w:type="dxa"/>
            <w:vAlign w:val="center"/>
          </w:tcPr>
          <w:p>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详见</w:t>
            </w:r>
            <w:r>
              <w:rPr>
                <w:rFonts w:hint="eastAsia" w:ascii="仿宋_GB2312" w:hAnsi="宋体" w:eastAsia="仿宋_GB2312" w:cs="宋体"/>
                <w:color w:val="000000" w:themeColor="text1"/>
                <w:sz w:val="24"/>
                <w:highlight w:val="none"/>
              </w:rPr>
              <w:br w:type="textWrapping"/>
            </w:r>
            <w:r>
              <w:rPr>
                <w:rFonts w:hint="eastAsia" w:ascii="仿宋_GB2312" w:hAnsi="宋体" w:eastAsia="仿宋_GB2312" w:cs="宋体"/>
                <w:color w:val="000000" w:themeColor="text1"/>
                <w:sz w:val="24"/>
                <w:highlight w:val="none"/>
              </w:rPr>
              <w:t>招标文件</w:t>
            </w:r>
          </w:p>
        </w:tc>
        <w:tc>
          <w:tcPr>
            <w:tcW w:w="1349" w:type="dxa"/>
            <w:vAlign w:val="center"/>
          </w:tcPr>
          <w:p>
            <w:pPr>
              <w:widowControl/>
              <w:adjustRightInd w:val="0"/>
              <w:spacing w:line="360" w:lineRule="auto"/>
              <w:jc w:val="center"/>
              <w:rPr>
                <w:rFonts w:ascii="仿宋_GB2312" w:hAnsi="宋体" w:eastAsia="仿宋_GB2312" w:cs="宋体"/>
                <w:color w:val="000000" w:themeColor="text1"/>
                <w:sz w:val="24"/>
                <w:highlight w:val="none"/>
              </w:rPr>
            </w:pPr>
            <w:r>
              <w:rPr>
                <w:rFonts w:hint="eastAsia" w:ascii="仿宋_GB2312" w:hAnsi="宋体" w:eastAsia="仿宋_GB2312" w:cs="宋体"/>
                <w:color w:val="000000" w:themeColor="text1"/>
                <w:sz w:val="24"/>
                <w:highlight w:val="none"/>
              </w:rPr>
              <w:t>详见</w:t>
            </w:r>
            <w:r>
              <w:rPr>
                <w:rFonts w:hint="eastAsia" w:ascii="仿宋_GB2312" w:hAnsi="宋体" w:eastAsia="仿宋_GB2312" w:cs="宋体"/>
                <w:color w:val="000000" w:themeColor="text1"/>
                <w:sz w:val="24"/>
                <w:highlight w:val="none"/>
              </w:rPr>
              <w:br w:type="textWrapping"/>
            </w:r>
            <w:r>
              <w:rPr>
                <w:rFonts w:hint="eastAsia" w:ascii="仿宋_GB2312" w:hAnsi="宋体" w:eastAsia="仿宋_GB2312" w:cs="宋体"/>
                <w:color w:val="000000" w:themeColor="text1"/>
                <w:sz w:val="24"/>
                <w:highlight w:val="none"/>
              </w:rPr>
              <w:t>招标文件</w:t>
            </w:r>
          </w:p>
        </w:tc>
      </w:tr>
      <w:bookmarkEnd w:id="3"/>
      <w:bookmarkEnd w:id="4"/>
    </w:tbl>
    <w:p>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本项目不接受联合体投标。</w:t>
      </w:r>
    </w:p>
    <w:p>
      <w:pPr>
        <w:spacing w:line="360" w:lineRule="auto"/>
        <w:ind w:firstLine="560" w:firstLineChars="200"/>
        <w:rPr>
          <w:rFonts w:ascii="黑体" w:hAnsi="黑体" w:eastAsia="黑体" w:cs="宋体"/>
          <w:color w:val="000000" w:themeColor="text1"/>
          <w:sz w:val="28"/>
          <w:szCs w:val="28"/>
          <w:highlight w:val="none"/>
        </w:rPr>
      </w:pPr>
      <w:r>
        <w:rPr>
          <w:rFonts w:hint="eastAsia" w:ascii="黑体" w:hAnsi="黑体" w:eastAsia="黑体" w:cs="宋体"/>
          <w:color w:val="000000" w:themeColor="text1"/>
          <w:sz w:val="28"/>
          <w:szCs w:val="28"/>
          <w:highlight w:val="none"/>
        </w:rPr>
        <w:t>二、申请人的资格要求：</w:t>
      </w:r>
    </w:p>
    <w:p>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1.具有独立承担民事责任的能力；</w:t>
      </w:r>
    </w:p>
    <w:p>
      <w:pPr>
        <w:pStyle w:val="13"/>
        <w:ind w:firstLine="565" w:firstLineChars="191"/>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2.具有良好的商业信誉和健全的财务会计制度；</w:t>
      </w:r>
    </w:p>
    <w:p>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3.具有履行合同所必须设备和专业技术能力，并能提供优质的服务；</w:t>
      </w:r>
    </w:p>
    <w:p>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4.具有依法缴纳税收和社会保障资金的良好记录；</w:t>
      </w:r>
    </w:p>
    <w:p>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5.参加本次采购活动前三年内，在经营活动中没有重大违法记录；</w:t>
      </w:r>
    </w:p>
    <w:p>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6.法律、行政法规及招标文件规定的其他要求。</w:t>
      </w:r>
    </w:p>
    <w:p>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7</w:t>
      </w:r>
      <w:r>
        <w:rPr>
          <w:rFonts w:ascii="仿宋_GB2312" w:hAnsi="仿宋" w:eastAsia="仿宋_GB2312" w:cs="宋体"/>
          <w:color w:val="000000" w:themeColor="text1"/>
          <w:spacing w:val="8"/>
          <w:sz w:val="28"/>
          <w:szCs w:val="28"/>
          <w:highlight w:val="none"/>
        </w:rPr>
        <w:t>.</w:t>
      </w:r>
      <w:r>
        <w:rPr>
          <w:rFonts w:hint="eastAsia" w:ascii="仿宋_GB2312" w:hAnsi="仿宋" w:eastAsia="仿宋_GB2312" w:cs="宋体"/>
          <w:color w:val="000000" w:themeColor="text1"/>
          <w:spacing w:val="8"/>
          <w:sz w:val="28"/>
          <w:szCs w:val="28"/>
          <w:highlight w:val="none"/>
        </w:rPr>
        <w:t>本项目不接受联合体投标。</w:t>
      </w:r>
    </w:p>
    <w:p>
      <w:pPr>
        <w:spacing w:line="360" w:lineRule="auto"/>
        <w:ind w:firstLine="560" w:firstLineChars="200"/>
        <w:rPr>
          <w:rFonts w:ascii="黑体" w:hAnsi="黑体" w:eastAsia="黑体" w:cs="宋体"/>
          <w:color w:val="000000" w:themeColor="text1"/>
          <w:sz w:val="28"/>
          <w:szCs w:val="28"/>
          <w:highlight w:val="none"/>
        </w:rPr>
      </w:pPr>
      <w:r>
        <w:rPr>
          <w:rFonts w:hint="eastAsia" w:ascii="黑体" w:hAnsi="黑体" w:eastAsia="黑体" w:cs="宋体"/>
          <w:color w:val="000000" w:themeColor="text1"/>
          <w:sz w:val="28"/>
          <w:szCs w:val="28"/>
          <w:highlight w:val="none"/>
        </w:rPr>
        <w:t>三、获取招标文件</w:t>
      </w:r>
    </w:p>
    <w:p>
      <w:pPr>
        <w:widowControl/>
        <w:shd w:val="clear" w:color="auto" w:fill="FFFFFF"/>
        <w:spacing w:line="360" w:lineRule="auto"/>
        <w:ind w:firstLine="539"/>
        <w:rPr>
          <w:rFonts w:ascii="仿宋_GB2312" w:hAnsi="黑体" w:eastAsia="仿宋_GB2312" w:cs="宋体"/>
          <w:color w:val="000000" w:themeColor="text1"/>
          <w:spacing w:val="8"/>
          <w:sz w:val="28"/>
          <w:szCs w:val="28"/>
          <w:highlight w:val="none"/>
        </w:rPr>
      </w:pPr>
      <w:r>
        <w:rPr>
          <w:rFonts w:hint="eastAsia" w:ascii="仿宋_GB2312" w:hAnsi="黑体" w:eastAsia="仿宋_GB2312" w:cs="宋体"/>
          <w:color w:val="000000" w:themeColor="text1"/>
          <w:spacing w:val="8"/>
          <w:sz w:val="28"/>
          <w:szCs w:val="28"/>
          <w:highlight w:val="none"/>
        </w:rPr>
        <w:t>1.时间：2026年</w:t>
      </w:r>
      <w:r>
        <w:rPr>
          <w:rFonts w:hint="eastAsia" w:ascii="仿宋_GB2312" w:hAnsi="黑体" w:eastAsia="仿宋_GB2312" w:cs="宋体"/>
          <w:color w:val="000000" w:themeColor="text1"/>
          <w:spacing w:val="8"/>
          <w:sz w:val="28"/>
          <w:szCs w:val="28"/>
          <w:highlight w:val="none"/>
          <w:lang w:val="en-US" w:eastAsia="zh-CN"/>
        </w:rPr>
        <w:t>04</w:t>
      </w:r>
      <w:r>
        <w:rPr>
          <w:rFonts w:hint="eastAsia" w:ascii="仿宋_GB2312" w:hAnsi="黑体" w:eastAsia="仿宋_GB2312" w:cs="宋体"/>
          <w:color w:val="000000" w:themeColor="text1"/>
          <w:spacing w:val="8"/>
          <w:sz w:val="28"/>
          <w:szCs w:val="28"/>
          <w:highlight w:val="none"/>
        </w:rPr>
        <w:t>月</w:t>
      </w:r>
      <w:r>
        <w:rPr>
          <w:rFonts w:hint="eastAsia" w:ascii="仿宋_GB2312" w:hAnsi="黑体" w:eastAsia="仿宋_GB2312" w:cs="宋体"/>
          <w:color w:val="000000" w:themeColor="text1"/>
          <w:spacing w:val="8"/>
          <w:sz w:val="28"/>
          <w:szCs w:val="28"/>
          <w:highlight w:val="none"/>
          <w:lang w:val="en-US" w:eastAsia="zh-CN"/>
        </w:rPr>
        <w:t>02</w:t>
      </w:r>
      <w:r>
        <w:rPr>
          <w:rFonts w:hint="eastAsia" w:ascii="仿宋_GB2312" w:hAnsi="黑体" w:eastAsia="仿宋_GB2312" w:cs="宋体"/>
          <w:color w:val="000000" w:themeColor="text1"/>
          <w:spacing w:val="8"/>
          <w:sz w:val="28"/>
          <w:szCs w:val="28"/>
          <w:highlight w:val="none"/>
        </w:rPr>
        <w:t>日 07:30:00至2026年</w:t>
      </w:r>
      <w:r>
        <w:rPr>
          <w:rFonts w:hint="eastAsia" w:ascii="仿宋_GB2312" w:hAnsi="黑体" w:eastAsia="仿宋_GB2312" w:cs="宋体"/>
          <w:color w:val="000000" w:themeColor="text1"/>
          <w:spacing w:val="8"/>
          <w:sz w:val="28"/>
          <w:szCs w:val="28"/>
          <w:highlight w:val="none"/>
          <w:lang w:val="en-US" w:eastAsia="zh-CN"/>
        </w:rPr>
        <w:t>04</w:t>
      </w:r>
      <w:r>
        <w:rPr>
          <w:rFonts w:hint="eastAsia" w:ascii="仿宋_GB2312" w:hAnsi="黑体" w:eastAsia="仿宋_GB2312" w:cs="宋体"/>
          <w:color w:val="000000" w:themeColor="text1"/>
          <w:spacing w:val="8"/>
          <w:sz w:val="28"/>
          <w:szCs w:val="28"/>
          <w:highlight w:val="none"/>
        </w:rPr>
        <w:t>月</w:t>
      </w:r>
      <w:r>
        <w:rPr>
          <w:rFonts w:hint="eastAsia" w:ascii="仿宋_GB2312" w:hAnsi="黑体" w:eastAsia="仿宋_GB2312" w:cs="宋体"/>
          <w:color w:val="000000" w:themeColor="text1"/>
          <w:spacing w:val="8"/>
          <w:sz w:val="28"/>
          <w:szCs w:val="28"/>
          <w:highlight w:val="none"/>
          <w:lang w:val="en-US" w:eastAsia="zh-CN"/>
        </w:rPr>
        <w:t>07</w:t>
      </w:r>
      <w:r>
        <w:rPr>
          <w:rFonts w:hint="eastAsia" w:ascii="仿宋_GB2312" w:hAnsi="黑体" w:eastAsia="仿宋_GB2312" w:cs="宋体"/>
          <w:color w:val="000000" w:themeColor="text1"/>
          <w:spacing w:val="8"/>
          <w:sz w:val="28"/>
          <w:szCs w:val="28"/>
          <w:highlight w:val="none"/>
        </w:rPr>
        <w:t>日17:</w:t>
      </w:r>
      <w:r>
        <w:rPr>
          <w:rFonts w:hint="eastAsia" w:ascii="仿宋_GB2312" w:hAnsi="黑体" w:eastAsia="仿宋_GB2312" w:cs="宋体"/>
          <w:color w:val="000000" w:themeColor="text1"/>
          <w:spacing w:val="8"/>
          <w:sz w:val="28"/>
          <w:szCs w:val="28"/>
          <w:highlight w:val="none"/>
          <w:lang w:val="en-US" w:eastAsia="zh-CN"/>
        </w:rPr>
        <w:t>30</w:t>
      </w:r>
      <w:r>
        <w:rPr>
          <w:rFonts w:hint="eastAsia" w:ascii="仿宋_GB2312" w:hAnsi="黑体" w:eastAsia="仿宋_GB2312" w:cs="宋体"/>
          <w:color w:val="000000" w:themeColor="text1"/>
          <w:spacing w:val="8"/>
          <w:sz w:val="28"/>
          <w:szCs w:val="28"/>
          <w:highlight w:val="none"/>
        </w:rPr>
        <w:t>:00（北京时间）</w:t>
      </w:r>
    </w:p>
    <w:p>
      <w:pPr>
        <w:widowControl/>
        <w:shd w:val="clear" w:color="auto" w:fill="FFFFFF"/>
        <w:spacing w:line="360" w:lineRule="auto"/>
        <w:ind w:firstLine="539"/>
        <w:rPr>
          <w:rFonts w:ascii="仿宋_GB2312" w:hAnsi="黑体" w:eastAsia="仿宋_GB2312" w:cs="宋体"/>
          <w:color w:val="000000" w:themeColor="text1"/>
          <w:spacing w:val="8"/>
          <w:sz w:val="28"/>
          <w:szCs w:val="28"/>
          <w:highlight w:val="none"/>
        </w:rPr>
      </w:pPr>
      <w:r>
        <w:rPr>
          <w:rFonts w:hint="eastAsia" w:ascii="仿宋_GB2312" w:hAnsi="黑体" w:eastAsia="仿宋_GB2312" w:cs="宋体"/>
          <w:color w:val="000000" w:themeColor="text1"/>
          <w:spacing w:val="8"/>
          <w:sz w:val="28"/>
          <w:szCs w:val="28"/>
          <w:highlight w:val="none"/>
        </w:rPr>
        <w:t>2.地点登录“</w:t>
      </w:r>
      <w:bookmarkStart w:id="6" w:name="OLE_LINK38"/>
      <w:r>
        <w:rPr>
          <w:rFonts w:hint="eastAsia" w:ascii="仿宋_GB2312" w:hAnsi="黑体" w:eastAsia="仿宋_GB2312" w:cs="宋体"/>
          <w:color w:val="000000" w:themeColor="text1"/>
          <w:spacing w:val="8"/>
          <w:sz w:val="28"/>
          <w:szCs w:val="28"/>
          <w:highlight w:val="none"/>
        </w:rPr>
        <w:t>威海</w:t>
      </w:r>
      <w:bookmarkStart w:id="30" w:name="_GoBack"/>
      <w:bookmarkEnd w:id="30"/>
      <w:r>
        <w:rPr>
          <w:rFonts w:hint="eastAsia" w:ascii="仿宋_GB2312" w:hAnsi="黑体" w:eastAsia="仿宋_GB2312" w:cs="宋体"/>
          <w:color w:val="000000" w:themeColor="text1"/>
          <w:spacing w:val="8"/>
          <w:sz w:val="28"/>
          <w:szCs w:val="28"/>
          <w:highlight w:val="none"/>
        </w:rPr>
        <w:t>市公共资源交易网（荣成市）</w:t>
      </w:r>
      <w:bookmarkEnd w:id="6"/>
      <w:r>
        <w:rPr>
          <w:rFonts w:hint="eastAsia" w:ascii="仿宋_GB2312" w:hAnsi="黑体" w:eastAsia="仿宋_GB2312" w:cs="宋体"/>
          <w:color w:val="000000" w:themeColor="text1"/>
          <w:spacing w:val="8"/>
          <w:sz w:val="28"/>
          <w:szCs w:val="28"/>
          <w:highlight w:val="none"/>
        </w:rPr>
        <w:t>”首页右侧“</w:t>
      </w:r>
      <w:bookmarkStart w:id="7" w:name="OLE_LINK39"/>
      <w:bookmarkStart w:id="8" w:name="OLE_LINK40"/>
      <w:r>
        <w:rPr>
          <w:rFonts w:hint="eastAsia" w:ascii="仿宋_GB2312" w:hAnsi="黑体" w:eastAsia="仿宋_GB2312" w:cs="宋体"/>
          <w:color w:val="000000" w:themeColor="text1"/>
          <w:spacing w:val="8"/>
          <w:sz w:val="28"/>
          <w:szCs w:val="28"/>
          <w:highlight w:val="none"/>
        </w:rPr>
        <w:t>交易服务一网通办系统（新版一网通办系统）</w:t>
      </w:r>
      <w:bookmarkEnd w:id="7"/>
      <w:bookmarkEnd w:id="8"/>
      <w:r>
        <w:rPr>
          <w:rFonts w:hint="eastAsia" w:ascii="仿宋_GB2312" w:hAnsi="黑体" w:eastAsia="仿宋_GB2312" w:cs="宋体"/>
          <w:color w:val="000000" w:themeColor="text1"/>
          <w:spacing w:val="8"/>
          <w:sz w:val="28"/>
          <w:szCs w:val="28"/>
          <w:highlight w:val="none"/>
        </w:rPr>
        <w:t>”进行“平台切换”点击“国企采购”进入国有企业阳光采购电子化服务平台获取文件。(网址：</w:t>
      </w:r>
      <w:r>
        <w:rPr>
          <w:rFonts w:ascii="仿宋_GB2312" w:hAnsi="黑体" w:eastAsia="仿宋_GB2312" w:cs="宋体"/>
          <w:color w:val="000000" w:themeColor="text1"/>
          <w:spacing w:val="8"/>
          <w:sz w:val="28"/>
          <w:szCs w:val="28"/>
          <w:highlight w:val="none"/>
        </w:rPr>
        <w:t>http://ggzyjy.weihai.cn/rongcheng/</w:t>
      </w:r>
      <w:r>
        <w:rPr>
          <w:rFonts w:hint="eastAsia" w:ascii="仿宋_GB2312" w:hAnsi="黑体" w:eastAsia="仿宋_GB2312" w:cs="宋体"/>
          <w:color w:val="000000" w:themeColor="text1"/>
          <w:spacing w:val="8"/>
          <w:sz w:val="28"/>
          <w:szCs w:val="28"/>
          <w:highlight w:val="none"/>
        </w:rPr>
        <w:t>)逾期无法从威海市国有企业阳光采购电子化服务平台中获取文件，未在规定时间内从系统中获取招标文件的投标人将无法递交电子投标文件。交易服务一网通办系统（新版一网通办系统）技术支持电话：</w:t>
      </w:r>
      <w:r>
        <w:rPr>
          <w:rFonts w:ascii="仿宋_GB2312" w:hAnsi="黑体" w:eastAsia="仿宋_GB2312" w:cs="宋体"/>
          <w:color w:val="000000" w:themeColor="text1"/>
          <w:spacing w:val="8"/>
          <w:sz w:val="28"/>
          <w:szCs w:val="28"/>
          <w:highlight w:val="none"/>
        </w:rPr>
        <w:t>0512-58188535</w:t>
      </w:r>
      <w:r>
        <w:rPr>
          <w:rFonts w:hint="eastAsia" w:ascii="仿宋_GB2312" w:hAnsi="黑体" w:eastAsia="仿宋_GB2312" w:cs="宋体"/>
          <w:color w:val="000000" w:themeColor="text1"/>
          <w:spacing w:val="8"/>
          <w:sz w:val="28"/>
          <w:szCs w:val="28"/>
          <w:highlight w:val="none"/>
        </w:rPr>
        <w:t>（受理问题：系统登录、CA锁绑定、平台切换）， 一网通办技术支持QQ群：1143439694 ；CA锁办理咨询电话：</w:t>
      </w:r>
      <w:r>
        <w:rPr>
          <w:rFonts w:ascii="仿宋_GB2312" w:hAnsi="黑体" w:eastAsia="仿宋_GB2312" w:cs="宋体"/>
          <w:color w:val="000000" w:themeColor="text1"/>
          <w:spacing w:val="8"/>
          <w:sz w:val="28"/>
          <w:szCs w:val="28"/>
          <w:highlight w:val="none"/>
        </w:rPr>
        <w:t>0631-5307028</w:t>
      </w:r>
      <w:r>
        <w:rPr>
          <w:rFonts w:hint="eastAsia" w:ascii="仿宋_GB2312" w:hAnsi="黑体" w:eastAsia="仿宋_GB2312" w:cs="宋体"/>
          <w:color w:val="000000" w:themeColor="text1"/>
          <w:spacing w:val="8"/>
          <w:sz w:val="28"/>
          <w:szCs w:val="28"/>
          <w:highlight w:val="none"/>
        </w:rPr>
        <w:t>；国企采购技术支持电话：</w:t>
      </w:r>
      <w:r>
        <w:rPr>
          <w:rFonts w:ascii="仿宋_GB2312" w:hAnsi="黑体" w:eastAsia="仿宋_GB2312" w:cs="宋体"/>
          <w:color w:val="000000" w:themeColor="text1"/>
          <w:spacing w:val="8"/>
          <w:sz w:val="28"/>
          <w:szCs w:val="28"/>
          <w:highlight w:val="none"/>
        </w:rPr>
        <w:t>17863029936</w:t>
      </w:r>
      <w:r>
        <w:rPr>
          <w:rFonts w:hint="eastAsia" w:ascii="仿宋_GB2312" w:hAnsi="黑体" w:eastAsia="仿宋_GB2312" w:cs="宋体"/>
          <w:color w:val="000000" w:themeColor="text1"/>
          <w:spacing w:val="8"/>
          <w:sz w:val="28"/>
          <w:szCs w:val="28"/>
          <w:highlight w:val="none"/>
        </w:rPr>
        <w:t xml:space="preserve"> ，国企技术支持QQ群（供应商）：</w:t>
      </w:r>
      <w:r>
        <w:rPr>
          <w:rFonts w:ascii="仿宋_GB2312" w:hAnsi="黑体" w:eastAsia="仿宋_GB2312" w:cs="宋体"/>
          <w:color w:val="000000" w:themeColor="text1"/>
          <w:spacing w:val="8"/>
          <w:sz w:val="28"/>
          <w:szCs w:val="28"/>
          <w:highlight w:val="none"/>
        </w:rPr>
        <w:t>1046971257</w:t>
      </w:r>
    </w:p>
    <w:p>
      <w:pPr>
        <w:widowControl/>
        <w:shd w:val="clear" w:color="auto" w:fill="FFFFFF"/>
        <w:spacing w:line="360" w:lineRule="auto"/>
        <w:ind w:firstLine="539"/>
        <w:rPr>
          <w:rFonts w:ascii="仿宋_GB2312" w:hAnsi="黑体" w:eastAsia="仿宋_GB2312" w:cs="宋体"/>
          <w:color w:val="000000" w:themeColor="text1"/>
          <w:spacing w:val="8"/>
          <w:sz w:val="28"/>
          <w:szCs w:val="28"/>
          <w:highlight w:val="none"/>
        </w:rPr>
      </w:pPr>
      <w:r>
        <w:rPr>
          <w:rFonts w:hint="eastAsia" w:ascii="仿宋_GB2312" w:hAnsi="黑体" w:eastAsia="仿宋_GB2312" w:cs="宋体"/>
          <w:color w:val="000000" w:themeColor="text1"/>
          <w:spacing w:val="8"/>
          <w:sz w:val="28"/>
          <w:szCs w:val="28"/>
          <w:highlight w:val="none"/>
        </w:rPr>
        <w:t>注：未注册用户请先免费注册。在“威海市国有企业阳光采购电子化服务平台”（威海市公共资源交易网（荣成市）右侧“国企采购”按钮）登录端口注册登记，并办理“安全证书（CA）”和“电子签章”进行获取文件。“安全证书（CA）”和“电子签章”办理请按照“威海市公共资源交易网（荣成市）”右侧“CA办理”中“CA证书办理介绍”进行办理。</w:t>
      </w:r>
    </w:p>
    <w:p>
      <w:pPr>
        <w:spacing w:line="360" w:lineRule="auto"/>
        <w:ind w:firstLine="560" w:firstLineChars="200"/>
        <w:rPr>
          <w:rFonts w:ascii="黑体" w:hAnsi="黑体" w:eastAsia="黑体" w:cs="宋体"/>
          <w:color w:val="000000" w:themeColor="text1"/>
          <w:sz w:val="28"/>
          <w:szCs w:val="28"/>
          <w:highlight w:val="none"/>
        </w:rPr>
      </w:pPr>
      <w:r>
        <w:rPr>
          <w:rFonts w:hint="eastAsia" w:ascii="黑体" w:hAnsi="黑体" w:eastAsia="黑体" w:cs="宋体"/>
          <w:color w:val="000000" w:themeColor="text1"/>
          <w:sz w:val="28"/>
          <w:szCs w:val="28"/>
          <w:highlight w:val="none"/>
        </w:rPr>
        <w:t>四、提交投标文件截止时间、开标时间和地点</w:t>
      </w:r>
    </w:p>
    <w:p>
      <w:pPr>
        <w:widowControl/>
        <w:adjustRightInd w:val="0"/>
        <w:spacing w:line="360" w:lineRule="auto"/>
        <w:ind w:firstLine="592" w:firstLineChars="200"/>
        <w:jc w:val="left"/>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1.提交投标文件时间：2026年</w:t>
      </w:r>
      <w:r>
        <w:rPr>
          <w:rFonts w:hint="eastAsia" w:ascii="仿宋_GB2312" w:hAnsi="仿宋" w:eastAsia="仿宋_GB2312" w:cs="宋体"/>
          <w:color w:val="000000" w:themeColor="text1"/>
          <w:spacing w:val="8"/>
          <w:sz w:val="28"/>
          <w:szCs w:val="28"/>
          <w:highlight w:val="none"/>
          <w:lang w:val="en-US" w:eastAsia="zh-CN"/>
        </w:rPr>
        <w:t>04</w:t>
      </w:r>
      <w:r>
        <w:rPr>
          <w:rFonts w:hint="eastAsia" w:ascii="仿宋_GB2312" w:hAnsi="仿宋" w:eastAsia="仿宋_GB2312" w:cs="宋体"/>
          <w:color w:val="000000" w:themeColor="text1"/>
          <w:spacing w:val="8"/>
          <w:sz w:val="28"/>
          <w:szCs w:val="28"/>
          <w:highlight w:val="none"/>
        </w:rPr>
        <w:t>月</w:t>
      </w:r>
      <w:r>
        <w:rPr>
          <w:rFonts w:hint="eastAsia" w:ascii="仿宋_GB2312" w:hAnsi="仿宋" w:eastAsia="仿宋_GB2312" w:cs="宋体"/>
          <w:color w:val="000000" w:themeColor="text1"/>
          <w:spacing w:val="8"/>
          <w:sz w:val="28"/>
          <w:szCs w:val="28"/>
          <w:highlight w:val="none"/>
          <w:lang w:val="en-US" w:eastAsia="zh-CN"/>
        </w:rPr>
        <w:t>02</w:t>
      </w:r>
      <w:r>
        <w:rPr>
          <w:rFonts w:hint="eastAsia" w:ascii="仿宋_GB2312" w:hAnsi="仿宋" w:eastAsia="仿宋_GB2312" w:cs="宋体"/>
          <w:color w:val="000000" w:themeColor="text1"/>
          <w:spacing w:val="8"/>
          <w:sz w:val="28"/>
          <w:szCs w:val="28"/>
          <w:highlight w:val="none"/>
        </w:rPr>
        <w:t>日08:30至2026年</w:t>
      </w:r>
      <w:r>
        <w:rPr>
          <w:rFonts w:hint="eastAsia" w:ascii="仿宋_GB2312" w:hAnsi="仿宋" w:eastAsia="仿宋_GB2312" w:cs="宋体"/>
          <w:color w:val="000000" w:themeColor="text1"/>
          <w:spacing w:val="8"/>
          <w:sz w:val="28"/>
          <w:szCs w:val="28"/>
          <w:highlight w:val="none"/>
          <w:lang w:val="en-US" w:eastAsia="zh-CN"/>
        </w:rPr>
        <w:t>04</w:t>
      </w:r>
      <w:r>
        <w:rPr>
          <w:rFonts w:hint="eastAsia" w:ascii="仿宋_GB2312" w:hAnsi="仿宋" w:eastAsia="仿宋_GB2312" w:cs="宋体"/>
          <w:color w:val="000000" w:themeColor="text1"/>
          <w:spacing w:val="8"/>
          <w:sz w:val="28"/>
          <w:szCs w:val="28"/>
          <w:highlight w:val="none"/>
        </w:rPr>
        <w:t>月</w:t>
      </w:r>
      <w:r>
        <w:rPr>
          <w:rFonts w:hint="eastAsia" w:ascii="仿宋_GB2312" w:hAnsi="仿宋" w:eastAsia="仿宋_GB2312" w:cs="宋体"/>
          <w:color w:val="000000" w:themeColor="text1"/>
          <w:spacing w:val="8"/>
          <w:sz w:val="28"/>
          <w:szCs w:val="28"/>
          <w:highlight w:val="none"/>
          <w:lang w:val="en-US" w:eastAsia="zh-CN"/>
        </w:rPr>
        <w:t>16</w:t>
      </w:r>
      <w:r>
        <w:rPr>
          <w:rFonts w:hint="eastAsia" w:ascii="仿宋_GB2312" w:hAnsi="仿宋" w:eastAsia="仿宋_GB2312" w:cs="宋体"/>
          <w:color w:val="000000" w:themeColor="text1"/>
          <w:spacing w:val="8"/>
          <w:sz w:val="28"/>
          <w:szCs w:val="28"/>
          <w:highlight w:val="none"/>
        </w:rPr>
        <w:t>日 09:00</w:t>
      </w:r>
    </w:p>
    <w:p>
      <w:pPr>
        <w:widowControl/>
        <w:adjustRightInd w:val="0"/>
        <w:spacing w:line="360" w:lineRule="auto"/>
        <w:ind w:firstLine="592" w:firstLineChars="200"/>
        <w:jc w:val="left"/>
        <w:rPr>
          <w:rFonts w:ascii="仿宋_GB2312" w:hAnsi="仿宋" w:eastAsia="仿宋_GB2312" w:cs="宋体"/>
          <w:color w:val="000000" w:themeColor="text1"/>
          <w:spacing w:val="8"/>
          <w:kern w:val="0"/>
          <w:sz w:val="28"/>
          <w:szCs w:val="28"/>
          <w:highlight w:val="none"/>
        </w:rPr>
      </w:pPr>
      <w:r>
        <w:rPr>
          <w:rFonts w:hint="eastAsia" w:ascii="仿宋_GB2312" w:hAnsi="仿宋" w:eastAsia="仿宋_GB2312" w:cs="宋体"/>
          <w:color w:val="000000" w:themeColor="text1"/>
          <w:spacing w:val="8"/>
          <w:sz w:val="28"/>
          <w:szCs w:val="28"/>
          <w:highlight w:val="none"/>
        </w:rPr>
        <w:t>2.地点：</w:t>
      </w:r>
      <w:r>
        <w:rPr>
          <w:rFonts w:hint="eastAsia" w:ascii="仿宋_GB2312" w:hAnsi="仿宋" w:eastAsia="仿宋_GB2312" w:cs="宋体"/>
          <w:color w:val="000000" w:themeColor="text1"/>
          <w:spacing w:val="8"/>
          <w:kern w:val="0"/>
          <w:sz w:val="28"/>
          <w:szCs w:val="28"/>
          <w:highlight w:val="none"/>
        </w:rPr>
        <w:t>登录“威海市公共资源交易网（荣成市）”首页右侧“交易服务一网通办系统（新版一网通办系统）”进行“平台切换”点击“国企采购”进入国企阳光采购平台进行提交。</w:t>
      </w:r>
    </w:p>
    <w:p>
      <w:pPr>
        <w:widowControl/>
        <w:adjustRightInd w:val="0"/>
        <w:spacing w:line="360" w:lineRule="auto"/>
        <w:ind w:firstLine="592" w:firstLineChars="200"/>
        <w:jc w:val="left"/>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3.开标时间：2026年</w:t>
      </w:r>
      <w:r>
        <w:rPr>
          <w:rFonts w:hint="eastAsia" w:ascii="仿宋_GB2312" w:hAnsi="仿宋" w:eastAsia="仿宋_GB2312" w:cs="宋体"/>
          <w:color w:val="000000" w:themeColor="text1"/>
          <w:spacing w:val="8"/>
          <w:sz w:val="28"/>
          <w:szCs w:val="28"/>
          <w:highlight w:val="none"/>
          <w:lang w:val="en-US" w:eastAsia="zh-CN"/>
        </w:rPr>
        <w:t>04</w:t>
      </w:r>
      <w:r>
        <w:rPr>
          <w:rFonts w:hint="eastAsia" w:ascii="仿宋_GB2312" w:hAnsi="仿宋" w:eastAsia="仿宋_GB2312" w:cs="宋体"/>
          <w:color w:val="000000" w:themeColor="text1"/>
          <w:spacing w:val="8"/>
          <w:sz w:val="28"/>
          <w:szCs w:val="28"/>
          <w:highlight w:val="none"/>
        </w:rPr>
        <w:t>月</w:t>
      </w:r>
      <w:r>
        <w:rPr>
          <w:rFonts w:hint="eastAsia" w:ascii="仿宋_GB2312" w:hAnsi="仿宋" w:eastAsia="仿宋_GB2312" w:cs="宋体"/>
          <w:color w:val="000000" w:themeColor="text1"/>
          <w:spacing w:val="8"/>
          <w:sz w:val="28"/>
          <w:szCs w:val="28"/>
          <w:highlight w:val="none"/>
          <w:lang w:val="en-US" w:eastAsia="zh-CN"/>
        </w:rPr>
        <w:t>16</w:t>
      </w:r>
      <w:r>
        <w:rPr>
          <w:rFonts w:hint="eastAsia" w:ascii="仿宋_GB2312" w:hAnsi="仿宋" w:eastAsia="仿宋_GB2312" w:cs="宋体"/>
          <w:color w:val="000000" w:themeColor="text1"/>
          <w:spacing w:val="8"/>
          <w:sz w:val="28"/>
          <w:szCs w:val="28"/>
          <w:highlight w:val="none"/>
        </w:rPr>
        <w:t>日 09:00（北京时间）</w:t>
      </w:r>
    </w:p>
    <w:p>
      <w:pPr>
        <w:widowControl/>
        <w:adjustRightInd w:val="0"/>
        <w:spacing w:line="360" w:lineRule="auto"/>
        <w:ind w:firstLine="592" w:firstLineChars="200"/>
        <w:jc w:val="left"/>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4.开标地点：威海市公共资源交易中心荣成分中心（荣成市河阳东路81号荣成市经济开发区热电厂东200米路南）三楼第</w:t>
      </w:r>
      <w:r>
        <w:rPr>
          <w:rFonts w:hint="eastAsia" w:ascii="仿宋_GB2312" w:hAnsi="仿宋" w:eastAsia="仿宋_GB2312" w:cs="宋体"/>
          <w:color w:val="000000" w:themeColor="text1"/>
          <w:spacing w:val="8"/>
          <w:sz w:val="28"/>
          <w:szCs w:val="28"/>
          <w:highlight w:val="none"/>
          <w:lang w:val="en-US" w:eastAsia="zh-CN"/>
        </w:rPr>
        <w:t>一</w:t>
      </w:r>
      <w:r>
        <w:rPr>
          <w:rFonts w:hint="eastAsia" w:ascii="仿宋_GB2312" w:hAnsi="仿宋" w:eastAsia="仿宋_GB2312" w:cs="宋体"/>
          <w:color w:val="000000" w:themeColor="text1"/>
          <w:spacing w:val="8"/>
          <w:sz w:val="28"/>
          <w:szCs w:val="28"/>
          <w:highlight w:val="none"/>
        </w:rPr>
        <w:t>开标室。</w:t>
      </w:r>
    </w:p>
    <w:p>
      <w:pPr>
        <w:spacing w:line="360" w:lineRule="auto"/>
        <w:ind w:firstLine="560" w:firstLineChars="200"/>
        <w:rPr>
          <w:rFonts w:ascii="黑体" w:hAnsi="黑体" w:eastAsia="黑体" w:cs="宋体"/>
          <w:color w:val="000000" w:themeColor="text1"/>
          <w:sz w:val="28"/>
          <w:szCs w:val="28"/>
          <w:highlight w:val="none"/>
        </w:rPr>
      </w:pPr>
      <w:r>
        <w:rPr>
          <w:rFonts w:hint="eastAsia" w:ascii="黑体" w:hAnsi="黑体" w:eastAsia="黑体" w:cs="宋体"/>
          <w:color w:val="000000" w:themeColor="text1"/>
          <w:sz w:val="28"/>
          <w:szCs w:val="28"/>
          <w:highlight w:val="none"/>
        </w:rPr>
        <w:t>五、开启</w:t>
      </w:r>
    </w:p>
    <w:p>
      <w:pPr>
        <w:pStyle w:val="13"/>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时间：2026年</w:t>
      </w:r>
      <w:r>
        <w:rPr>
          <w:rFonts w:hint="eastAsia" w:ascii="仿宋_GB2312" w:hAnsi="仿宋" w:eastAsia="仿宋_GB2312" w:cs="宋体"/>
          <w:color w:val="000000" w:themeColor="text1"/>
          <w:spacing w:val="8"/>
          <w:sz w:val="28"/>
          <w:szCs w:val="28"/>
          <w:highlight w:val="none"/>
          <w:lang w:val="en-US" w:eastAsia="zh-CN"/>
        </w:rPr>
        <w:t>04</w:t>
      </w:r>
      <w:r>
        <w:rPr>
          <w:rFonts w:hint="eastAsia" w:ascii="仿宋_GB2312" w:hAnsi="仿宋" w:eastAsia="仿宋_GB2312" w:cs="宋体"/>
          <w:color w:val="000000" w:themeColor="text1"/>
          <w:spacing w:val="8"/>
          <w:sz w:val="28"/>
          <w:szCs w:val="28"/>
          <w:highlight w:val="none"/>
        </w:rPr>
        <w:t>月</w:t>
      </w:r>
      <w:r>
        <w:rPr>
          <w:rFonts w:hint="eastAsia" w:ascii="仿宋_GB2312" w:hAnsi="仿宋" w:eastAsia="仿宋_GB2312" w:cs="宋体"/>
          <w:color w:val="000000" w:themeColor="text1"/>
          <w:spacing w:val="8"/>
          <w:sz w:val="28"/>
          <w:szCs w:val="28"/>
          <w:highlight w:val="none"/>
          <w:lang w:val="en-US" w:eastAsia="zh-CN"/>
        </w:rPr>
        <w:t>16</w:t>
      </w:r>
      <w:r>
        <w:rPr>
          <w:rFonts w:hint="eastAsia" w:ascii="仿宋_GB2312" w:hAnsi="仿宋" w:eastAsia="仿宋_GB2312" w:cs="宋体"/>
          <w:color w:val="000000" w:themeColor="text1"/>
          <w:spacing w:val="8"/>
          <w:sz w:val="28"/>
          <w:szCs w:val="28"/>
          <w:highlight w:val="none"/>
        </w:rPr>
        <w:t>日 09:00（北京时间）</w:t>
      </w:r>
    </w:p>
    <w:p>
      <w:pPr>
        <w:pStyle w:val="13"/>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地点：威海市公共资源交易中心荣成分中心（荣成市河阳东路81号荣成市经济开发区热电厂东200米路南）三楼第</w:t>
      </w:r>
      <w:r>
        <w:rPr>
          <w:rFonts w:hint="eastAsia" w:ascii="仿宋_GB2312" w:hAnsi="仿宋" w:eastAsia="仿宋_GB2312" w:cs="宋体"/>
          <w:color w:val="000000" w:themeColor="text1"/>
          <w:spacing w:val="8"/>
          <w:sz w:val="28"/>
          <w:szCs w:val="28"/>
          <w:highlight w:val="none"/>
          <w:lang w:val="en-US" w:eastAsia="zh-CN"/>
        </w:rPr>
        <w:t>一</w:t>
      </w:r>
      <w:r>
        <w:rPr>
          <w:rFonts w:hint="eastAsia" w:ascii="仿宋_GB2312" w:hAnsi="仿宋" w:eastAsia="仿宋_GB2312" w:cs="宋体"/>
          <w:color w:val="000000" w:themeColor="text1"/>
          <w:spacing w:val="8"/>
          <w:sz w:val="28"/>
          <w:szCs w:val="28"/>
          <w:highlight w:val="none"/>
        </w:rPr>
        <w:t>开标室。</w:t>
      </w:r>
    </w:p>
    <w:p>
      <w:pPr>
        <w:spacing w:line="360" w:lineRule="auto"/>
        <w:ind w:firstLine="560" w:firstLineChars="200"/>
        <w:rPr>
          <w:rFonts w:ascii="仿宋_GB2312" w:hAnsi="仿宋" w:eastAsia="仿宋_GB2312" w:cs="宋体"/>
          <w:color w:val="000000" w:themeColor="text1"/>
          <w:spacing w:val="8"/>
          <w:sz w:val="28"/>
          <w:szCs w:val="28"/>
          <w:highlight w:val="none"/>
        </w:rPr>
      </w:pPr>
      <w:r>
        <w:rPr>
          <w:rFonts w:hint="eastAsia" w:ascii="黑体" w:hAnsi="黑体" w:eastAsia="黑体" w:cs="宋体"/>
          <w:color w:val="000000" w:themeColor="text1"/>
          <w:sz w:val="28"/>
          <w:szCs w:val="28"/>
          <w:highlight w:val="none"/>
        </w:rPr>
        <w:t>六、其他补充事宜</w:t>
      </w:r>
    </w:p>
    <w:p>
      <w:pPr>
        <w:widowControl/>
        <w:shd w:val="clear" w:color="auto" w:fill="FFFFFF"/>
        <w:spacing w:line="360" w:lineRule="auto"/>
        <w:ind w:firstLine="556"/>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本项目实行全流程电子化，实行远程解密，投标人无需到现场，并保持通讯畅通，提前在个人电脑上进行测试确保音频、视频功能可正常使用。因通讯不畅造成的一切后果由供应商自行承担。</w:t>
      </w:r>
    </w:p>
    <w:p>
      <w:pPr>
        <w:spacing w:line="360" w:lineRule="auto"/>
        <w:ind w:firstLine="560" w:firstLineChars="200"/>
        <w:rPr>
          <w:rFonts w:ascii="黑体" w:hAnsi="黑体" w:eastAsia="黑体" w:cs="宋体"/>
          <w:color w:val="000000" w:themeColor="text1"/>
          <w:sz w:val="28"/>
          <w:szCs w:val="28"/>
          <w:highlight w:val="none"/>
        </w:rPr>
      </w:pPr>
      <w:r>
        <w:rPr>
          <w:rFonts w:hint="eastAsia" w:ascii="黑体" w:hAnsi="黑体" w:eastAsia="黑体" w:cs="宋体"/>
          <w:color w:val="000000" w:themeColor="text1"/>
          <w:sz w:val="28"/>
          <w:szCs w:val="28"/>
          <w:highlight w:val="none"/>
        </w:rPr>
        <w:t>七、对本次招标提出询问，请按以下方式联系。</w:t>
      </w:r>
    </w:p>
    <w:p>
      <w:pPr>
        <w:widowControl/>
        <w:shd w:val="clear" w:color="auto" w:fill="FFFFFF"/>
        <w:spacing w:line="360" w:lineRule="auto"/>
        <w:ind w:firstLine="592" w:firstLineChars="200"/>
        <w:jc w:val="left"/>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1.采购人信息</w:t>
      </w:r>
    </w:p>
    <w:p>
      <w:pPr>
        <w:widowControl/>
        <w:shd w:val="clear" w:color="auto" w:fill="FFFFFF"/>
        <w:spacing w:line="360" w:lineRule="auto"/>
        <w:ind w:firstLine="592" w:firstLineChars="200"/>
        <w:jc w:val="left"/>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名  称：</w:t>
      </w:r>
      <w:bookmarkStart w:id="9" w:name="OLE_LINK3"/>
      <w:r>
        <w:rPr>
          <w:rFonts w:hint="eastAsia" w:ascii="仿宋_GB2312" w:hAnsi="仿宋" w:eastAsia="仿宋_GB2312" w:cs="宋体"/>
          <w:color w:val="000000" w:themeColor="text1"/>
          <w:spacing w:val="8"/>
          <w:sz w:val="28"/>
          <w:szCs w:val="28"/>
          <w:highlight w:val="none"/>
        </w:rPr>
        <w:t>威海市港城建设集团有限公司</w:t>
      </w:r>
      <w:bookmarkEnd w:id="9"/>
    </w:p>
    <w:p>
      <w:pPr>
        <w:widowControl/>
        <w:shd w:val="clear" w:color="auto" w:fill="FFFFFF"/>
        <w:spacing w:line="360" w:lineRule="auto"/>
        <w:ind w:firstLine="592" w:firstLineChars="200"/>
        <w:jc w:val="left"/>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地  址：</w:t>
      </w:r>
      <w:bookmarkStart w:id="10" w:name="OLE_LINK4"/>
      <w:r>
        <w:rPr>
          <w:rFonts w:hint="eastAsia" w:ascii="仿宋_GB2312" w:hAnsi="仿宋" w:eastAsia="仿宋_GB2312" w:cs="宋体"/>
          <w:color w:val="000000" w:themeColor="text1"/>
          <w:spacing w:val="8"/>
          <w:sz w:val="28"/>
          <w:szCs w:val="28"/>
          <w:highlight w:val="none"/>
        </w:rPr>
        <w:t>山东省荣成市石岛管理区双山东路589号科创大厦</w:t>
      </w:r>
      <w:bookmarkEnd w:id="10"/>
    </w:p>
    <w:p>
      <w:pPr>
        <w:widowControl/>
        <w:shd w:val="clear" w:color="auto" w:fill="FFFFFF"/>
        <w:spacing w:line="360" w:lineRule="auto"/>
        <w:ind w:firstLine="592" w:firstLineChars="200"/>
        <w:jc w:val="left"/>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联系方式：</w:t>
      </w:r>
      <w:r>
        <w:rPr>
          <w:rFonts w:hint="eastAsia" w:ascii="仿宋" w:hAnsi="仿宋" w:eastAsia="仿宋" w:cs="宋体"/>
          <w:color w:val="000000" w:themeColor="text1"/>
          <w:spacing w:val="8"/>
          <w:sz w:val="28"/>
          <w:szCs w:val="28"/>
          <w:highlight w:val="none"/>
        </w:rPr>
        <w:t>0631-7312968</w:t>
      </w:r>
    </w:p>
    <w:p>
      <w:pPr>
        <w:widowControl/>
        <w:shd w:val="clear" w:color="auto" w:fill="FFFFFF"/>
        <w:spacing w:line="360" w:lineRule="auto"/>
        <w:ind w:firstLine="592" w:firstLineChars="200"/>
        <w:jc w:val="left"/>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2.采购代理机构信息</w:t>
      </w:r>
    </w:p>
    <w:p>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名  称：山东志诚工程咨询管理有限公司</w:t>
      </w:r>
    </w:p>
    <w:p>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地  址：荣成市观海中路16号</w:t>
      </w:r>
    </w:p>
    <w:p>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联系方式：</w:t>
      </w:r>
      <w:r>
        <w:rPr>
          <w:rFonts w:ascii="仿宋_GB2312" w:hAnsi="仿宋" w:eastAsia="仿宋_GB2312" w:cs="宋体"/>
          <w:color w:val="000000" w:themeColor="text1"/>
          <w:spacing w:val="8"/>
          <w:sz w:val="28"/>
          <w:szCs w:val="28"/>
          <w:highlight w:val="none"/>
        </w:rPr>
        <w:t>0631-756</w:t>
      </w:r>
      <w:r>
        <w:rPr>
          <w:rFonts w:hint="eastAsia" w:ascii="仿宋_GB2312" w:hAnsi="仿宋" w:eastAsia="仿宋_GB2312" w:cs="宋体"/>
          <w:color w:val="000000" w:themeColor="text1"/>
          <w:spacing w:val="8"/>
          <w:sz w:val="28"/>
          <w:szCs w:val="28"/>
          <w:highlight w:val="none"/>
        </w:rPr>
        <w:t>7778</w:t>
      </w:r>
    </w:p>
    <w:p>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3.项目联系方式</w:t>
      </w:r>
    </w:p>
    <w:p>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项目联系人：夏菁</w:t>
      </w:r>
    </w:p>
    <w:p>
      <w:pPr>
        <w:widowControl/>
        <w:adjustRightInd w:val="0"/>
        <w:spacing w:line="360" w:lineRule="auto"/>
        <w:ind w:firstLine="592" w:firstLineChars="200"/>
        <w:jc w:val="left"/>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电  话：</w:t>
      </w:r>
      <w:r>
        <w:rPr>
          <w:rFonts w:ascii="仿宋_GB2312" w:hAnsi="仿宋" w:eastAsia="仿宋_GB2312" w:cs="宋体"/>
          <w:color w:val="000000" w:themeColor="text1"/>
          <w:spacing w:val="8"/>
          <w:sz w:val="28"/>
          <w:szCs w:val="28"/>
          <w:highlight w:val="none"/>
        </w:rPr>
        <w:t>0631-756</w:t>
      </w:r>
      <w:r>
        <w:rPr>
          <w:rFonts w:hint="eastAsia" w:ascii="仿宋_GB2312" w:hAnsi="仿宋" w:eastAsia="仿宋_GB2312" w:cs="宋体"/>
          <w:color w:val="000000" w:themeColor="text1"/>
          <w:spacing w:val="8"/>
          <w:sz w:val="28"/>
          <w:szCs w:val="28"/>
          <w:highlight w:val="none"/>
        </w:rPr>
        <w:t>7778</w:t>
      </w:r>
    </w:p>
    <w:p>
      <w:pPr>
        <w:pStyle w:val="13"/>
        <w:rPr>
          <w:rFonts w:ascii="黑体" w:hAnsi="黑体" w:eastAsia="黑体" w:cs="宋体"/>
          <w:color w:val="000000" w:themeColor="text1"/>
          <w:sz w:val="28"/>
          <w:szCs w:val="28"/>
          <w:highlight w:val="none"/>
        </w:rPr>
      </w:pPr>
      <w:r>
        <w:rPr>
          <w:rFonts w:hint="eastAsia" w:ascii="黑体" w:hAnsi="黑体" w:eastAsia="黑体" w:cs="宋体"/>
          <w:color w:val="000000" w:themeColor="text1"/>
          <w:sz w:val="28"/>
          <w:szCs w:val="28"/>
          <w:highlight w:val="none"/>
        </w:rPr>
        <w:t>八、发布公告的媒介</w:t>
      </w:r>
    </w:p>
    <w:p>
      <w:pPr>
        <w:pStyle w:val="13"/>
        <w:rPr>
          <w:rFonts w:ascii="仿宋_GB2312" w:hAnsi="仿宋" w:eastAsia="仿宋_GB2312" w:cs="宋体"/>
          <w:color w:val="000000" w:themeColor="text1"/>
          <w:spacing w:val="8"/>
          <w:sz w:val="28"/>
          <w:szCs w:val="28"/>
          <w:highlight w:val="none"/>
        </w:rPr>
      </w:pPr>
      <w:r>
        <w:rPr>
          <w:rFonts w:hint="eastAsia" w:ascii="仿宋_GB2312" w:hAnsi="仿宋" w:eastAsia="仿宋_GB2312" w:cs="宋体"/>
          <w:color w:val="000000" w:themeColor="text1"/>
          <w:spacing w:val="8"/>
          <w:sz w:val="28"/>
          <w:szCs w:val="28"/>
          <w:highlight w:val="none"/>
        </w:rPr>
        <w:t>本次公告在中国招标投标公共服务平台（www.cebpubservice.com）、威海市公共资源交易网（http://ggzyjy.weihai.cn/）威海市公共资源交易网（荣成市）（http://ggzyjy.weihai.cn/rongcheng/）同时发布，其它媒介转发无效。</w:t>
      </w:r>
    </w:p>
    <w:p>
      <w:pPr>
        <w:spacing w:line="360" w:lineRule="auto"/>
        <w:jc w:val="right"/>
        <w:rPr>
          <w:rFonts w:ascii="仿宋_GB2312" w:hAnsi="宋体" w:eastAsia="仿宋_GB2312"/>
          <w:color w:val="000000" w:themeColor="text1"/>
          <w:sz w:val="28"/>
          <w:szCs w:val="28"/>
          <w:highlight w:val="none"/>
        </w:rPr>
      </w:pPr>
      <w:r>
        <w:rPr>
          <w:rFonts w:hint="eastAsia" w:ascii="仿宋_GB2312" w:hAnsi="宋体" w:eastAsia="仿宋_GB2312" w:cs="宋体"/>
          <w:color w:val="000000" w:themeColor="text1"/>
          <w:sz w:val="28"/>
          <w:szCs w:val="28"/>
          <w:highlight w:val="none"/>
        </w:rPr>
        <w:t>发布人：山东志诚工程咨询管理有限公司</w:t>
      </w:r>
    </w:p>
    <w:p>
      <w:pPr>
        <w:widowControl/>
        <w:adjustRightInd w:val="0"/>
        <w:spacing w:line="360" w:lineRule="auto"/>
        <w:ind w:left="-240"/>
        <w:jc w:val="right"/>
        <w:rPr>
          <w:rFonts w:ascii="宋体" w:hAnsi="宋体" w:cs="宋体"/>
          <w:color w:val="000000" w:themeColor="text1"/>
          <w:sz w:val="28"/>
          <w:highlight w:val="none"/>
        </w:rPr>
      </w:pPr>
      <w:r>
        <w:rPr>
          <w:rFonts w:hint="eastAsia" w:ascii="仿宋_GB2312" w:hAnsi="宋体" w:eastAsia="仿宋_GB2312" w:cs="宋体"/>
          <w:color w:val="000000" w:themeColor="text1"/>
          <w:sz w:val="28"/>
          <w:szCs w:val="28"/>
          <w:highlight w:val="none"/>
        </w:rPr>
        <w:t>发布时间：</w:t>
      </w:r>
      <w:r>
        <w:rPr>
          <w:rFonts w:ascii="仿宋_GB2312" w:hAnsi="宋体" w:eastAsia="仿宋_GB2312" w:cs="宋体"/>
          <w:color w:val="000000" w:themeColor="text1"/>
          <w:sz w:val="28"/>
          <w:szCs w:val="28"/>
          <w:highlight w:val="none"/>
        </w:rPr>
        <w:t>202</w:t>
      </w:r>
      <w:r>
        <w:rPr>
          <w:rFonts w:hint="eastAsia" w:ascii="仿宋_GB2312" w:hAnsi="宋体" w:eastAsia="仿宋_GB2312" w:cs="宋体"/>
          <w:color w:val="000000" w:themeColor="text1"/>
          <w:sz w:val="28"/>
          <w:szCs w:val="28"/>
          <w:highlight w:val="none"/>
        </w:rPr>
        <w:t>6</w:t>
      </w:r>
      <w:r>
        <w:rPr>
          <w:rFonts w:ascii="仿宋_GB2312" w:hAnsi="宋体" w:eastAsia="仿宋_GB2312" w:cs="宋体"/>
          <w:color w:val="000000" w:themeColor="text1"/>
          <w:sz w:val="28"/>
          <w:szCs w:val="28"/>
          <w:highlight w:val="none"/>
        </w:rPr>
        <w:t>年</w:t>
      </w:r>
      <w:r>
        <w:rPr>
          <w:rFonts w:hint="eastAsia" w:ascii="仿宋_GB2312" w:hAnsi="宋体" w:eastAsia="仿宋_GB2312" w:cs="宋体"/>
          <w:color w:val="000000" w:themeColor="text1"/>
          <w:sz w:val="28"/>
          <w:szCs w:val="28"/>
          <w:highlight w:val="none"/>
          <w:lang w:val="en-US" w:eastAsia="zh-CN"/>
        </w:rPr>
        <w:t>04</w:t>
      </w:r>
      <w:r>
        <w:rPr>
          <w:rFonts w:hint="eastAsia" w:ascii="仿宋_GB2312" w:hAnsi="宋体" w:eastAsia="仿宋_GB2312" w:cs="宋体"/>
          <w:color w:val="000000" w:themeColor="text1"/>
          <w:sz w:val="28"/>
          <w:szCs w:val="28"/>
          <w:highlight w:val="none"/>
        </w:rPr>
        <w:t>月</w:t>
      </w:r>
      <w:r>
        <w:rPr>
          <w:rFonts w:hint="eastAsia" w:ascii="仿宋_GB2312" w:hAnsi="宋体" w:eastAsia="仿宋_GB2312" w:cs="宋体"/>
          <w:color w:val="000000" w:themeColor="text1"/>
          <w:sz w:val="28"/>
          <w:szCs w:val="28"/>
          <w:highlight w:val="none"/>
          <w:lang w:val="en-US" w:eastAsia="zh-CN"/>
        </w:rPr>
        <w:t>01</w:t>
      </w:r>
      <w:r>
        <w:rPr>
          <w:rFonts w:hint="eastAsia" w:ascii="仿宋_GB2312" w:hAnsi="宋体" w:eastAsia="仿宋_GB2312" w:cs="宋体"/>
          <w:color w:val="000000" w:themeColor="text1"/>
          <w:sz w:val="28"/>
          <w:szCs w:val="28"/>
          <w:highlight w:val="none"/>
        </w:rPr>
        <w:t>日</w:t>
      </w:r>
    </w:p>
    <w:p>
      <w:pPr>
        <w:rPr>
          <w:color w:val="000000" w:themeColor="text1"/>
          <w:highlight w:val="none"/>
        </w:rPr>
        <w:sectPr>
          <w:pgSz w:w="11906" w:h="16838"/>
          <w:pgMar w:top="1440" w:right="1080" w:bottom="1440" w:left="1080" w:header="851" w:footer="992" w:gutter="0"/>
          <w:cols w:space="425" w:num="1"/>
          <w:docGrid w:type="lines" w:linePitch="312" w:charSpace="0"/>
        </w:sectPr>
      </w:pPr>
    </w:p>
    <w:p>
      <w:pPr>
        <w:pStyle w:val="42"/>
        <w:spacing w:before="0" w:after="0" w:line="360" w:lineRule="auto"/>
        <w:ind w:firstLine="646" w:firstLineChars="201"/>
        <w:rPr>
          <w:rFonts w:ascii="宋体" w:hAnsi="宋体" w:cs="宋体"/>
          <w:color w:val="000000" w:themeColor="text1"/>
          <w:highlight w:val="none"/>
        </w:rPr>
      </w:pPr>
      <w:r>
        <w:rPr>
          <w:rFonts w:hint="eastAsia" w:ascii="宋体" w:hAnsi="宋体" w:cs="宋体"/>
          <w:color w:val="000000" w:themeColor="text1"/>
          <w:highlight w:val="none"/>
        </w:rPr>
        <w:t>第二章投标须知</w:t>
      </w:r>
    </w:p>
    <w:p>
      <w:pPr>
        <w:pStyle w:val="42"/>
        <w:spacing w:before="0" w:after="0" w:line="360" w:lineRule="auto"/>
        <w:ind w:firstLine="646" w:firstLineChars="201"/>
        <w:rPr>
          <w:rFonts w:ascii="黑体" w:hAnsi="黑体" w:eastAsia="黑体"/>
          <w:color w:val="000000" w:themeColor="text1"/>
          <w:highlight w:val="none"/>
        </w:rPr>
      </w:pPr>
      <w:r>
        <w:rPr>
          <w:rFonts w:hint="eastAsia" w:ascii="黑体" w:hAnsi="黑体" w:eastAsia="黑体"/>
          <w:color w:val="000000" w:themeColor="text1"/>
          <w:highlight w:val="none"/>
        </w:rPr>
        <w:t>投标须知前附表</w:t>
      </w:r>
    </w:p>
    <w:p>
      <w:pPr>
        <w:ind w:firstLine="643" w:firstLineChars="201"/>
        <w:jc w:val="center"/>
        <w:rPr>
          <w:rFonts w:ascii="宋体" w:hAnsi="宋体"/>
          <w:color w:val="000000" w:themeColor="text1"/>
          <w:sz w:val="32"/>
          <w:szCs w:val="32"/>
          <w:highlight w:val="none"/>
        </w:rPr>
      </w:pPr>
    </w:p>
    <w:tbl>
      <w:tblPr>
        <w:tblStyle w:val="47"/>
        <w:tblW w:w="9688"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2155"/>
        <w:gridCol w:w="662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序号</w:t>
            </w:r>
          </w:p>
        </w:tc>
        <w:tc>
          <w:tcPr>
            <w:tcW w:w="2155"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项    目</w:t>
            </w:r>
          </w:p>
        </w:tc>
        <w:tc>
          <w:tcPr>
            <w:tcW w:w="6625" w:type="dxa"/>
            <w:tcBorders>
              <w:top w:val="single" w:color="auto" w:sz="4" w:space="0"/>
              <w:left w:val="single" w:color="auto" w:sz="4" w:space="0"/>
              <w:bottom w:val="single" w:color="auto" w:sz="4" w:space="0"/>
            </w:tcBorders>
            <w:vAlign w:val="center"/>
          </w:tcPr>
          <w:p>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内           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1</w:t>
            </w:r>
          </w:p>
        </w:tc>
        <w:tc>
          <w:tcPr>
            <w:tcW w:w="2155"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项目名称</w:t>
            </w:r>
          </w:p>
        </w:tc>
        <w:tc>
          <w:tcPr>
            <w:tcW w:w="6625" w:type="dxa"/>
            <w:tcBorders>
              <w:top w:val="single" w:color="auto" w:sz="4" w:space="0"/>
              <w:left w:val="single" w:color="auto" w:sz="4" w:space="0"/>
              <w:bottom w:val="single" w:color="auto" w:sz="4" w:space="0"/>
            </w:tcBorders>
            <w:vAlign w:val="center"/>
          </w:tcPr>
          <w:p>
            <w:pPr>
              <w:spacing w:line="560" w:lineRule="exact"/>
              <w:rPr>
                <w:rFonts w:ascii="仿宋_GB2312" w:hAnsi="宋体" w:eastAsia="仿宋_GB2312"/>
                <w:color w:val="000000" w:themeColor="text1"/>
                <w:sz w:val="28"/>
                <w:szCs w:val="28"/>
                <w:highlight w:val="none"/>
              </w:rPr>
            </w:pPr>
            <w:bookmarkStart w:id="11" w:name="OLE_LINK9"/>
            <w:r>
              <w:rPr>
                <w:rFonts w:hint="eastAsia" w:ascii="仿宋_GB2312" w:hAnsi="宋体" w:eastAsia="仿宋_GB2312"/>
                <w:color w:val="000000" w:themeColor="text1"/>
                <w:sz w:val="28"/>
                <w:szCs w:val="28"/>
                <w:highlight w:val="none"/>
              </w:rPr>
              <w:t>荣成市第二十三中学特色教室及智慧文化建设</w:t>
            </w:r>
            <w:bookmarkEnd w:id="11"/>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13" w:hRule="atLeast"/>
          <w:jc w:val="center"/>
        </w:trPr>
        <w:tc>
          <w:tcPr>
            <w:tcW w:w="908" w:type="dxa"/>
            <w:tcBorders>
              <w:top w:val="single" w:color="auto" w:sz="4" w:space="0"/>
              <w:bottom w:val="single" w:color="auto" w:sz="4" w:space="0"/>
              <w:right w:val="single" w:color="auto" w:sz="4" w:space="0"/>
            </w:tcBorders>
            <w:vAlign w:val="center"/>
          </w:tcPr>
          <w:p>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2</w:t>
            </w:r>
          </w:p>
        </w:tc>
        <w:tc>
          <w:tcPr>
            <w:tcW w:w="2155"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项目编号</w:t>
            </w:r>
          </w:p>
        </w:tc>
        <w:tc>
          <w:tcPr>
            <w:tcW w:w="6625" w:type="dxa"/>
            <w:tcBorders>
              <w:top w:val="single" w:color="auto" w:sz="4" w:space="0"/>
              <w:left w:val="single" w:color="auto" w:sz="4" w:space="0"/>
              <w:bottom w:val="single" w:color="auto" w:sz="4" w:space="0"/>
            </w:tcBorders>
            <w:vAlign w:val="center"/>
          </w:tcPr>
          <w:p>
            <w:pPr>
              <w:spacing w:line="560" w:lineRule="exact"/>
              <w:rPr>
                <w:rFonts w:hint="eastAsia" w:ascii="仿宋_GB2312" w:hAnsi="宋体" w:eastAsia="仿宋_GB2312"/>
                <w:color w:val="000000" w:themeColor="text1"/>
                <w:sz w:val="28"/>
                <w:szCs w:val="28"/>
                <w:highlight w:val="none"/>
                <w:lang w:eastAsia="zh-CN"/>
              </w:rPr>
            </w:pPr>
            <w:r>
              <w:rPr>
                <w:rFonts w:hint="eastAsia" w:ascii="仿宋_GB2312" w:hAnsi="宋体" w:eastAsia="仿宋_GB2312"/>
                <w:color w:val="000000" w:themeColor="text1"/>
                <w:sz w:val="28"/>
                <w:szCs w:val="28"/>
                <w:highlight w:val="none"/>
                <w:lang w:eastAsia="zh-CN"/>
              </w:rPr>
              <w:t>WHHGYSDGQ2026-16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389" w:hRule="atLeast"/>
          <w:jc w:val="center"/>
        </w:trPr>
        <w:tc>
          <w:tcPr>
            <w:tcW w:w="908" w:type="dxa"/>
            <w:tcBorders>
              <w:top w:val="single" w:color="auto" w:sz="4" w:space="0"/>
              <w:bottom w:val="single" w:color="auto" w:sz="4" w:space="0"/>
              <w:right w:val="single" w:color="auto" w:sz="4" w:space="0"/>
            </w:tcBorders>
            <w:vAlign w:val="center"/>
          </w:tcPr>
          <w:p>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3</w:t>
            </w:r>
          </w:p>
        </w:tc>
        <w:tc>
          <w:tcPr>
            <w:tcW w:w="2155"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采购人</w:t>
            </w:r>
          </w:p>
        </w:tc>
        <w:tc>
          <w:tcPr>
            <w:tcW w:w="6625" w:type="dxa"/>
            <w:tcBorders>
              <w:top w:val="single" w:color="auto" w:sz="4" w:space="0"/>
              <w:left w:val="single" w:color="auto" w:sz="4" w:space="0"/>
              <w:bottom w:val="single" w:color="auto" w:sz="4" w:space="0"/>
            </w:tcBorders>
            <w:vAlign w:val="center"/>
          </w:tcPr>
          <w:p>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单位名称：</w:t>
            </w:r>
            <w:bookmarkStart w:id="12" w:name="OLE_LINK42"/>
            <w:bookmarkStart w:id="13" w:name="OLE_LINK41"/>
            <w:r>
              <w:rPr>
                <w:rFonts w:hint="eastAsia" w:ascii="仿宋_GB2312" w:hAnsi="宋体" w:eastAsia="仿宋_GB2312"/>
                <w:color w:val="000000" w:themeColor="text1"/>
                <w:sz w:val="28"/>
                <w:szCs w:val="28"/>
                <w:highlight w:val="none"/>
              </w:rPr>
              <w:t>威海市港城建设集团有限公司</w:t>
            </w:r>
          </w:p>
          <w:bookmarkEnd w:id="12"/>
          <w:bookmarkEnd w:id="13"/>
          <w:p>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地    址：山东省荣成市石岛管理区双山东路589号科创大厦</w:t>
            </w:r>
          </w:p>
          <w:p>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联 系 人：</w:t>
            </w:r>
            <w:r>
              <w:rPr>
                <w:rFonts w:hint="eastAsia" w:ascii="仿宋" w:hAnsi="仿宋" w:eastAsia="仿宋" w:cs="宋体"/>
                <w:color w:val="000000" w:themeColor="text1"/>
                <w:sz w:val="28"/>
                <w:szCs w:val="28"/>
                <w:highlight w:val="none"/>
              </w:rPr>
              <w:t>岳彩红</w:t>
            </w:r>
          </w:p>
          <w:p>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联系电话：</w:t>
            </w:r>
            <w:r>
              <w:rPr>
                <w:rFonts w:hint="eastAsia" w:ascii="仿宋" w:hAnsi="仿宋" w:eastAsia="仿宋" w:cs="宋体"/>
                <w:color w:val="000000" w:themeColor="text1"/>
                <w:spacing w:val="8"/>
                <w:sz w:val="28"/>
                <w:szCs w:val="28"/>
                <w:highlight w:val="none"/>
              </w:rPr>
              <w:t>0631-7312968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389" w:hRule="atLeast"/>
          <w:jc w:val="center"/>
        </w:trPr>
        <w:tc>
          <w:tcPr>
            <w:tcW w:w="908" w:type="dxa"/>
            <w:tcBorders>
              <w:top w:val="single" w:color="auto" w:sz="4" w:space="0"/>
              <w:bottom w:val="single" w:color="auto" w:sz="4" w:space="0"/>
              <w:right w:val="single" w:color="auto" w:sz="4" w:space="0"/>
            </w:tcBorders>
            <w:vAlign w:val="center"/>
          </w:tcPr>
          <w:p>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4</w:t>
            </w:r>
          </w:p>
        </w:tc>
        <w:tc>
          <w:tcPr>
            <w:tcW w:w="2155"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采购代理机构</w:t>
            </w:r>
          </w:p>
        </w:tc>
        <w:tc>
          <w:tcPr>
            <w:tcW w:w="6625" w:type="dxa"/>
            <w:tcBorders>
              <w:top w:val="single" w:color="auto" w:sz="4" w:space="0"/>
              <w:left w:val="single" w:color="auto" w:sz="4" w:space="0"/>
              <w:bottom w:val="single" w:color="auto" w:sz="4" w:space="0"/>
            </w:tcBorders>
            <w:vAlign w:val="center"/>
          </w:tcPr>
          <w:p>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机构名称：山东志诚工程咨询管理有限公司</w:t>
            </w:r>
          </w:p>
          <w:p>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单位地址：荣成市观海中路16号</w:t>
            </w:r>
          </w:p>
          <w:p>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联系人：夏菁</w:t>
            </w:r>
          </w:p>
          <w:p>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联系电话：0631-7567778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5</w:t>
            </w:r>
          </w:p>
        </w:tc>
        <w:tc>
          <w:tcPr>
            <w:tcW w:w="2155"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电子投标</w:t>
            </w:r>
          </w:p>
          <w:p>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特别提示</w:t>
            </w:r>
          </w:p>
        </w:tc>
        <w:tc>
          <w:tcPr>
            <w:tcW w:w="6625" w:type="dxa"/>
            <w:tcBorders>
              <w:top w:val="single" w:color="auto" w:sz="4" w:space="0"/>
              <w:left w:val="single" w:color="auto" w:sz="4" w:space="0"/>
              <w:bottom w:val="single" w:color="auto" w:sz="4" w:space="0"/>
            </w:tcBorders>
            <w:vAlign w:val="center"/>
          </w:tcPr>
          <w:p>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1．登录威海市公共资源交易网（荣成市）（http://ggzyjy.weihai.cn/rongcheng/）（右上角【交易服务一网通办系统（新版一网通办系统）】按钮）进入“威海市国有企业阳光采购电子化服务平台”进行注册，取得用户名和密码（已经完成注册无须重复注册）；首次注册的供应商应及时办理安全证书（CA锁）及电子签章。2．本项目必须网上递交投标文件，参与本项目供应商应利用办理好的CA锁登录威海市国有企业阳光采购电子化服务平台进行招标文件的获取、文件下载和网上递交投标文件，且安全证书（CA锁）在有效期内。</w:t>
            </w:r>
          </w:p>
          <w:p>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 xml:space="preserve">3．电子投标文件制作及递交等有关操作见本文件及威海市公共资源交易网办事指南栏目-国企采购专区-《新版威海市国有企业阳光采购服务平台操作演示视频（供应商）》，网址: </w:t>
            </w:r>
            <w:r>
              <w:rPr>
                <w:rFonts w:ascii="仿宋_GB2312" w:hAnsi="宋体" w:eastAsia="仿宋_GB2312"/>
                <w:color w:val="000000" w:themeColor="text1"/>
                <w:sz w:val="28"/>
                <w:szCs w:val="28"/>
                <w:highlight w:val="none"/>
              </w:rPr>
              <w:t>https://ggzyjy.weihai.cn/weihai/bszn/005005/20260109/315a049e-0d75-4f85-8634-00d90a843936.html</w:t>
            </w:r>
            <w:r>
              <w:rPr>
                <w:rFonts w:hint="eastAsia" w:ascii="仿宋_GB2312" w:hAnsi="宋体" w:eastAsia="仿宋_GB2312"/>
                <w:color w:val="000000" w:themeColor="text1"/>
                <w:sz w:val="28"/>
                <w:szCs w:val="28"/>
                <w:highlight w:val="none"/>
              </w:rPr>
              <w:t>、投标文件制作及系统使用咨询电话：</w:t>
            </w:r>
            <w:r>
              <w:rPr>
                <w:rFonts w:ascii="仿宋_GB2312" w:hAnsi="宋体" w:eastAsia="仿宋_GB2312"/>
                <w:color w:val="000000" w:themeColor="text1"/>
                <w:sz w:val="28"/>
                <w:szCs w:val="28"/>
                <w:highlight w:val="none"/>
              </w:rPr>
              <w:t>17863029936</w:t>
            </w:r>
            <w:r>
              <w:rPr>
                <w:rFonts w:hint="eastAsia" w:ascii="仿宋_GB2312" w:hAnsi="宋体" w:eastAsia="仿宋_GB2312"/>
                <w:color w:val="000000" w:themeColor="text1"/>
                <w:sz w:val="28"/>
                <w:szCs w:val="28"/>
                <w:highlight w:val="none"/>
              </w:rPr>
              <w:t>；0631-5307028；平台QQ服务群：</w:t>
            </w:r>
            <w:r>
              <w:rPr>
                <w:rFonts w:ascii="仿宋_GB2312" w:hAnsi="宋体" w:eastAsia="仿宋_GB2312"/>
                <w:color w:val="000000" w:themeColor="text1"/>
                <w:sz w:val="28"/>
                <w:szCs w:val="28"/>
                <w:highlight w:val="none"/>
              </w:rPr>
              <w:t>1046971257</w:t>
            </w:r>
            <w:r>
              <w:rPr>
                <w:rFonts w:hint="eastAsia" w:ascii="仿宋_GB2312" w:hAnsi="宋体" w:eastAsia="仿宋_GB2312"/>
                <w:color w:val="000000" w:themeColor="text1"/>
                <w:sz w:val="28"/>
                <w:szCs w:val="28"/>
                <w:highlight w:val="none"/>
              </w:rPr>
              <w:t>。</w:t>
            </w:r>
          </w:p>
          <w:p>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4．网上递交投标文件时，登录交易平台的电脑须满足以下环境要求：（1）操作系统：Windows 7 （2）浏览器：Internet Explorer 11、10（3）办公软件：Microsoft Office 2007、2010（4）PDF软件推荐：Adobe Reader。非以上环境可能出现错误影响其投标，登录交易平台时如提示更新插件则必须更新，否则影响其电子投标。</w:t>
            </w:r>
          </w:p>
          <w:p>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5．供应商提交的电子投标文件应按照本招标文件《第六章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6．电子投标文件必须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7．供应商投标文件中的相关扫描件应保证清晰度，无法辨认的评审时受到影响的，由供应商自行承担相应责任。</w:t>
            </w:r>
          </w:p>
          <w:p>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8．除网上递交电子投标文件外，如有要求递交相关资质证明文件原件的，还须按其要求独立密封递交（被授权人身份证原件除外）</w:t>
            </w:r>
          </w:p>
          <w:p>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9．投标人应充分考虑到网上递交投标文件会发生的故障和风险。对发生的任何故障和风险造成投标人报价内容不一致或利益受损或投标失败的，采购人及招标代理机构不承担任何责任。</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6</w:t>
            </w:r>
          </w:p>
        </w:tc>
        <w:tc>
          <w:tcPr>
            <w:tcW w:w="2155"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资质证明</w:t>
            </w:r>
          </w:p>
          <w:p>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文件原件</w:t>
            </w:r>
          </w:p>
        </w:tc>
        <w:tc>
          <w:tcPr>
            <w:tcW w:w="6625" w:type="dxa"/>
            <w:tcBorders>
              <w:top w:val="single" w:color="auto" w:sz="4" w:space="0"/>
              <w:left w:val="single" w:color="auto" w:sz="4" w:space="0"/>
              <w:bottom w:val="single" w:color="auto" w:sz="4" w:space="0"/>
            </w:tcBorders>
            <w:vAlign w:val="center"/>
          </w:tcPr>
          <w:p>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7</w:t>
            </w:r>
          </w:p>
        </w:tc>
        <w:tc>
          <w:tcPr>
            <w:tcW w:w="2155"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投标文件份数</w:t>
            </w:r>
          </w:p>
        </w:tc>
        <w:tc>
          <w:tcPr>
            <w:tcW w:w="6625" w:type="dxa"/>
            <w:tcBorders>
              <w:top w:val="single" w:color="auto" w:sz="4" w:space="0"/>
              <w:left w:val="single" w:color="auto" w:sz="4" w:space="0"/>
              <w:bottom w:val="single" w:color="auto" w:sz="4" w:space="0"/>
            </w:tcBorders>
            <w:vAlign w:val="center"/>
          </w:tcPr>
          <w:p>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电子投标文件1份（网上按时递交）。</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45" w:hRule="atLeast"/>
          <w:jc w:val="center"/>
        </w:trPr>
        <w:tc>
          <w:tcPr>
            <w:tcW w:w="908" w:type="dxa"/>
            <w:tcBorders>
              <w:top w:val="single" w:color="auto" w:sz="4" w:space="0"/>
              <w:bottom w:val="single" w:color="auto" w:sz="4" w:space="0"/>
              <w:right w:val="single" w:color="auto" w:sz="4" w:space="0"/>
            </w:tcBorders>
            <w:vAlign w:val="center"/>
          </w:tcPr>
          <w:p>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8</w:t>
            </w:r>
          </w:p>
        </w:tc>
        <w:tc>
          <w:tcPr>
            <w:tcW w:w="2155"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实物样品</w:t>
            </w:r>
          </w:p>
        </w:tc>
        <w:tc>
          <w:tcPr>
            <w:tcW w:w="6625" w:type="dxa"/>
            <w:tcBorders>
              <w:top w:val="single" w:color="auto" w:sz="4" w:space="0"/>
              <w:left w:val="single" w:color="auto" w:sz="4" w:space="0"/>
              <w:bottom w:val="single" w:color="auto" w:sz="4" w:space="0"/>
            </w:tcBorders>
            <w:vAlign w:val="center"/>
          </w:tcPr>
          <w:p>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45" w:hRule="atLeast"/>
          <w:jc w:val="center"/>
        </w:trPr>
        <w:tc>
          <w:tcPr>
            <w:tcW w:w="908" w:type="dxa"/>
            <w:tcBorders>
              <w:top w:val="single" w:color="auto" w:sz="4" w:space="0"/>
              <w:bottom w:val="single" w:color="auto" w:sz="4" w:space="0"/>
              <w:right w:val="single" w:color="auto" w:sz="4" w:space="0"/>
            </w:tcBorders>
            <w:vAlign w:val="center"/>
          </w:tcPr>
          <w:p>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9</w:t>
            </w:r>
          </w:p>
        </w:tc>
        <w:tc>
          <w:tcPr>
            <w:tcW w:w="2155"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现场踏勘</w:t>
            </w:r>
          </w:p>
        </w:tc>
        <w:tc>
          <w:tcPr>
            <w:tcW w:w="6625" w:type="dxa"/>
            <w:tcBorders>
              <w:top w:val="single" w:color="auto" w:sz="4" w:space="0"/>
              <w:left w:val="single" w:color="auto" w:sz="4" w:space="0"/>
              <w:bottom w:val="single" w:color="auto" w:sz="4" w:space="0"/>
            </w:tcBorders>
            <w:vAlign w:val="center"/>
          </w:tcPr>
          <w:p>
            <w:pPr>
              <w:spacing w:line="560" w:lineRule="exact"/>
              <w:textAlignment w:val="top"/>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10</w:t>
            </w:r>
          </w:p>
        </w:tc>
        <w:tc>
          <w:tcPr>
            <w:tcW w:w="2155"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现场演示</w:t>
            </w:r>
          </w:p>
        </w:tc>
        <w:tc>
          <w:tcPr>
            <w:tcW w:w="6625" w:type="dxa"/>
            <w:tcBorders>
              <w:top w:val="single" w:color="auto" w:sz="4" w:space="0"/>
              <w:left w:val="single" w:color="auto" w:sz="4" w:space="0"/>
              <w:bottom w:val="single" w:color="auto" w:sz="4" w:space="0"/>
            </w:tcBorders>
            <w:vAlign w:val="center"/>
          </w:tcPr>
          <w:p>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无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11</w:t>
            </w:r>
          </w:p>
        </w:tc>
        <w:tc>
          <w:tcPr>
            <w:tcW w:w="2155"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投标有效期</w:t>
            </w:r>
          </w:p>
        </w:tc>
        <w:tc>
          <w:tcPr>
            <w:tcW w:w="6625" w:type="dxa"/>
            <w:tcBorders>
              <w:top w:val="single" w:color="auto" w:sz="4" w:space="0"/>
              <w:left w:val="single" w:color="auto" w:sz="4" w:space="0"/>
              <w:bottom w:val="single" w:color="auto" w:sz="4" w:space="0"/>
            </w:tcBorders>
            <w:vAlign w:val="center"/>
          </w:tcPr>
          <w:p>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开标之日起90天。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13" w:hRule="atLeast"/>
          <w:jc w:val="center"/>
        </w:trPr>
        <w:tc>
          <w:tcPr>
            <w:tcW w:w="908" w:type="dxa"/>
            <w:tcBorders>
              <w:top w:val="single" w:color="auto" w:sz="4" w:space="0"/>
              <w:bottom w:val="single" w:color="auto" w:sz="4" w:space="0"/>
              <w:right w:val="single" w:color="auto" w:sz="4" w:space="0"/>
            </w:tcBorders>
            <w:vAlign w:val="center"/>
          </w:tcPr>
          <w:p>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12</w:t>
            </w:r>
          </w:p>
        </w:tc>
        <w:tc>
          <w:tcPr>
            <w:tcW w:w="2155"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投标文件递交时间及地点</w:t>
            </w:r>
          </w:p>
        </w:tc>
        <w:tc>
          <w:tcPr>
            <w:tcW w:w="6625" w:type="dxa"/>
            <w:tcBorders>
              <w:top w:val="single" w:color="auto" w:sz="4" w:space="0"/>
              <w:left w:val="single" w:color="auto" w:sz="4" w:space="0"/>
              <w:bottom w:val="single" w:color="auto" w:sz="4" w:space="0"/>
            </w:tcBorders>
            <w:vAlign w:val="center"/>
          </w:tcPr>
          <w:p>
            <w:pPr>
              <w:spacing w:line="560" w:lineRule="exact"/>
              <w:ind w:left="280" w:hanging="280" w:hanging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电子投标文件递交时间：详见第一章采购公告。</w:t>
            </w:r>
          </w:p>
          <w:p>
            <w:pPr>
              <w:spacing w:line="560" w:lineRule="exact"/>
              <w:ind w:left="280" w:hanging="280" w:hanging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递交地点：详见第一章采购公告。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66" w:hRule="atLeast"/>
          <w:jc w:val="center"/>
        </w:trPr>
        <w:tc>
          <w:tcPr>
            <w:tcW w:w="908" w:type="dxa"/>
            <w:tcBorders>
              <w:top w:val="single" w:color="auto" w:sz="4" w:space="0"/>
              <w:bottom w:val="single" w:color="auto" w:sz="4" w:space="0"/>
              <w:right w:val="single" w:color="auto" w:sz="4" w:space="0"/>
            </w:tcBorders>
            <w:vAlign w:val="center"/>
          </w:tcPr>
          <w:p>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13</w:t>
            </w:r>
          </w:p>
        </w:tc>
        <w:tc>
          <w:tcPr>
            <w:tcW w:w="2155"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开标时间</w:t>
            </w:r>
          </w:p>
        </w:tc>
        <w:tc>
          <w:tcPr>
            <w:tcW w:w="6625" w:type="dxa"/>
            <w:tcBorders>
              <w:top w:val="single" w:color="auto" w:sz="4" w:space="0"/>
              <w:left w:val="single" w:color="auto" w:sz="4" w:space="0"/>
              <w:bottom w:val="single" w:color="auto" w:sz="4" w:space="0"/>
            </w:tcBorders>
            <w:vAlign w:val="center"/>
          </w:tcPr>
          <w:p>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详见第一章采购公告。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vAlign w:val="center"/>
          </w:tcPr>
          <w:p>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14</w:t>
            </w:r>
          </w:p>
        </w:tc>
        <w:tc>
          <w:tcPr>
            <w:tcW w:w="2155"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开标地点</w:t>
            </w:r>
          </w:p>
        </w:tc>
        <w:tc>
          <w:tcPr>
            <w:tcW w:w="6625" w:type="dxa"/>
            <w:tcBorders>
              <w:top w:val="single" w:color="auto" w:sz="4" w:space="0"/>
              <w:left w:val="single" w:color="auto" w:sz="4" w:space="0"/>
              <w:bottom w:val="single" w:color="auto" w:sz="4" w:space="0"/>
            </w:tcBorders>
            <w:vAlign w:val="center"/>
          </w:tcPr>
          <w:p>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详见第一章采购公告。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vAlign w:val="center"/>
          </w:tcPr>
          <w:p>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15</w:t>
            </w:r>
          </w:p>
        </w:tc>
        <w:tc>
          <w:tcPr>
            <w:tcW w:w="2155"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开标方式</w:t>
            </w:r>
          </w:p>
        </w:tc>
        <w:tc>
          <w:tcPr>
            <w:tcW w:w="6625" w:type="dxa"/>
            <w:tcBorders>
              <w:top w:val="single" w:color="auto" w:sz="4" w:space="0"/>
              <w:left w:val="single" w:color="auto" w:sz="4" w:space="0"/>
              <w:bottom w:val="single" w:color="auto" w:sz="4" w:space="0"/>
            </w:tcBorders>
            <w:vAlign w:val="center"/>
          </w:tcPr>
          <w:p>
            <w:pPr>
              <w:spacing w:line="560" w:lineRule="exact"/>
              <w:rPr>
                <w:rFonts w:ascii="仿宋_GB2312" w:hAnsi="宋体" w:eastAsia="仿宋_GB2312"/>
                <w:color w:val="000000" w:themeColor="text1"/>
                <w:sz w:val="28"/>
                <w:szCs w:val="28"/>
                <w:highlight w:val="none"/>
              </w:rPr>
            </w:pPr>
            <w:r>
              <w:rPr>
                <w:rFonts w:hint="eastAsia" w:ascii="仿宋_GB2312" w:eastAsia="仿宋_GB2312"/>
                <w:color w:val="000000" w:themeColor="text1"/>
                <w:sz w:val="28"/>
                <w:szCs w:val="28"/>
                <w:highlight w:val="none"/>
              </w:rPr>
              <w:t>本项目实行全流程电子化，实行远程解密，投标人无需到现场，并保持通讯畅通，提前在个人电脑上进行测试确保音频、视频功能可正常使用。因通讯不畅造成的一切后果由供应商自行承担。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vAlign w:val="center"/>
          </w:tcPr>
          <w:p>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16</w:t>
            </w:r>
          </w:p>
        </w:tc>
        <w:tc>
          <w:tcPr>
            <w:tcW w:w="2155"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开标程序</w:t>
            </w:r>
          </w:p>
        </w:tc>
        <w:tc>
          <w:tcPr>
            <w:tcW w:w="6625" w:type="dxa"/>
            <w:tcBorders>
              <w:top w:val="single" w:color="auto" w:sz="4" w:space="0"/>
              <w:left w:val="single" w:color="auto" w:sz="4" w:space="0"/>
              <w:bottom w:val="single" w:color="auto" w:sz="4" w:space="0"/>
            </w:tcBorders>
            <w:vAlign w:val="center"/>
          </w:tcPr>
          <w:p>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签到时间：开标时间前30分钟内完成。</w:t>
            </w:r>
          </w:p>
          <w:p>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解密时间：开始解密后15分钟内完成。</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151" w:hRule="atLeast"/>
          <w:jc w:val="center"/>
        </w:trPr>
        <w:tc>
          <w:tcPr>
            <w:tcW w:w="908" w:type="dxa"/>
            <w:tcBorders>
              <w:top w:val="single" w:color="auto" w:sz="4" w:space="0"/>
              <w:bottom w:val="single" w:color="auto" w:sz="4" w:space="0"/>
              <w:right w:val="single" w:color="auto" w:sz="4" w:space="0"/>
            </w:tcBorders>
            <w:vAlign w:val="center"/>
          </w:tcPr>
          <w:p>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17</w:t>
            </w:r>
          </w:p>
        </w:tc>
        <w:tc>
          <w:tcPr>
            <w:tcW w:w="2155" w:type="dxa"/>
            <w:tcBorders>
              <w:top w:val="single" w:color="auto" w:sz="4" w:space="0"/>
              <w:left w:val="single" w:color="auto" w:sz="4" w:space="0"/>
              <w:bottom w:val="single" w:color="auto" w:sz="4" w:space="0"/>
              <w:right w:val="single" w:color="auto" w:sz="4" w:space="0"/>
            </w:tcBorders>
            <w:vAlign w:val="center"/>
          </w:tcPr>
          <w:p>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交付期及地点</w:t>
            </w:r>
          </w:p>
        </w:tc>
        <w:tc>
          <w:tcPr>
            <w:tcW w:w="6625" w:type="dxa"/>
            <w:tcBorders>
              <w:top w:val="single" w:color="auto" w:sz="4" w:space="0"/>
              <w:left w:val="single" w:color="auto" w:sz="4" w:space="0"/>
              <w:bottom w:val="single" w:color="auto" w:sz="4" w:space="0"/>
            </w:tcBorders>
            <w:vAlign w:val="center"/>
          </w:tcPr>
          <w:p>
            <w:pPr>
              <w:spacing w:line="560" w:lineRule="exact"/>
              <w:rPr>
                <w:rFonts w:ascii="仿宋_GB2312" w:hAnsi="宋体" w:eastAsia="仿宋_GB2312"/>
                <w:color w:val="000000" w:themeColor="text1"/>
                <w:sz w:val="28"/>
                <w:szCs w:val="28"/>
                <w:highlight w:val="none"/>
              </w:rPr>
            </w:pPr>
            <w:bookmarkStart w:id="14" w:name="OLE_LINK86"/>
            <w:bookmarkStart w:id="15" w:name="OLE_LINK87"/>
            <w:bookmarkStart w:id="16" w:name="OLE_LINK84"/>
            <w:bookmarkStart w:id="17" w:name="OLE_LINK85"/>
            <w:r>
              <w:rPr>
                <w:rFonts w:hint="eastAsia" w:ascii="仿宋_GB2312" w:hAnsi="宋体" w:eastAsia="仿宋_GB2312"/>
                <w:color w:val="000000" w:themeColor="text1"/>
                <w:sz w:val="28"/>
                <w:szCs w:val="28"/>
                <w:highlight w:val="none"/>
              </w:rPr>
              <w:t>交付期：自合同签订之日起</w:t>
            </w:r>
            <w:bookmarkEnd w:id="14"/>
            <w:bookmarkEnd w:id="15"/>
            <w:r>
              <w:rPr>
                <w:rFonts w:hint="eastAsia" w:ascii="仿宋_GB2312" w:hAnsi="宋体" w:eastAsia="仿宋_GB2312"/>
                <w:color w:val="000000" w:themeColor="text1"/>
                <w:sz w:val="28"/>
                <w:szCs w:val="28"/>
                <w:highlight w:val="none"/>
              </w:rPr>
              <w:t>90天内供货安装调试完毕。</w:t>
            </w:r>
          </w:p>
          <w:bookmarkEnd w:id="16"/>
          <w:bookmarkEnd w:id="17"/>
          <w:p>
            <w:pPr>
              <w:pStyle w:val="13"/>
              <w:ind w:firstLine="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地点：采购人指定地点。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46" w:hRule="atLeast"/>
          <w:jc w:val="center"/>
        </w:trPr>
        <w:tc>
          <w:tcPr>
            <w:tcW w:w="908" w:type="dxa"/>
            <w:tcBorders>
              <w:top w:val="single" w:color="auto" w:sz="4" w:space="0"/>
              <w:bottom w:val="single" w:color="auto" w:sz="4" w:space="0"/>
              <w:right w:val="single" w:color="auto" w:sz="4" w:space="0"/>
            </w:tcBorders>
            <w:vAlign w:val="center"/>
          </w:tcPr>
          <w:p>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18</w:t>
            </w:r>
          </w:p>
        </w:tc>
        <w:tc>
          <w:tcPr>
            <w:tcW w:w="2155" w:type="dxa"/>
            <w:tcBorders>
              <w:top w:val="single" w:color="auto" w:sz="4" w:space="0"/>
              <w:left w:val="single" w:color="auto" w:sz="4" w:space="0"/>
              <w:bottom w:val="single" w:color="auto" w:sz="4" w:space="0"/>
              <w:right w:val="single" w:color="auto" w:sz="4" w:space="0"/>
            </w:tcBorders>
            <w:vAlign w:val="center"/>
          </w:tcPr>
          <w:p>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质保期</w:t>
            </w:r>
          </w:p>
        </w:tc>
        <w:tc>
          <w:tcPr>
            <w:tcW w:w="6625" w:type="dxa"/>
            <w:tcBorders>
              <w:top w:val="single" w:color="auto" w:sz="4" w:space="0"/>
              <w:left w:val="single" w:color="auto" w:sz="4" w:space="0"/>
              <w:bottom w:val="single" w:color="auto" w:sz="4" w:space="0"/>
            </w:tcBorders>
            <w:vAlign w:val="center"/>
          </w:tcPr>
          <w:p>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质保期：自项目验收合格之日起不得低于五年。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65" w:hRule="atLeast"/>
          <w:jc w:val="center"/>
        </w:trPr>
        <w:tc>
          <w:tcPr>
            <w:tcW w:w="908" w:type="dxa"/>
            <w:tcBorders>
              <w:top w:val="single" w:color="auto" w:sz="4" w:space="0"/>
              <w:bottom w:val="single" w:color="auto" w:sz="4" w:space="0"/>
              <w:right w:val="single" w:color="auto" w:sz="4" w:space="0"/>
            </w:tcBorders>
            <w:vAlign w:val="center"/>
          </w:tcPr>
          <w:p>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19</w:t>
            </w:r>
          </w:p>
        </w:tc>
        <w:tc>
          <w:tcPr>
            <w:tcW w:w="2155" w:type="dxa"/>
            <w:tcBorders>
              <w:top w:val="single" w:color="auto" w:sz="4" w:space="0"/>
              <w:left w:val="single" w:color="auto" w:sz="4" w:space="0"/>
              <w:bottom w:val="single" w:color="auto" w:sz="4" w:space="0"/>
              <w:right w:val="single" w:color="auto" w:sz="4" w:space="0"/>
            </w:tcBorders>
            <w:vAlign w:val="center"/>
          </w:tcPr>
          <w:p>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评标办法</w:t>
            </w:r>
          </w:p>
        </w:tc>
        <w:tc>
          <w:tcPr>
            <w:tcW w:w="6625" w:type="dxa"/>
            <w:tcBorders>
              <w:top w:val="single" w:color="auto" w:sz="4" w:space="0"/>
              <w:left w:val="single" w:color="auto" w:sz="4" w:space="0"/>
              <w:bottom w:val="single" w:color="auto" w:sz="4" w:space="0"/>
            </w:tcBorders>
            <w:vAlign w:val="center"/>
          </w:tcPr>
          <w:p>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综合评分法。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65" w:hRule="atLeast"/>
          <w:jc w:val="center"/>
        </w:trPr>
        <w:tc>
          <w:tcPr>
            <w:tcW w:w="908" w:type="dxa"/>
            <w:tcBorders>
              <w:top w:val="single" w:color="auto" w:sz="4" w:space="0"/>
              <w:bottom w:val="single" w:color="auto" w:sz="4" w:space="0"/>
              <w:right w:val="single" w:color="auto" w:sz="4" w:space="0"/>
            </w:tcBorders>
            <w:vAlign w:val="center"/>
          </w:tcPr>
          <w:p>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20</w:t>
            </w:r>
          </w:p>
        </w:tc>
        <w:tc>
          <w:tcPr>
            <w:tcW w:w="2155" w:type="dxa"/>
            <w:tcBorders>
              <w:top w:val="single" w:color="auto" w:sz="4" w:space="0"/>
              <w:left w:val="single" w:color="auto" w:sz="4" w:space="0"/>
              <w:bottom w:val="single" w:color="auto" w:sz="4" w:space="0"/>
              <w:right w:val="single" w:color="auto" w:sz="4" w:space="0"/>
            </w:tcBorders>
            <w:vAlign w:val="center"/>
          </w:tcPr>
          <w:p>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联合体投标</w:t>
            </w:r>
          </w:p>
        </w:tc>
        <w:tc>
          <w:tcPr>
            <w:tcW w:w="6625" w:type="dxa"/>
            <w:tcBorders>
              <w:top w:val="single" w:color="auto" w:sz="4" w:space="0"/>
              <w:left w:val="single" w:color="auto" w:sz="4" w:space="0"/>
              <w:bottom w:val="single" w:color="auto" w:sz="4" w:space="0"/>
            </w:tcBorders>
            <w:vAlign w:val="center"/>
          </w:tcPr>
          <w:p>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不接受。</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73" w:hRule="atLeast"/>
          <w:jc w:val="center"/>
        </w:trPr>
        <w:tc>
          <w:tcPr>
            <w:tcW w:w="908" w:type="dxa"/>
            <w:tcBorders>
              <w:top w:val="single" w:color="auto" w:sz="4" w:space="0"/>
              <w:bottom w:val="single" w:color="auto" w:sz="4" w:space="0"/>
              <w:right w:val="single" w:color="auto" w:sz="4" w:space="0"/>
            </w:tcBorders>
            <w:vAlign w:val="center"/>
          </w:tcPr>
          <w:p>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21</w:t>
            </w:r>
          </w:p>
        </w:tc>
        <w:tc>
          <w:tcPr>
            <w:tcW w:w="2155"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履约保证金</w:t>
            </w:r>
          </w:p>
        </w:tc>
        <w:tc>
          <w:tcPr>
            <w:tcW w:w="6625" w:type="dxa"/>
            <w:tcBorders>
              <w:top w:val="single" w:color="auto" w:sz="4" w:space="0"/>
              <w:left w:val="single" w:color="auto" w:sz="4" w:space="0"/>
              <w:bottom w:val="single" w:color="auto" w:sz="4" w:space="0"/>
            </w:tcBorders>
            <w:vAlign w:val="center"/>
          </w:tcPr>
          <w:p>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本项目不收取履约保证金。</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73" w:hRule="atLeast"/>
          <w:jc w:val="center"/>
        </w:trPr>
        <w:tc>
          <w:tcPr>
            <w:tcW w:w="908" w:type="dxa"/>
            <w:tcBorders>
              <w:top w:val="single" w:color="auto" w:sz="4" w:space="0"/>
              <w:bottom w:val="single" w:color="auto" w:sz="4" w:space="0"/>
              <w:right w:val="single" w:color="auto" w:sz="4" w:space="0"/>
            </w:tcBorders>
            <w:vAlign w:val="center"/>
          </w:tcPr>
          <w:p>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22</w:t>
            </w:r>
          </w:p>
        </w:tc>
        <w:tc>
          <w:tcPr>
            <w:tcW w:w="2155"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付款方式</w:t>
            </w:r>
          </w:p>
        </w:tc>
        <w:tc>
          <w:tcPr>
            <w:tcW w:w="6625" w:type="dxa"/>
            <w:tcBorders>
              <w:top w:val="single" w:color="auto" w:sz="4" w:space="0"/>
              <w:left w:val="single" w:color="auto" w:sz="4" w:space="0"/>
              <w:bottom w:val="single" w:color="auto" w:sz="4" w:space="0"/>
            </w:tcBorders>
            <w:vAlign w:val="center"/>
          </w:tcPr>
          <w:p>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项目完工验收合格且评审定案后，第一年支付定案价格的40%，第二年付定案价格的30%，第三年支付定案价格的20%，剩余10%第四年付清。该项目由威海（荣成）海洋高新技术产业园管理委员会社会工作部委托威海市港城建设集团有限公司进行代建，结算时由中标单位向荣成市第二十三中学开具发票，由区社会工作部进行付款。</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29" w:hRule="atLeast"/>
          <w:jc w:val="center"/>
        </w:trPr>
        <w:tc>
          <w:tcPr>
            <w:tcW w:w="908" w:type="dxa"/>
            <w:tcBorders>
              <w:top w:val="single" w:color="auto" w:sz="4" w:space="0"/>
              <w:bottom w:val="single" w:color="auto" w:sz="4" w:space="0"/>
              <w:right w:val="single" w:color="auto" w:sz="4" w:space="0"/>
            </w:tcBorders>
            <w:vAlign w:val="center"/>
          </w:tcPr>
          <w:p>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23</w:t>
            </w:r>
          </w:p>
        </w:tc>
        <w:tc>
          <w:tcPr>
            <w:tcW w:w="2155"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资金来源</w:t>
            </w:r>
          </w:p>
        </w:tc>
        <w:tc>
          <w:tcPr>
            <w:tcW w:w="6625" w:type="dxa"/>
            <w:tcBorders>
              <w:top w:val="single" w:color="auto" w:sz="4" w:space="0"/>
              <w:left w:val="single" w:color="auto" w:sz="4" w:space="0"/>
              <w:bottom w:val="single" w:color="auto" w:sz="4" w:space="0"/>
            </w:tcBorders>
            <w:vAlign w:val="center"/>
          </w:tcPr>
          <w:p>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专项资金</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92" w:hRule="atLeast"/>
          <w:jc w:val="center"/>
        </w:trPr>
        <w:tc>
          <w:tcPr>
            <w:tcW w:w="908" w:type="dxa"/>
            <w:tcBorders>
              <w:top w:val="single" w:color="auto" w:sz="4" w:space="0"/>
              <w:bottom w:val="single" w:color="auto" w:sz="4" w:space="0"/>
              <w:right w:val="single" w:color="auto" w:sz="4" w:space="0"/>
            </w:tcBorders>
            <w:vAlign w:val="center"/>
          </w:tcPr>
          <w:p>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24</w:t>
            </w:r>
          </w:p>
        </w:tc>
        <w:tc>
          <w:tcPr>
            <w:tcW w:w="2155"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落实情况</w:t>
            </w:r>
          </w:p>
        </w:tc>
        <w:tc>
          <w:tcPr>
            <w:tcW w:w="6625" w:type="dxa"/>
            <w:tcBorders>
              <w:top w:val="single" w:color="auto" w:sz="4" w:space="0"/>
              <w:left w:val="single" w:color="auto" w:sz="4" w:space="0"/>
              <w:bottom w:val="single" w:color="auto" w:sz="4" w:space="0"/>
            </w:tcBorders>
            <w:vAlign w:val="center"/>
          </w:tcPr>
          <w:p>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已落实。</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25</w:t>
            </w:r>
          </w:p>
        </w:tc>
        <w:tc>
          <w:tcPr>
            <w:tcW w:w="2155"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其他</w:t>
            </w:r>
          </w:p>
        </w:tc>
        <w:tc>
          <w:tcPr>
            <w:tcW w:w="6625" w:type="dxa"/>
            <w:tcBorders>
              <w:top w:val="single" w:color="auto" w:sz="4" w:space="0"/>
              <w:left w:val="single" w:color="auto" w:sz="4" w:space="0"/>
              <w:bottom w:val="single" w:color="auto" w:sz="4" w:space="0"/>
            </w:tcBorders>
            <w:vAlign w:val="center"/>
          </w:tcPr>
          <w:p>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本项目按货物类以公开招标方式实施采购。</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26</w:t>
            </w:r>
          </w:p>
        </w:tc>
        <w:tc>
          <w:tcPr>
            <w:tcW w:w="2155"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代理服务费</w:t>
            </w:r>
          </w:p>
        </w:tc>
        <w:tc>
          <w:tcPr>
            <w:tcW w:w="6625" w:type="dxa"/>
            <w:tcBorders>
              <w:top w:val="single" w:color="auto" w:sz="4" w:space="0"/>
              <w:left w:val="single" w:color="auto" w:sz="4" w:space="0"/>
              <w:bottom w:val="single" w:color="auto" w:sz="4" w:space="0"/>
            </w:tcBorders>
            <w:vAlign w:val="center"/>
          </w:tcPr>
          <w:p>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本项目代理服务费参照《招标代理服务收费管理暂行办法》规定的货物类收费标准收取，由成交供应商签订合同时向招标公司全额交纳。</w:t>
            </w:r>
          </w:p>
        </w:tc>
      </w:tr>
    </w:tbl>
    <w:p>
      <w:pPr>
        <w:spacing w:line="560" w:lineRule="exact"/>
        <w:ind w:firstLine="643" w:firstLineChars="201"/>
        <w:rPr>
          <w:rFonts w:eastAsia="黑体"/>
          <w:color w:val="000000" w:themeColor="text1"/>
          <w:sz w:val="32"/>
          <w:szCs w:val="32"/>
          <w:highlight w:val="none"/>
        </w:rPr>
        <w:sectPr>
          <w:headerReference r:id="rId5" w:type="default"/>
          <w:footerReference r:id="rId6" w:type="default"/>
          <w:pgSz w:w="11906" w:h="16838"/>
          <w:pgMar w:top="1440" w:right="1080" w:bottom="1440" w:left="1080" w:header="851" w:footer="992" w:gutter="0"/>
          <w:cols w:space="425" w:num="1"/>
          <w:docGrid w:type="lines" w:linePitch="312" w:charSpace="0"/>
        </w:sectPr>
      </w:pPr>
    </w:p>
    <w:p>
      <w:pPr>
        <w:spacing w:line="560" w:lineRule="exact"/>
        <w:ind w:firstLine="643" w:firstLineChars="201"/>
        <w:jc w:val="center"/>
        <w:rPr>
          <w:rFonts w:eastAsia="黑体"/>
          <w:color w:val="000000" w:themeColor="text1"/>
          <w:sz w:val="32"/>
          <w:szCs w:val="32"/>
          <w:highlight w:val="none"/>
        </w:rPr>
      </w:pPr>
      <w:r>
        <w:rPr>
          <w:rFonts w:hint="eastAsia" w:eastAsia="黑体"/>
          <w:color w:val="000000" w:themeColor="text1"/>
          <w:sz w:val="32"/>
          <w:szCs w:val="32"/>
          <w:highlight w:val="none"/>
        </w:rPr>
        <w:t>《实质性条款一览表》</w:t>
      </w:r>
    </w:p>
    <w:p>
      <w:pPr>
        <w:snapToGrid w:val="0"/>
        <w:spacing w:line="500" w:lineRule="exact"/>
        <w:ind w:firstLine="561"/>
        <w:jc w:val="left"/>
        <w:rPr>
          <w:rFonts w:ascii="仿宋_GB2312" w:eastAsia="仿宋_GB2312"/>
          <w:color w:val="000000" w:themeColor="text1"/>
          <w:sz w:val="28"/>
          <w:szCs w:val="28"/>
          <w:highlight w:val="none"/>
        </w:rPr>
      </w:pPr>
      <w:r>
        <w:rPr>
          <w:rFonts w:hint="eastAsia" w:ascii="仿宋_GB2312" w:eastAsia="仿宋_GB2312"/>
          <w:color w:val="000000" w:themeColor="text1"/>
          <w:sz w:val="28"/>
          <w:szCs w:val="28"/>
          <w:highlight w:val="none"/>
        </w:rPr>
        <w:t>说明：本表系招标文件及修改性文件中涉及的所有实质性条款的汇总。不允许有任何负偏离，否则投标将被否决。</w:t>
      </w:r>
    </w:p>
    <w:tbl>
      <w:tblPr>
        <w:tblStyle w:val="47"/>
        <w:tblW w:w="9133"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2155"/>
        <w:gridCol w:w="607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序号</w:t>
            </w:r>
          </w:p>
        </w:tc>
        <w:tc>
          <w:tcPr>
            <w:tcW w:w="2155" w:type="dxa"/>
            <w:tcBorders>
              <w:top w:val="single" w:color="auto" w:sz="4" w:space="0"/>
              <w:left w:val="single" w:color="auto" w:sz="4" w:space="0"/>
              <w:bottom w:val="single" w:color="auto" w:sz="4" w:space="0"/>
              <w:right w:val="single" w:color="auto" w:sz="4" w:space="0"/>
            </w:tcBorders>
            <w:vAlign w:val="center"/>
          </w:tcPr>
          <w:p>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项目名称</w:t>
            </w:r>
          </w:p>
        </w:tc>
        <w:tc>
          <w:tcPr>
            <w:tcW w:w="6070" w:type="dxa"/>
            <w:tcBorders>
              <w:top w:val="single" w:color="auto" w:sz="4" w:space="0"/>
              <w:left w:val="single" w:color="auto" w:sz="4" w:space="0"/>
              <w:bottom w:val="single" w:color="auto" w:sz="4" w:space="0"/>
            </w:tcBorders>
            <w:vAlign w:val="center"/>
          </w:tcPr>
          <w:p>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内       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1</w:t>
            </w:r>
          </w:p>
        </w:tc>
        <w:tc>
          <w:tcPr>
            <w:tcW w:w="2155" w:type="dxa"/>
            <w:tcBorders>
              <w:top w:val="single" w:color="auto" w:sz="4" w:space="0"/>
              <w:left w:val="single" w:color="auto" w:sz="4" w:space="0"/>
              <w:bottom w:val="single" w:color="auto" w:sz="4" w:space="0"/>
              <w:right w:val="single" w:color="auto" w:sz="4" w:space="0"/>
            </w:tcBorders>
            <w:vAlign w:val="center"/>
          </w:tcPr>
          <w:p>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资格性核查</w:t>
            </w:r>
          </w:p>
        </w:tc>
        <w:tc>
          <w:tcPr>
            <w:tcW w:w="6070" w:type="dxa"/>
            <w:tcBorders>
              <w:top w:val="single" w:color="auto" w:sz="4" w:space="0"/>
              <w:left w:val="single" w:color="auto" w:sz="4" w:space="0"/>
              <w:bottom w:val="single" w:color="auto" w:sz="4" w:space="0"/>
            </w:tcBorders>
          </w:tcPr>
          <w:p>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1.有效的营业执照副本扫描件；</w:t>
            </w:r>
          </w:p>
          <w:p>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2.法人授权委托书、被授权人身份证扫描件；</w:t>
            </w:r>
          </w:p>
          <w:p>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3.投标人的依法缴纳税收声明和社会保障资金的声明；近期的完税凭证扫描件及交纳社保资金凭证的扫描件；</w:t>
            </w:r>
          </w:p>
          <w:p>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4.投标人参加本项目投标前三年内无重大违法违纪行为声明；</w:t>
            </w:r>
          </w:p>
          <w:p>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5.投标人自行编制的2024年度或2025年度公司财务报表或由中介机构出具的2024年或2025年度度财务审计报告书扫描件； B.银行出具的有效期内的资信证明扫描件。注：A、B两项提供任意一项均可；</w:t>
            </w:r>
          </w:p>
          <w:p>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6.投标人、法定代表人、授权委托人未被最高法院列入失信被执行人；</w:t>
            </w:r>
          </w:p>
          <w:p>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7.国家或行业主管部门规定必须具有的资质、资格证书及其认证测试报告等扫描件；</w:t>
            </w:r>
          </w:p>
          <w:p>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8招标文件第四部分“采购项目说明”要求的有关资质资格文件扫描件；</w:t>
            </w:r>
          </w:p>
          <w:p>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9.投标人认为需要提供的其它资质资格证明文件扫描件。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759" w:hRule="atLeast"/>
          <w:jc w:val="center"/>
        </w:trPr>
        <w:tc>
          <w:tcPr>
            <w:tcW w:w="908" w:type="dxa"/>
            <w:tcBorders>
              <w:top w:val="single" w:color="auto" w:sz="4" w:space="0"/>
              <w:bottom w:val="single" w:color="auto" w:sz="4" w:space="0"/>
              <w:right w:val="single" w:color="auto" w:sz="4" w:space="0"/>
            </w:tcBorders>
            <w:vAlign w:val="center"/>
          </w:tcPr>
          <w:p>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2</w:t>
            </w:r>
          </w:p>
        </w:tc>
        <w:tc>
          <w:tcPr>
            <w:tcW w:w="2155" w:type="dxa"/>
            <w:tcBorders>
              <w:top w:val="single" w:color="auto" w:sz="4" w:space="0"/>
              <w:left w:val="single" w:color="auto" w:sz="4" w:space="0"/>
              <w:bottom w:val="single" w:color="auto" w:sz="4" w:space="0"/>
              <w:right w:val="single" w:color="auto" w:sz="4" w:space="0"/>
            </w:tcBorders>
            <w:vAlign w:val="center"/>
          </w:tcPr>
          <w:p>
            <w:pPr>
              <w:spacing w:line="560" w:lineRule="exact"/>
              <w:ind w:firstLine="280" w:firstLineChars="100"/>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符合性检查</w:t>
            </w:r>
          </w:p>
        </w:tc>
        <w:tc>
          <w:tcPr>
            <w:tcW w:w="6070" w:type="dxa"/>
            <w:tcBorders>
              <w:top w:val="single" w:color="auto" w:sz="4" w:space="0"/>
              <w:left w:val="single" w:color="auto" w:sz="4" w:space="0"/>
              <w:bottom w:val="single" w:color="auto" w:sz="4" w:space="0"/>
            </w:tcBorders>
            <w:vAlign w:val="center"/>
          </w:tcPr>
          <w:p>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1.单价或总价超出上限控制价或预算的。</w:t>
            </w:r>
          </w:p>
          <w:p>
            <w:pPr>
              <w:spacing w:line="560" w:lineRule="exac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2.存在招标文件23.3的关于投标人串通投标的物情形及其他投标无效的情形。</w:t>
            </w:r>
          </w:p>
          <w:p>
            <w:pPr>
              <w:spacing w:line="560" w:lineRule="exact"/>
              <w:rPr>
                <w:color w:val="000000" w:themeColor="text1"/>
                <w:highlight w:val="none"/>
              </w:rPr>
            </w:pPr>
            <w:r>
              <w:rPr>
                <w:rFonts w:hint="eastAsia" w:ascii="仿宋_GB2312" w:hAnsi="宋体" w:eastAsia="仿宋_GB2312"/>
                <w:color w:val="000000" w:themeColor="text1"/>
                <w:sz w:val="28"/>
                <w:szCs w:val="28"/>
                <w:highlight w:val="none"/>
              </w:rPr>
              <w:t>3.评标委员会认为不符合招标文件其他实质性要求或法律规定的。</w:t>
            </w:r>
          </w:p>
        </w:tc>
      </w:tr>
    </w:tbl>
    <w:p>
      <w:pPr>
        <w:rPr>
          <w:rFonts w:ascii="宋体" w:hAnsi="宋体"/>
          <w:color w:val="000000" w:themeColor="text1"/>
          <w:szCs w:val="28"/>
          <w:highlight w:val="none"/>
        </w:rPr>
      </w:pPr>
    </w:p>
    <w:p>
      <w:pPr>
        <w:spacing w:line="560" w:lineRule="exact"/>
        <w:ind w:firstLine="422" w:firstLineChars="201"/>
        <w:rPr>
          <w:rFonts w:ascii="黑体" w:hAnsi="黑体" w:eastAsia="黑体"/>
          <w:b/>
          <w:color w:val="000000" w:themeColor="text1"/>
          <w:highlight w:val="none"/>
        </w:rPr>
      </w:pPr>
      <w:r>
        <w:rPr>
          <w:rFonts w:hint="eastAsia" w:ascii="宋体" w:hAnsi="宋体"/>
          <w:color w:val="000000" w:themeColor="text1"/>
          <w:highlight w:val="none"/>
        </w:rPr>
        <w:br w:type="page"/>
      </w:r>
      <w:r>
        <w:rPr>
          <w:rFonts w:hint="eastAsia" w:ascii="楷体_GB2312" w:hAnsi="仿宋" w:eastAsia="楷体_GB2312" w:cs="宋体"/>
          <w:b/>
          <w:color w:val="000000" w:themeColor="text1"/>
          <w:sz w:val="28"/>
          <w:szCs w:val="28"/>
          <w:highlight w:val="none"/>
        </w:rPr>
        <w:t>一、说明</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1.适用范围</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1.1 本招标文件仅适用于本次招标公告中所涉及的项目和内容。</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1.2 本招标文件的解释权为</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，以书面解释为准。</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1.3 招标文件未做须知明示，而又有相关法律、法规规定的，从其规定。</w:t>
      </w:r>
    </w:p>
    <w:p>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2.相关要求</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2.1投标人应承担所有与准备和参加投标有关的费用。不论投标结果如何，</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和采购人均无义务和责任承担这些费用。</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2.2本项目若涉及采购货物，则合格的货物及相应服务应满足以下要求：</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2.2.1必须是全新、未使用过的原装合格正品（包括零部件），如安装或配置了软件的，须为正版软件。</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2.2.2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2.3</w:t>
      </w:r>
      <w:r>
        <w:rPr>
          <w:rFonts w:hint="eastAsia" w:ascii="仿宋_GB2312" w:hAnsi="宋体" w:eastAsia="仿宋_GB2312"/>
          <w:b/>
          <w:color w:val="000000" w:themeColor="text1"/>
          <w:sz w:val="28"/>
          <w:szCs w:val="28"/>
          <w:highlight w:val="none"/>
        </w:rPr>
        <w:t>投标人应通过威海市公共资源交易网（荣成市）登录威海市国有企业阳光采购电子化服务平台获取采购文件，并通过威海市国有企业阳光采购电子化服务平台网上上传电子投标文件，电子投标文件成功上传后，将会生成投标回执，未通过威海市国有企业阳光采购电子化服务平台上传电子投标文件的，为无效投标。投标人不足3家的，本项目直接废标。</w:t>
      </w:r>
    </w:p>
    <w:p>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二、招标文件</w:t>
      </w:r>
    </w:p>
    <w:p>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3.招标文件的构成</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由各包段本文件（word格式）和各包段的数据文件（excel格式）构成，采用压缩包电子版文件格式提供。</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3.1 本文件（word格式）由下列文件组成：</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（1）采购公告</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（2）投标须知</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（3）采购内容与要求</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（4）评审原则和方法</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（5）投标（响应）文件格式</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（6）合同（范本）</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（7）在采购过程中由采购人或</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发出的修正和补充文件等（如有）</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3.2 数据文件（excel格式）由下列文件组成：</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（1）封面</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（2）投标报价表（含明细）</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（3）需求响应表（如有）</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（4）评审对照表</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（5）评分对照表（如有）</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响应）。</w:t>
      </w:r>
    </w:p>
    <w:p>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4.招标文件的澄清</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4.1</w:t>
      </w:r>
      <w:r>
        <w:rPr>
          <w:rFonts w:hint="eastAsia" w:ascii="仿宋_GB2312" w:hAnsi="宋体" w:eastAsia="仿宋_GB2312"/>
          <w:color w:val="000000" w:themeColor="text1"/>
          <w:sz w:val="28"/>
          <w:szCs w:val="28"/>
          <w:highlight w:val="none"/>
        </w:rPr>
        <w:t>投标人</w:t>
      </w:r>
      <w:r>
        <w:rPr>
          <w:rFonts w:hint="eastAsia" w:ascii="仿宋_GB2312" w:hAnsi="仿宋" w:eastAsia="仿宋_GB2312" w:cs="宋体"/>
          <w:color w:val="000000" w:themeColor="text1"/>
          <w:sz w:val="28"/>
          <w:szCs w:val="28"/>
          <w:highlight w:val="none"/>
        </w:rPr>
        <w:t>在收到招标文件后，对招标文件若有任何疑问或要求澄清招标文件的，应在有效期内按“投标须知前附表”第四项向</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提出，必要时</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将协助采购人组织所有获取采购文件</w:t>
      </w:r>
      <w:r>
        <w:rPr>
          <w:rFonts w:hint="eastAsia" w:ascii="仿宋_GB2312" w:hAnsi="宋体" w:eastAsia="仿宋_GB2312"/>
          <w:color w:val="000000" w:themeColor="text1"/>
          <w:sz w:val="28"/>
          <w:szCs w:val="28"/>
          <w:highlight w:val="none"/>
        </w:rPr>
        <w:t>投标人</w:t>
      </w:r>
      <w:r>
        <w:rPr>
          <w:rFonts w:hint="eastAsia" w:ascii="仿宋_GB2312" w:hAnsi="仿宋" w:eastAsia="仿宋_GB2312" w:cs="宋体"/>
          <w:color w:val="000000" w:themeColor="text1"/>
          <w:sz w:val="28"/>
          <w:szCs w:val="28"/>
          <w:highlight w:val="none"/>
        </w:rPr>
        <w:t>举行答疑会，</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根据需要主动对招标文件进行必要的澄清或根据</w:t>
      </w:r>
      <w:r>
        <w:rPr>
          <w:rFonts w:hint="eastAsia" w:ascii="仿宋_GB2312" w:hAnsi="宋体" w:eastAsia="仿宋_GB2312"/>
          <w:color w:val="000000" w:themeColor="text1"/>
          <w:sz w:val="28"/>
          <w:szCs w:val="28"/>
          <w:highlight w:val="none"/>
        </w:rPr>
        <w:t>投标人</w:t>
      </w:r>
      <w:r>
        <w:rPr>
          <w:rFonts w:hint="eastAsia" w:ascii="仿宋_GB2312" w:hAnsi="仿宋" w:eastAsia="仿宋_GB2312" w:cs="宋体"/>
          <w:color w:val="000000" w:themeColor="text1"/>
          <w:sz w:val="28"/>
          <w:szCs w:val="28"/>
          <w:highlight w:val="none"/>
        </w:rPr>
        <w:t>的要求对招标文件做出澄清，都将以原网站公开发布形式（包括电子交易系统推送）答复或发送给所有</w:t>
      </w:r>
      <w:r>
        <w:rPr>
          <w:rFonts w:hint="eastAsia" w:ascii="仿宋_GB2312" w:hAnsi="宋体" w:eastAsia="仿宋_GB2312"/>
          <w:color w:val="000000" w:themeColor="text1"/>
          <w:sz w:val="28"/>
          <w:szCs w:val="28"/>
          <w:highlight w:val="none"/>
        </w:rPr>
        <w:t>投标人</w:t>
      </w:r>
      <w:r>
        <w:rPr>
          <w:rFonts w:hint="eastAsia" w:ascii="仿宋_GB2312" w:hAnsi="仿宋" w:eastAsia="仿宋_GB2312" w:cs="宋体"/>
          <w:color w:val="000000" w:themeColor="text1"/>
          <w:sz w:val="28"/>
          <w:szCs w:val="28"/>
          <w:highlight w:val="none"/>
        </w:rPr>
        <w:t>。澄清文件作为招标文件的组成部分，对</w:t>
      </w:r>
      <w:r>
        <w:rPr>
          <w:rFonts w:hint="eastAsia" w:ascii="仿宋_GB2312" w:hAnsi="宋体" w:eastAsia="仿宋_GB2312"/>
          <w:color w:val="000000" w:themeColor="text1"/>
          <w:sz w:val="28"/>
          <w:szCs w:val="28"/>
          <w:highlight w:val="none"/>
        </w:rPr>
        <w:t>投标人</w:t>
      </w:r>
      <w:r>
        <w:rPr>
          <w:rFonts w:hint="eastAsia" w:ascii="仿宋_GB2312" w:hAnsi="仿宋" w:eastAsia="仿宋_GB2312" w:cs="宋体"/>
          <w:color w:val="000000" w:themeColor="text1"/>
          <w:sz w:val="28"/>
          <w:szCs w:val="28"/>
          <w:highlight w:val="none"/>
        </w:rPr>
        <w:t>起约束作用。</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4.2投标人在规定的时间内未对招标文件澄清或提出疑问的，</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将视其为接受招标文件的所有条款，对招标文件没有异议，此后也不再受理对招标文件的相关质疑。</w:t>
      </w:r>
    </w:p>
    <w:p>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5.招标文件的修改</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5.l 在投标截止时间2日以前，无论出于何种原因，</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或采购人可主动或在解答投标人提出的疑问时对招标文件进行修改。</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5.2 修改后的内容是招标文件的组成部分，采购人、</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将会通过“威海市公共资源交易网（荣成市）”，以更正公告形式（电子交易系统发送更正提醒通知）一并告知所有潜在投标人，并对潜在投标人具有约束力。潜在投标人在收到上述通知后，应立即以书面形式向</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或采购人确认，如在24小时内无书面回函则视为同意修改内容，并有义务履行相应的义务。</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5.3澄清或者修改的内容可能影响投标文件编制的，采购人或</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将在投标截止时间2日前，通过原网站发布公告的形式（电子交易系统内发送更正提醒通知）通知所有获取招标文件的潜在投标人</w:t>
      </w:r>
      <w:r>
        <w:rPr>
          <w:rFonts w:hint="eastAsia" w:ascii="仿宋_GB2312" w:hAnsi="宋体" w:eastAsia="仿宋_GB2312"/>
          <w:color w:val="000000" w:themeColor="text1"/>
          <w:sz w:val="28"/>
          <w:szCs w:val="28"/>
          <w:highlight w:val="none"/>
        </w:rPr>
        <w:t>（采购文件变更的，投标人必须从电子交易系统中重新下载采购文件，并在新下载文件的基础上编制投标文件）；</w:t>
      </w:r>
      <w:r>
        <w:rPr>
          <w:rFonts w:hint="eastAsia" w:ascii="仿宋_GB2312" w:hAnsi="仿宋" w:eastAsia="仿宋_GB2312" w:cs="宋体"/>
          <w:color w:val="000000" w:themeColor="text1"/>
          <w:sz w:val="28"/>
          <w:szCs w:val="28"/>
          <w:highlight w:val="none"/>
        </w:rPr>
        <w:t>不足2日的，采购人或者</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将顺延提交投标文件的截止时间。</w:t>
      </w:r>
    </w:p>
    <w:p>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三、投标文件的编制</w:t>
      </w:r>
    </w:p>
    <w:p>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6.投标文件编制要求</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6.1投标人编写的文件和往来信件应以简体中文书写。如果投标文件或与投标有关的其它文件、信件及来往函电以其它语言书写的，投标人应将其译成中文，如未翻译该文件为无效文件。</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6.2投标文件中使用的计量单位应使用中华人民共和国法定计量单位。</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6.3投标人必须保证投标文件所提供的全部资料真实可靠，并接受采购人或</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对其中任何资料进一步核实的要求。如果因为投标文件填报的内容不详，或没有提供招标文件中所要求的全部资料及数据，或提供虚假文件，由此造成的后果由投标人自负。</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6.4投标人应按招标文件中提供的投标文件格式（详见第五部分 投标（响应）文件格式）按包段编写投标文件，并使用A4规格编制。投标文件应编写目录，具有结构清晰的文档结构图（打开word视图中的“文档结构图”后能看到详细章节），页码连续。</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6.5</w:t>
      </w:r>
      <w:r>
        <w:rPr>
          <w:rFonts w:hint="eastAsia" w:ascii="仿宋_GB2312" w:hAnsi="宋体" w:eastAsia="仿宋_GB2312"/>
          <w:color w:val="000000" w:themeColor="text1"/>
          <w:sz w:val="28"/>
          <w:szCs w:val="28"/>
          <w:highlight w:val="none"/>
        </w:rPr>
        <w:t>投标人按照采购文件要求所提供的各种证明文件必须真实且合法有效,经扫描后粘贴到响应文件的相关页上，确保清晰度可辨认，评审时由于无法辨认所产生的后果，由投标人自行承担。</w:t>
      </w:r>
    </w:p>
    <w:p>
      <w:pPr>
        <w:spacing w:line="560" w:lineRule="exact"/>
        <w:ind w:firstLine="565" w:firstLineChars="201"/>
        <w:rPr>
          <w:rFonts w:ascii="仿宋_GB2312" w:hAnsi="仿宋" w:eastAsia="仿宋_GB2312" w:cs="宋体"/>
          <w:b/>
          <w:color w:val="000000" w:themeColor="text1"/>
          <w:sz w:val="28"/>
          <w:szCs w:val="28"/>
          <w:highlight w:val="none"/>
        </w:rPr>
      </w:pPr>
      <w:r>
        <w:rPr>
          <w:rFonts w:hint="eastAsia" w:ascii="仿宋_GB2312" w:hAnsi="仿宋" w:eastAsia="仿宋_GB2312" w:cs="宋体"/>
          <w:b/>
          <w:color w:val="000000" w:themeColor="text1"/>
          <w:sz w:val="28"/>
          <w:szCs w:val="28"/>
          <w:highlight w:val="none"/>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hint="eastAsia" w:ascii="仿宋_GB2312" w:hAnsi="宋体" w:eastAsia="仿宋_GB2312"/>
          <w:b/>
          <w:color w:val="000000" w:themeColor="text1"/>
          <w:sz w:val="28"/>
          <w:szCs w:val="28"/>
          <w:highlight w:val="none"/>
        </w:rPr>
        <w:t>对于不涉及或无法填写的评审项（评分项）（例如：报价），可在页码索引处填写1。</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6.7为了保证系统整体效率，系统对所投递的电子文件有大小的限制，因此，投标人应尽可能降低本文件的大小，小尺寸投标文件将使递交更快捷、减少差错发生几率，避免投标截止时间前未能完整上传文件。</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6.8投标文件具有法律效力，投标人与</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或采购人任何人的口头协议不影响投标文件的任何条款和内容。</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6.9采购人或</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均无义务向投标人解释其中标或未中标的原因，且无论投标人是否中标，投标人所递交的投标文件均不予退还，不提供副本拷贝。</w:t>
      </w:r>
    </w:p>
    <w:p>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7.数据文件编制要求</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7.1投标人须从所投项目的招标文件压缩包内对应包段目录下获取本文件</w:t>
      </w:r>
      <w:r>
        <w:rPr>
          <w:rFonts w:hint="eastAsia" w:ascii="仿宋_GB2312" w:hAnsi="宋体" w:eastAsia="仿宋_GB2312"/>
          <w:color w:val="000000" w:themeColor="text1"/>
          <w:sz w:val="28"/>
          <w:szCs w:val="28"/>
          <w:highlight w:val="none"/>
        </w:rPr>
        <w:t>（变更后的数据文件需要重新下载）</w:t>
      </w:r>
      <w:r>
        <w:rPr>
          <w:rFonts w:hint="eastAsia" w:ascii="仿宋_GB2312" w:hAnsi="仿宋" w:eastAsia="仿宋_GB2312" w:cs="宋体"/>
          <w:color w:val="000000" w:themeColor="text1"/>
          <w:sz w:val="28"/>
          <w:szCs w:val="28"/>
          <w:highlight w:val="none"/>
        </w:rPr>
        <w:t>，必须在原文件上严格按照其中要求填写，其内部已约定好固定格式和相关内容，且带有特定的唯一性数字指纹，对采用非该文件基础上编制或对该文件进行任何工作表、表格行、表格列的增减</w:t>
      </w:r>
      <w:r>
        <w:rPr>
          <w:rFonts w:ascii="Calibri" w:hAnsi="Calibri" w:eastAsia="仿宋_GB2312" w:cs="宋体"/>
          <w:color w:val="000000" w:themeColor="text1"/>
          <w:sz w:val="28"/>
          <w:szCs w:val="28"/>
          <w:highlight w:val="none"/>
        </w:rPr>
        <w:t>、对工作表先后顺序的变动，</w:t>
      </w:r>
      <w:r>
        <w:rPr>
          <w:rFonts w:hint="eastAsia" w:ascii="仿宋_GB2312" w:hAnsi="仿宋" w:eastAsia="仿宋_GB2312" w:cs="宋体"/>
          <w:color w:val="000000" w:themeColor="text1"/>
          <w:sz w:val="28"/>
          <w:szCs w:val="28"/>
          <w:highlight w:val="none"/>
        </w:rPr>
        <w:t>以及对锁定区域内的数据进行更改、</w:t>
      </w:r>
      <w:r>
        <w:rPr>
          <w:rFonts w:hint="eastAsia" w:ascii="仿宋_GB2312" w:hAnsi="仿宋" w:eastAsia="仿宋_GB2312" w:cs="宋体"/>
          <w:b/>
          <w:color w:val="000000" w:themeColor="text1"/>
          <w:sz w:val="28"/>
          <w:szCs w:val="28"/>
          <w:highlight w:val="none"/>
        </w:rPr>
        <w:t>文件另存到其他文件</w:t>
      </w:r>
      <w:r>
        <w:rPr>
          <w:rFonts w:hint="eastAsia" w:ascii="仿宋_GB2312" w:hAnsi="仿宋" w:eastAsia="仿宋_GB2312" w:cs="宋体"/>
          <w:color w:val="000000" w:themeColor="text1"/>
          <w:sz w:val="28"/>
          <w:szCs w:val="28"/>
          <w:highlight w:val="none"/>
        </w:rPr>
        <w:t>等违规性操作，都会破坏本文件中的数字指纹，导致系统无法接收该文件使其</w:t>
      </w:r>
      <w:r>
        <w:rPr>
          <w:rFonts w:hint="eastAsia" w:ascii="仿宋_GB2312" w:hAnsi="仿宋" w:eastAsia="仿宋_GB2312" w:cs="宋体"/>
          <w:b/>
          <w:color w:val="000000" w:themeColor="text1"/>
          <w:sz w:val="28"/>
          <w:szCs w:val="28"/>
          <w:highlight w:val="none"/>
        </w:rPr>
        <w:t>投标失败</w:t>
      </w:r>
      <w:r>
        <w:rPr>
          <w:rFonts w:hint="eastAsia" w:ascii="仿宋_GB2312" w:hAnsi="仿宋" w:eastAsia="仿宋_GB2312" w:cs="宋体"/>
          <w:color w:val="000000" w:themeColor="text1"/>
          <w:sz w:val="28"/>
          <w:szCs w:val="28"/>
          <w:highlight w:val="none"/>
        </w:rPr>
        <w:t>。</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ascii="仿宋_GB2312" w:hAnsi="仿宋" w:eastAsia="仿宋_GB2312" w:cs="宋体"/>
          <w:b/>
          <w:color w:val="000000" w:themeColor="text1"/>
          <w:sz w:val="28"/>
          <w:szCs w:val="28"/>
          <w:highlight w:val="none"/>
        </w:rPr>
        <w:t>投标失败</w:t>
      </w:r>
      <w:r>
        <w:rPr>
          <w:rFonts w:hint="eastAsia" w:ascii="仿宋_GB2312" w:hAnsi="仿宋" w:eastAsia="仿宋_GB2312" w:cs="宋体"/>
          <w:color w:val="000000" w:themeColor="text1"/>
          <w:sz w:val="28"/>
          <w:szCs w:val="28"/>
          <w:highlight w:val="none"/>
        </w:rPr>
        <w:t>。</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7.3投标人在对数据文件电子签章前，应按照上述2项的要求进行认真检查、确认。因投标人自身原因所导致其投标失败的，须自行承担相关责任。</w:t>
      </w:r>
    </w:p>
    <w:p>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8.文件构成</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投标人应按不同包段分别编制投标文件，每个包段的投标文件分两册必须包括：投标文件（pdf格式）（第一册）、数据文件（PDF格式）（第二册），以上内容缺一不可，否则为</w:t>
      </w:r>
      <w:r>
        <w:rPr>
          <w:rFonts w:hint="eastAsia" w:ascii="仿宋_GB2312" w:hAnsi="仿宋" w:eastAsia="仿宋_GB2312" w:cs="宋体"/>
          <w:b/>
          <w:color w:val="000000" w:themeColor="text1"/>
          <w:sz w:val="28"/>
          <w:szCs w:val="28"/>
          <w:highlight w:val="none"/>
        </w:rPr>
        <w:t>无效投标（响应）</w:t>
      </w:r>
      <w:r>
        <w:rPr>
          <w:rFonts w:hint="eastAsia" w:ascii="仿宋_GB2312" w:hAnsi="仿宋" w:eastAsia="仿宋_GB2312" w:cs="宋体"/>
          <w:color w:val="000000" w:themeColor="text1"/>
          <w:sz w:val="28"/>
          <w:szCs w:val="28"/>
          <w:highlight w:val="none"/>
        </w:rPr>
        <w:t>。</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8.1投标人编制的投标文件（pdf格式）（第一册）应包括但不少于下列内容：</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（1）投标文件封面（格式见本文件第五章）</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（2）投标文件目录</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（3）投标承诺函（格式见本文件第五章）</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（4）投标人资格证明文件</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①有效的营业执照副本扫描件；</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②法定代表人授权委托书；被授权人身份证扫描件；</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若投标单位代表为企业法定代表人/单位负责人的，则只需提供企业法定代表人/单位负责人身份证扫描件；</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③投标人的依法交纳税收和社会保障资金的声明（格式自拟）；近期的完税凭证扫描件及交纳社保资金凭证的扫描件；</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④投标人近3年内在经营活动中没有重大违法记录的声明（格式见本文件第五章），如不提供视为</w:t>
      </w:r>
      <w:r>
        <w:rPr>
          <w:rFonts w:hint="eastAsia" w:ascii="仿宋_GB2312" w:hAnsi="仿宋" w:eastAsia="仿宋_GB2312" w:cs="宋体"/>
          <w:b/>
          <w:color w:val="000000" w:themeColor="text1"/>
          <w:sz w:val="28"/>
          <w:szCs w:val="28"/>
          <w:highlight w:val="none"/>
        </w:rPr>
        <w:t>无效投标（响应）</w:t>
      </w:r>
      <w:r>
        <w:rPr>
          <w:rFonts w:hint="eastAsia" w:ascii="仿宋_GB2312" w:hAnsi="仿宋" w:eastAsia="仿宋_GB2312" w:cs="宋体"/>
          <w:color w:val="000000" w:themeColor="text1"/>
          <w:sz w:val="28"/>
          <w:szCs w:val="28"/>
          <w:highlight w:val="none"/>
        </w:rPr>
        <w:t>。</w:t>
      </w:r>
    </w:p>
    <w:p>
      <w:pPr>
        <w:pStyle w:val="13"/>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⑤投标人、法定代表人、授权委托人未被最高法院列入失信被执行人截图（网址http://zxgk.court.gov.cn/zhzxgk/）</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⑥招标文件公告中要求的有关资质资格文件。</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⑦投标人认为需要提供的资质资格证明文件。</w:t>
      </w:r>
    </w:p>
    <w:p>
      <w:pPr>
        <w:spacing w:line="560" w:lineRule="exact"/>
        <w:ind w:firstLine="562" w:firstLineChars="201"/>
        <w:rPr>
          <w:rFonts w:ascii="仿宋_GB2312" w:hAnsi="仿宋" w:eastAsia="仿宋_GB2312" w:cs="宋体"/>
          <w:color w:val="000000" w:themeColor="text1"/>
          <w:sz w:val="28"/>
          <w:szCs w:val="28"/>
          <w:highlight w:val="none"/>
        </w:rPr>
      </w:pPr>
      <w:bookmarkStart w:id="18" w:name="OLE_LINK53"/>
      <w:bookmarkStart w:id="19" w:name="OLE_LINK52"/>
      <w:r>
        <w:rPr>
          <w:rFonts w:hint="eastAsia" w:ascii="仿宋_GB2312" w:hAnsi="仿宋" w:eastAsia="仿宋_GB2312" w:cs="宋体"/>
          <w:color w:val="000000" w:themeColor="text1"/>
          <w:sz w:val="28"/>
          <w:szCs w:val="28"/>
          <w:highlight w:val="none"/>
        </w:rPr>
        <w:t>以上所有资质资格证明文件均需加盖投标人签章</w:t>
      </w:r>
      <w:bookmarkEnd w:id="18"/>
      <w:bookmarkEnd w:id="19"/>
      <w:r>
        <w:rPr>
          <w:rFonts w:hint="eastAsia" w:ascii="仿宋_GB2312" w:hAnsi="仿宋" w:eastAsia="仿宋_GB2312" w:cs="宋体"/>
          <w:color w:val="000000" w:themeColor="text1"/>
          <w:sz w:val="28"/>
          <w:szCs w:val="28"/>
          <w:highlight w:val="none"/>
        </w:rPr>
        <w:t>。</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（5）财务状况报告等相关材料</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A.</w:t>
      </w:r>
      <w:r>
        <w:rPr>
          <w:rFonts w:hint="eastAsia"/>
          <w:color w:val="000000" w:themeColor="text1"/>
          <w:highlight w:val="none"/>
        </w:rPr>
        <w:t xml:space="preserve"> </w:t>
      </w:r>
      <w:r>
        <w:rPr>
          <w:rFonts w:hint="eastAsia" w:ascii="仿宋_GB2312" w:hAnsi="仿宋" w:eastAsia="仿宋_GB2312" w:cs="宋体"/>
          <w:color w:val="000000" w:themeColor="text1"/>
          <w:sz w:val="28"/>
          <w:szCs w:val="28"/>
          <w:highlight w:val="none"/>
        </w:rPr>
        <w:t>投标人自行编制的2024年度或2025年度公司财务报表或由中介机构出具的2024年或2025年度度财务审计报告书扫描件；</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B.</w:t>
      </w:r>
      <w:r>
        <w:rPr>
          <w:rFonts w:hint="eastAsia" w:ascii="仿宋_GB2312" w:hAnsi="宋体" w:eastAsia="仿宋_GB2312"/>
          <w:color w:val="000000" w:themeColor="text1"/>
          <w:sz w:val="28"/>
          <w:szCs w:val="28"/>
          <w:highlight w:val="none"/>
        </w:rPr>
        <w:t>银行出具的有效期内的资信证明扫描件</w:t>
      </w:r>
      <w:r>
        <w:rPr>
          <w:rFonts w:hint="eastAsia" w:ascii="仿宋_GB2312" w:hAnsi="仿宋" w:eastAsia="仿宋_GB2312" w:cs="宋体"/>
          <w:color w:val="000000" w:themeColor="text1"/>
          <w:sz w:val="28"/>
          <w:szCs w:val="28"/>
          <w:highlight w:val="none"/>
        </w:rPr>
        <w:t>。</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注：A、B两项提供任意一项均可。</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以上证明文件均需加盖投标人签章</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（6）投标人基本情况（格式见本文件第五章）</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（7）技术文件，包括但不限于以下内容:</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①技术响应；</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②产品成熟度；</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③产品的总体质量、整体性能情况；</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④供货安装方案；</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⑤设计方案；</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⑥售后服务；</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⑦根据招标文件第四部分采购项目说明提供的技术文件；</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⑧根据招标文件评标标准要求提供的相关技术文件。</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（8）投标人2023年至今类似项目业绩；</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（9）要求采购人提供的配合；</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8.2数据文件（PDF格式）（第二册）</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w:t>
      </w:r>
      <w:r>
        <w:rPr>
          <w:rFonts w:hint="eastAsia" w:ascii="仿宋_GB2312" w:hAnsi="仿宋" w:eastAsia="仿宋_GB2312" w:cs="宋体"/>
          <w:b/>
          <w:color w:val="000000" w:themeColor="text1"/>
          <w:sz w:val="28"/>
          <w:szCs w:val="28"/>
          <w:highlight w:val="none"/>
        </w:rPr>
        <w:t>无效投标（响应）</w:t>
      </w:r>
      <w:r>
        <w:rPr>
          <w:rFonts w:hint="eastAsia" w:ascii="仿宋_GB2312" w:hAnsi="仿宋" w:eastAsia="仿宋_GB2312" w:cs="宋体"/>
          <w:color w:val="000000" w:themeColor="text1"/>
          <w:sz w:val="28"/>
          <w:szCs w:val="28"/>
          <w:highlight w:val="none"/>
        </w:rPr>
        <w:t>。数据文件（PDF格式）包含下列内容：</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（1）封面</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（2）投标报价表（含明细）</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（3）需求响应表（如有）</w:t>
      </w:r>
    </w:p>
    <w:p>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9.投标报价</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9.1投标人所提供的服务均以人民币报价，精确到小数点后两位。</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9.2投标人应按照“第三部分采购内容与要求”的服务内容、责任范围以及合同条款进行报价。并按数据文件中“投标报价表（含明细）”规定的格式报出分项价格和总价。</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9.3投标人应按数据文件“投标报价表（含明细）”要求的统一格式填写，并加盖电子公章。</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9.4《投标报价表（含明细）》填写时应响应下列要求：</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（1）所有根据合同或其它原因应由投标人支付的税款和其它应交纳的费用都要包括在投标人提交的报价中；</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投标人应对本次招标的全部内容以进行报价，包括品及供货、安装、材料、施工、人工、调试、技术培训、质保期内的免费质保服务、税金、售后服务及其他附带服务等全部费用，以人民币为结算单位，投标报价中免费提供的项目，应注明免费。</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（3）投标人应对本次招标的全部内容进行报价，缺项报价投标无效。如因投标人自身的原因报价失误而造成的损失，由投标人自行承担。</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（4）投标人须严格按照报价明细表说明进行填写，报价明细表中 “*”是必填项，任何必填项为空时都可能导致本次投标无效。</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（5）《投标报价表（含明细）》中“投标产品的型号”，型号填写的一般规则为：品牌+产品型号。否则会因非实质性响应而被拒绝；</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（6）《投标报价表（含明细）》中合价将由单价*数量自动计算，无需手工录入。</w:t>
      </w:r>
    </w:p>
    <w:p>
      <w:pPr>
        <w:spacing w:line="560" w:lineRule="exact"/>
        <w:ind w:firstLine="560" w:firstLineChars="200"/>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9</w:t>
      </w:r>
      <w:r>
        <w:rPr>
          <w:rFonts w:ascii="仿宋_GB2312" w:hAnsi="仿宋" w:eastAsia="仿宋_GB2312" w:cs="宋体"/>
          <w:color w:val="000000" w:themeColor="text1"/>
          <w:sz w:val="28"/>
          <w:szCs w:val="28"/>
          <w:highlight w:val="none"/>
        </w:rPr>
        <w:t>.5《需求响应表</w:t>
      </w:r>
      <w:r>
        <w:rPr>
          <w:rFonts w:hint="eastAsia" w:ascii="仿宋_GB2312" w:hAnsi="仿宋" w:eastAsia="仿宋_GB2312" w:cs="宋体"/>
          <w:color w:val="000000" w:themeColor="text1"/>
          <w:sz w:val="28"/>
          <w:szCs w:val="28"/>
          <w:highlight w:val="none"/>
        </w:rPr>
        <w:t>》</w:t>
      </w:r>
      <w:r>
        <w:rPr>
          <w:rFonts w:ascii="仿宋_GB2312" w:hAnsi="仿宋" w:eastAsia="仿宋_GB2312" w:cs="宋体"/>
          <w:color w:val="000000" w:themeColor="text1"/>
          <w:sz w:val="28"/>
          <w:szCs w:val="28"/>
          <w:highlight w:val="none"/>
        </w:rPr>
        <w:t>（如有）填写时应响应下列要求：</w:t>
      </w:r>
    </w:p>
    <w:p>
      <w:pPr>
        <w:spacing w:line="560" w:lineRule="exact"/>
        <w:ind w:firstLine="560" w:firstLineChars="200"/>
        <w:rPr>
          <w:rFonts w:ascii="仿宋_GB2312" w:hAnsi="仿宋" w:eastAsia="仿宋_GB2312" w:cs="宋体"/>
          <w:color w:val="000000" w:themeColor="text1"/>
          <w:sz w:val="28"/>
          <w:szCs w:val="28"/>
          <w:highlight w:val="none"/>
        </w:rPr>
      </w:pPr>
      <w:r>
        <w:rPr>
          <w:rFonts w:ascii="仿宋_GB2312" w:hAnsi="仿宋" w:eastAsia="仿宋_GB2312" w:cs="宋体"/>
          <w:color w:val="000000" w:themeColor="text1"/>
          <w:sz w:val="28"/>
          <w:szCs w:val="28"/>
          <w:highlight w:val="none"/>
        </w:rPr>
        <w:t>（1）有底色标识的单元格须填写，有“*”的列是必输项，任何必输项为空都可能导致您的本次投标（响应）无效；</w:t>
      </w:r>
    </w:p>
    <w:p>
      <w:pPr>
        <w:spacing w:line="560" w:lineRule="exact"/>
        <w:ind w:firstLine="560" w:firstLineChars="200"/>
        <w:rPr>
          <w:rFonts w:ascii="仿宋_GB2312" w:hAnsi="仿宋" w:eastAsia="仿宋_GB2312" w:cs="宋体"/>
          <w:color w:val="000000" w:themeColor="text1"/>
          <w:sz w:val="28"/>
          <w:szCs w:val="28"/>
          <w:highlight w:val="none"/>
        </w:rPr>
      </w:pPr>
      <w:r>
        <w:rPr>
          <w:rFonts w:ascii="仿宋_GB2312" w:hAnsi="仿宋" w:eastAsia="仿宋_GB2312" w:cs="宋体"/>
          <w:color w:val="000000" w:themeColor="text1"/>
          <w:sz w:val="28"/>
          <w:szCs w:val="28"/>
          <w:highlight w:val="none"/>
        </w:rPr>
        <w:t>（2）如想拷贝数据到某个待填写单元格，应采用选择性粘贴(只粘贴文本)，否则单元格填写无效或被锁死；</w:t>
      </w:r>
    </w:p>
    <w:p>
      <w:pPr>
        <w:spacing w:line="560" w:lineRule="exact"/>
        <w:ind w:firstLine="560" w:firstLineChars="200"/>
        <w:rPr>
          <w:rFonts w:ascii="仿宋_GB2312" w:hAnsi="仿宋" w:eastAsia="仿宋_GB2312" w:cs="宋体"/>
          <w:color w:val="000000" w:themeColor="text1"/>
          <w:sz w:val="28"/>
          <w:szCs w:val="28"/>
          <w:highlight w:val="none"/>
        </w:rPr>
      </w:pPr>
      <w:r>
        <w:rPr>
          <w:rFonts w:ascii="仿宋_GB2312" w:hAnsi="仿宋" w:eastAsia="仿宋_GB2312" w:cs="宋体"/>
          <w:color w:val="000000" w:themeColor="text1"/>
          <w:sz w:val="28"/>
          <w:szCs w:val="28"/>
          <w:highlight w:val="none"/>
        </w:rPr>
        <w:t>（3）当招标需求列的内容显示不完整时，请点击编辑栏进行查看；</w:t>
      </w:r>
    </w:p>
    <w:p>
      <w:pPr>
        <w:spacing w:line="560" w:lineRule="exact"/>
        <w:ind w:firstLine="560" w:firstLineChars="200"/>
        <w:rPr>
          <w:rFonts w:ascii="仿宋_GB2312" w:hAnsi="仿宋" w:eastAsia="仿宋_GB2312" w:cs="宋体"/>
          <w:color w:val="000000" w:themeColor="text1"/>
          <w:sz w:val="28"/>
          <w:szCs w:val="28"/>
          <w:highlight w:val="none"/>
        </w:rPr>
      </w:pPr>
      <w:r>
        <w:rPr>
          <w:rFonts w:ascii="仿宋_GB2312" w:hAnsi="仿宋" w:eastAsia="仿宋_GB2312" w:cs="宋体"/>
          <w:color w:val="000000" w:themeColor="text1"/>
          <w:sz w:val="28"/>
          <w:szCs w:val="28"/>
          <w:highlight w:val="none"/>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Pr>
          <w:rFonts w:ascii="仿宋_GB2312" w:hAnsi="仿宋" w:eastAsia="仿宋_GB2312" w:cs="宋体"/>
          <w:b/>
          <w:color w:val="000000" w:themeColor="text1"/>
          <w:sz w:val="28"/>
          <w:szCs w:val="28"/>
          <w:highlight w:val="none"/>
        </w:rPr>
        <w:t>无效投标（响应）处理</w:t>
      </w:r>
      <w:r>
        <w:rPr>
          <w:rFonts w:ascii="仿宋_GB2312" w:hAnsi="仿宋" w:eastAsia="仿宋_GB2312" w:cs="宋体"/>
          <w:color w:val="000000" w:themeColor="text1"/>
          <w:sz w:val="28"/>
          <w:szCs w:val="28"/>
          <w:highlight w:val="none"/>
        </w:rPr>
        <w:t>。</w:t>
      </w:r>
    </w:p>
    <w:p>
      <w:pPr>
        <w:spacing w:line="560" w:lineRule="exact"/>
        <w:ind w:firstLine="560" w:firstLineChars="200"/>
        <w:rPr>
          <w:rFonts w:ascii="仿宋_GB2312" w:hAnsi="仿宋" w:eastAsia="仿宋_GB2312" w:cs="宋体"/>
          <w:color w:val="000000" w:themeColor="text1"/>
          <w:sz w:val="28"/>
          <w:szCs w:val="28"/>
          <w:highlight w:val="none"/>
        </w:rPr>
      </w:pPr>
      <w:r>
        <w:rPr>
          <w:rFonts w:ascii="仿宋_GB2312" w:hAnsi="仿宋" w:eastAsia="仿宋_GB2312" w:cs="宋体"/>
          <w:color w:val="000000" w:themeColor="text1"/>
          <w:sz w:val="28"/>
          <w:szCs w:val="28"/>
          <w:highlight w:val="none"/>
        </w:rPr>
        <w:t>（5）按照该表显示位置加盖一个电子印章；</w:t>
      </w:r>
    </w:p>
    <w:p>
      <w:pPr>
        <w:spacing w:line="560" w:lineRule="exact"/>
        <w:ind w:firstLine="560" w:firstLineChars="200"/>
        <w:rPr>
          <w:rFonts w:ascii="仿宋_GB2312" w:hAnsi="仿宋" w:eastAsia="仿宋_GB2312" w:cs="宋体"/>
          <w:color w:val="000000" w:themeColor="text1"/>
          <w:sz w:val="28"/>
          <w:szCs w:val="28"/>
          <w:highlight w:val="none"/>
        </w:rPr>
      </w:pPr>
      <w:r>
        <w:rPr>
          <w:rFonts w:ascii="仿宋_GB2312" w:hAnsi="仿宋" w:eastAsia="仿宋_GB2312" w:cs="宋体"/>
          <w:color w:val="000000" w:themeColor="text1"/>
          <w:sz w:val="28"/>
          <w:szCs w:val="28"/>
          <w:highlight w:val="none"/>
        </w:rPr>
        <w:t>（6）该表为固定格式且有数字指纹，必须在原表上填写，填写完毕后只可保存不可另存。删除该表、增加该表、增加行列、删除行列、对固定格式的任何改动均会导致</w:t>
      </w:r>
      <w:r>
        <w:rPr>
          <w:rFonts w:ascii="仿宋_GB2312" w:hAnsi="仿宋" w:eastAsia="仿宋_GB2312" w:cs="宋体"/>
          <w:b/>
          <w:color w:val="000000" w:themeColor="text1"/>
          <w:sz w:val="28"/>
          <w:szCs w:val="28"/>
          <w:highlight w:val="none"/>
        </w:rPr>
        <w:t>无效投标（</w:t>
      </w:r>
      <w:r>
        <w:rPr>
          <w:rFonts w:hint="eastAsia" w:ascii="仿宋_GB2312" w:hAnsi="仿宋" w:eastAsia="仿宋_GB2312" w:cs="宋体"/>
          <w:b/>
          <w:color w:val="000000" w:themeColor="text1"/>
          <w:sz w:val="28"/>
          <w:szCs w:val="28"/>
          <w:highlight w:val="none"/>
        </w:rPr>
        <w:t>响应</w:t>
      </w:r>
      <w:r>
        <w:rPr>
          <w:rFonts w:ascii="仿宋_GB2312" w:hAnsi="仿宋" w:eastAsia="仿宋_GB2312" w:cs="宋体"/>
          <w:b/>
          <w:color w:val="000000" w:themeColor="text1"/>
          <w:sz w:val="28"/>
          <w:szCs w:val="28"/>
          <w:highlight w:val="none"/>
        </w:rPr>
        <w:t>）</w:t>
      </w:r>
      <w:r>
        <w:rPr>
          <w:rFonts w:ascii="仿宋_GB2312" w:hAnsi="仿宋" w:eastAsia="仿宋_GB2312" w:cs="宋体"/>
          <w:color w:val="000000" w:themeColor="text1"/>
          <w:sz w:val="28"/>
          <w:szCs w:val="28"/>
          <w:highlight w:val="none"/>
        </w:rPr>
        <w:t>；</w:t>
      </w:r>
    </w:p>
    <w:p>
      <w:pPr>
        <w:snapToGrid w:val="0"/>
        <w:spacing w:line="560" w:lineRule="exact"/>
        <w:ind w:firstLine="562" w:firstLineChars="201"/>
        <w:rPr>
          <w:rFonts w:ascii="仿宋_GB2312" w:hAnsi="宋体" w:eastAsia="仿宋_GB2312"/>
          <w:color w:val="000000" w:themeColor="text1"/>
          <w:sz w:val="28"/>
          <w:szCs w:val="28"/>
          <w:highlight w:val="none"/>
        </w:rPr>
      </w:pPr>
      <w:r>
        <w:rPr>
          <w:rFonts w:hint="eastAsia" w:ascii="仿宋_GB2312" w:hAnsi="仿宋" w:eastAsia="仿宋_GB2312" w:cs="宋体"/>
          <w:color w:val="000000" w:themeColor="text1"/>
          <w:sz w:val="28"/>
          <w:szCs w:val="28"/>
          <w:highlight w:val="none"/>
        </w:rPr>
        <w:t>9.6</w:t>
      </w:r>
      <w:r>
        <w:rPr>
          <w:rFonts w:hint="eastAsia" w:ascii="仿宋_GB2312" w:hAnsi="宋体" w:eastAsia="仿宋_GB2312"/>
          <w:color w:val="000000" w:themeColor="text1"/>
          <w:sz w:val="28"/>
          <w:szCs w:val="28"/>
          <w:highlight w:val="none"/>
        </w:rPr>
        <w:t>投标人的报价在合同执行过程中是固定不变的，不得以任何理由改变。所有价格折扣、优惠条件必须在报价明细表中注明，否则评审时不予认可。</w:t>
      </w:r>
    </w:p>
    <w:p>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10.联合体投标</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两个以上的自然人、法人或者其他组织可以组成一个联合体，以一个投标人的身份共同参加投标。</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10.1以联合体形式进行投标的，应当提交联合协议，载明联合体各方承担的工作和义务。联合体各方应当共同与采购人签订采购合同，就采购合同约定的事项对采购人承担连带责任。</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10.2联合体中有同类资质的</w:t>
      </w:r>
      <w:r>
        <w:rPr>
          <w:rFonts w:hint="eastAsia" w:ascii="仿宋_GB2312" w:hAnsi="宋体" w:eastAsia="仿宋_GB2312"/>
          <w:color w:val="000000" w:themeColor="text1"/>
          <w:sz w:val="28"/>
          <w:szCs w:val="28"/>
          <w:highlight w:val="none"/>
        </w:rPr>
        <w:t>投标人</w:t>
      </w:r>
      <w:r>
        <w:rPr>
          <w:rFonts w:hint="eastAsia" w:ascii="仿宋_GB2312" w:hAnsi="仿宋" w:eastAsia="仿宋_GB2312" w:cs="宋体"/>
          <w:color w:val="000000" w:themeColor="text1"/>
          <w:sz w:val="28"/>
          <w:szCs w:val="28"/>
          <w:highlight w:val="none"/>
        </w:rPr>
        <w:t>按照联合体分工承担相同工作的，应当按照资质等级较低的</w:t>
      </w:r>
      <w:r>
        <w:rPr>
          <w:rFonts w:hint="eastAsia" w:ascii="仿宋_GB2312" w:hAnsi="宋体" w:eastAsia="仿宋_GB2312"/>
          <w:color w:val="000000" w:themeColor="text1"/>
          <w:sz w:val="28"/>
          <w:szCs w:val="28"/>
          <w:highlight w:val="none"/>
        </w:rPr>
        <w:t>投标人</w:t>
      </w:r>
      <w:r>
        <w:rPr>
          <w:rFonts w:hint="eastAsia" w:ascii="仿宋_GB2312" w:hAnsi="仿宋" w:eastAsia="仿宋_GB2312" w:cs="宋体"/>
          <w:color w:val="000000" w:themeColor="text1"/>
          <w:sz w:val="28"/>
          <w:szCs w:val="28"/>
          <w:highlight w:val="none"/>
        </w:rPr>
        <w:t>确定资质等级。</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10.3联合体的各方应当共同推荐一名联合体投标授权代表方，由联合体各方提交一份授权书，证明其有资格代表联合体各方签署投标文件，该授权书作为投标文件的组成部分一并提交给</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10.4以联合体形式参加采购活动的，联合体各方不得再单独参加或者与其他</w:t>
      </w:r>
      <w:r>
        <w:rPr>
          <w:rFonts w:hint="eastAsia" w:ascii="仿宋_GB2312" w:hAnsi="宋体" w:eastAsia="仿宋_GB2312"/>
          <w:color w:val="000000" w:themeColor="text1"/>
          <w:sz w:val="28"/>
          <w:szCs w:val="28"/>
          <w:highlight w:val="none"/>
        </w:rPr>
        <w:t>投标人</w:t>
      </w:r>
      <w:r>
        <w:rPr>
          <w:rFonts w:hint="eastAsia" w:ascii="仿宋_GB2312" w:hAnsi="仿宋" w:eastAsia="仿宋_GB2312" w:cs="宋体"/>
          <w:color w:val="000000" w:themeColor="text1"/>
          <w:sz w:val="28"/>
          <w:szCs w:val="28"/>
          <w:highlight w:val="none"/>
        </w:rPr>
        <w:t>另外组成联合体参加同一合同项下的采购活动。</w:t>
      </w:r>
    </w:p>
    <w:p>
      <w:pPr>
        <w:spacing w:line="560" w:lineRule="exact"/>
        <w:ind w:firstLine="565" w:firstLineChars="201"/>
        <w:rPr>
          <w:rFonts w:ascii="仿宋_GB2312" w:hAnsi="仿宋" w:eastAsia="仿宋_GB2312" w:cs="宋体"/>
          <w:b/>
          <w:color w:val="000000" w:themeColor="text1"/>
          <w:sz w:val="28"/>
          <w:szCs w:val="28"/>
          <w:highlight w:val="none"/>
        </w:rPr>
      </w:pPr>
      <w:r>
        <w:rPr>
          <w:rFonts w:hint="eastAsia" w:ascii="仿宋_GB2312" w:hAnsi="仿宋" w:eastAsia="仿宋_GB2312" w:cs="宋体"/>
          <w:b/>
          <w:color w:val="000000" w:themeColor="text1"/>
          <w:sz w:val="28"/>
          <w:szCs w:val="28"/>
          <w:highlight w:val="none"/>
        </w:rPr>
        <w:t>本项目是否接受联合体投标详见《投标须知前附表》。</w:t>
      </w:r>
    </w:p>
    <w:p>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11.关于分包</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11.1供应商拟将成交项目的非主体、非关键性工作分包的，应当在响应文件中载明分包承担主体，分包承担主体应当具备相应资质条件且不得再次分包。</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11.2供应商应当就分包项目向采购人负责，分包承担主体就分包项目承担责任。</w:t>
      </w:r>
    </w:p>
    <w:p>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12.现场踏勘</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12.1如有需要，采购人将组织投标人对项目现场及周围环境进行踏勘，以便投标人获取有关编制投标文件和签署合同所需的所有资料。踏勘现场所发生的费用由投标人自己承担，投标人应按招标公告所约定的时间、地点踏勘现场。</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12.2投标人及其人员经过采购人的允许，可以踏勘目的进入采购单位的项目现场。若本项目招标文件要求投标人于统一时间地点踏勘现场的，投标人应当按时前往。</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12.3除招标人的原因外，投标人自行负责在踏勘现场中所发生的人员伤亡和财产损失。</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12.4未参与现场踏勘不作为否定投标人资格的理由。</w:t>
      </w:r>
    </w:p>
    <w:p>
      <w:pPr>
        <w:spacing w:line="560" w:lineRule="exact"/>
        <w:ind w:firstLine="565" w:firstLineChars="201"/>
        <w:rPr>
          <w:rFonts w:ascii="仿宋_GB2312" w:hAnsi="仿宋" w:eastAsia="仿宋_GB2312" w:cs="宋体"/>
          <w:b/>
          <w:color w:val="000000" w:themeColor="text1"/>
          <w:sz w:val="28"/>
          <w:szCs w:val="28"/>
          <w:highlight w:val="none"/>
        </w:rPr>
      </w:pPr>
      <w:r>
        <w:rPr>
          <w:rFonts w:hint="eastAsia" w:ascii="仿宋_GB2312" w:hAnsi="仿宋" w:eastAsia="仿宋_GB2312" w:cs="宋体"/>
          <w:b/>
          <w:color w:val="000000" w:themeColor="text1"/>
          <w:sz w:val="28"/>
          <w:szCs w:val="28"/>
          <w:highlight w:val="none"/>
        </w:rPr>
        <w:t>本项目是否组织现场踏勘详见《投标须知前附表》</w:t>
      </w:r>
    </w:p>
    <w:p>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13.投标的有效期</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13.1从开标之日起，投标有效期为90天。投标有效期短于90天的，其投标为无效投标（响应）。</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13.2特殊情况下，在投标有效期满之前，</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可以要求投标人延长投标有效期，投标人可以书面形式拒绝或接受上述要求。同意延长投标有效期的投标人不得修改投标文件的实质性内容。</w:t>
      </w:r>
    </w:p>
    <w:p>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14.履约保证金的交纳与返还</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本项目不收取履约保证金。</w:t>
      </w:r>
    </w:p>
    <w:p>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15.投标文件的数量和签署</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15.1投标文件（pdf格式）（第一册）1份</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15.1.1投标人应使用带电子签章功能的CA锁对投标文件须盖章或签名的部位加盖电子印章（单位电子公章、法定代表人电子人名章），电子印章与实物印章具有同等法律效力。</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15.1.2投标人应首先编制word格式投标文件，最后通过威海市国有企业阳光采购电子化服务平台的文件签章菜单的标书签章功能转换为pdf格式（或者其他pdf转换工具），之后通过签章功能在pdf文件上逐页加盖电子印章并保存到本地计算机，加盖了电子印章的pdf文件即为最终的投标文件。</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15.1.3文件中要求法定代表人签字或签章的须加盖法定代表人电子人名章。</w:t>
      </w:r>
    </w:p>
    <w:p>
      <w:pPr>
        <w:snapToGrid w:val="0"/>
        <w:spacing w:line="560" w:lineRule="exact"/>
        <w:ind w:firstLine="562" w:firstLineChars="201"/>
        <w:rPr>
          <w:rFonts w:ascii="仿宋_GB2312" w:hAnsi="宋体" w:eastAsia="仿宋_GB2312"/>
          <w:color w:val="000000" w:themeColor="text1"/>
          <w:sz w:val="28"/>
          <w:szCs w:val="28"/>
          <w:highlight w:val="none"/>
        </w:rPr>
      </w:pPr>
      <w:r>
        <w:rPr>
          <w:rFonts w:hint="eastAsia" w:ascii="仿宋_GB2312" w:hAnsi="仿宋" w:eastAsia="仿宋_GB2312" w:cs="宋体"/>
          <w:color w:val="000000" w:themeColor="text1"/>
          <w:sz w:val="28"/>
          <w:szCs w:val="28"/>
          <w:highlight w:val="none"/>
        </w:rPr>
        <w:t>15.1.4</w:t>
      </w:r>
      <w:r>
        <w:rPr>
          <w:rFonts w:hint="eastAsia" w:ascii="仿宋_GB2312" w:hAnsi="宋体" w:eastAsia="仿宋_GB2312"/>
          <w:color w:val="000000" w:themeColor="text1"/>
          <w:sz w:val="28"/>
          <w:szCs w:val="28"/>
          <w:highlight w:val="none"/>
        </w:rPr>
        <w:t>须被授权人签字的，被授权人又无电子章，在word编制时可将被授权人手写签字扫描后的图片粘贴到投标文件中对应位置，并加盖单位电子公章。</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15.1.5</w:t>
      </w:r>
      <w:r>
        <w:rPr>
          <w:rFonts w:hint="eastAsia" w:ascii="仿宋_GB2312" w:hAnsi="宋体" w:eastAsia="仿宋_GB2312"/>
          <w:color w:val="000000" w:themeColor="text1"/>
          <w:sz w:val="28"/>
          <w:szCs w:val="28"/>
          <w:highlight w:val="none"/>
        </w:rPr>
        <w:t>可使用系统的批量盖章功能快速签章。但须逐页浏览检查并注意印章重叠及完整性。</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15.1.6采用扫描粘贴投标人公章或扫描法定代表人人名章而不加盖单位电子公章的为</w:t>
      </w:r>
      <w:r>
        <w:rPr>
          <w:rFonts w:hint="eastAsia" w:ascii="仿宋_GB2312" w:hAnsi="仿宋" w:eastAsia="仿宋_GB2312" w:cs="宋体"/>
          <w:b/>
          <w:color w:val="000000" w:themeColor="text1"/>
          <w:sz w:val="28"/>
          <w:szCs w:val="28"/>
          <w:highlight w:val="none"/>
        </w:rPr>
        <w:t>无效投标（响应）</w:t>
      </w:r>
      <w:r>
        <w:rPr>
          <w:rFonts w:hint="eastAsia" w:ascii="仿宋_GB2312" w:hAnsi="仿宋" w:eastAsia="仿宋_GB2312" w:cs="宋体"/>
          <w:color w:val="000000" w:themeColor="text1"/>
          <w:sz w:val="28"/>
          <w:szCs w:val="28"/>
          <w:highlight w:val="none"/>
        </w:rPr>
        <w:t>。</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15.2数据文件（PDF格式）（第二册）1份</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15.2.1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15.2.2</w:t>
      </w:r>
      <w:r>
        <w:rPr>
          <w:rFonts w:hint="eastAsia" w:ascii="仿宋_GB2312" w:hAnsi="宋体" w:eastAsia="仿宋_GB2312"/>
          <w:color w:val="000000" w:themeColor="text1"/>
          <w:sz w:val="28"/>
          <w:szCs w:val="28"/>
          <w:highlight w:val="none"/>
        </w:rPr>
        <w:t>文件中要求法定代表人签字或签章的须加盖法定代表人电子人名章。</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15.2.3采用扫描粘贴投标人公章或法定代表人人名章的为</w:t>
      </w:r>
      <w:r>
        <w:rPr>
          <w:rFonts w:hint="eastAsia" w:ascii="仿宋_GB2312" w:hAnsi="仿宋" w:eastAsia="仿宋_GB2312" w:cs="宋体"/>
          <w:b/>
          <w:color w:val="000000" w:themeColor="text1"/>
          <w:sz w:val="28"/>
          <w:szCs w:val="28"/>
          <w:highlight w:val="none"/>
        </w:rPr>
        <w:t>无效投标（响应）</w:t>
      </w:r>
      <w:r>
        <w:rPr>
          <w:rFonts w:hint="eastAsia" w:ascii="仿宋_GB2312" w:hAnsi="仿宋" w:eastAsia="仿宋_GB2312" w:cs="宋体"/>
          <w:color w:val="000000" w:themeColor="text1"/>
          <w:sz w:val="28"/>
          <w:szCs w:val="28"/>
          <w:highlight w:val="none"/>
        </w:rPr>
        <w:t>。</w:t>
      </w:r>
    </w:p>
    <w:p>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四、投标文件的递交</w:t>
      </w:r>
    </w:p>
    <w:p>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16.投标文件的密封和标记</w:t>
      </w:r>
    </w:p>
    <w:p>
      <w:pPr>
        <w:spacing w:line="560" w:lineRule="exact"/>
        <w:ind w:firstLine="565" w:firstLineChars="201"/>
        <w:rPr>
          <w:rFonts w:ascii="仿宋_GB2312" w:hAnsi="仿宋" w:eastAsia="仿宋_GB2312" w:cs="宋体"/>
          <w:b/>
          <w:color w:val="000000" w:themeColor="text1"/>
          <w:sz w:val="28"/>
          <w:szCs w:val="28"/>
          <w:highlight w:val="none"/>
        </w:rPr>
      </w:pPr>
      <w:r>
        <w:rPr>
          <w:rFonts w:hint="eastAsia" w:ascii="仿宋_GB2312" w:hAnsi="仿宋" w:eastAsia="仿宋_GB2312" w:cs="宋体"/>
          <w:b/>
          <w:color w:val="000000" w:themeColor="text1"/>
          <w:sz w:val="28"/>
          <w:szCs w:val="28"/>
          <w:highlight w:val="none"/>
        </w:rPr>
        <w:t>16.1电子投标文件的密封和标记</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17.1.1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pPr>
        <w:spacing w:line="560" w:lineRule="exact"/>
        <w:ind w:firstLine="565" w:firstLineChars="201"/>
        <w:rPr>
          <w:rFonts w:ascii="仿宋_GB2312" w:hAnsi="仿宋" w:eastAsia="仿宋_GB2312" w:cs="宋体"/>
          <w:b/>
          <w:color w:val="000000" w:themeColor="text1"/>
          <w:sz w:val="28"/>
          <w:szCs w:val="28"/>
          <w:highlight w:val="none"/>
        </w:rPr>
      </w:pPr>
      <w:r>
        <w:rPr>
          <w:rFonts w:hint="eastAsia" w:ascii="仿宋_GB2312" w:hAnsi="仿宋" w:eastAsia="仿宋_GB2312" w:cs="宋体"/>
          <w:b/>
          <w:color w:val="000000" w:themeColor="text1"/>
          <w:sz w:val="28"/>
          <w:szCs w:val="28"/>
          <w:highlight w:val="none"/>
        </w:rPr>
        <w:t>16.2资质证明文件原件的密封和标记</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16.2.1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w:t>
      </w:r>
      <w:r>
        <w:rPr>
          <w:rFonts w:hint="eastAsia" w:ascii="仿宋_GB2312" w:hAnsi="仿宋" w:eastAsia="仿宋_GB2312" w:cs="宋体"/>
          <w:b/>
          <w:color w:val="000000" w:themeColor="text1"/>
          <w:sz w:val="28"/>
          <w:szCs w:val="28"/>
          <w:highlight w:val="none"/>
        </w:rPr>
        <w:t>开标时间</w:t>
      </w:r>
      <w:r>
        <w:rPr>
          <w:rFonts w:hint="eastAsia" w:ascii="仿宋_GB2312" w:hAnsi="仿宋" w:eastAsia="仿宋_GB2312" w:cs="宋体"/>
          <w:color w:val="000000" w:themeColor="text1"/>
          <w:sz w:val="28"/>
          <w:szCs w:val="28"/>
          <w:highlight w:val="none"/>
        </w:rPr>
        <w:t xml:space="preserve">）的字样。加盖公章或由法定代表人或经其正式授权的代表在旁边签字。 </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16.2.2投标人按上述规定进行密封和标记后，按照招标文件的要求送达指定地点。</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16.2.3如果未按上述规定进行密封和标记，</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对误投或提前启封概不负责。</w:t>
      </w:r>
    </w:p>
    <w:p>
      <w:pPr>
        <w:spacing w:line="560" w:lineRule="exact"/>
        <w:ind w:firstLine="565" w:firstLineChars="201"/>
        <w:rPr>
          <w:rFonts w:ascii="仿宋_GB2312" w:hAnsi="仿宋" w:eastAsia="仿宋_GB2312" w:cs="宋体"/>
          <w:b/>
          <w:color w:val="000000" w:themeColor="text1"/>
          <w:sz w:val="28"/>
          <w:szCs w:val="28"/>
          <w:highlight w:val="none"/>
        </w:rPr>
      </w:pPr>
      <w:r>
        <w:rPr>
          <w:rFonts w:hint="eastAsia" w:ascii="仿宋_GB2312" w:hAnsi="仿宋" w:eastAsia="仿宋_GB2312" w:cs="宋体"/>
          <w:b/>
          <w:color w:val="000000" w:themeColor="text1"/>
          <w:sz w:val="28"/>
          <w:szCs w:val="28"/>
          <w:highlight w:val="none"/>
        </w:rPr>
        <w:t>16.3文件递交</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16.3.1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hint="eastAsia" w:ascii="仿宋_GB2312" w:hAnsi="仿宋" w:eastAsia="仿宋_GB2312" w:cs="宋体"/>
          <w:b/>
          <w:color w:val="000000" w:themeColor="text1"/>
          <w:sz w:val="28"/>
          <w:szCs w:val="28"/>
          <w:highlight w:val="none"/>
        </w:rPr>
        <w:t>其投标将会被判定为无效。</w:t>
      </w:r>
    </w:p>
    <w:p>
      <w:pPr>
        <w:spacing w:line="560" w:lineRule="exact"/>
        <w:ind w:firstLine="565"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b/>
          <w:color w:val="000000" w:themeColor="text1"/>
          <w:sz w:val="28"/>
          <w:szCs w:val="28"/>
          <w:highlight w:val="none"/>
        </w:rPr>
        <w:t>16.3.2投标人须牢记投标加密密码，该密码将用于开标时解密其电子投标文件，如忘记密码或输入错误密码超过5次，其递交的电子投标文件将无法解密，导致无法提取数据和供他人阅读文件，致使其投标失败。</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16.3.3除投标须知前附表另有规定外，</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拒绝接收纸质投标文件。</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16.3.4投标人应将网上递交的已盖章未加密的数据文件和投标文件谨慎保存备份，以便启动应急开标程序时备案使用。</w:t>
      </w:r>
    </w:p>
    <w:p>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17.投标截止期</w:t>
      </w:r>
    </w:p>
    <w:p>
      <w:pPr>
        <w:spacing w:line="560" w:lineRule="exact"/>
        <w:ind w:firstLine="565" w:firstLineChars="201"/>
        <w:rPr>
          <w:rFonts w:ascii="仿宋_GB2312" w:hAnsi="仿宋" w:eastAsia="仿宋_GB2312" w:cs="宋体"/>
          <w:b/>
          <w:color w:val="000000" w:themeColor="text1"/>
          <w:sz w:val="28"/>
          <w:szCs w:val="28"/>
          <w:highlight w:val="none"/>
        </w:rPr>
      </w:pPr>
      <w:r>
        <w:rPr>
          <w:rFonts w:hint="eastAsia" w:ascii="仿宋_GB2312" w:hAnsi="仿宋" w:eastAsia="仿宋_GB2312" w:cs="宋体"/>
          <w:b/>
          <w:color w:val="000000" w:themeColor="text1"/>
          <w:sz w:val="28"/>
          <w:szCs w:val="28"/>
          <w:highlight w:val="none"/>
        </w:rPr>
        <w:t>本次招标的投标截止期见《投标须知前附表》。</w:t>
      </w:r>
    </w:p>
    <w:p>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18.迟交的投标文件</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威海市国有企业阳光采购电子化服务平台无法接收投标截止期后递交的电子投标文件。</w:t>
      </w:r>
    </w:p>
    <w:p>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19.</w:t>
      </w:r>
      <w:r>
        <w:rPr>
          <w:rFonts w:hint="eastAsia" w:ascii="楷体_GB2312" w:hAnsi="宋体" w:eastAsia="楷体_GB2312"/>
          <w:b/>
          <w:color w:val="000000" w:themeColor="text1"/>
          <w:sz w:val="28"/>
          <w:szCs w:val="28"/>
          <w:highlight w:val="none"/>
        </w:rPr>
        <w:t>现场演示</w:t>
      </w:r>
      <w:r>
        <w:rPr>
          <w:rFonts w:ascii="楷体_GB2312" w:hAnsi="宋体" w:eastAsia="楷体_GB2312"/>
          <w:b/>
          <w:color w:val="000000" w:themeColor="text1"/>
          <w:sz w:val="28"/>
          <w:szCs w:val="28"/>
          <w:highlight w:val="none"/>
        </w:rPr>
        <w:t>/</w:t>
      </w:r>
      <w:r>
        <w:rPr>
          <w:rFonts w:hint="eastAsia" w:ascii="楷体_GB2312" w:hAnsi="宋体" w:eastAsia="楷体_GB2312"/>
          <w:b/>
          <w:color w:val="000000" w:themeColor="text1"/>
          <w:sz w:val="28"/>
          <w:szCs w:val="28"/>
          <w:highlight w:val="none"/>
        </w:rPr>
        <w:t>样品递交</w:t>
      </w:r>
    </w:p>
    <w:p>
      <w:pPr>
        <w:snapToGrid w:val="0"/>
        <w:spacing w:line="560" w:lineRule="exact"/>
        <w:ind w:firstLine="562" w:firstLineChars="201"/>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19.1采购人可以要求投标人对其提供的信息化、自动化等相关类别服务进行演示。</w:t>
      </w:r>
    </w:p>
    <w:p>
      <w:pPr>
        <w:snapToGrid w:val="0"/>
        <w:spacing w:line="560" w:lineRule="exact"/>
        <w:ind w:firstLine="562" w:firstLineChars="201"/>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highlight w:val="none"/>
        </w:rPr>
        <w:t>19.2若服务项目涉及货物时，采购人可以要求投标人提供样品，样品作为响应文件的一部分。未中标供应商提供的样品将于评审结束后退还。中标人的样品由采购人保留，作为验收的参考。</w:t>
      </w:r>
    </w:p>
    <w:p>
      <w:pPr>
        <w:spacing w:line="560" w:lineRule="exact"/>
        <w:ind w:firstLine="565" w:firstLineChars="201"/>
        <w:rPr>
          <w:rFonts w:ascii="仿宋_GB2312" w:hAnsi="仿宋" w:eastAsia="仿宋_GB2312" w:cs="宋体"/>
          <w:b/>
          <w:color w:val="000000" w:themeColor="text1"/>
          <w:sz w:val="28"/>
          <w:szCs w:val="28"/>
          <w:highlight w:val="none"/>
        </w:rPr>
      </w:pPr>
      <w:r>
        <w:rPr>
          <w:rFonts w:hint="eastAsia" w:ascii="仿宋_GB2312" w:hAnsi="仿宋" w:eastAsia="仿宋_GB2312" w:cs="宋体"/>
          <w:b/>
          <w:color w:val="000000" w:themeColor="text1"/>
          <w:sz w:val="28"/>
          <w:szCs w:val="28"/>
          <w:highlight w:val="none"/>
        </w:rPr>
        <w:t>是否要求投标人</w:t>
      </w:r>
      <w:r>
        <w:rPr>
          <w:rFonts w:hint="eastAsia" w:ascii="仿宋_GB2312" w:hAnsi="宋体" w:eastAsia="仿宋_GB2312"/>
          <w:b/>
          <w:color w:val="000000" w:themeColor="text1"/>
          <w:sz w:val="28"/>
          <w:szCs w:val="28"/>
          <w:highlight w:val="none"/>
        </w:rPr>
        <w:t>提供演示/提交样品</w:t>
      </w:r>
      <w:r>
        <w:rPr>
          <w:rFonts w:hint="eastAsia" w:ascii="仿宋_GB2312" w:hAnsi="仿宋" w:eastAsia="仿宋_GB2312" w:cs="宋体"/>
          <w:b/>
          <w:color w:val="000000" w:themeColor="text1"/>
          <w:sz w:val="28"/>
          <w:szCs w:val="28"/>
          <w:highlight w:val="none"/>
        </w:rPr>
        <w:t>，详见招标文件《投标须知前附表》的有关规定。</w:t>
      </w:r>
    </w:p>
    <w:p>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20.投标文件的修改和撤回</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20.1投标人必须在规定的投标截止期之前将修改的投标文件和数据文件上传到威海市国有企业阳光采购电子化服务平台,在投标截止期之后，投标人不得对其投标文件做任何修改。</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20.2投标人在递交投标文件后，可以在投标截止期之前撤回其投标。</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20.3开标后不允许对投标文件做实质性修改和补充，不得撤回投标文件。</w:t>
      </w:r>
    </w:p>
    <w:p>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五、开标与评审</w:t>
      </w:r>
    </w:p>
    <w:p>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21.开标</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21.1投标截止时间结束后，投标人不足3家的不得开标。</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21.2</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在招标公告规定的时间和地点组织开标。到现场开标的投标人须携带CA锁和笔记本电脑，以便进行开标操作。不到现场开标的投标人需提前准备已配置好环境的电脑，在规定的时间进行远程开标的各项操作。</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21.3现场开标和远程开标的投标人代表应在签到表格相应位置上加盖CA锁中的法定代表人电子人名章以证明其出席，在开标时间前未完成签到的将会被</w:t>
      </w:r>
      <w:r>
        <w:rPr>
          <w:rFonts w:hint="eastAsia" w:ascii="仿宋_GB2312" w:hAnsi="仿宋" w:eastAsia="仿宋_GB2312" w:cs="宋体"/>
          <w:b/>
          <w:color w:val="000000" w:themeColor="text1"/>
          <w:sz w:val="28"/>
          <w:szCs w:val="28"/>
          <w:highlight w:val="none"/>
        </w:rPr>
        <w:t>视作</w:t>
      </w:r>
      <w:r>
        <w:rPr>
          <w:rFonts w:hint="eastAsia" w:ascii="仿宋_GB2312" w:hAnsi="仿宋" w:eastAsia="仿宋_GB2312" w:cs="宋体"/>
          <w:color w:val="000000" w:themeColor="text1"/>
          <w:sz w:val="28"/>
          <w:szCs w:val="28"/>
          <w:highlight w:val="none"/>
        </w:rPr>
        <w:t>认同开标结果。</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21.4投标须知前附表规定了文件解密时间，投标人输入密码错误（5次输入机会）、未能按时完成解密、其《数据文件》填写、盖章不规范等导致系统无法解析的，将会被视为</w:t>
      </w:r>
      <w:r>
        <w:rPr>
          <w:rFonts w:hint="eastAsia" w:ascii="仿宋_GB2312" w:hAnsi="仿宋" w:eastAsia="仿宋_GB2312" w:cs="宋体"/>
          <w:b/>
          <w:color w:val="000000" w:themeColor="text1"/>
          <w:sz w:val="28"/>
          <w:szCs w:val="28"/>
          <w:highlight w:val="none"/>
        </w:rPr>
        <w:t>无效投标（响应）</w:t>
      </w:r>
      <w:r>
        <w:rPr>
          <w:rFonts w:hint="eastAsia" w:ascii="仿宋_GB2312" w:hAnsi="仿宋" w:eastAsia="仿宋_GB2312" w:cs="宋体"/>
          <w:color w:val="000000" w:themeColor="text1"/>
          <w:sz w:val="28"/>
          <w:szCs w:val="28"/>
          <w:highlight w:val="none"/>
        </w:rPr>
        <w:t>。</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21.5开标过程应当由采购人或</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负责记录，最终形成开标一览表并由各投标人代表和相关工作人员签字或盖章确认。</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21.6投标人代表对开标过程和开标记录有疑义，以及认为采购人、</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相关工作人员有需要回避的情形的，应当场提出询问或者回避申请。采购人、</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对投标人代表提出的询问或者回避申请应当及时处理。</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21.7录音、录像：威海市公共资源交易中心荣成分中心负责从递交投标文件开始到定标结束全过程的录音、录像工作，确保声音清楚、图像清晰、内容无遗漏。</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21.8评审过程中，如遇特殊情况，服从公共资源交易中心场地调配，并遵守相关规章制度。</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21.9对投标文件报价出现前后不一致的，按以下规定修正：</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（1）“投标（报价）一览表”的报价与“报价明细表”的报价不一致的，以“投标（报价）一览表”的报价为准；</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（2）大写金额和小写金额不一致的，以大写金额为准；</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（3）单价金额小数点或者百分比有明显错位的，以投标（报价）一览表的总价为准，并修改单价。</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（4）总价金额与按单价汇总金额不一致的，以单价金额计算结果为准。</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（5）同时出现两种以上不一致的，按照前款规定的顺序修正。修正后的报价经投标人确认后产生约束力，投标人不确认的，其投标无效。</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21.10开标程序</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21.10.1签到：在投标须知前附表规定的时间完成签到。</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21.10.2开标：工作人员在投标须知前附表规定的开标时间启动开标。</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21.10.3解密：开标后工作人员启动开始解密指令，投标人开始输入解密密码，解密时间到后工作人员启动停止解密指令。</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21.10.4唱标：停止解密后现场工作人员将根据电子交易系统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视为其对开标一览表中所载内容无疑议。</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21.10.5投标人可使用电子交易系统“网上开标”中的“看直播”功能参与开标程序。</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21.11应急开标程序</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电子开标过程中如出现下列情况，导致系统无法正常运行，或者无法保证开标过程的公平、公正和信息安全时，经与行政监督部门沟通后可启动应急开标程序。</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（1）系统服务器发生故障，无法访问或无法使用系统；</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（2）系统的软件或数据库出现错误，不能进行正常操作；</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（3）系统发现有安全漏洞，有潜在的泄密危险；</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（4）病毒发作或受到外来病毒的攻击；</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（5）其他无法保证开标过程公平、公正和信息安全的情形。</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应急开标程序包括：</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（1）对</w:t>
      </w:r>
      <w:r>
        <w:rPr>
          <w:rFonts w:ascii="仿宋_GB2312" w:hAnsi="仿宋" w:eastAsia="仿宋_GB2312" w:cs="宋体"/>
          <w:color w:val="000000" w:themeColor="text1"/>
          <w:sz w:val="28"/>
          <w:szCs w:val="28"/>
          <w:highlight w:val="none"/>
        </w:rPr>
        <w:t>未在系统中开标的可暂停开标</w:t>
      </w:r>
      <w:r>
        <w:rPr>
          <w:rFonts w:hint="eastAsia" w:ascii="仿宋_GB2312" w:hAnsi="仿宋" w:eastAsia="仿宋_GB2312" w:cs="宋体"/>
          <w:color w:val="000000" w:themeColor="text1"/>
          <w:sz w:val="28"/>
          <w:szCs w:val="28"/>
          <w:highlight w:val="none"/>
        </w:rPr>
        <w:t>；</w:t>
      </w:r>
    </w:p>
    <w:p>
      <w:pPr>
        <w:spacing w:line="560" w:lineRule="exact"/>
        <w:ind w:firstLine="562" w:firstLineChars="201"/>
        <w:rPr>
          <w:rFonts w:ascii="仿宋_GB2312" w:hAnsi="仿宋" w:eastAsia="仿宋_GB2312" w:cs="宋体"/>
          <w:color w:val="000000" w:themeColor="text1"/>
          <w:sz w:val="28"/>
          <w:szCs w:val="28"/>
          <w:highlight w:val="none"/>
        </w:rPr>
      </w:pPr>
      <w:r>
        <w:rPr>
          <w:rFonts w:ascii="仿宋_GB2312" w:hAnsi="仿宋" w:eastAsia="仿宋_GB2312" w:cs="宋体"/>
          <w:color w:val="000000" w:themeColor="text1"/>
          <w:sz w:val="28"/>
          <w:szCs w:val="28"/>
          <w:highlight w:val="none"/>
        </w:rPr>
        <w:t>（2）对已在系统中开标的</w:t>
      </w:r>
      <w:r>
        <w:rPr>
          <w:rFonts w:hint="eastAsia" w:ascii="仿宋_GB2312" w:hAnsi="仿宋" w:eastAsia="仿宋_GB2312" w:cs="宋体"/>
          <w:color w:val="000000" w:themeColor="text1"/>
          <w:sz w:val="28"/>
          <w:szCs w:val="28"/>
          <w:highlight w:val="none"/>
        </w:rPr>
        <w:t>应停止，等待系统恢复正常后再组织进行开标</w:t>
      </w:r>
      <w:r>
        <w:rPr>
          <w:rFonts w:ascii="仿宋_GB2312" w:hAnsi="仿宋" w:eastAsia="仿宋_GB2312" w:cs="宋体"/>
          <w:color w:val="000000" w:themeColor="text1"/>
          <w:sz w:val="28"/>
          <w:szCs w:val="28"/>
          <w:highlight w:val="none"/>
        </w:rPr>
        <w:t>。</w:t>
      </w:r>
    </w:p>
    <w:p>
      <w:pPr>
        <w:spacing w:line="560" w:lineRule="exact"/>
        <w:ind w:firstLine="562" w:firstLineChars="201"/>
        <w:rPr>
          <w:rFonts w:ascii="仿宋_GB2312" w:hAnsi="仿宋" w:eastAsia="仿宋_GB2312" w:cs="宋体"/>
          <w:b/>
          <w:color w:val="000000" w:themeColor="text1"/>
          <w:sz w:val="28"/>
          <w:szCs w:val="28"/>
          <w:highlight w:val="none"/>
        </w:rPr>
      </w:pPr>
      <w:r>
        <w:rPr>
          <w:rFonts w:hint="eastAsia" w:ascii="仿宋_GB2312" w:hAnsi="仿宋" w:eastAsia="仿宋_GB2312" w:cs="宋体"/>
          <w:color w:val="000000" w:themeColor="text1"/>
          <w:sz w:val="28"/>
          <w:szCs w:val="28"/>
          <w:highlight w:val="none"/>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hint="eastAsia" w:ascii="仿宋_GB2312" w:hAnsi="仿宋" w:eastAsia="仿宋_GB2312" w:cs="宋体"/>
          <w:b/>
          <w:color w:val="000000" w:themeColor="text1"/>
          <w:sz w:val="28"/>
          <w:szCs w:val="28"/>
          <w:highlight w:val="none"/>
        </w:rPr>
        <w:t>无效投标（响应）处理。</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w:t>
      </w:r>
      <w:r>
        <w:rPr>
          <w:rFonts w:hint="eastAsia" w:ascii="仿宋_GB2312" w:hAnsi="仿宋" w:eastAsia="仿宋_GB2312" w:cs="宋体"/>
          <w:b/>
          <w:color w:val="000000" w:themeColor="text1"/>
          <w:sz w:val="28"/>
          <w:szCs w:val="28"/>
          <w:highlight w:val="none"/>
        </w:rPr>
        <w:t>无效投标（响应）处理</w:t>
      </w:r>
      <w:r>
        <w:rPr>
          <w:rFonts w:hint="eastAsia" w:ascii="仿宋_GB2312" w:hAnsi="仿宋" w:eastAsia="仿宋_GB2312" w:cs="宋体"/>
          <w:color w:val="000000" w:themeColor="text1"/>
          <w:sz w:val="28"/>
          <w:szCs w:val="28"/>
          <w:highlight w:val="none"/>
        </w:rPr>
        <w:t>。</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21.12应急开标电子邮件递交规定</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接收电子邮箱：whzczb</w:t>
      </w:r>
      <w:r>
        <w:rPr>
          <w:rFonts w:ascii="仿宋_GB2312" w:hAnsi="仿宋" w:eastAsia="仿宋_GB2312" w:cs="宋体"/>
          <w:color w:val="000000" w:themeColor="text1"/>
          <w:sz w:val="28"/>
          <w:szCs w:val="28"/>
          <w:highlight w:val="none"/>
        </w:rPr>
        <w:t>@1</w:t>
      </w:r>
      <w:r>
        <w:rPr>
          <w:rFonts w:hint="eastAsia" w:ascii="仿宋_GB2312" w:hAnsi="仿宋" w:eastAsia="仿宋_GB2312" w:cs="宋体"/>
          <w:color w:val="000000" w:themeColor="text1"/>
          <w:sz w:val="28"/>
          <w:szCs w:val="28"/>
          <w:highlight w:val="none"/>
        </w:rPr>
        <w:t>26</w:t>
      </w:r>
      <w:r>
        <w:rPr>
          <w:rFonts w:ascii="仿宋_GB2312" w:hAnsi="仿宋" w:eastAsia="仿宋_GB2312" w:cs="宋体"/>
          <w:color w:val="000000" w:themeColor="text1"/>
          <w:sz w:val="28"/>
          <w:szCs w:val="28"/>
          <w:highlight w:val="none"/>
        </w:rPr>
        <w:t>.com</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递交时间：以电子邮件或电话通知的时间为准；</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邮件数量：一封；</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邮件主题：项目编号、投标人名称；</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21.13启动电子邮件开标流程</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工作人员电话通知所有投标人启动应急开标程序；</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投标人收到通知后在规定时间内通过电子邮件递交投标文件（在非应急开标期间</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不接受、不处理任何通过电子邮件提交的投标文件）；</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递交截止时间到，工作人员开始下载投标文件，将投标报价形成开标报告并邮件回复各投标人；</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投标人确认报价并邮件回复，不及时回复的视为对开标报告的内容无异议。</w:t>
      </w:r>
    </w:p>
    <w:p>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22.评标委员会的组成和评标方法</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22.1</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情况特殊的，通过随机方式难以确定合适的评审专家的项目，经主管部门同意，招标人可以自行选定评审专家。</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22.2采购人员及相关人员与</w:t>
      </w:r>
      <w:r>
        <w:rPr>
          <w:rFonts w:hint="eastAsia" w:ascii="仿宋_GB2312" w:hAnsi="宋体" w:eastAsia="仿宋_GB2312"/>
          <w:color w:val="000000" w:themeColor="text1"/>
          <w:sz w:val="28"/>
          <w:szCs w:val="28"/>
          <w:highlight w:val="none"/>
        </w:rPr>
        <w:t>投标人</w:t>
      </w:r>
      <w:r>
        <w:rPr>
          <w:rFonts w:hint="eastAsia" w:ascii="仿宋_GB2312" w:hAnsi="仿宋" w:eastAsia="仿宋_GB2312" w:cs="宋体"/>
          <w:color w:val="000000" w:themeColor="text1"/>
          <w:sz w:val="28"/>
          <w:szCs w:val="28"/>
          <w:highlight w:val="none"/>
        </w:rPr>
        <w:t>有利害关系的应当回避。曾参与招标文件征询意见或论证的专家，不得再作为评标专家参加评标。采购人不得以专家身份参与本项目的评标。采购人和</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工作人员离职或退休不满三年的，不能作为专家参加评标工作。</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22.3评标委员会成员职责：</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（1）评标前，评标委员会成员应当主动确认与投标人及其制造商是否有利害关系。如有利害关系应当主动回避，如无利害关系，应当在含有相关内容的《无利害关系声明》上签字；</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（2）按照招标文件中确定的评标办法，对投标文件的内容进行评审，并对评审结果承担责任；</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（3）对评标过程和结果，以及投标人的商业秘密进行保密；</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（4）在评标委员会集体起草的评标报告上签字；</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（5）配合</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答复投标人质疑；</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（6）配合主管部门处理投标人投诉；</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（7）向主管部门反映评标工作中的问题，提出意见和建议。</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22.4评标委员会集体职责：</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（2）配合采购人和</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答复投标人的质疑；</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（3）配合主管部门做好投诉处理工作；</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（4）必要时，向投标人解释评标结果；</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（5）向主管部门或者有关部门报告非法干预评标工作的行为。</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22.5</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或采购人的职责：</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（1）核对评审专家身份和采购人委托授权，对评审专家在采购活动中的职责履行情况予以记录，并及时将有关违法违规行为向主管部门报告；</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（2）宣布评标纪律；</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（3）公布投标人名单，告知评审专家应当回避的情形；</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（4）组织评标委员会推选评标组长，采购人代表不得担任组长；</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（5）在评标期间采取必要的通讯管理措施，保证评标活动不受外界干扰；</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（6）根据评标委员会的要求介绍阳光国企采购相关政策法规、招标文件；</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（7）维护评标秩序，监督评标委员会依照招标文件规定的评标程序、方法和标准进行独立评审，及时制止和纠正采购人代表、评审专家的倾向性言论或者违法违规行为；</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（9）评审工作完成后，按照规定向评审专家支付劳务报酬和异地评审差旅费，不得向评审专家以外的其他人员支付评审劳务报酬；</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（10）处理与评标有关的其他事项。</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采购人可以在评标前说明项目背景和采购需求，说明内容不得含有歧视性、倾向性意见，不得超出招标文件所述范围。说明应当提交书面材料，并随采购文件一并存档。</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22.6评标委员会采用集中办公、封闭方式进行评审。评标前，</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工作人员向评标委员会成员宣布评标纪律和工作规则。评标委员会成员签署《无利害关系声明表》，并遵照执行。</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22.7评标委员会成员对与自己有利害关系的评标项目应当主动提出回避。</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22.8评标委员会将按照招标文件确定的评标原则和方法进行评标。采购人对投标人进行资格性审查，评标委员会对投标文件的评审内容分为符合性审查、商务评议、技术评议和价格评议。</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22.9评标委员会独立履行下列职责：</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（1）审查、评价投标文件是否符合招标文件的商务、技术等实质性要求；</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（2）要求投标人对投标文件有关事项作出澄清或者说明；</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（3）对投标文件进行比较和评价；</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（4）确定中标候选人名单，以及根据采购人委托直接确定中标人；</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（5）向采购人、</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或者有关部门报告评标中发现的违法行为。</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22.10 评标中因评标委员会成员缺席、回避或者健康等特殊原因导致评标委员会组成不符合本办法规定的，</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应当依法补足后继续评标。被更换的评标委员会成员所作出的评标意见无效。</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无法及时补足评标委员会成员的，</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应当停止评标活动，封存所有投标文件和开标、评标资料，依法重新组建评标委员会进行评标。原评标委员会作出的评标意见无效。</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应当将变更、重新组建评标委员会的情况予以记录，并随采购文件一并存档。</w:t>
      </w:r>
    </w:p>
    <w:p>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23.投标文件的初审</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23.1资格性审查。在采购项目开标结束后,采购人或者</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工作人员应当依照有关法律和招标文件的规定对投标人的资格进行审查。合格投标人不足3家的，不得评标。在资格性检查时,如有下列情况之一的，经采购人认定，视为非实质性响应，为无效投标（响应）：</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1、单位负责人为同一人或者存在直接控股、管理关系的不同</w:t>
      </w:r>
      <w:r>
        <w:rPr>
          <w:rFonts w:hint="eastAsia" w:ascii="仿宋_GB2312" w:hAnsi="宋体" w:eastAsia="仿宋_GB2312"/>
          <w:color w:val="000000" w:themeColor="text1"/>
          <w:sz w:val="28"/>
          <w:szCs w:val="28"/>
          <w:highlight w:val="none"/>
        </w:rPr>
        <w:t>投标人</w:t>
      </w:r>
      <w:r>
        <w:rPr>
          <w:rFonts w:hint="eastAsia" w:ascii="仿宋_GB2312" w:hAnsi="仿宋" w:eastAsia="仿宋_GB2312" w:cs="宋体"/>
          <w:color w:val="000000" w:themeColor="text1"/>
          <w:sz w:val="28"/>
          <w:szCs w:val="28"/>
          <w:highlight w:val="none"/>
        </w:rPr>
        <w:t>的；</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2、为采购项目提供整体设计、规范编制或者项目管理、监理、检测等服务的；</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3、投标人和投标服务资格证明文件不满足招标文件要求和过期失效的。</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23.2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响应）：</w:t>
      </w:r>
    </w:p>
    <w:p>
      <w:pPr>
        <w:spacing w:line="560" w:lineRule="exact"/>
        <w:ind w:firstLine="565" w:firstLineChars="201"/>
        <w:rPr>
          <w:rFonts w:ascii="仿宋_GB2312" w:hAnsi="仿宋" w:eastAsia="仿宋_GB2312" w:cs="宋体"/>
          <w:b/>
          <w:color w:val="000000" w:themeColor="text1"/>
          <w:sz w:val="28"/>
          <w:szCs w:val="28"/>
          <w:highlight w:val="none"/>
        </w:rPr>
      </w:pPr>
      <w:r>
        <w:rPr>
          <w:rFonts w:hint="eastAsia" w:ascii="仿宋_GB2312" w:hAnsi="仿宋" w:eastAsia="仿宋_GB2312" w:cs="宋体"/>
          <w:b/>
          <w:color w:val="000000" w:themeColor="text1"/>
          <w:sz w:val="28"/>
          <w:szCs w:val="28"/>
          <w:highlight w:val="none"/>
        </w:rPr>
        <w:t>具体内容详见《投标须知》-《实质性条款一览表》中符合性审查条件。</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23.3投标人有下列情形之一的，视为投标人串通投标，其投标无效：</w:t>
      </w:r>
    </w:p>
    <w:p>
      <w:pPr>
        <w:pStyle w:val="40"/>
        <w:widowControl w:val="0"/>
        <w:shd w:val="clear" w:color="auto" w:fill="FFFFFF"/>
        <w:spacing w:before="0" w:after="0" w:line="560" w:lineRule="exact"/>
        <w:ind w:firstLine="560"/>
        <w:jc w:val="both"/>
        <w:rPr>
          <w:rFonts w:ascii="仿宋_GB2312" w:hAnsi="仿宋" w:eastAsia="仿宋_GB2312"/>
          <w:color w:val="000000" w:themeColor="text1"/>
          <w:kern w:val="2"/>
          <w:sz w:val="28"/>
          <w:szCs w:val="28"/>
          <w:highlight w:val="none"/>
        </w:rPr>
      </w:pPr>
      <w:r>
        <w:rPr>
          <w:rFonts w:hint="eastAsia" w:ascii="仿宋_GB2312" w:hAnsi="仿宋" w:eastAsia="仿宋_GB2312"/>
          <w:color w:val="000000" w:themeColor="text1"/>
          <w:kern w:val="2"/>
          <w:sz w:val="28"/>
          <w:szCs w:val="28"/>
          <w:highlight w:val="none"/>
        </w:rPr>
        <w:t>（1）不同投标人的投标文件由同一单位或者个人编制的；</w:t>
      </w:r>
    </w:p>
    <w:p>
      <w:pPr>
        <w:pStyle w:val="40"/>
        <w:widowControl w:val="0"/>
        <w:shd w:val="clear" w:color="auto" w:fill="FFFFFF"/>
        <w:spacing w:before="0" w:after="0" w:line="560" w:lineRule="exact"/>
        <w:ind w:firstLine="560"/>
        <w:jc w:val="both"/>
        <w:rPr>
          <w:rFonts w:ascii="仿宋_GB2312" w:hAnsi="仿宋" w:eastAsia="仿宋_GB2312"/>
          <w:color w:val="000000" w:themeColor="text1"/>
          <w:kern w:val="2"/>
          <w:sz w:val="28"/>
          <w:szCs w:val="28"/>
          <w:highlight w:val="none"/>
        </w:rPr>
      </w:pPr>
      <w:r>
        <w:rPr>
          <w:rFonts w:hint="eastAsia" w:ascii="仿宋_GB2312" w:hAnsi="仿宋" w:eastAsia="仿宋_GB2312"/>
          <w:color w:val="000000" w:themeColor="text1"/>
          <w:kern w:val="2"/>
          <w:sz w:val="28"/>
          <w:szCs w:val="28"/>
          <w:highlight w:val="none"/>
        </w:rPr>
        <w:t>（2）不同投标人使用同一个投标单位或者同一个自然人的IP地址、设备下载采购文件或者制作、上传投标文件的；</w:t>
      </w:r>
    </w:p>
    <w:p>
      <w:pPr>
        <w:pStyle w:val="40"/>
        <w:widowControl w:val="0"/>
        <w:shd w:val="clear" w:color="auto" w:fill="FFFFFF"/>
        <w:spacing w:before="0" w:after="0" w:line="560" w:lineRule="exact"/>
        <w:ind w:firstLine="560"/>
        <w:jc w:val="both"/>
        <w:rPr>
          <w:rFonts w:ascii="仿宋_GB2312" w:hAnsi="仿宋" w:eastAsia="仿宋_GB2312"/>
          <w:color w:val="000000" w:themeColor="text1"/>
          <w:kern w:val="2"/>
          <w:sz w:val="28"/>
          <w:szCs w:val="28"/>
          <w:highlight w:val="none"/>
        </w:rPr>
      </w:pPr>
      <w:r>
        <w:rPr>
          <w:rFonts w:hint="eastAsia" w:ascii="仿宋_GB2312" w:hAnsi="仿宋" w:eastAsia="仿宋_GB2312"/>
          <w:color w:val="000000" w:themeColor="text1"/>
          <w:kern w:val="2"/>
          <w:sz w:val="28"/>
          <w:szCs w:val="28"/>
          <w:highlight w:val="none"/>
        </w:rPr>
        <w:t>（3）不同投标人委托同一单位或者个人办理投标事宜；</w:t>
      </w:r>
    </w:p>
    <w:p>
      <w:pPr>
        <w:pStyle w:val="40"/>
        <w:widowControl w:val="0"/>
        <w:shd w:val="clear" w:color="auto" w:fill="FFFFFF"/>
        <w:spacing w:before="0" w:after="0" w:line="560" w:lineRule="exact"/>
        <w:ind w:firstLine="560"/>
        <w:jc w:val="both"/>
        <w:rPr>
          <w:rFonts w:ascii="仿宋_GB2312" w:hAnsi="仿宋" w:eastAsia="仿宋_GB2312"/>
          <w:color w:val="000000" w:themeColor="text1"/>
          <w:kern w:val="2"/>
          <w:sz w:val="28"/>
          <w:szCs w:val="28"/>
          <w:highlight w:val="none"/>
        </w:rPr>
      </w:pPr>
      <w:r>
        <w:rPr>
          <w:rFonts w:hint="eastAsia" w:ascii="仿宋_GB2312" w:hAnsi="仿宋" w:eastAsia="仿宋_GB2312"/>
          <w:color w:val="000000" w:themeColor="text1"/>
          <w:kern w:val="2"/>
          <w:sz w:val="28"/>
          <w:szCs w:val="28"/>
          <w:highlight w:val="none"/>
        </w:rPr>
        <w:t>（4）不同投标人的投标文件载明的项目管理成员或者联系人员为同一人；</w:t>
      </w:r>
    </w:p>
    <w:p>
      <w:pPr>
        <w:pStyle w:val="40"/>
        <w:widowControl w:val="0"/>
        <w:shd w:val="clear" w:color="auto" w:fill="FFFFFF"/>
        <w:spacing w:before="0" w:after="0" w:line="560" w:lineRule="exact"/>
        <w:ind w:firstLine="560"/>
        <w:jc w:val="both"/>
        <w:rPr>
          <w:rFonts w:ascii="仿宋_GB2312" w:hAnsi="仿宋" w:eastAsia="仿宋_GB2312"/>
          <w:color w:val="000000" w:themeColor="text1"/>
          <w:kern w:val="2"/>
          <w:sz w:val="28"/>
          <w:szCs w:val="28"/>
          <w:highlight w:val="none"/>
        </w:rPr>
      </w:pPr>
      <w:r>
        <w:rPr>
          <w:rFonts w:hint="eastAsia" w:ascii="仿宋_GB2312" w:hAnsi="仿宋" w:eastAsia="仿宋_GB2312"/>
          <w:color w:val="000000" w:themeColor="text1"/>
          <w:kern w:val="2"/>
          <w:sz w:val="28"/>
          <w:szCs w:val="28"/>
          <w:highlight w:val="none"/>
        </w:rPr>
        <w:t>（5）不同投标人的投标文件重要内容异常一致、或者投标报价呈现规律性差异；</w:t>
      </w:r>
    </w:p>
    <w:p>
      <w:pPr>
        <w:pStyle w:val="40"/>
        <w:widowControl w:val="0"/>
        <w:shd w:val="clear" w:color="auto" w:fill="FFFFFF"/>
        <w:spacing w:before="0" w:after="0" w:line="560" w:lineRule="exact"/>
        <w:ind w:firstLine="560"/>
        <w:jc w:val="both"/>
        <w:rPr>
          <w:rFonts w:ascii="仿宋_GB2312" w:hAnsi="仿宋" w:eastAsia="仿宋_GB2312"/>
          <w:color w:val="000000" w:themeColor="text1"/>
          <w:kern w:val="2"/>
          <w:sz w:val="28"/>
          <w:szCs w:val="28"/>
          <w:highlight w:val="none"/>
        </w:rPr>
      </w:pPr>
      <w:r>
        <w:rPr>
          <w:rFonts w:hint="eastAsia" w:ascii="仿宋_GB2312" w:hAnsi="仿宋" w:eastAsia="仿宋_GB2312"/>
          <w:color w:val="000000" w:themeColor="text1"/>
          <w:kern w:val="2"/>
          <w:sz w:val="28"/>
          <w:szCs w:val="28"/>
          <w:highlight w:val="none"/>
        </w:rPr>
        <w:t>（6）不同投标人编制的投标文件存在两处以上错误一致的；</w:t>
      </w:r>
    </w:p>
    <w:p>
      <w:pPr>
        <w:pStyle w:val="40"/>
        <w:widowControl w:val="0"/>
        <w:shd w:val="clear" w:color="auto" w:fill="FFFFFF"/>
        <w:spacing w:before="0" w:after="0" w:line="560" w:lineRule="exact"/>
        <w:ind w:firstLine="560"/>
        <w:jc w:val="both"/>
        <w:rPr>
          <w:rFonts w:ascii="仿宋_GB2312" w:hAnsi="仿宋" w:eastAsia="仿宋_GB2312"/>
          <w:color w:val="000000" w:themeColor="text1"/>
          <w:kern w:val="2"/>
          <w:sz w:val="28"/>
          <w:szCs w:val="28"/>
          <w:highlight w:val="none"/>
        </w:rPr>
      </w:pPr>
      <w:r>
        <w:rPr>
          <w:rFonts w:hint="eastAsia" w:ascii="仿宋_GB2312" w:hAnsi="仿宋" w:eastAsia="仿宋_GB2312"/>
          <w:color w:val="000000" w:themeColor="text1"/>
          <w:kern w:val="2"/>
          <w:sz w:val="28"/>
          <w:szCs w:val="28"/>
          <w:highlight w:val="none"/>
        </w:rPr>
        <w:t>（7）不同投标人的投标文件相互混装</w:t>
      </w:r>
      <w:r>
        <w:rPr>
          <w:rFonts w:hint="eastAsia" w:ascii="仿宋_GB2312" w:hAnsi="仿宋" w:eastAsia="仿宋_GB2312"/>
          <w:color w:val="000000" w:themeColor="text1"/>
          <w:sz w:val="28"/>
          <w:szCs w:val="28"/>
          <w:highlight w:val="none"/>
        </w:rPr>
        <w:t>；</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23.4投标截止后投标人不足3家或者通过资格审查或符合性审查的投标人不足3家的，除采购任务取消情形外，按照以下方式处理：</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（1）招标文件存在不合理条款或者招标程序不符合规定的，招标人、</w:t>
      </w:r>
      <w:r>
        <w:rPr>
          <w:rFonts w:hint="eastAsia" w:ascii="仿宋_GB2312" w:hAnsi="宋体" w:eastAsia="仿宋_GB2312"/>
          <w:color w:val="000000" w:themeColor="text1"/>
          <w:sz w:val="28"/>
          <w:szCs w:val="28"/>
          <w:highlight w:val="none"/>
        </w:rPr>
        <w:t>招标代理机构</w:t>
      </w:r>
      <w:r>
        <w:rPr>
          <w:rFonts w:hint="eastAsia" w:ascii="仿宋_GB2312" w:hAnsi="仿宋" w:eastAsia="仿宋_GB2312" w:cs="宋体"/>
          <w:color w:val="000000" w:themeColor="text1"/>
          <w:sz w:val="28"/>
          <w:szCs w:val="28"/>
          <w:highlight w:val="none"/>
        </w:rPr>
        <w:t>改正后依法重新招标；</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（2）招标文件没有不合理条款、招标程序符合规定，需要采用其他招标方式招标的物，招标人应当依法报主管部门批准。</w:t>
      </w:r>
    </w:p>
    <w:p>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24.投标文件的澄清</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24.1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24.2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25.投标文件的评价</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25.1评标委员会只对确定为实质响应招标文件要求的投标文件进行评价和比较。必要时需标明评审理由。</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25.2评标采用综合评分法的，价格分值由评审系统根据投标人上传的《投标（报价）一览表》中的投标报价，依据规定公式自动计算，其结果由评标委员会所有成员签字确认。</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招标公司工作人员负责复核、统计评标委员会成员的评审情况，发现评审意见有失公正时，提请该评标委员会成员修改评审意见，并形成书面意见备查。</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25.3评审时除考虑投标人的报价之外，还将考虑以下因素：</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（1）投标文件的响应状况（包括是否按照招标文件要求制作）；</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（2）投标产品的技术性能、功能、质量等指标的响应情况，包括其响应是否有技术佐证文件的支持；</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（3）服务方案（包括本地化服务机构和人员、服务响应时间、安装调试、培训方案等）、服务期、服务体系和业绩等；</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（4）招标文件规定的其它评审因素。</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25.4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25.</w:t>
      </w:r>
      <w:r>
        <w:rPr>
          <w:rFonts w:ascii="仿宋_GB2312" w:hAnsi="仿宋" w:eastAsia="仿宋_GB2312" w:cs="宋体"/>
          <w:color w:val="000000" w:themeColor="text1"/>
          <w:sz w:val="28"/>
          <w:szCs w:val="28"/>
          <w:highlight w:val="none"/>
        </w:rPr>
        <w:t>5</w:t>
      </w:r>
      <w:r>
        <w:rPr>
          <w:rFonts w:hint="eastAsia" w:ascii="仿宋_GB2312" w:hAnsi="仿宋" w:eastAsia="仿宋_GB2312" w:cs="宋体"/>
          <w:color w:val="000000" w:themeColor="text1"/>
          <w:sz w:val="28"/>
          <w:szCs w:val="28"/>
          <w:highlight w:val="none"/>
        </w:rPr>
        <w:t>评标委员会发现招标文件存在歧义、重大缺陷导致评标工作无法进行，或者招标文件内容违反国家有关强制性规定的，应当停止评标工作，与采购人或者</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沟通并作书面记录。采购人确认后，应当修改招标文件，重新组织采购活动。</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25.</w:t>
      </w:r>
      <w:r>
        <w:rPr>
          <w:rFonts w:ascii="仿宋_GB2312" w:hAnsi="仿宋" w:eastAsia="仿宋_GB2312" w:cs="宋体"/>
          <w:color w:val="000000" w:themeColor="text1"/>
          <w:sz w:val="28"/>
          <w:szCs w:val="28"/>
          <w:highlight w:val="none"/>
        </w:rPr>
        <w:t>6</w:t>
      </w:r>
      <w:r>
        <w:rPr>
          <w:rFonts w:hint="eastAsia" w:ascii="仿宋_GB2312" w:hAnsi="仿宋" w:eastAsia="仿宋_GB2312" w:cs="宋体"/>
          <w:color w:val="000000" w:themeColor="text1"/>
          <w:sz w:val="28"/>
          <w:szCs w:val="28"/>
          <w:highlight w:val="none"/>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26.废标条款</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在招标采购中，出现下列情形之一的，应予废标：</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（1）符合专业条件的</w:t>
      </w:r>
      <w:r>
        <w:rPr>
          <w:rFonts w:hint="eastAsia" w:ascii="仿宋_GB2312" w:hAnsi="宋体" w:eastAsia="仿宋_GB2312"/>
          <w:color w:val="000000" w:themeColor="text1"/>
          <w:sz w:val="28"/>
          <w:szCs w:val="28"/>
          <w:highlight w:val="none"/>
        </w:rPr>
        <w:t>投标人</w:t>
      </w:r>
      <w:r>
        <w:rPr>
          <w:rFonts w:hint="eastAsia" w:ascii="仿宋_GB2312" w:hAnsi="仿宋" w:eastAsia="仿宋_GB2312" w:cs="宋体"/>
          <w:color w:val="000000" w:themeColor="text1"/>
          <w:sz w:val="28"/>
          <w:szCs w:val="28"/>
          <w:highlight w:val="none"/>
        </w:rPr>
        <w:t>或者对招标文件作实质响应的</w:t>
      </w:r>
      <w:r>
        <w:rPr>
          <w:rFonts w:hint="eastAsia" w:ascii="仿宋_GB2312" w:hAnsi="宋体" w:eastAsia="仿宋_GB2312"/>
          <w:color w:val="000000" w:themeColor="text1"/>
          <w:sz w:val="28"/>
          <w:szCs w:val="28"/>
          <w:highlight w:val="none"/>
        </w:rPr>
        <w:t>投标人</w:t>
      </w:r>
      <w:r>
        <w:rPr>
          <w:rFonts w:hint="eastAsia" w:ascii="仿宋_GB2312" w:hAnsi="仿宋" w:eastAsia="仿宋_GB2312" w:cs="宋体"/>
          <w:color w:val="000000" w:themeColor="text1"/>
          <w:sz w:val="28"/>
          <w:szCs w:val="28"/>
          <w:highlight w:val="none"/>
        </w:rPr>
        <w:t>不足3家的；</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（2）出现影响采购公正的违法、违规行为的；</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（3）所有投标报价均超过招标文件中规定的预算金额，采购人不能支付的；</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（4）因重大变故，采购人采购任务取消的。</w:t>
      </w:r>
    </w:p>
    <w:p>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六、定标</w:t>
      </w:r>
    </w:p>
    <w:p>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27.定标</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27.1评标委员会按照招标文件确定的评标方法、步骤、标准，对投标文件进行评审。评标结束后，对投标人的评审名次进行排序，确定中标候选人排序，根据全体评标成员签字的原始评标记录和评标结果编写评标报告。</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27.2评委会所有成员应当在评标报告上签字确认，评标报告的主要内容包括：</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（1）招标公告刊登的媒体名称、开标日期和地点；</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（2）投标人名单和评标委员会成员名单；</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（3）评标方法和评标标准；</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（4）开标记录和评标情况及说明，包括投标无效投标人名单及原因；</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（5）评标结果，确定的中标候选人名单或者经采购人委托直接确定的中标人；</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（6）其他需要说明的情况，包括评标过程中投标人根据评标委员会要求进行澄清、说明或者补正，评标委员会成员的更换等。</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27.3由评标委员会直接确定预中标候选人的，</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自评标结束之日起3个工作日内在指定媒体上公布评标结果；需要采购人确认的，</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自评标结束之日起2日内，将评标报告送交采购人。采购人应当自收到评标报告之日起3个工作日内在评标报告确定的中标候选人名单中按顺序确定预中标人。</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27.4评标结果汇总完成后，除下列情形外，任何人不得修改评标结果：</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（1）分值汇总计算错误的；</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（2）分项评分超出评分标准范围的；</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（3）评标委员会成员对客观评审因素评分不一致的；</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（4）经评标委员会认定评分畸高、畸低的。</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27.5评标报告签署前，经复核发现存在以上情形之一的，评标委员会应当当场修改评标结果，并在评标报告中记载；评标报告签署后，采购人或</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发现存在以上情形之一的，应当组织原评标委员会进行重新评审，重新评审改变结果的，书面报告本级主管部门。投标人对本条上述情形提出质疑的，采购人或者</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可以组织原评标委员会进行重新评审，重新评审改变评标结果的，应当书面报告主管部门。</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27.6中标人在规定的期限内无正当理由拒绝签订合同，采购人可以按照评审报告推荐的中标候选人名单排序，确定下一候选人为中标人，也可以重新开展招标活动。</w:t>
      </w:r>
    </w:p>
    <w:p>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七、公告</w:t>
      </w:r>
    </w:p>
    <w:p>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28.公告</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28.1</w:t>
      </w:r>
      <w:r>
        <w:rPr>
          <w:rFonts w:hint="eastAsia" w:ascii="仿宋_GB2312" w:hAnsi="宋体" w:eastAsia="仿宋_GB2312"/>
          <w:color w:val="000000" w:themeColor="text1"/>
          <w:sz w:val="28"/>
          <w:szCs w:val="28"/>
          <w:highlight w:val="none"/>
        </w:rPr>
        <w:t>采购人应当自定标结束之日起三日内公告中标人</w:t>
      </w:r>
      <w:r>
        <w:rPr>
          <w:rFonts w:hint="eastAsia" w:ascii="仿宋_GB2312" w:hAnsi="仿宋" w:eastAsia="仿宋_GB2312" w:cs="宋体"/>
          <w:color w:val="000000" w:themeColor="text1"/>
          <w:sz w:val="28"/>
          <w:szCs w:val="28"/>
          <w:highlight w:val="none"/>
        </w:rPr>
        <w:t>，在发布招标公告媒体上公告中标结果。中标公告期限为1个工作日。中标公告应当包括下列内容：</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（1）采购人、</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的名称、地址和联系方式；</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（2）项目名称和项目编号；</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（3）中标人名称、地址和中标金额；</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（4）评审专家名单。</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28.2</w:t>
      </w:r>
      <w:r>
        <w:rPr>
          <w:rFonts w:hint="eastAsia" w:ascii="仿宋_GB2312" w:hAnsi="宋体" w:eastAsia="仿宋_GB2312"/>
          <w:color w:val="000000" w:themeColor="text1"/>
          <w:sz w:val="28"/>
          <w:szCs w:val="28"/>
          <w:highlight w:val="none"/>
        </w:rPr>
        <w:t>山东志诚工程咨询管理有限公司</w:t>
      </w:r>
      <w:r>
        <w:rPr>
          <w:rFonts w:hint="eastAsia" w:ascii="仿宋_GB2312" w:hAnsi="仿宋" w:eastAsia="仿宋_GB2312" w:cs="宋体"/>
          <w:color w:val="000000" w:themeColor="text1"/>
          <w:sz w:val="28"/>
          <w:szCs w:val="28"/>
          <w:highlight w:val="none"/>
        </w:rPr>
        <w:t>应当在公告中标结果的同时，向中标人发出《中标通知书》；对未通过资格审查的投标人，应当告知其未通过的原因；《中标通知书》是合同的组成部分,对中标人和采购人具有同等法律效力。《中标通知书》发出后，采购人不得违法改变中标结果，中标人无正当理由不得放弃中标。</w:t>
      </w:r>
    </w:p>
    <w:p>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八、质疑</w:t>
      </w:r>
    </w:p>
    <w:p>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29.质疑</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29.1依据《威海市市属国有企业阳光采购监督管理办法》规定，供应商认为采购文件、采购过程、成交结果使自己的权益受到损害，应于截止前2日内以书面形式向采购人或采购代理机构提出质疑。采购人或采购代理机构应当在收到供应商的书面质疑后</w:t>
      </w:r>
      <w:r>
        <w:rPr>
          <w:rFonts w:ascii="仿宋_GB2312" w:hAnsi="仿宋" w:eastAsia="仿宋_GB2312" w:cs="宋体"/>
          <w:color w:val="000000" w:themeColor="text1"/>
          <w:sz w:val="28"/>
          <w:szCs w:val="28"/>
          <w:highlight w:val="none"/>
        </w:rPr>
        <w:t>7</w:t>
      </w:r>
      <w:r>
        <w:rPr>
          <w:rFonts w:hint="eastAsia" w:ascii="仿宋_GB2312" w:hAnsi="仿宋" w:eastAsia="仿宋_GB2312" w:cs="宋体"/>
          <w:color w:val="000000" w:themeColor="text1"/>
          <w:sz w:val="28"/>
          <w:szCs w:val="28"/>
          <w:highlight w:val="none"/>
        </w:rPr>
        <w:t>日内做出书面答复，但答复内容不得涉及商业秘密。</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29.2仲裁或起诉</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供应商对答复不满意，或者采购人、代理机构未在规定的时间内做出书面答复的，供应商可以在答复期满后向采购人所在地仲裁机构、人民法院申请仲裁或起诉。</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29.3提出质疑的投标人应当是参与本项目招标活动的投标人。</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29.4投标人应在法定质疑期内一次性提出针对同一采购程序环节的质疑。</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29.5质疑采用实名制，为了使提出的质疑事项在规定时间内得到有效答复、处理，提交的质疑函务必提供以下内容。</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w:t>
      </w:r>
      <w:r>
        <w:rPr>
          <w:rFonts w:hint="eastAsia" w:ascii="仿宋_GB2312" w:hAnsi="宋体" w:eastAsia="仿宋_GB2312"/>
          <w:color w:val="000000" w:themeColor="text1"/>
          <w:sz w:val="28"/>
          <w:szCs w:val="28"/>
          <w:highlight w:val="none"/>
        </w:rPr>
        <w:t>投标人</w:t>
      </w:r>
      <w:r>
        <w:rPr>
          <w:rFonts w:hint="eastAsia" w:ascii="仿宋_GB2312" w:hAnsi="仿宋" w:eastAsia="仿宋_GB2312" w:cs="宋体"/>
          <w:color w:val="000000" w:themeColor="text1"/>
          <w:sz w:val="28"/>
          <w:szCs w:val="28"/>
          <w:highlight w:val="none"/>
        </w:rPr>
        <w:t>的姓名或名称、地址（邮箱）、邮编、联系人及联系电话；</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（2）质疑项目的名称、编号；</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（3）具体、明确的质疑事项和与质疑事项相关的请求；</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（4）事实依据；</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（5）必要的法律依据；</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（6）提出质疑的日期。</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宋体" w:eastAsia="仿宋_GB2312"/>
          <w:color w:val="000000" w:themeColor="text1"/>
          <w:sz w:val="28"/>
          <w:szCs w:val="28"/>
          <w:highlight w:val="none"/>
        </w:rPr>
        <w:t>投标人</w:t>
      </w:r>
      <w:r>
        <w:rPr>
          <w:rFonts w:hint="eastAsia" w:ascii="仿宋_GB2312" w:hAnsi="仿宋" w:eastAsia="仿宋_GB2312" w:cs="宋体"/>
          <w:color w:val="000000" w:themeColor="text1"/>
          <w:sz w:val="28"/>
          <w:szCs w:val="28"/>
          <w:highlight w:val="none"/>
        </w:rPr>
        <w:t>为自然人的，应当由本人签字；</w:t>
      </w:r>
      <w:r>
        <w:rPr>
          <w:rFonts w:hint="eastAsia" w:ascii="仿宋_GB2312" w:hAnsi="宋体" w:eastAsia="仿宋_GB2312"/>
          <w:color w:val="000000" w:themeColor="text1"/>
          <w:sz w:val="28"/>
          <w:szCs w:val="28"/>
          <w:highlight w:val="none"/>
        </w:rPr>
        <w:t>投标人</w:t>
      </w:r>
      <w:r>
        <w:rPr>
          <w:rFonts w:hint="eastAsia" w:ascii="仿宋_GB2312" w:hAnsi="仿宋" w:eastAsia="仿宋_GB2312" w:cs="宋体"/>
          <w:color w:val="000000" w:themeColor="text1"/>
          <w:sz w:val="28"/>
          <w:szCs w:val="28"/>
          <w:highlight w:val="none"/>
        </w:rPr>
        <w:t>为法人或者其他组织的，应当由法定代表人、主要负责人，或者其被授权人签字或者盖章，并加盖公章。</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29.6招标人或招标公司正式受理后方可生效。否则，为无效质疑。</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29.7有下列情况之一的质疑不予受理：</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（1）无质疑函件或质疑函件缺少投标人法人印章、投标人法定代表人签字、有效授权书和联系方式之一的质疑；</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（2）质疑函件无实质性内容或佐证文件资料，主观臆断及推理得出结论的质疑；</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（3）相应证明材料不真实或来源不合法的质疑；</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（4）未按规定时间或超过公示期提出的质疑；</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29.8对捏造事实，提供虚假材料或者以非法手段取得证明材料进行恶意质疑的，一经查实，将上报主管部门列入黑名单，并给以相应处罚。</w:t>
      </w:r>
    </w:p>
    <w:p>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九、签订合同</w:t>
      </w:r>
    </w:p>
    <w:p>
      <w:pPr>
        <w:spacing w:line="560" w:lineRule="exact"/>
        <w:ind w:firstLine="565" w:firstLineChars="201"/>
        <w:rPr>
          <w:rFonts w:ascii="楷体_GB2312" w:hAnsi="仿宋" w:eastAsia="楷体_GB2312" w:cs="宋体"/>
          <w:b/>
          <w:color w:val="000000" w:themeColor="text1"/>
          <w:sz w:val="28"/>
          <w:szCs w:val="28"/>
          <w:highlight w:val="none"/>
        </w:rPr>
      </w:pPr>
      <w:r>
        <w:rPr>
          <w:rFonts w:hint="eastAsia" w:ascii="楷体_GB2312" w:hAnsi="仿宋" w:eastAsia="楷体_GB2312" w:cs="宋体"/>
          <w:b/>
          <w:color w:val="000000" w:themeColor="text1"/>
          <w:sz w:val="28"/>
          <w:szCs w:val="28"/>
          <w:highlight w:val="none"/>
        </w:rPr>
        <w:t>30.合同的签订</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30</w:t>
      </w:r>
      <w:r>
        <w:rPr>
          <w:rFonts w:ascii="仿宋_GB2312" w:hAnsi="仿宋" w:eastAsia="仿宋_GB2312" w:cs="宋体"/>
          <w:color w:val="000000" w:themeColor="text1"/>
          <w:sz w:val="28"/>
          <w:szCs w:val="28"/>
          <w:highlight w:val="none"/>
        </w:rPr>
        <w:t>.1</w:t>
      </w:r>
      <w:r>
        <w:rPr>
          <w:rFonts w:hint="eastAsia" w:ascii="仿宋_GB2312" w:hAnsi="仿宋" w:eastAsia="仿宋_GB2312" w:cs="宋体"/>
          <w:color w:val="000000" w:themeColor="text1"/>
          <w:sz w:val="28"/>
          <w:szCs w:val="28"/>
          <w:highlight w:val="none"/>
        </w:rPr>
        <w:t>中标通知书发出之日起30日内，按招标文件、中标人的投标文件签订采购合同。招标人应当自采购合同签订之日起5个工作日内，将采购合同上传至威海市国有企业阳光采购电子化服务平台同时在指定的媒介上公告，但采购合同中涉及国家秘密、商业秘密的内容除外。</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30</w:t>
      </w:r>
      <w:r>
        <w:rPr>
          <w:rFonts w:ascii="仿宋_GB2312" w:hAnsi="仿宋" w:eastAsia="仿宋_GB2312" w:cs="宋体"/>
          <w:color w:val="000000" w:themeColor="text1"/>
          <w:sz w:val="28"/>
          <w:szCs w:val="28"/>
          <w:highlight w:val="none"/>
        </w:rPr>
        <w:t>.2</w:t>
      </w:r>
      <w:r>
        <w:rPr>
          <w:rFonts w:hint="eastAsia" w:ascii="仿宋_GB2312" w:hAnsi="仿宋" w:eastAsia="仿宋_GB2312" w:cs="宋体"/>
          <w:color w:val="000000" w:themeColor="text1"/>
          <w:sz w:val="28"/>
          <w:szCs w:val="28"/>
          <w:highlight w:val="none"/>
        </w:rPr>
        <w:t>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书格式为基础，并根据响应、答疑情况进行修改补充，自签订之日起生效。</w:t>
      </w:r>
    </w:p>
    <w:p>
      <w:pPr>
        <w:spacing w:line="560" w:lineRule="exact"/>
        <w:ind w:firstLine="562" w:firstLineChars="201"/>
        <w:rPr>
          <w:rFonts w:ascii="仿宋_GB2312" w:hAnsi="仿宋" w:eastAsia="仿宋_GB2312" w:cs="宋体"/>
          <w:color w:val="000000" w:themeColor="text1"/>
          <w:sz w:val="28"/>
          <w:szCs w:val="28"/>
          <w:highlight w:val="none"/>
        </w:rPr>
      </w:pPr>
      <w:r>
        <w:rPr>
          <w:rFonts w:hint="eastAsia" w:ascii="仿宋_GB2312" w:hAnsi="仿宋" w:eastAsia="仿宋_GB2312" w:cs="宋体"/>
          <w:color w:val="000000" w:themeColor="text1"/>
          <w:sz w:val="28"/>
          <w:szCs w:val="28"/>
          <w:highlight w:val="none"/>
        </w:rPr>
        <w:t>30</w:t>
      </w:r>
      <w:r>
        <w:rPr>
          <w:rFonts w:ascii="仿宋_GB2312" w:hAnsi="仿宋" w:eastAsia="仿宋_GB2312" w:cs="宋体"/>
          <w:color w:val="000000" w:themeColor="text1"/>
          <w:sz w:val="28"/>
          <w:szCs w:val="28"/>
          <w:highlight w:val="none"/>
        </w:rPr>
        <w:t>.3</w:t>
      </w:r>
      <w:r>
        <w:rPr>
          <w:rFonts w:hint="eastAsia" w:ascii="仿宋_GB2312" w:hAnsi="仿宋" w:eastAsia="仿宋_GB2312" w:cs="宋体"/>
          <w:color w:val="000000" w:themeColor="text1"/>
          <w:sz w:val="28"/>
          <w:szCs w:val="28"/>
          <w:highlight w:val="none"/>
        </w:rPr>
        <w:t>中标人在规定时间内无正当理由拒绝与招标人签订合同的，有效投标人符合法定数量的，招标人可以按照评审报告推荐的中标候选人名单排序，确定下一候选人为中标人，也可以重新开展招标活动。</w:t>
      </w:r>
    </w:p>
    <w:p>
      <w:pPr>
        <w:spacing w:line="560" w:lineRule="exact"/>
        <w:ind w:firstLine="562" w:firstLineChars="201"/>
        <w:rPr>
          <w:rFonts w:ascii="仿宋_GB2312" w:hAnsi="仿宋" w:eastAsia="仿宋_GB2312" w:cs="宋体"/>
          <w:color w:val="000000" w:themeColor="text1"/>
          <w:sz w:val="28"/>
          <w:szCs w:val="28"/>
          <w:highlight w:val="none"/>
        </w:rPr>
      </w:pPr>
      <w:r>
        <w:rPr>
          <w:rFonts w:ascii="仿宋_GB2312" w:hAnsi="仿宋" w:eastAsia="仿宋_GB2312" w:cs="宋体"/>
          <w:color w:val="000000" w:themeColor="text1"/>
          <w:sz w:val="28"/>
          <w:szCs w:val="28"/>
          <w:highlight w:val="none"/>
        </w:rPr>
        <w:t>3</w:t>
      </w:r>
      <w:r>
        <w:rPr>
          <w:rFonts w:hint="eastAsia" w:ascii="仿宋_GB2312" w:hAnsi="仿宋" w:eastAsia="仿宋_GB2312" w:cs="宋体"/>
          <w:color w:val="000000" w:themeColor="text1"/>
          <w:sz w:val="28"/>
          <w:szCs w:val="28"/>
          <w:highlight w:val="none"/>
        </w:rPr>
        <w:t>0</w:t>
      </w:r>
      <w:r>
        <w:rPr>
          <w:rFonts w:ascii="仿宋_GB2312" w:hAnsi="仿宋" w:eastAsia="仿宋_GB2312" w:cs="宋体"/>
          <w:color w:val="000000" w:themeColor="text1"/>
          <w:sz w:val="28"/>
          <w:szCs w:val="28"/>
          <w:highlight w:val="none"/>
        </w:rPr>
        <w:t>.4</w:t>
      </w:r>
      <w:r>
        <w:rPr>
          <w:rFonts w:hint="eastAsia" w:ascii="仿宋_GB2312" w:hAnsi="仿宋" w:eastAsia="仿宋_GB2312" w:cs="宋体"/>
          <w:color w:val="000000" w:themeColor="text1"/>
          <w:sz w:val="28"/>
          <w:szCs w:val="28"/>
          <w:highlight w:val="none"/>
        </w:rPr>
        <w:t>采购合同的履行、违约责任和解决争议的方法适用《中华人民共和国民法典》。</w:t>
      </w:r>
    </w:p>
    <w:p>
      <w:pPr>
        <w:rPr>
          <w:color w:val="000000" w:themeColor="text1"/>
          <w:highlight w:val="none"/>
        </w:rPr>
        <w:sectPr>
          <w:headerReference r:id="rId7" w:type="default"/>
          <w:footerReference r:id="rId8" w:type="default"/>
          <w:pgSz w:w="11906" w:h="16838"/>
          <w:pgMar w:top="1440" w:right="1080" w:bottom="1440" w:left="1080" w:header="851" w:footer="992" w:gutter="0"/>
          <w:cols w:space="425" w:num="1"/>
          <w:docGrid w:type="lines" w:linePitch="312" w:charSpace="0"/>
        </w:sectPr>
      </w:pPr>
    </w:p>
    <w:p>
      <w:pPr>
        <w:pStyle w:val="42"/>
        <w:spacing w:before="0" w:after="0" w:line="360" w:lineRule="auto"/>
        <w:ind w:firstLine="646" w:firstLineChars="201"/>
        <w:rPr>
          <w:rFonts w:ascii="宋体" w:hAnsi="宋体" w:cs="宋体"/>
          <w:color w:val="000000" w:themeColor="text1"/>
          <w:highlight w:val="none"/>
        </w:rPr>
        <w:sectPr>
          <w:pgSz w:w="11906" w:h="16838"/>
          <w:pgMar w:top="1440" w:right="1080" w:bottom="1440" w:left="1080" w:header="851" w:footer="992" w:gutter="0"/>
          <w:cols w:space="425" w:num="1"/>
          <w:docGrid w:type="lines" w:linePitch="312" w:charSpace="0"/>
        </w:sectPr>
      </w:pPr>
      <w:r>
        <w:rPr>
          <w:rFonts w:hint="eastAsia" w:ascii="宋体" w:hAnsi="宋体" w:cs="宋体"/>
          <w:color w:val="000000" w:themeColor="text1"/>
          <w:highlight w:val="none"/>
        </w:rPr>
        <w:t>第三章招标内容与要求</w:t>
      </w:r>
    </w:p>
    <w:p>
      <w:pPr>
        <w:tabs>
          <w:tab w:val="left" w:pos="525"/>
        </w:tabs>
        <w:spacing w:line="560" w:lineRule="exact"/>
        <w:ind w:firstLine="883" w:firstLineChars="200"/>
        <w:jc w:val="center"/>
        <w:rPr>
          <w:rFonts w:ascii="宋体" w:hAnsi="宋体"/>
          <w:b/>
          <w:bCs/>
          <w:color w:val="000000" w:themeColor="text1"/>
          <w:sz w:val="44"/>
          <w:szCs w:val="44"/>
          <w:highlight w:val="none"/>
        </w:rPr>
      </w:pPr>
      <w:bookmarkStart w:id="20" w:name="_Hlk9675253"/>
      <w:r>
        <w:rPr>
          <w:rFonts w:hint="eastAsia" w:ascii="宋体" w:hAnsi="宋体"/>
          <w:b/>
          <w:bCs/>
          <w:color w:val="000000" w:themeColor="text1"/>
          <w:sz w:val="44"/>
          <w:szCs w:val="44"/>
          <w:highlight w:val="none"/>
        </w:rPr>
        <w:t>采购项目说明</w:t>
      </w:r>
    </w:p>
    <w:p>
      <w:pPr>
        <w:spacing w:line="520" w:lineRule="exact"/>
        <w:ind w:left="602"/>
        <w:rPr>
          <w:rFonts w:ascii="仿宋_GB2312" w:hAnsi="宋体" w:eastAsia="仿宋_GB2312"/>
          <w:bCs/>
          <w:color w:val="000000" w:themeColor="text1"/>
          <w:sz w:val="30"/>
          <w:szCs w:val="30"/>
          <w:highlight w:val="none"/>
        </w:rPr>
      </w:pPr>
      <w:bookmarkStart w:id="21" w:name="_Hlk525988930"/>
      <w:r>
        <w:rPr>
          <w:rFonts w:hint="eastAsia" w:ascii="仿宋_GB2312" w:hAnsi="宋体" w:eastAsia="仿宋_GB2312"/>
          <w:b/>
          <w:color w:val="000000" w:themeColor="text1"/>
          <w:sz w:val="30"/>
          <w:szCs w:val="30"/>
          <w:highlight w:val="none"/>
        </w:rPr>
        <w:t>一、项目名称：</w:t>
      </w:r>
      <w:r>
        <w:rPr>
          <w:rFonts w:hint="eastAsia" w:ascii="仿宋_GB2312" w:hAnsi="宋体" w:eastAsia="仿宋_GB2312"/>
          <w:bCs/>
          <w:color w:val="000000" w:themeColor="text1"/>
          <w:sz w:val="30"/>
          <w:szCs w:val="30"/>
          <w:highlight w:val="none"/>
        </w:rPr>
        <w:t>荣成市第二十三中学特色教室及智慧文化建设</w:t>
      </w:r>
    </w:p>
    <w:p>
      <w:pPr>
        <w:spacing w:line="520" w:lineRule="exact"/>
        <w:ind w:left="602"/>
        <w:rPr>
          <w:rFonts w:ascii="仿宋_GB2312" w:hAnsi="宋体" w:eastAsia="仿宋_GB2312"/>
          <w:b/>
          <w:color w:val="000000" w:themeColor="text1"/>
          <w:sz w:val="30"/>
          <w:szCs w:val="30"/>
          <w:highlight w:val="none"/>
        </w:rPr>
      </w:pPr>
      <w:r>
        <w:rPr>
          <w:rFonts w:hint="eastAsia" w:ascii="仿宋_GB2312" w:hAnsi="宋体" w:eastAsia="仿宋_GB2312"/>
          <w:b/>
          <w:color w:val="000000" w:themeColor="text1"/>
          <w:sz w:val="30"/>
          <w:szCs w:val="30"/>
          <w:highlight w:val="none"/>
        </w:rPr>
        <w:t>二、技术说明及要求：</w:t>
      </w:r>
    </w:p>
    <w:tbl>
      <w:tblPr>
        <w:tblStyle w:val="47"/>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0"/>
        <w:gridCol w:w="2692"/>
        <w:gridCol w:w="7122"/>
        <w:gridCol w:w="1000"/>
        <w:gridCol w:w="1000"/>
        <w:gridCol w:w="1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vAlign w:val="center"/>
          </w:tcPr>
          <w:p>
            <w:pPr>
              <w:spacing w:line="360" w:lineRule="exact"/>
              <w:jc w:val="center"/>
              <w:rPr>
                <w:rFonts w:ascii="仿宋" w:hAnsi="仿宋" w:eastAsia="仿宋"/>
                <w:b/>
                <w:bCs/>
                <w:color w:val="000000" w:themeColor="text1"/>
                <w:szCs w:val="21"/>
                <w:highlight w:val="none"/>
              </w:rPr>
            </w:pPr>
            <w:r>
              <w:rPr>
                <w:rFonts w:hint="eastAsia" w:ascii="仿宋" w:hAnsi="仿宋" w:eastAsia="仿宋"/>
                <w:b/>
                <w:bCs/>
                <w:color w:val="000000" w:themeColor="text1"/>
                <w:szCs w:val="21"/>
                <w:highlight w:val="none"/>
              </w:rPr>
              <w:t>序号</w:t>
            </w:r>
          </w:p>
        </w:tc>
        <w:tc>
          <w:tcPr>
            <w:tcW w:w="2692" w:type="dxa"/>
            <w:vAlign w:val="center"/>
          </w:tcPr>
          <w:p>
            <w:pPr>
              <w:spacing w:line="360" w:lineRule="exact"/>
              <w:jc w:val="center"/>
              <w:rPr>
                <w:rFonts w:ascii="仿宋" w:hAnsi="仿宋" w:eastAsia="仿宋"/>
                <w:b/>
                <w:bCs/>
                <w:color w:val="000000" w:themeColor="text1"/>
                <w:szCs w:val="21"/>
                <w:highlight w:val="none"/>
              </w:rPr>
            </w:pPr>
            <w:r>
              <w:rPr>
                <w:rFonts w:hint="eastAsia" w:ascii="仿宋" w:hAnsi="仿宋" w:eastAsia="仿宋"/>
                <w:b/>
                <w:bCs/>
                <w:color w:val="000000" w:themeColor="text1"/>
                <w:szCs w:val="21"/>
                <w:highlight w:val="none"/>
              </w:rPr>
              <w:t>产品名称</w:t>
            </w:r>
          </w:p>
        </w:tc>
        <w:tc>
          <w:tcPr>
            <w:tcW w:w="7122" w:type="dxa"/>
            <w:vAlign w:val="center"/>
          </w:tcPr>
          <w:p>
            <w:pPr>
              <w:spacing w:line="360" w:lineRule="exact"/>
              <w:jc w:val="center"/>
              <w:rPr>
                <w:rFonts w:ascii="仿宋" w:hAnsi="仿宋" w:eastAsia="仿宋"/>
                <w:b/>
                <w:bCs/>
                <w:color w:val="000000" w:themeColor="text1"/>
                <w:szCs w:val="21"/>
                <w:highlight w:val="none"/>
              </w:rPr>
            </w:pPr>
            <w:r>
              <w:rPr>
                <w:rFonts w:hint="eastAsia" w:ascii="仿宋" w:hAnsi="仿宋" w:eastAsia="仿宋"/>
                <w:b/>
                <w:bCs/>
                <w:color w:val="000000" w:themeColor="text1"/>
                <w:szCs w:val="21"/>
                <w:highlight w:val="none"/>
              </w:rPr>
              <w:t>主要技术参数及规格工艺说明</w:t>
            </w:r>
          </w:p>
        </w:tc>
        <w:tc>
          <w:tcPr>
            <w:tcW w:w="1000" w:type="dxa"/>
            <w:vAlign w:val="center"/>
          </w:tcPr>
          <w:p>
            <w:pPr>
              <w:spacing w:line="360" w:lineRule="exact"/>
              <w:jc w:val="center"/>
              <w:rPr>
                <w:rFonts w:ascii="仿宋" w:hAnsi="仿宋" w:eastAsia="仿宋"/>
                <w:b/>
                <w:bCs/>
                <w:color w:val="000000" w:themeColor="text1"/>
                <w:szCs w:val="21"/>
                <w:highlight w:val="none"/>
              </w:rPr>
            </w:pPr>
            <w:r>
              <w:rPr>
                <w:rFonts w:hint="eastAsia" w:ascii="仿宋" w:hAnsi="仿宋" w:eastAsia="仿宋"/>
                <w:b/>
                <w:bCs/>
                <w:color w:val="000000" w:themeColor="text1"/>
                <w:szCs w:val="21"/>
                <w:highlight w:val="none"/>
              </w:rPr>
              <w:t>单位</w:t>
            </w:r>
          </w:p>
        </w:tc>
        <w:tc>
          <w:tcPr>
            <w:tcW w:w="1000" w:type="dxa"/>
            <w:vAlign w:val="center"/>
          </w:tcPr>
          <w:p>
            <w:pPr>
              <w:spacing w:line="360" w:lineRule="exact"/>
              <w:jc w:val="center"/>
              <w:rPr>
                <w:rFonts w:ascii="仿宋" w:hAnsi="仿宋" w:eastAsia="仿宋"/>
                <w:b/>
                <w:bCs/>
                <w:color w:val="000000" w:themeColor="text1"/>
                <w:szCs w:val="21"/>
                <w:highlight w:val="none"/>
              </w:rPr>
            </w:pPr>
            <w:r>
              <w:rPr>
                <w:rFonts w:hint="eastAsia" w:ascii="仿宋" w:hAnsi="仿宋" w:eastAsia="仿宋"/>
                <w:b/>
                <w:bCs/>
                <w:color w:val="000000" w:themeColor="text1"/>
                <w:szCs w:val="21"/>
                <w:highlight w:val="none"/>
              </w:rPr>
              <w:t>数量</w:t>
            </w:r>
          </w:p>
        </w:tc>
        <w:tc>
          <w:tcPr>
            <w:tcW w:w="1690" w:type="dxa"/>
            <w:vAlign w:val="center"/>
          </w:tcPr>
          <w:p>
            <w:pPr>
              <w:spacing w:line="360" w:lineRule="exact"/>
              <w:jc w:val="center"/>
              <w:rPr>
                <w:rFonts w:hint="default" w:ascii="仿宋" w:hAnsi="仿宋" w:eastAsia="仿宋"/>
                <w:b/>
                <w:bCs/>
                <w:color w:val="000000" w:themeColor="text1"/>
                <w:szCs w:val="21"/>
                <w:highlight w:val="none"/>
                <w:lang w:val="en-US" w:eastAsia="zh-CN"/>
              </w:rPr>
            </w:pPr>
            <w:r>
              <w:rPr>
                <w:rFonts w:hint="eastAsia" w:ascii="仿宋" w:hAnsi="仿宋" w:eastAsia="仿宋"/>
                <w:b/>
                <w:bCs/>
                <w:color w:val="000000" w:themeColor="text1"/>
                <w:szCs w:val="21"/>
                <w:highlight w:val="none"/>
                <w:lang w:val="en-US" w:eastAsia="zh-CN"/>
              </w:rPr>
              <w:t>上限单价（元）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14174" w:type="dxa"/>
            <w:gridSpan w:val="6"/>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rPr>
              <w:t>1、海洋科技室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学生操作台</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 xml:space="preserve">产品规格：外形尺寸1200×520×750mm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1、台面：环保E1级三聚氰胺饰面板，梯形桌面设计，单张尺寸1200×520mm。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2、连接杆：使用1.2MM壁厚圆管，冷扎钢管。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3、桌腿：圆管1.5MM壁厚；桌腿一体化焊接、外表烤漆工艺，坚固耐久。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4、脚轮：50MM尼龙活动脚轮，旋转式可调节幅度15mm。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5、优质五金配件：可对整体操作台的组装起到连接及加固作用。</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张</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30</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1680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学生坐凳</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 xml:space="preserve">产品规格：Φ350×420mm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1、凳面：直径350mm，优质玻璃钢材质。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2、支撑杆：采用螺旋式升降杆，更安全耐用，承重不小于150kg。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3、脚垫：优质钢管电镀五星脚，结构稳固。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4、脚垫：PP塑料底座，镀锌螺丝连接部件，耐磨防刮，即装即用。</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把</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35</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学生操作边台</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 xml:space="preserve">产品规格：外形尺寸3000×750×800mm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1、台面：尺寸3000×750mm，采用12.7mm优质实芯理化板材质，光滑无毛孔，防水、耐酸碱、防腐蚀，台面边缘贴边至25.4mm。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2、C型架：60*40mm钢架采用38.5×58.5×1.2mm镀锌钢管焊接，表面环氧树脂粉末静电喷涂，高温固化，附着力高，耐划耐酸碱，美观耐用。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3、柜身：18mm厚优质环保E1级三聚氰胺饰面板，2mmPVC封条，热熔胶封边，耐磨、防水。组装后接缝严密、牢固无松动现象不变型，美观耐用。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4、试剂架：铝合金型材立柱尺寸为42×80mm，合金档条为15×40mm冲压成型的1.0mm冷轧钢板连接件连接而成，具有结构牢固、安装方便等特点。选用8mm钢化玻璃作为层板。电源插座采用实验室专用带盖的防溅插座。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5、水槽：PP材质5mm厚度，耐酸碱、耐腐蚀。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6、脚垫：采用可调节ABS脚垫，旋转升降，适用于不同地面环境。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7、优质五金配件：可对整体操作台的组装起到连接及加固作用。</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张</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5800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4</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多功能边台</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 xml:space="preserve">产品规格：外形尺寸3000×750×800mm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1、台面：尺寸3000×750mm，采用12.7mm优质实芯理化板材质，光滑无毛孔，防水、耐酸碱、防腐蚀，台面边缘贴边至25.4mm。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2、C型架：60*40mm钢架采用38.5×58.5×1.2mm镀锌钢管焊接，表面环氧树脂粉末静电喷涂，高温固化，附着力高，耐划耐酸碱，美观耐用。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3、柜身：18mm厚优质环保E1级三聚氰胺饰面板，2mmPVC封条，热熔胶封边，耐磨、防水。组装后接缝严密、牢固无松动现象不变型，美观耐用。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4、试剂架：铝合金型材立柱尺寸为42×80mm，合金档条为15×40mm冲压成型的1.0mm冷轧钢板连接件连接而成，具有结构牢固、安装方便等特点。选用8mm钢化玻璃作为层板。电源插座采用实验室专用带盖的防溅插座。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5、脚垫：采用可调节ABS脚垫，旋转升降，适用于不同地面环境。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6、优质五金配件：可对整体操作台的组装起到连接及加固作用。</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套</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6980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5</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收纳组合柜</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 xml:space="preserve">产品规格：外形尺寸2400×600×800mm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1、台面：尺寸2400×600mm， 采用优质环保E1级三聚氰胺饰面板，四周边缘精致打磨倒角处理，防腐蚀、防静电、耐磨抗污染等特性。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2、柜身：18mm厚优质环保E1级三聚氰胺饰面板，2mmPVC封条，热熔胶封边，耐磨、防水。组装后接缝严密、牢固无松动现象不变型，美观耐用。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3、脚垫：采用可调节ABS脚垫，旋转升降，适用于不同地面环境。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4、优质五金配件：可对整体操作台的组装起到连接及加固作用。</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组</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6</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生物显微镜</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高清1600倍初中生专用生物显微镜  9英寸大屏显示</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放大倍数：40X--1600X</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目镜：WF10XH16X</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转换器：金属三孔</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物镜：10X40X(弹）100X(弹油）</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聚光镜：阿贝聚光镜NA=1.25</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光源：LED1W冷光源 可充电</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电源：开关电源 AC95V-250V</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载物台：双层机械移动平台115×125mm移动范围76×52mm</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调焦机构：粗微调分开式粗调行程20mm微调行程1.3mm</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观察镜筒：铰链双目30°倾斜可360°旋转瞳距可调55-75mm</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台</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10</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7</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吹风机</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适用电压220V，最大功率1800W</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360°聚碳集风嘴；3温控调节；热量均衡技术；双重过热保护</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台</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5</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8</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实验室高精度天平仪器</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 xml:space="preserve">天平方盘5公斤/0.01克【配200g砝码】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高精度传感器，可精确到0.1g/0.01g/0.001g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防风罩，隔绝空气流动带来的称量不准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高清LED显示屏，绿色护眼，数字清晰易读  升级操作按钮面板，单位转换/计数确认/去皮/校准</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台</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5</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9</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海藻采集及标本制作套装</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海藻采集及标本制作套装，配套铲子1个、直头镊子1个、弯头镊子1个、放大镜1个、温度计1个、毛笔刷1个、解剖盘1个、塑料板1个、标本夹1个、纱布、标本纸、吸水纸、瓦楞纸</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套</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50</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10</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微藻观察和培养实验套装</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微藻观察和培养实验套装，配套烧杯1只、锥形瓶1个、培养基</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套</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50</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11</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海带提碘实验套装-器材</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海带提碘实验套装-器材，配套塑料滴管5根，500ml烧杯1个，250ml试剂瓶4个，250ml三角瓶，100目滤布等</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套</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50</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12</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海带提碘实验套装-试剂</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海带提碘实验套装-试剂，配套纯水0.3ml，块状干海带10g，1摩尔每升的盐酸，1%的过氧化氢溶液，2%的淀粉溶液，1% 的氢氧化钠溶液，PH试纸，乳胶手套，玻璃棒</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套</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50</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13</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海水中粗盐分含量测定实验套装</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海水中粗盐分含量测定实验套装，配套坩埚钳1个、三脚架1个、蒸发皿1个，玻璃棒1根，酒精灯1个</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套</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50</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14</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海洋细菌培养实验套装</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海洋细菌培养实验套装，配套放大镜1个、细菌培养基10个、培养皿1个、标签纸若干、无菌棉棒若干、透明胶带2卷</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套</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50</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15</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海洋腐蚀及防护实验套装</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海洋腐蚀及防护实验套装，配套250ml烧杯2个、316L不锈钢4片、5052铝合金4片、封口膜、超疏水材料、蒸馏水、乙醇</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套</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50</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16</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海草房技艺实践套装</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海草房苫制实践套装，含仿真海草（细麻绳或细纸藤）、硬纸板、泡沫板、卡纸、木棒、黏土、丙烯颜料、贝壳等装饰材料、牙签、白乳胶</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套</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50</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17</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渔船制作实践套装</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渔船制作实践套装，含木条/雪糕棍、木棒、牙签、帆布、渔网线、图钉、木工胶、（防水）轻木板、塑料膜、细铁丝、电池</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套</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50</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18</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模型制作专用工具套装</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模型制作专用工具套装，含热熔胶枪*1、剪刀*1、钢尺*1、美工刀*1、小锉刀*1、锥子*1、砂纸*2、垫板*1、防割手套*4、镊子*4、硬毛小刷子*2、小马达*1、小螺旋桨*2、导线*4、电池盒*1</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套</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50</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19</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风力发电实验套装</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风力发电实验套装，由风叶、电压表、LED灯、活动旋钮、支撑杆、底盘灯组成，模拟风力发电过程，展示风力发电原理。</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套</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50</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20</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潮汐能实验套装</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潮汐能实验套装，由木板、马达、齿条组成，模拟潮汐能发电过程，展示潮汐发电原理。</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套</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50</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21</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水路改造</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Φ25国标PPR水管走明管上水及阀门，Φ50国标PVC水管走明管下水。</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m</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45</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22</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电路改造</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强电灯线及开关插座改造（PVC明线槽、2.5平方国标铜芯线）</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m</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62</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23</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空间及课程文化深化设计</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1.依据馆室的招标设备及课程特点使用功能，对空间130</w:t>
            </w:r>
            <w:r>
              <w:rPr>
                <w:rFonts w:hint="eastAsia" w:ascii="仿宋" w:hAnsi="仿宋" w:eastAsia="仿宋" w:cs="宋体"/>
                <w:bCs/>
                <w:color w:val="000000" w:themeColor="text1"/>
                <w:szCs w:val="21"/>
                <w:highlight w:val="none"/>
              </w:rPr>
              <w:t>㎡</w:t>
            </w:r>
            <w:r>
              <w:rPr>
                <w:rFonts w:hint="eastAsia" w:ascii="仿宋" w:hAnsi="仿宋" w:eastAsia="仿宋" w:cs="仿宋_GB2312"/>
                <w:bCs/>
                <w:color w:val="000000" w:themeColor="text1"/>
                <w:szCs w:val="21"/>
                <w:highlight w:val="none"/>
              </w:rPr>
              <w:t>进行整体深化设计，包含空间整体布局优化设计、整体空间效果深化设计、空间功能分区规划设计；同时完成立面文化深化设计全流程工作，含立面文化主题定位、相关资料收集、内容梳理、文字编撰、资料整理、图文排版、视觉效果设计、立面造型设计、色彩方案设计及整体文化氛围营造设计。最终设计成果以满足教学使用功能、空间展示效果及文化氛围要求为标准。</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2.设计成果以满足教学使用功能、空间展示效果及文化氛围要求为目标，最终以甲方确认的深化设计方案及制作实施项目作为验收依据。</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项</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24</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前墙文化白板</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定制设计磁吸白板展示</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16</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25</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前墙主题标语</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10mm瓷白亚克力</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noWrap/>
            <w:vAlign w:val="center"/>
          </w:tcPr>
          <w:p>
            <w:pPr>
              <w:spacing w:line="360" w:lineRule="exact"/>
              <w:jc w:val="center"/>
              <w:rPr>
                <w:rFonts w:hint="eastAsia" w:ascii="仿宋" w:hAnsi="仿宋" w:eastAsia="仿宋"/>
                <w:bCs/>
                <w:color w:val="000000" w:themeColor="text1"/>
                <w:szCs w:val="21"/>
                <w:highlight w:val="none"/>
                <w:lang w:eastAsia="zh-CN"/>
              </w:rPr>
            </w:pPr>
            <w:r>
              <w:rPr>
                <w:rFonts w:hint="eastAsia" w:ascii="仿宋" w:hAnsi="仿宋" w:eastAsia="仿宋"/>
                <w:bCs/>
                <w:color w:val="000000" w:themeColor="text1"/>
                <w:szCs w:val="21"/>
                <w:highlight w:val="none"/>
                <w:lang w:val="en-US" w:eastAsia="zh-CN"/>
              </w:rPr>
              <w:t>8</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26</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侧墙立柱英文和标语</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10mm透明亚克力uv</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vAlign w:val="center"/>
          </w:tcPr>
          <w:p>
            <w:pPr>
              <w:spacing w:line="360" w:lineRule="exact"/>
              <w:jc w:val="center"/>
              <w:rPr>
                <w:rFonts w:hint="default" w:ascii="仿宋" w:hAnsi="仿宋" w:eastAsia="仿宋"/>
                <w:bCs/>
                <w:color w:val="000000" w:themeColor="text1"/>
                <w:szCs w:val="21"/>
                <w:highlight w:val="none"/>
                <w:lang w:val="en-US" w:eastAsia="zh-CN"/>
              </w:rPr>
            </w:pPr>
            <w:r>
              <w:rPr>
                <w:rFonts w:hint="eastAsia" w:ascii="仿宋" w:hAnsi="仿宋" w:eastAsia="仿宋"/>
                <w:bCs/>
                <w:color w:val="000000" w:themeColor="text1"/>
                <w:szCs w:val="21"/>
                <w:highlight w:val="none"/>
                <w:lang w:val="en-US" w:eastAsia="zh-CN"/>
              </w:rPr>
              <w:t>6</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27</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侧墙定制洞洞板展示</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定制洞洞板</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vAlign w:val="center"/>
          </w:tcPr>
          <w:p>
            <w:pPr>
              <w:spacing w:line="360" w:lineRule="exact"/>
              <w:jc w:val="center"/>
              <w:rPr>
                <w:rFonts w:hint="default" w:ascii="仿宋" w:hAnsi="仿宋" w:eastAsia="仿宋"/>
                <w:bCs/>
                <w:color w:val="000000" w:themeColor="text1"/>
                <w:szCs w:val="21"/>
                <w:highlight w:val="none"/>
                <w:lang w:val="en-US" w:eastAsia="zh-CN"/>
              </w:rPr>
            </w:pPr>
            <w:r>
              <w:rPr>
                <w:rFonts w:hint="eastAsia" w:ascii="仿宋" w:hAnsi="仿宋" w:eastAsia="仿宋"/>
                <w:bCs/>
                <w:color w:val="000000" w:themeColor="text1"/>
                <w:szCs w:val="21"/>
                <w:highlight w:val="none"/>
                <w:lang w:val="en-US" w:eastAsia="zh-CN"/>
              </w:rPr>
              <w:t>17.5</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28</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侧墙课程展板</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10mmPVC高清UV+立体字10mm瓷白亚克力雕刻</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noWrap/>
            <w:vAlign w:val="center"/>
          </w:tcPr>
          <w:p>
            <w:pPr>
              <w:spacing w:line="360" w:lineRule="exact"/>
              <w:jc w:val="center"/>
              <w:rPr>
                <w:rFonts w:hint="eastAsia" w:ascii="仿宋" w:hAnsi="仿宋" w:eastAsia="仿宋"/>
                <w:bCs/>
                <w:color w:val="000000" w:themeColor="text1"/>
                <w:szCs w:val="21"/>
                <w:highlight w:val="none"/>
                <w:lang w:eastAsia="zh-CN"/>
              </w:rPr>
            </w:pPr>
            <w:r>
              <w:rPr>
                <w:rFonts w:hint="eastAsia" w:ascii="仿宋" w:hAnsi="仿宋" w:eastAsia="仿宋"/>
                <w:bCs/>
                <w:color w:val="000000" w:themeColor="text1"/>
                <w:szCs w:val="21"/>
                <w:highlight w:val="none"/>
                <w:lang w:val="en-US" w:eastAsia="zh-CN"/>
              </w:rPr>
              <w:t>9</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29</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后墙可更换课程照片</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宣绒布uv；照片10mmPVC高清UV；主题标语10mm瓷白亚克力</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noWrap/>
            <w:vAlign w:val="center"/>
          </w:tcPr>
          <w:p>
            <w:pPr>
              <w:spacing w:line="360" w:lineRule="exact"/>
              <w:jc w:val="center"/>
              <w:rPr>
                <w:rFonts w:hint="eastAsia" w:ascii="仿宋" w:hAnsi="仿宋" w:eastAsia="仿宋"/>
                <w:bCs/>
                <w:color w:val="000000" w:themeColor="text1"/>
                <w:szCs w:val="21"/>
                <w:highlight w:val="none"/>
                <w:lang w:eastAsia="zh-CN"/>
              </w:rPr>
            </w:pPr>
            <w:r>
              <w:rPr>
                <w:rFonts w:hint="eastAsia" w:ascii="仿宋" w:hAnsi="仿宋" w:eastAsia="仿宋"/>
                <w:bCs/>
                <w:color w:val="000000" w:themeColor="text1"/>
                <w:szCs w:val="21"/>
                <w:highlight w:val="none"/>
              </w:rPr>
              <w:t>1</w:t>
            </w:r>
            <w:r>
              <w:rPr>
                <w:rFonts w:hint="eastAsia" w:ascii="仿宋" w:hAnsi="仿宋" w:eastAsia="仿宋"/>
                <w:bCs/>
                <w:color w:val="000000" w:themeColor="text1"/>
                <w:szCs w:val="21"/>
                <w:highlight w:val="none"/>
                <w:lang w:val="en-US" w:eastAsia="zh-CN"/>
              </w:rPr>
              <w:t>5</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680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30</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小房间课程文化墙</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10mmPVC高清UV雕刻  局部叠加</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10</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14174" w:type="dxa"/>
            <w:gridSpan w:val="6"/>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rPr>
              <w:t>2、技艺传习坊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31</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教师演示台</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 xml:space="preserve">产品规格：外形尺寸1600×600×750mm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1、台面：实木板台面，尺寸1600×600mm，厚度20mm，采用中国传统清漆或生漆，漆面光洁，经久耐用、绿色环保，边角打磨圆润，有效防止磕碰，预留榫卯链接孔位，便于组配安装。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2、桌腿：实木材质，根据深化设计方案镂花边框设计，马蹄脚一体成型，中式典雅，大方美观，木方桌腿尺寸60×60mm，预留榫卯链接孔位，便于组配安装。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3、脚垫：防滑脚垫，有效静音、防护地面。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4、根据深化设计方案配套官帽椅1把</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套</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w:t>
            </w:r>
          </w:p>
        </w:tc>
        <w:tc>
          <w:tcPr>
            <w:tcW w:w="1690" w:type="dxa"/>
            <w:vAlign w:val="center"/>
          </w:tcPr>
          <w:p>
            <w:pPr>
              <w:spacing w:line="360" w:lineRule="exact"/>
              <w:jc w:val="center"/>
              <w:rPr>
                <w:rFonts w:hint="eastAsia" w:ascii="仿宋" w:hAnsi="仿宋" w:eastAsia="仿宋"/>
                <w:bCs/>
                <w:color w:val="000000" w:themeColor="text1"/>
                <w:szCs w:val="21"/>
                <w:highlight w:val="none"/>
                <w:lang w:val="en-US" w:eastAsia="zh-CN"/>
              </w:rPr>
            </w:pPr>
            <w:r>
              <w:rPr>
                <w:rFonts w:hint="eastAsia" w:ascii="仿宋" w:hAnsi="仿宋" w:eastAsia="仿宋"/>
                <w:bCs/>
                <w:color w:val="000000" w:themeColor="text1"/>
                <w:szCs w:val="21"/>
                <w:highlight w:val="none"/>
                <w:lang w:val="en-US" w:eastAsia="zh-CN"/>
              </w:rPr>
              <w:t>4800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32</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学生操作台</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 xml:space="preserve">产品规格：外形尺寸1200×1200×750mm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1、台面：实木板台面，尺寸1200×1200mm，厚度20mm，采用中国传统清漆或生漆，漆面光洁，经久耐用、绿色环保，边角打磨圆润，有效防止磕碰，预留榫卯链接孔位，便于组配安装。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2、桌腿：实木材质，根据深化设计方案镂花边框设计，马蹄脚一体成型，中式典雅，大方美观，木方桌腿尺寸60×60mm，预留榫卯链接孔位，便于组配安装。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3、脚垫：防滑脚垫，有效静音、防护地面。</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张</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8</w:t>
            </w:r>
          </w:p>
        </w:tc>
        <w:tc>
          <w:tcPr>
            <w:tcW w:w="1690" w:type="dxa"/>
            <w:vAlign w:val="center"/>
          </w:tcPr>
          <w:p>
            <w:pPr>
              <w:spacing w:line="360" w:lineRule="exact"/>
              <w:jc w:val="center"/>
              <w:rPr>
                <w:rFonts w:hint="eastAsia" w:ascii="仿宋" w:hAnsi="仿宋" w:eastAsia="仿宋"/>
                <w:bCs/>
                <w:color w:val="000000" w:themeColor="text1"/>
                <w:szCs w:val="21"/>
                <w:highlight w:val="none"/>
                <w:lang w:val="en-US" w:eastAsia="zh-CN"/>
              </w:rPr>
            </w:pPr>
            <w:r>
              <w:rPr>
                <w:rFonts w:hint="eastAsia" w:ascii="仿宋" w:hAnsi="仿宋" w:eastAsia="仿宋"/>
                <w:bCs/>
                <w:color w:val="000000" w:themeColor="text1"/>
                <w:szCs w:val="21"/>
                <w:highlight w:val="none"/>
                <w:lang w:val="en-US" w:eastAsia="zh-CN"/>
              </w:rPr>
              <w:t>2780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33</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学生坐凳</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 xml:space="preserve">产品规格：外形尺寸350×250×400mm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1、凳面：实木凳面，尺寸350×250mm，厚度20mm，采用中国传统清漆或生漆，漆面光洁，经久耐用、绿色环保，边角打磨圆润，有效防止磕碰，预留榫卯链接孔位，便于组配安装。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2、凳腿：实木材质，木方凳腿尺寸40×40mm，预留榫卯链接孔位，便于组配安装。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3、脚垫：防滑脚垫，有效静音、防护地面。</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把</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32</w:t>
            </w:r>
          </w:p>
        </w:tc>
        <w:tc>
          <w:tcPr>
            <w:tcW w:w="1690" w:type="dxa"/>
            <w:vAlign w:val="center"/>
          </w:tcPr>
          <w:p>
            <w:pPr>
              <w:spacing w:line="360" w:lineRule="exact"/>
              <w:jc w:val="center"/>
              <w:rPr>
                <w:rFonts w:hint="eastAsia" w:ascii="仿宋" w:hAnsi="仿宋" w:eastAsia="仿宋"/>
                <w:bCs/>
                <w:color w:val="000000" w:themeColor="text1"/>
                <w:szCs w:val="21"/>
                <w:highlight w:val="none"/>
                <w:lang w:val="en-US" w:eastAsia="zh-CN"/>
              </w:rPr>
            </w:pPr>
            <w:r>
              <w:rPr>
                <w:rFonts w:hint="eastAsia" w:ascii="仿宋" w:hAnsi="仿宋" w:eastAsia="仿宋"/>
                <w:bCs/>
                <w:color w:val="000000" w:themeColor="text1"/>
                <w:szCs w:val="21"/>
                <w:highlight w:val="none"/>
                <w:lang w:val="en-US" w:eastAsia="zh-CN"/>
              </w:rPr>
              <w:t>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34</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古法造纸实践台</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 xml:space="preserve">产品规格：外形尺寸1200×600×750mm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1、台面：实木板台面，尺寸1200×600，采用中国传统清漆或生漆，漆面光洁，经久耐用、绿色环保，边角打磨圆润，有效防止磕碰，预留榫卯链接孔位，便于组配安装。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2、水槽：环保PE材质，600×400×175mm，一体成型边缘光滑无毛刺，圆角设计，承重能力强，颜色根基深化设计方案订制。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3、脚垫：防滑脚垫，有效静音、防护地面。</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张</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4</w:t>
            </w:r>
          </w:p>
        </w:tc>
        <w:tc>
          <w:tcPr>
            <w:tcW w:w="1690" w:type="dxa"/>
            <w:vAlign w:val="center"/>
          </w:tcPr>
          <w:p>
            <w:pPr>
              <w:spacing w:line="360" w:lineRule="exact"/>
              <w:jc w:val="center"/>
              <w:rPr>
                <w:rFonts w:hint="eastAsia" w:ascii="仿宋" w:hAnsi="仿宋" w:eastAsia="仿宋"/>
                <w:bCs/>
                <w:color w:val="000000" w:themeColor="text1"/>
                <w:szCs w:val="21"/>
                <w:highlight w:val="none"/>
                <w:lang w:val="en-US" w:eastAsia="zh-CN"/>
              </w:rPr>
            </w:pPr>
            <w:r>
              <w:rPr>
                <w:rFonts w:hint="eastAsia" w:ascii="仿宋" w:hAnsi="仿宋" w:eastAsia="仿宋"/>
                <w:bCs/>
                <w:color w:val="000000" w:themeColor="text1"/>
                <w:szCs w:val="21"/>
                <w:highlight w:val="none"/>
                <w:lang w:val="en-US" w:eastAsia="zh-CN"/>
              </w:rPr>
              <w:t>2500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35</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边柜</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 xml:space="preserve">产品规格：外形尺寸2400×600×800mm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1、台面：尺寸2400×600mm， 采用优质环保E1级三聚氰胺饰面板，四周边缘精致打磨倒角处理，防腐蚀、防静电、耐磨抗污染等特性。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2、柜身：18mm厚优质环保E1级三聚氰胺饰面板，2mmPVC封条，热熔胶封边，耐磨、防水。组装后接缝严密、牢固无松动现象不变型，美观耐用。</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3、脚垫：采用可调节ABS脚垫，旋转升降，适用于不同地面环境。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4、优质五金配件：可对整体操作台的组装起到连接及加固作用。</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组</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4</w:t>
            </w:r>
          </w:p>
        </w:tc>
        <w:tc>
          <w:tcPr>
            <w:tcW w:w="1690" w:type="dxa"/>
            <w:vAlign w:val="center"/>
          </w:tcPr>
          <w:p>
            <w:pPr>
              <w:spacing w:line="360" w:lineRule="exact"/>
              <w:jc w:val="center"/>
              <w:rPr>
                <w:rFonts w:hint="eastAsia" w:ascii="仿宋" w:hAnsi="仿宋" w:eastAsia="仿宋"/>
                <w:bCs/>
                <w:color w:val="000000" w:themeColor="text1"/>
                <w:szCs w:val="21"/>
                <w:highlight w:val="none"/>
                <w:lang w:val="en-US" w:eastAsia="zh-CN"/>
              </w:rPr>
            </w:pPr>
            <w:r>
              <w:rPr>
                <w:rFonts w:hint="eastAsia" w:ascii="仿宋" w:hAnsi="仿宋" w:eastAsia="仿宋"/>
                <w:bCs/>
                <w:color w:val="000000" w:themeColor="text1"/>
                <w:szCs w:val="21"/>
                <w:highlight w:val="none"/>
                <w:lang w:val="en-US" w:eastAsia="zh-CN"/>
              </w:rPr>
              <w:t>2450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36</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古法造纸体验套装</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古法造纸体验套装，配套专用收纳盒1个，含单网框2个，松木材质，尺寸15*18cm，80目加密网眼设计，内部高密度气钉固定网，环保胶水贴合实木线条贴面，结构稳定耐用；木勺1把，实木材质；研磨器1套，实木材质；脱水纸浆1包，洁白无杂质，易疏解；植物造纸剂1屏，植物根茎提取，无味环保。橡胶手套1副。</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套</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100</w:t>
            </w:r>
          </w:p>
        </w:tc>
        <w:tc>
          <w:tcPr>
            <w:tcW w:w="1690" w:type="dxa"/>
            <w:vAlign w:val="center"/>
          </w:tcPr>
          <w:p>
            <w:pPr>
              <w:spacing w:line="360" w:lineRule="exact"/>
              <w:jc w:val="center"/>
              <w:rPr>
                <w:rFonts w:hint="eastAsia" w:ascii="仿宋" w:hAnsi="仿宋" w:eastAsia="仿宋"/>
                <w:bCs/>
                <w:color w:val="000000" w:themeColor="text1"/>
                <w:szCs w:val="21"/>
                <w:highlight w:val="none"/>
                <w:lang w:val="en-US" w:eastAsia="zh-CN"/>
              </w:rPr>
            </w:pPr>
            <w:r>
              <w:rPr>
                <w:rFonts w:hint="eastAsia" w:ascii="仿宋" w:hAnsi="仿宋" w:eastAsia="仿宋"/>
                <w:bCs/>
                <w:color w:val="000000" w:themeColor="text1"/>
                <w:szCs w:val="21"/>
                <w:highlight w:val="none"/>
                <w:lang w:val="en-US" w:eastAsia="zh-CN"/>
              </w:rPr>
              <w:t>850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37</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渔家剪纸体验套装</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渔家剪纸体验套装，配套中空吹塑工具箱1个，切割垫板1块，胶带1卷，蛇形尺1把，打孔钳1把，有机直尺1把，订书钉1盒，订书机1个，美工刀1把，花边剪1把，不锈钢剪刀1把,手工白胶1瓶，圆规刀1把，刻刀1把，刻刀刀片1盒</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套</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100</w:t>
            </w:r>
          </w:p>
        </w:tc>
        <w:tc>
          <w:tcPr>
            <w:tcW w:w="1690" w:type="dxa"/>
            <w:noWrap/>
            <w:vAlign w:val="center"/>
          </w:tcPr>
          <w:p>
            <w:pPr>
              <w:spacing w:line="360" w:lineRule="exact"/>
              <w:jc w:val="center"/>
              <w:rPr>
                <w:rFonts w:hint="eastAsia" w:ascii="仿宋" w:hAnsi="仿宋" w:eastAsia="仿宋"/>
                <w:bCs/>
                <w:color w:val="000000" w:themeColor="text1"/>
                <w:szCs w:val="21"/>
                <w:highlight w:val="none"/>
                <w:lang w:val="en-US" w:eastAsia="zh-CN"/>
              </w:rPr>
            </w:pPr>
            <w:r>
              <w:rPr>
                <w:rFonts w:hint="eastAsia" w:ascii="仿宋" w:hAnsi="仿宋" w:eastAsia="仿宋"/>
                <w:bCs/>
                <w:color w:val="000000" w:themeColor="text1"/>
                <w:szCs w:val="21"/>
                <w:highlight w:val="none"/>
                <w:lang w:val="en-US"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38</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版画艺术工具套装</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木刻版画工具套装，含马莲1个、橡皮1块、卷笔刀1个、磨刀石1块、50ml油墨1瓶、铅笔1支、10cm滚筒1个、木刻刀3把、画板4块。</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套</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30</w:t>
            </w:r>
          </w:p>
        </w:tc>
        <w:tc>
          <w:tcPr>
            <w:tcW w:w="1690" w:type="dxa"/>
            <w:vAlign w:val="center"/>
          </w:tcPr>
          <w:p>
            <w:pPr>
              <w:spacing w:line="360" w:lineRule="exact"/>
              <w:jc w:val="center"/>
              <w:rPr>
                <w:rFonts w:hint="eastAsia" w:ascii="仿宋" w:hAnsi="仿宋" w:eastAsia="仿宋"/>
                <w:bCs/>
                <w:color w:val="000000" w:themeColor="text1"/>
                <w:szCs w:val="21"/>
                <w:highlight w:val="none"/>
                <w:lang w:val="en-US" w:eastAsia="zh-CN"/>
              </w:rPr>
            </w:pPr>
            <w:r>
              <w:rPr>
                <w:rFonts w:hint="eastAsia" w:ascii="仿宋" w:hAnsi="仿宋" w:eastAsia="仿宋"/>
                <w:bCs/>
                <w:color w:val="000000" w:themeColor="text1"/>
                <w:szCs w:val="21"/>
                <w:highlight w:val="none"/>
                <w:lang w:val="en-US" w:eastAsia="zh-CN"/>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39</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常规配备材料</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常规配备材料，含油墨、宣纸、纸浆、纸剂、吹塑纸、画板、12色颜料等符合课程设计相关材料。</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套</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100</w:t>
            </w:r>
          </w:p>
        </w:tc>
        <w:tc>
          <w:tcPr>
            <w:tcW w:w="1690" w:type="dxa"/>
            <w:vAlign w:val="center"/>
          </w:tcPr>
          <w:p>
            <w:pPr>
              <w:spacing w:line="360" w:lineRule="exact"/>
              <w:jc w:val="center"/>
              <w:rPr>
                <w:rFonts w:hint="eastAsia" w:ascii="仿宋" w:hAnsi="仿宋" w:eastAsia="仿宋"/>
                <w:bCs/>
                <w:color w:val="000000" w:themeColor="text1"/>
                <w:szCs w:val="21"/>
                <w:highlight w:val="none"/>
                <w:lang w:val="en-US" w:eastAsia="zh-CN"/>
              </w:rPr>
            </w:pPr>
            <w:r>
              <w:rPr>
                <w:rFonts w:hint="eastAsia" w:ascii="仿宋" w:hAnsi="仿宋" w:eastAsia="仿宋"/>
                <w:bCs/>
                <w:color w:val="000000" w:themeColor="text1"/>
                <w:szCs w:val="21"/>
                <w:highlight w:val="none"/>
                <w:lang w:val="en-US" w:eastAsia="zh-CN"/>
              </w:rPr>
              <w:t>147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40</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草柳编配套材料包</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草柳编配套材料包，含草柳条、麦秆、玉米皮、蒲草、胶水、装饰材料（含彩色丝带、丝线、小珠子等）</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套</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100</w:t>
            </w:r>
          </w:p>
        </w:tc>
        <w:tc>
          <w:tcPr>
            <w:tcW w:w="1690" w:type="dxa"/>
            <w:noWrap/>
            <w:vAlign w:val="center"/>
          </w:tcPr>
          <w:p>
            <w:pPr>
              <w:spacing w:line="360" w:lineRule="exact"/>
              <w:jc w:val="center"/>
              <w:rPr>
                <w:rFonts w:hint="eastAsia" w:ascii="仿宋" w:hAnsi="仿宋" w:eastAsia="仿宋"/>
                <w:bCs/>
                <w:color w:val="000000" w:themeColor="text1"/>
                <w:szCs w:val="21"/>
                <w:highlight w:val="none"/>
                <w:lang w:val="en-US" w:eastAsia="zh-CN"/>
              </w:rPr>
            </w:pPr>
            <w:r>
              <w:rPr>
                <w:rFonts w:hint="eastAsia" w:ascii="仿宋" w:hAnsi="仿宋" w:eastAsia="仿宋"/>
                <w:bCs/>
                <w:color w:val="000000" w:themeColor="text1"/>
                <w:szCs w:val="21"/>
                <w:highlight w:val="none"/>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41</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渔网编织配套材料</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渔网编织配套材料包，含渔网尼龙绳（φ1-2mm）</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套</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100</w:t>
            </w:r>
          </w:p>
        </w:tc>
        <w:tc>
          <w:tcPr>
            <w:tcW w:w="1690" w:type="dxa"/>
            <w:noWrap/>
            <w:vAlign w:val="center"/>
          </w:tcPr>
          <w:p>
            <w:pPr>
              <w:spacing w:line="360" w:lineRule="exact"/>
              <w:jc w:val="center"/>
              <w:rPr>
                <w:rFonts w:hint="eastAsia" w:ascii="仿宋" w:hAnsi="仿宋" w:eastAsia="仿宋"/>
                <w:bCs/>
                <w:color w:val="000000" w:themeColor="text1"/>
                <w:szCs w:val="21"/>
                <w:highlight w:val="none"/>
                <w:lang w:val="en-US" w:eastAsia="zh-CN"/>
              </w:rPr>
            </w:pPr>
            <w:r>
              <w:rPr>
                <w:rFonts w:hint="eastAsia" w:ascii="仿宋" w:hAnsi="仿宋" w:eastAsia="仿宋"/>
                <w:bCs/>
                <w:color w:val="000000" w:themeColor="text1"/>
                <w:szCs w:val="21"/>
                <w:highlight w:val="none"/>
                <w:lang w:val="en-US"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42</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编织专用工具套装</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编织专用工具套装，含剪刀*1、尖嘴钳*1、钢尺*1、网梭（多规格）*4套、渔网针*5、喷壶*1、手套*4、竹夹*10、支撑杆（木棒）*8</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套</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30</w:t>
            </w:r>
          </w:p>
        </w:tc>
        <w:tc>
          <w:tcPr>
            <w:tcW w:w="1690" w:type="dxa"/>
            <w:noWrap/>
            <w:vAlign w:val="center"/>
          </w:tcPr>
          <w:p>
            <w:pPr>
              <w:spacing w:line="360" w:lineRule="exact"/>
              <w:jc w:val="center"/>
              <w:rPr>
                <w:rFonts w:hint="eastAsia" w:ascii="仿宋" w:hAnsi="仿宋" w:eastAsia="仿宋"/>
                <w:bCs/>
                <w:color w:val="000000" w:themeColor="text1"/>
                <w:szCs w:val="21"/>
                <w:highlight w:val="none"/>
                <w:lang w:val="en-US" w:eastAsia="zh-CN"/>
              </w:rPr>
            </w:pPr>
            <w:r>
              <w:rPr>
                <w:rFonts w:hint="eastAsia" w:ascii="仿宋" w:hAnsi="仿宋" w:eastAsia="仿宋"/>
                <w:bCs/>
                <w:color w:val="000000" w:themeColor="text1"/>
                <w:szCs w:val="21"/>
                <w:highlight w:val="none"/>
                <w:lang w:val="en-US" w:eastAsia="zh-CN"/>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43</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防护套装</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防护套装，含护目镜：180 度全景镜片提供无限制的侧面可见度，可调节头戴，可佩带在近视眼镜外；防割手套：5 级防护，防切割、耐磨损、防酸碱、防微波、防静电。弹性好，脱戴方便，透气，不影响关节活动，能有效防止刀具割、划对手掌、手指造成的伤害；围裙、套袖。</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套</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50</w:t>
            </w:r>
          </w:p>
        </w:tc>
        <w:tc>
          <w:tcPr>
            <w:tcW w:w="1690" w:type="dxa"/>
            <w:noWrap/>
            <w:vAlign w:val="center"/>
          </w:tcPr>
          <w:p>
            <w:pPr>
              <w:spacing w:line="360" w:lineRule="exact"/>
              <w:jc w:val="center"/>
              <w:rPr>
                <w:rFonts w:hint="eastAsia" w:ascii="仿宋" w:hAnsi="仿宋" w:eastAsia="仿宋"/>
                <w:bCs/>
                <w:color w:val="000000" w:themeColor="text1"/>
                <w:szCs w:val="21"/>
                <w:highlight w:val="none"/>
                <w:lang w:val="en-US" w:eastAsia="zh-CN"/>
              </w:rPr>
            </w:pPr>
            <w:r>
              <w:rPr>
                <w:rFonts w:hint="eastAsia" w:ascii="仿宋" w:hAnsi="仿宋" w:eastAsia="仿宋"/>
                <w:bCs/>
                <w:color w:val="000000" w:themeColor="text1"/>
                <w:szCs w:val="21"/>
                <w:highlight w:val="none"/>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44</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紧急救护箱</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紧急救护箱，配套铝合金箱体，箱内配备创可贴、三角巾、弹性绷带、纱布片、医用棉签、酒精棉片、金属绷带剪、不锈钢镊子、急救手册等30种专用紧急救护材料。</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套</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w:t>
            </w:r>
          </w:p>
        </w:tc>
        <w:tc>
          <w:tcPr>
            <w:tcW w:w="1690" w:type="dxa"/>
            <w:noWrap/>
            <w:vAlign w:val="center"/>
          </w:tcPr>
          <w:p>
            <w:pPr>
              <w:spacing w:line="360" w:lineRule="exact"/>
              <w:jc w:val="center"/>
              <w:rPr>
                <w:rFonts w:hint="eastAsia" w:ascii="仿宋" w:hAnsi="仿宋" w:eastAsia="仿宋"/>
                <w:bCs/>
                <w:color w:val="000000" w:themeColor="text1"/>
                <w:szCs w:val="21"/>
                <w:highlight w:val="none"/>
                <w:lang w:val="en-US" w:eastAsia="zh-CN"/>
              </w:rPr>
            </w:pPr>
            <w:r>
              <w:rPr>
                <w:rFonts w:hint="eastAsia" w:ascii="仿宋" w:hAnsi="仿宋" w:eastAsia="仿宋"/>
                <w:bCs/>
                <w:color w:val="000000" w:themeColor="text1"/>
                <w:szCs w:val="21"/>
                <w:highlight w:val="none"/>
                <w:lang w:val="en-US" w:eastAsia="zh-CN"/>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45</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水路改造</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Φ25国标PPR水管走明管上水及阀门，Φ50国标PVC水管走明管下水。</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m</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40</w:t>
            </w:r>
          </w:p>
        </w:tc>
        <w:tc>
          <w:tcPr>
            <w:tcW w:w="1690" w:type="dxa"/>
            <w:vAlign w:val="center"/>
          </w:tcPr>
          <w:p>
            <w:pPr>
              <w:spacing w:line="360" w:lineRule="exact"/>
              <w:jc w:val="center"/>
              <w:rPr>
                <w:rFonts w:hint="eastAsia" w:ascii="仿宋" w:hAnsi="仿宋" w:eastAsia="仿宋"/>
                <w:bCs/>
                <w:color w:val="000000" w:themeColor="text1"/>
                <w:szCs w:val="21"/>
                <w:highlight w:val="none"/>
                <w:lang w:val="en-US" w:eastAsia="zh-CN"/>
              </w:rPr>
            </w:pPr>
            <w:r>
              <w:rPr>
                <w:rFonts w:hint="eastAsia" w:ascii="仿宋" w:hAnsi="仿宋" w:eastAsia="仿宋"/>
                <w:bCs/>
                <w:color w:val="000000" w:themeColor="text1"/>
                <w:szCs w:val="21"/>
                <w:highlight w:val="none"/>
                <w:lang w:val="en-US"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46</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电路改造</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强电灯线及开关插座改造（PVC明线槽、2.5平方国标铜芯线）</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m</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73</w:t>
            </w:r>
          </w:p>
        </w:tc>
        <w:tc>
          <w:tcPr>
            <w:tcW w:w="1690" w:type="dxa"/>
            <w:vAlign w:val="center"/>
          </w:tcPr>
          <w:p>
            <w:pPr>
              <w:spacing w:line="360" w:lineRule="exact"/>
              <w:jc w:val="center"/>
              <w:rPr>
                <w:rFonts w:hint="eastAsia" w:ascii="仿宋" w:hAnsi="仿宋" w:eastAsia="仿宋"/>
                <w:bCs/>
                <w:color w:val="000000" w:themeColor="text1"/>
                <w:szCs w:val="21"/>
                <w:highlight w:val="none"/>
                <w:lang w:val="en-US" w:eastAsia="zh-CN"/>
              </w:rPr>
            </w:pPr>
            <w:r>
              <w:rPr>
                <w:rFonts w:hint="eastAsia" w:ascii="仿宋" w:hAnsi="仿宋" w:eastAsia="仿宋"/>
                <w:bCs/>
                <w:color w:val="000000" w:themeColor="text1"/>
                <w:szCs w:val="21"/>
                <w:highlight w:val="none"/>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47</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空间及课程文化深化设计</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1.依据馆室的招标设备及课程特点使用功能，对空间100</w:t>
            </w:r>
            <w:r>
              <w:rPr>
                <w:rFonts w:hint="eastAsia" w:ascii="仿宋" w:hAnsi="仿宋" w:eastAsia="仿宋" w:cs="宋体"/>
                <w:bCs/>
                <w:color w:val="000000" w:themeColor="text1"/>
                <w:szCs w:val="21"/>
                <w:highlight w:val="none"/>
              </w:rPr>
              <w:t>㎡</w:t>
            </w:r>
            <w:r>
              <w:rPr>
                <w:rFonts w:hint="eastAsia" w:ascii="仿宋" w:hAnsi="仿宋" w:eastAsia="仿宋" w:cs="仿宋_GB2312"/>
                <w:bCs/>
                <w:color w:val="000000" w:themeColor="text1"/>
                <w:szCs w:val="21"/>
                <w:highlight w:val="none"/>
              </w:rPr>
              <w:t>进行整体深化设计，包含空间整体布局优化设计、整体空间效果深化设计、空间功能分区规划设计；同时完成立面文化深化设计全流程工作，含立面文化主题定位、相关资料收集、内容梳理、文字编撰、资料整理、图文排版、视觉效果设计、立面造型设计、色彩方案设计及整体文化氛围营造设计。最终设计成果以满足教学使用功能、空间展示效果及文化氛围要求为标准。</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2.设计成果以满足教学使用功能、空间展示效果及文化氛围要求为目标，最终以甲方确认的深化设计方案及制作实施项目作为验收依据。</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项</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w:t>
            </w:r>
          </w:p>
        </w:tc>
        <w:tc>
          <w:tcPr>
            <w:tcW w:w="1690" w:type="dxa"/>
            <w:noWrap/>
            <w:vAlign w:val="center"/>
          </w:tcPr>
          <w:p>
            <w:pPr>
              <w:spacing w:line="360" w:lineRule="exact"/>
              <w:jc w:val="center"/>
              <w:rPr>
                <w:rFonts w:hint="eastAsia" w:ascii="仿宋" w:hAnsi="仿宋" w:eastAsia="仿宋"/>
                <w:bCs/>
                <w:color w:val="000000" w:themeColor="text1"/>
                <w:szCs w:val="21"/>
                <w:highlight w:val="none"/>
                <w:lang w:val="en-US" w:eastAsia="zh-CN"/>
              </w:rPr>
            </w:pPr>
            <w:r>
              <w:rPr>
                <w:rFonts w:hint="eastAsia" w:ascii="仿宋" w:hAnsi="仿宋" w:eastAsia="仿宋"/>
                <w:bCs/>
                <w:color w:val="000000" w:themeColor="text1"/>
                <w:szCs w:val="21"/>
                <w:highlight w:val="none"/>
                <w:lang w:val="en-US" w:eastAsia="zh-CN"/>
              </w:rPr>
              <w:t>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48</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前墙文化展示</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宣绒布UV；主标语15mm水晶一体板UV雕刻；10mm PVC高清uv：局部叠加</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vAlign w:val="center"/>
          </w:tcPr>
          <w:p>
            <w:pPr>
              <w:spacing w:line="360" w:lineRule="exact"/>
              <w:jc w:val="center"/>
              <w:rPr>
                <w:rFonts w:hint="default" w:ascii="仿宋" w:hAnsi="仿宋" w:eastAsia="仿宋"/>
                <w:bCs/>
                <w:color w:val="000000" w:themeColor="text1"/>
                <w:szCs w:val="21"/>
                <w:highlight w:val="none"/>
                <w:lang w:val="en-US" w:eastAsia="zh-CN"/>
              </w:rPr>
            </w:pPr>
            <w:r>
              <w:rPr>
                <w:rFonts w:hint="eastAsia" w:ascii="仿宋" w:hAnsi="仿宋" w:eastAsia="仿宋"/>
                <w:bCs/>
                <w:color w:val="000000" w:themeColor="text1"/>
                <w:szCs w:val="21"/>
                <w:highlight w:val="none"/>
                <w:lang w:val="en-US" w:eastAsia="zh-CN"/>
              </w:rPr>
              <w:t>35</w:t>
            </w:r>
          </w:p>
        </w:tc>
        <w:tc>
          <w:tcPr>
            <w:tcW w:w="1690" w:type="dxa"/>
            <w:vAlign w:val="center"/>
          </w:tcPr>
          <w:p>
            <w:pPr>
              <w:spacing w:line="360" w:lineRule="exact"/>
              <w:jc w:val="center"/>
              <w:rPr>
                <w:rFonts w:hint="eastAsia" w:ascii="仿宋" w:hAnsi="仿宋" w:eastAsia="仿宋"/>
                <w:bCs/>
                <w:color w:val="000000" w:themeColor="text1"/>
                <w:szCs w:val="21"/>
                <w:highlight w:val="none"/>
                <w:lang w:val="en-US" w:eastAsia="zh-CN"/>
              </w:rPr>
            </w:pPr>
            <w:r>
              <w:rPr>
                <w:rFonts w:hint="eastAsia" w:ascii="仿宋" w:hAnsi="仿宋" w:eastAsia="仿宋"/>
                <w:bCs/>
                <w:color w:val="000000" w:themeColor="text1"/>
                <w:szCs w:val="21"/>
                <w:highlight w:val="none"/>
                <w:lang w:val="en-US" w:eastAsia="zh-CN"/>
              </w:rPr>
              <w:t>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49</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前墙定制软木板展示</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6mm碎花软木板</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vAlign w:val="center"/>
          </w:tcPr>
          <w:p>
            <w:pPr>
              <w:spacing w:line="360" w:lineRule="exact"/>
              <w:jc w:val="center"/>
              <w:rPr>
                <w:rFonts w:hint="default" w:ascii="仿宋" w:hAnsi="仿宋" w:eastAsia="仿宋"/>
                <w:bCs/>
                <w:color w:val="000000" w:themeColor="text1"/>
                <w:szCs w:val="21"/>
                <w:highlight w:val="none"/>
                <w:lang w:val="en-US" w:eastAsia="zh-CN"/>
              </w:rPr>
            </w:pPr>
            <w:r>
              <w:rPr>
                <w:rFonts w:hint="eastAsia" w:ascii="仿宋" w:hAnsi="仿宋" w:eastAsia="仿宋"/>
                <w:bCs/>
                <w:color w:val="000000" w:themeColor="text1"/>
                <w:szCs w:val="21"/>
                <w:highlight w:val="none"/>
                <w:lang w:val="en-US" w:eastAsia="zh-CN"/>
              </w:rPr>
              <w:t>12</w:t>
            </w:r>
          </w:p>
        </w:tc>
        <w:tc>
          <w:tcPr>
            <w:tcW w:w="1690" w:type="dxa"/>
            <w:vAlign w:val="center"/>
          </w:tcPr>
          <w:p>
            <w:pPr>
              <w:spacing w:line="360" w:lineRule="exact"/>
              <w:jc w:val="center"/>
              <w:rPr>
                <w:rFonts w:hint="eastAsia" w:ascii="仿宋" w:hAnsi="仿宋" w:eastAsia="仿宋"/>
                <w:bCs/>
                <w:color w:val="000000" w:themeColor="text1"/>
                <w:szCs w:val="21"/>
                <w:highlight w:val="none"/>
                <w:lang w:val="en-US" w:eastAsia="zh-CN"/>
              </w:rPr>
            </w:pPr>
            <w:r>
              <w:rPr>
                <w:rFonts w:hint="eastAsia" w:ascii="仿宋" w:hAnsi="仿宋" w:eastAsia="仿宋"/>
                <w:bCs/>
                <w:color w:val="000000" w:themeColor="text1"/>
                <w:szCs w:val="21"/>
                <w:highlight w:val="none"/>
                <w:lang w:val="en-US" w:eastAsia="zh-CN"/>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50</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前墙定制毛毡展示</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毛毡</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vAlign w:val="center"/>
          </w:tcPr>
          <w:p>
            <w:pPr>
              <w:spacing w:line="360" w:lineRule="exact"/>
              <w:jc w:val="center"/>
              <w:rPr>
                <w:rFonts w:hint="eastAsia" w:ascii="仿宋" w:hAnsi="仿宋" w:eastAsia="仿宋"/>
                <w:bCs/>
                <w:color w:val="000000" w:themeColor="text1"/>
                <w:szCs w:val="21"/>
                <w:highlight w:val="none"/>
                <w:lang w:eastAsia="zh-CN"/>
              </w:rPr>
            </w:pPr>
            <w:r>
              <w:rPr>
                <w:rFonts w:hint="eastAsia" w:ascii="仿宋" w:hAnsi="仿宋" w:eastAsia="仿宋"/>
                <w:bCs/>
                <w:color w:val="000000" w:themeColor="text1"/>
                <w:szCs w:val="21"/>
                <w:highlight w:val="none"/>
                <w:lang w:val="en-US" w:eastAsia="zh-CN"/>
              </w:rPr>
              <w:t>6</w:t>
            </w:r>
          </w:p>
        </w:tc>
        <w:tc>
          <w:tcPr>
            <w:tcW w:w="1690" w:type="dxa"/>
            <w:vAlign w:val="center"/>
          </w:tcPr>
          <w:p>
            <w:pPr>
              <w:spacing w:line="360" w:lineRule="exact"/>
              <w:jc w:val="center"/>
              <w:rPr>
                <w:rFonts w:hint="eastAsia" w:ascii="仿宋" w:hAnsi="仿宋" w:eastAsia="仿宋"/>
                <w:bCs/>
                <w:color w:val="000000" w:themeColor="text1"/>
                <w:szCs w:val="21"/>
                <w:highlight w:val="none"/>
                <w:lang w:val="en-US" w:eastAsia="zh-CN"/>
              </w:rPr>
            </w:pPr>
            <w:r>
              <w:rPr>
                <w:rFonts w:hint="eastAsia" w:ascii="仿宋" w:hAnsi="仿宋" w:eastAsia="仿宋"/>
                <w:bCs/>
                <w:color w:val="000000" w:themeColor="text1"/>
                <w:szCs w:val="21"/>
                <w:highlight w:val="none"/>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51</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侧墙课程展示洞洞板</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定制洞洞板</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vAlign w:val="center"/>
          </w:tcPr>
          <w:p>
            <w:pPr>
              <w:spacing w:line="360" w:lineRule="exact"/>
              <w:jc w:val="center"/>
              <w:rPr>
                <w:rFonts w:hint="default" w:ascii="仿宋" w:hAnsi="仿宋" w:eastAsia="仿宋"/>
                <w:bCs/>
                <w:color w:val="000000" w:themeColor="text1"/>
                <w:szCs w:val="21"/>
                <w:highlight w:val="none"/>
                <w:lang w:val="en-US" w:eastAsia="zh-CN"/>
              </w:rPr>
            </w:pPr>
            <w:r>
              <w:rPr>
                <w:rFonts w:hint="eastAsia" w:ascii="仿宋" w:hAnsi="仿宋" w:eastAsia="仿宋"/>
                <w:bCs/>
                <w:color w:val="000000" w:themeColor="text1"/>
                <w:szCs w:val="21"/>
                <w:highlight w:val="none"/>
                <w:lang w:val="en-US" w:eastAsia="zh-CN"/>
              </w:rPr>
              <w:t>15</w:t>
            </w:r>
          </w:p>
        </w:tc>
        <w:tc>
          <w:tcPr>
            <w:tcW w:w="1690" w:type="dxa"/>
            <w:vAlign w:val="center"/>
          </w:tcPr>
          <w:p>
            <w:pPr>
              <w:spacing w:line="360" w:lineRule="exact"/>
              <w:jc w:val="center"/>
              <w:rPr>
                <w:rFonts w:hint="eastAsia" w:ascii="仿宋" w:hAnsi="仿宋" w:eastAsia="仿宋"/>
                <w:bCs/>
                <w:color w:val="000000" w:themeColor="text1"/>
                <w:szCs w:val="21"/>
                <w:highlight w:val="none"/>
                <w:lang w:val="en-US" w:eastAsia="zh-CN"/>
              </w:rPr>
            </w:pPr>
            <w:r>
              <w:rPr>
                <w:rFonts w:hint="eastAsia" w:ascii="仿宋" w:hAnsi="仿宋" w:eastAsia="仿宋"/>
                <w:bCs/>
                <w:color w:val="000000" w:themeColor="text1"/>
                <w:szCs w:val="21"/>
                <w:highlight w:val="none"/>
                <w:lang w:val="en-US"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52</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后墙文化背景壁布</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宣绒布uv，内容20mmpvc基底包宣绒布uv；步骤20mm pvc UV；立体字10mm透明亚克力UV</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20</w:t>
            </w:r>
          </w:p>
        </w:tc>
        <w:tc>
          <w:tcPr>
            <w:tcW w:w="1690" w:type="dxa"/>
            <w:vAlign w:val="center"/>
          </w:tcPr>
          <w:p>
            <w:pPr>
              <w:spacing w:line="360" w:lineRule="exact"/>
              <w:jc w:val="center"/>
              <w:rPr>
                <w:rFonts w:hint="eastAsia" w:ascii="仿宋" w:hAnsi="仿宋" w:eastAsia="仿宋"/>
                <w:bCs/>
                <w:color w:val="000000" w:themeColor="text1"/>
                <w:szCs w:val="21"/>
                <w:highlight w:val="none"/>
                <w:lang w:val="en-US" w:eastAsia="zh-CN"/>
              </w:rPr>
            </w:pPr>
            <w:r>
              <w:rPr>
                <w:rFonts w:hint="eastAsia" w:ascii="仿宋" w:hAnsi="仿宋" w:eastAsia="仿宋"/>
                <w:bCs/>
                <w:color w:val="000000" w:themeColor="text1"/>
                <w:szCs w:val="21"/>
                <w:highlight w:val="none"/>
                <w:lang w:val="en-US" w:eastAsia="zh-CN"/>
              </w:rPr>
              <w:t>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14174" w:type="dxa"/>
            <w:gridSpan w:val="6"/>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rPr>
              <w:t>3、火星实验室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53</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教师演示台</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 xml:space="preserve">产品规格：外形尺寸1200×900×800mm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1、台面：尺寸1200×900mm，木质防刮台面。配有可升降显示器结构箱体，屏面采用钢化玻璃防护，可根据教师需求调整观看视角。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2、桌身：全钢结构主体，木结构包角，有效散热、防护。柜体配防盗锁具，操作简单、便捷；柜内托盘可任意调节高度，承重能力强。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3、滑道：静音导轨，抽拉顺滑、无异响。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4、铰链：采用优质铰链，开合十万次不变形。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5、脚垫：采用可调节ABS脚垫，旋转升降，适用于不同地面环境。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6、优质五金配件：可对整体操作台的组装起到连接及加固作用。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7、内置电脑配置：I7处理器，8G内存，512G固态硬盘，19寸液晶显示器，配套键盘鼠标。</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套</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8210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54</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多功能学生操作台</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 xml:space="preserve">产品规格：外形尺寸1200*1200*750mm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1、台面：环保E1级三聚氰胺饰面板，尺寸1200×1200mm，整体厚度50mm。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2、桌腿：经典口字桌腿设计，采用60×60mm方钢，钢管壁管厚度1.2mm；桌腿一体化焊接、外表烤漆工艺，坚固耐久。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3、脚垫：采用可调节ABS脚垫，旋转升降，适用于不同地面环境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4、桌垫：pvc材质透明桌面，有效保护桌面。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5、显示器：不低于23寸液晶显示器2台，配套显示器固定架。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6、线材：高清信号数据传输线2根，高纯度无氧铜标准芯线；国标纯铜三芯电源线。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7、桌面台架：优质铝合金材质，根据教学需求定制。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8、优质五金配件：可对整体操作台的组装起到连接及加固作用。</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套</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8</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7000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55</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学生坐凳</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 xml:space="preserve">产品规格：Φ350×420mm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1、凳面：直径350mm，优质玻璃钢材质。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2、支撑杆：采用螺旋式升降杆，更安全耐用，承重不小于150kg。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3、脚垫：优质钢管电镀五星脚，结构稳固。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4、脚垫：PP塑料底座，镀锌螺丝连接部件，耐磨防刮，即装即用。</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把</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24</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56</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定制边柜组合</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 xml:space="preserve">产品规格：外形尺寸2400×600×800mm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1、台面：尺寸2400×600mm， 采用优质环保E1级三聚氰胺饰面板，四周边缘精致打磨倒角处理，防腐蚀、防静电、耐磨抗污染等特性。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2、柜身：18mm厚优质环保E1级三聚氰胺饰面板，2mmPVC封条，热熔胶封边，耐磨、防水。组装后接缝严密、牢固无松动现象不变型，美观耐用。</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3、脚垫：采用可调节ABS脚垫，旋转升降，适用于不同地面环境。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4、优质五金配件：可对整体操作台的组装起到连接及加固作用。</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组</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57</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星球重力模拟装置</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 xml:space="preserve">不同星球的引力场强不同，星球重力模拟装置模拟了当你身处太阳系8大行星时感受到的不同重力。例如相同质量的物体在火星上重量只有地球上该物体重量的38%，因此在火星上时你将感觉比地球上更加轻盈，而当你在木星上时，由于木星强大的引力，你将明显感觉更加费力。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星球重力模拟装置基于8大行星引力大小的比例配备了8个铝箱，铝箱是你开启星际旅行的行李箱。首先拉拽你在地球上的行李箱，你将带着这个行李箱开启星际旅行。第一站，抵达火星，请你拉拽火星对应的行李箱，火星上的行李箱明显比地球上的行李箱轻盈很多；第二站，抵达金星……依次通过拉拽不同星球对应的行李箱，感受不同的星球重力的变化。  </w:t>
            </w:r>
          </w:p>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1.规格尺寸3000*2700*300mm；</w:t>
            </w:r>
          </w:p>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2.定制星球配重铝箱*8；</w:t>
            </w:r>
          </w:p>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3.金属桁架。采用白色喷漆。</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套</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58000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58</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《火星2号植物舱设计》（高阶）</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课程资源包应包含如下内容：</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1.课程是以在火星建设密闭植物舱为目标的航天STEM课程。火星植物舱以生物圈2号以及月宫一号为原型，基于Arduino编程的mini模拟航天生命保障系统，结合生物学、Arduino编程、电子技术及航天工程于一体。学生可通过Arduino编程控制火星植物舱内部温度、湿度、气体浓度等变化，使得植物在火星植物舱内顺利生长。</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2.课程由完整的教案，PPT课件，视频资源等组成。</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3.课程不少于10个章节。</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套</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59</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芯片农场</w:t>
            </w:r>
          </w:p>
        </w:tc>
        <w:tc>
          <w:tcPr>
            <w:tcW w:w="7122" w:type="dxa"/>
            <w:vAlign w:val="center"/>
          </w:tcPr>
          <w:p>
            <w:pPr>
              <w:spacing w:line="360" w:lineRule="exac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 xml:space="preserve">以月宫一号为原型，将生物技术与工程控制技术有机结合，采用计算机编程显示环境温湿度技术参数，实时检测植物生长环境。该装置同时也是学生开展太空种植探究提供实验场所，学生选取指定种植区域，种植太空植物，观察并记录植物的生长，可与学校科学课程与劳动教育密切结合。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一、模拟太空空间站的构件  采用抗腐蚀的航空铝合金材料作为框架，同时具备良好的可拓展性。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航空铝型材规格：欧标4080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连接件：4040内直角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尺寸：长6米*宽0.45米*高 2.2米（定制产品，尺寸会根据实际情况调整）。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二、光照系统  光照环境是植物生长发育不可缺少的重要物理环境因素之一，在未来空间种植或者月球基地、火星基地中，都将配置可控的光照系统。通过光质调节，控制植株生长是未来建设航天生命保障系统中的一项重要技术。在该系统中采用全光谱+660n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1.电压：220V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2.功率：200W/块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3.灯数：510PCS/块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4.光合光子通量密度（PPFD):700-1200umol/m2s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5.照度E(lx):66.66K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6.特点一：波长类型丰富，与植物光合作用的光谱范围相吻合；特点二：光照强强度可控，不仅可以调节作物开花与结实，而且还能控制株高和植物的营养成分；特点三：相比普通植物灯，LED 植物生长灯发热少，占用空间小，可方便应用于多层立体栽培场合；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三、循环系统  采用全铜无刷电机，实现系统的水循环。泵采用耐腐蚀的多种进口材料合成，具有自吸功能、热保护、运转平稳、可以长时间连续空转、可以长时间连续负载运转，体积小、电流小、压力大、噪音低、使用寿命长、设计精致、物美价廉等优点，具有耐油、耐热、耐酸、耐碱、耐腐蚀、耐化学品等性能。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1.采用水泵实现水循环；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2.工作电源：12V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3.工作功率：8W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4.最大流量：10L/分钟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5.尺寸：</w:t>
            </w:r>
            <w:r>
              <w:rPr>
                <w:rFonts w:hint="eastAsia" w:ascii="仿宋" w:hAnsi="仿宋" w:eastAsia="仿宋"/>
                <w:bCs/>
                <w:color w:val="000000" w:themeColor="text1"/>
                <w:szCs w:val="21"/>
                <w:highlight w:val="none"/>
                <w:lang w:val="en-US" w:eastAsia="zh-CN"/>
              </w:rPr>
              <w:t>约</w:t>
            </w:r>
            <w:r>
              <w:rPr>
                <w:rFonts w:hint="eastAsia" w:ascii="仿宋" w:hAnsi="仿宋" w:eastAsia="仿宋"/>
                <w:bCs/>
                <w:color w:val="000000" w:themeColor="text1"/>
                <w:szCs w:val="21"/>
                <w:highlight w:val="none"/>
              </w:rPr>
              <w:t xml:space="preserve">80*48*70（mm)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6.数量： 1套。</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套</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145000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60</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芯片农场物联网云平台</w:t>
            </w:r>
          </w:p>
        </w:tc>
        <w:tc>
          <w:tcPr>
            <w:tcW w:w="7122" w:type="dxa"/>
            <w:vAlign w:val="center"/>
          </w:tcPr>
          <w:p>
            <w:pPr>
              <w:spacing w:line="360" w:lineRule="exac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 xml:space="preserve">物联网云平台运用传感器和通信网络实现芯片农场环境的智能感知、智能分析、智能预警和智能决策。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1、实时数据：登陆电脑端云平台可查看各监测参数的实时数据；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2、历史数据：历史数据支持设定所有的参数查询和导出，数据自动生成历史曲线图，便于用户分析；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3、视频监控：支持海康威视-萤石云摄像头，实时查看现场画面，支持查看历史视频监控；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4、远程控制：借助平台的实时监测数据，来远程控制生产现场的灌溉、通风、降温、增温等设施设备；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主要环境参数：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大气环境信息：温湿度、光照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土壤环境信息：土壤温度、土壤PH值。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水体环境信息：水质PH</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套</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82000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61</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芯片农场环境监测系统</w:t>
            </w:r>
          </w:p>
        </w:tc>
        <w:tc>
          <w:tcPr>
            <w:tcW w:w="7122" w:type="dxa"/>
            <w:vAlign w:val="center"/>
          </w:tcPr>
          <w:p>
            <w:pPr>
              <w:spacing w:line="360" w:lineRule="exac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 xml:space="preserve">该系统基于Arduino开源平台的物联网控制系统，通过温湿度传感器实时监测环境的温湿度，当环境温湿度达到设定阈值，例如高于植物生长能承受的最高温度或者最低温度时，将发出警报。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1.基于Arduino编程的控制系统，可以实验室显示环境温湿度；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2.硬件包含：Arduino板、拓展版、定制亚克力板、降压模块、蜂鸣器等电子模块。</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套</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62</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植株</w:t>
            </w:r>
          </w:p>
        </w:tc>
        <w:tc>
          <w:tcPr>
            <w:tcW w:w="7122" w:type="dxa"/>
            <w:vAlign w:val="center"/>
          </w:tcPr>
          <w:p>
            <w:pPr>
              <w:spacing w:line="360" w:lineRule="exac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 xml:space="preserve">1.配备5种植物，例如薄荷、芹菜、罗勒、草莓、空心菜。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2.数量约500株。</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套</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63</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植物种植配件</w:t>
            </w:r>
          </w:p>
        </w:tc>
        <w:tc>
          <w:tcPr>
            <w:tcW w:w="7122" w:type="dxa"/>
            <w:vAlign w:val="center"/>
          </w:tcPr>
          <w:p>
            <w:pPr>
              <w:spacing w:line="360" w:lineRule="exac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1.定制篮约500个，定制棉约500个。  2.植物营养液10瓶。  3.定制育苗箱1个，尺寸约39*25*23CM。</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套</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5200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64</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《火星探索系列课程》(初阶)</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课程资源包应包含如下内容：</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1.课程通过视频、图片等带领学生围绕“如何拯救遗 落在火星上的宇航员”而展开，以科学思维训练和能力培养为目标。</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3.课程10个章节。</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套</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17000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65</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全地貌火星探测器</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全地貌火星探测器包含行走机构、能源系统、控制系统以及探测系统。车轮采用3D打印。控制系统采用开源平台Arduino设计而成，可以控制火星车完成各种指令或是任务。探测系统包含摄像头、机械臂等。可以遥控火星车按照指定路线行驶，并且利用机械臂抓取物体。整体尺寸宽（展翼后）不小于75.5cm*长56cm*高55.5cm；主体材质：2020铝型材、135度角码、直角角码等结构件；火星车控制系统，基于开源平台控制；火星车转向系统，采用3D打印车轮。</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台</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66</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天问一号火星车模型</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月球车机械臂套装包括月球车行走机构、月球车控制系统及月球车机械臂系统及各种结构件等，配合课程设置实验活动，帮助学生认识月球车的结构，月球车的功能、机械臂系统及月球车的任务等。提高学生动手能力，创新能力和合作能力。</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1.火星车的长度约350mm，宽度约320mm，高度约300mm；</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2.火星车整体材质为PLA，良好的抗腐蚀性、韧性高及加工后不变形等特点；</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3.火星车具有部分可定义性，比如车轮、外挂装饰件等不影响月球车功能的部分可以进行三维建模及3D建模；</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4.核心处理模块完全计算机编程，可以进行Arduino ide、Mind+等编程教学。</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套</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67</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火星车课程资源包</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套装包括无线电报机、太阳能电站、太阳能小车、陨石探测器、空间站模拟装置。</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1.各个项目配有学具材料包，PLA材料；</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2.太阳能小车、太阳能电站都是由太阳能发电，都配有太阳能板；</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3.无线电报机、陨石探测器涉及到基本电路，配备有两节电池盒，响应功能元器件等；</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4.空间站模拟装置配有Arduino板等编程所用元器件，配备有完整程序的主板、不需额外编程。同时配备温湿度传感器、无源蜂鸣器等元器件。</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5.完善的各种组装手册。</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套</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10</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68</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水路改造</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Φ25国标PPR水管走明管上水及阀门，Φ50国标PVC水管走明管下水。</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m</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45</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69</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电路改造</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强电灯线及开关插座改造（PVC明线槽、2.5平方国标铜芯线）</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m</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55</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70</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空间及课程文化深化设计</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1.依据馆室的招标设备及课程特点使用功能，对空间145</w:t>
            </w:r>
            <w:r>
              <w:rPr>
                <w:rFonts w:hint="eastAsia" w:ascii="仿宋" w:hAnsi="仿宋" w:eastAsia="仿宋" w:cs="宋体"/>
                <w:bCs/>
                <w:color w:val="000000" w:themeColor="text1"/>
                <w:szCs w:val="21"/>
                <w:highlight w:val="none"/>
              </w:rPr>
              <w:t>㎡</w:t>
            </w:r>
            <w:r>
              <w:rPr>
                <w:rFonts w:hint="eastAsia" w:ascii="仿宋" w:hAnsi="仿宋" w:eastAsia="仿宋" w:cs="仿宋_GB2312"/>
                <w:bCs/>
                <w:color w:val="000000" w:themeColor="text1"/>
                <w:szCs w:val="21"/>
                <w:highlight w:val="none"/>
              </w:rPr>
              <w:t>进行整体深化设计，包含空间整体布局优化设计、整体空间效果深化设计、空间功能分区规划设计；同时完成立面文化深化设计全流程工作，含立面文化主题定位、相关资料收集、内容梳理、文字编撰、资料整理、图文排版、视觉效果设计、立面造型设计、色彩方案设计及整体文化氛围营造设计。最终设计成果以满足教学使用功能、空间展示效果及文化氛围要求为标准。</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2.设计成果以满足教学使用功能、空间展示效果及文化氛围要求为目标，最终以甲方确认的深化设计方案及制作实施项目作为验收依据。</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项</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71</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前墙定制背景壁布</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宣绒布UV</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40</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72</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前墙主标语设计</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10mmPVC雕刻</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7</w:t>
            </w:r>
            <w:r>
              <w:rPr>
                <w:rFonts w:hint="eastAsia" w:ascii="仿宋" w:hAnsi="仿宋" w:eastAsia="仿宋"/>
                <w:bCs/>
                <w:color w:val="000000" w:themeColor="text1"/>
                <w:szCs w:val="21"/>
                <w:highlight w:val="none"/>
              </w:rPr>
              <w:t>.5</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73</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前墙异形白板展示</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磁吸白板</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vAlign w:val="center"/>
          </w:tcPr>
          <w:p>
            <w:pPr>
              <w:spacing w:line="360" w:lineRule="exact"/>
              <w:jc w:val="center"/>
              <w:rPr>
                <w:rFonts w:hint="default" w:ascii="仿宋" w:hAnsi="仿宋" w:eastAsia="仿宋"/>
                <w:bCs/>
                <w:color w:val="000000" w:themeColor="text1"/>
                <w:szCs w:val="21"/>
                <w:highlight w:val="none"/>
                <w:lang w:val="en-US" w:eastAsia="zh-CN"/>
              </w:rPr>
            </w:pPr>
            <w:r>
              <w:rPr>
                <w:rFonts w:hint="eastAsia" w:ascii="仿宋" w:hAnsi="仿宋" w:eastAsia="仿宋"/>
                <w:bCs/>
                <w:color w:val="000000" w:themeColor="text1"/>
                <w:szCs w:val="21"/>
                <w:highlight w:val="none"/>
                <w:lang w:val="en-US" w:eastAsia="zh-CN"/>
              </w:rPr>
              <w:t>16</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74</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前墙定制软木板装饰</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6mm碎花软木板</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4</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75</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侧墙文化背景壁布</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宣绒布UV</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16</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76</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侧墙洞洞板展示</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10mm洞洞板</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vAlign w:val="center"/>
          </w:tcPr>
          <w:p>
            <w:pPr>
              <w:spacing w:line="360" w:lineRule="exact"/>
              <w:jc w:val="center"/>
              <w:rPr>
                <w:rFonts w:hint="eastAsia" w:ascii="仿宋" w:hAnsi="仿宋" w:eastAsia="仿宋" w:cs="宋体"/>
                <w:bCs/>
                <w:color w:val="000000" w:themeColor="text1"/>
                <w:szCs w:val="21"/>
                <w:highlight w:val="none"/>
              </w:rPr>
            </w:pPr>
            <w:r>
              <w:rPr>
                <w:rFonts w:hint="eastAsia" w:ascii="仿宋" w:hAnsi="仿宋" w:eastAsia="仿宋" w:cs="宋体"/>
                <w:bCs/>
                <w:color w:val="000000" w:themeColor="text1"/>
                <w:szCs w:val="21"/>
                <w:highlight w:val="none"/>
                <w:lang w:val="en-US" w:eastAsia="zh-CN"/>
              </w:rPr>
              <w:t>12</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77</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侧墙三棱互动</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金属转轴固定+PVC拼接+车贴uv(尺寸约0.8*0.2m)</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个</w:t>
            </w:r>
          </w:p>
        </w:tc>
        <w:tc>
          <w:tcPr>
            <w:tcW w:w="1000" w:type="dxa"/>
            <w:vAlign w:val="center"/>
          </w:tcPr>
          <w:p>
            <w:pPr>
              <w:spacing w:line="360" w:lineRule="exact"/>
              <w:jc w:val="center"/>
              <w:rPr>
                <w:rFonts w:hint="eastAsia" w:ascii="仿宋" w:hAnsi="仿宋" w:eastAsia="仿宋" w:cs="宋体"/>
                <w:bCs/>
                <w:color w:val="000000" w:themeColor="text1"/>
                <w:szCs w:val="21"/>
                <w:highlight w:val="none"/>
              </w:rPr>
            </w:pPr>
            <w:r>
              <w:rPr>
                <w:rFonts w:hint="eastAsia" w:ascii="仿宋" w:hAnsi="仿宋" w:eastAsia="仿宋" w:cs="宋体"/>
                <w:bCs/>
                <w:color w:val="000000" w:themeColor="text1"/>
                <w:szCs w:val="21"/>
                <w:highlight w:val="none"/>
                <w:lang w:val="en-US" w:eastAsia="zh-CN"/>
              </w:rPr>
              <w:t>16</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78</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侧墙定制标语</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15mmPVC基底 裹宣绒布UV+10mm瓷白亚克力</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vAlign w:val="center"/>
          </w:tcPr>
          <w:p>
            <w:pPr>
              <w:spacing w:line="360" w:lineRule="exact"/>
              <w:jc w:val="center"/>
              <w:rPr>
                <w:rFonts w:hint="eastAsia" w:ascii="仿宋" w:hAnsi="仿宋" w:eastAsia="仿宋" w:cs="宋体"/>
                <w:bCs/>
                <w:color w:val="000000" w:themeColor="text1"/>
                <w:szCs w:val="21"/>
                <w:highlight w:val="none"/>
              </w:rPr>
            </w:pPr>
            <w:r>
              <w:rPr>
                <w:rFonts w:hint="eastAsia" w:ascii="仿宋" w:hAnsi="仿宋" w:eastAsia="仿宋" w:cs="宋体"/>
                <w:bCs/>
                <w:color w:val="000000" w:themeColor="text1"/>
                <w:szCs w:val="21"/>
                <w:highlight w:val="none"/>
                <w:lang w:val="en-US" w:eastAsia="zh-CN"/>
              </w:rPr>
              <w:t>14</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79</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后墙文化展示</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宣绒布uv；20mmpvc UV；10mm水晶一体板</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vAlign w:val="center"/>
          </w:tcPr>
          <w:p>
            <w:pPr>
              <w:spacing w:line="360" w:lineRule="exact"/>
              <w:jc w:val="center"/>
              <w:rPr>
                <w:rFonts w:hint="eastAsia" w:ascii="仿宋" w:hAnsi="仿宋" w:eastAsia="仿宋" w:cs="宋体"/>
                <w:bCs/>
                <w:color w:val="000000" w:themeColor="text1"/>
                <w:szCs w:val="21"/>
                <w:highlight w:val="none"/>
              </w:rPr>
            </w:pPr>
            <w:r>
              <w:rPr>
                <w:rFonts w:hint="eastAsia" w:ascii="仿宋" w:hAnsi="仿宋" w:eastAsia="仿宋" w:cs="宋体"/>
                <w:bCs/>
                <w:color w:val="000000" w:themeColor="text1"/>
                <w:szCs w:val="21"/>
                <w:highlight w:val="none"/>
                <w:lang w:val="en-US" w:eastAsia="zh-CN"/>
              </w:rPr>
              <w:t>20</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580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80</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后墙定制软木板</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6mm碎花软木板</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vAlign w:val="center"/>
          </w:tcPr>
          <w:p>
            <w:pPr>
              <w:spacing w:line="360" w:lineRule="exact"/>
              <w:jc w:val="center"/>
              <w:rPr>
                <w:rFonts w:hint="eastAsia" w:ascii="仿宋" w:hAnsi="仿宋" w:eastAsia="仿宋" w:cs="宋体"/>
                <w:bCs/>
                <w:color w:val="000000" w:themeColor="text1"/>
                <w:szCs w:val="21"/>
                <w:highlight w:val="none"/>
              </w:rPr>
            </w:pPr>
            <w:r>
              <w:rPr>
                <w:rFonts w:hint="eastAsia" w:ascii="仿宋" w:hAnsi="仿宋" w:eastAsia="仿宋" w:cs="宋体"/>
                <w:bCs/>
                <w:color w:val="000000" w:themeColor="text1"/>
                <w:szCs w:val="21"/>
                <w:highlight w:val="none"/>
                <w:lang w:val="en-US" w:eastAsia="zh-CN"/>
              </w:rPr>
              <w:t>18</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81</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小房间磁吸白板墙</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磁吸白板</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noWrap/>
            <w:vAlign w:val="center"/>
          </w:tcPr>
          <w:p>
            <w:pPr>
              <w:spacing w:line="360" w:lineRule="exact"/>
              <w:jc w:val="center"/>
              <w:rPr>
                <w:rFonts w:hint="eastAsia" w:ascii="仿宋" w:hAnsi="仿宋" w:eastAsia="仿宋" w:cs="宋体"/>
                <w:bCs/>
                <w:color w:val="000000" w:themeColor="text1"/>
                <w:szCs w:val="21"/>
                <w:highlight w:val="none"/>
              </w:rPr>
            </w:pPr>
            <w:r>
              <w:rPr>
                <w:rFonts w:hint="eastAsia" w:ascii="仿宋" w:hAnsi="仿宋" w:eastAsia="仿宋" w:cs="宋体"/>
                <w:bCs/>
                <w:color w:val="000000" w:themeColor="text1"/>
                <w:szCs w:val="21"/>
                <w:highlight w:val="none"/>
                <w:lang w:val="en-US" w:eastAsia="zh-CN"/>
              </w:rPr>
              <w:t>10</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82</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小房间标语墙氛围营造</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10mmPVC雕刻uv</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noWrap/>
            <w:vAlign w:val="center"/>
          </w:tcPr>
          <w:p>
            <w:pPr>
              <w:spacing w:line="360" w:lineRule="exact"/>
              <w:jc w:val="center"/>
              <w:rPr>
                <w:rFonts w:hint="eastAsia" w:ascii="仿宋" w:hAnsi="仿宋" w:eastAsia="仿宋" w:cs="宋体"/>
                <w:bCs/>
                <w:color w:val="000000" w:themeColor="text1"/>
                <w:szCs w:val="21"/>
                <w:highlight w:val="none"/>
              </w:rPr>
            </w:pPr>
            <w:r>
              <w:rPr>
                <w:rFonts w:hint="eastAsia" w:ascii="仿宋" w:hAnsi="仿宋" w:eastAsia="仿宋" w:cs="宋体"/>
                <w:bCs/>
                <w:color w:val="000000" w:themeColor="text1"/>
                <w:szCs w:val="21"/>
                <w:highlight w:val="none"/>
                <w:lang w:val="en-US" w:eastAsia="zh-CN"/>
              </w:rPr>
              <w:t>16</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83</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空间标语</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10mmPVC雕刻uv</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noWrap/>
            <w:vAlign w:val="center"/>
          </w:tcPr>
          <w:p>
            <w:pPr>
              <w:spacing w:line="360" w:lineRule="exact"/>
              <w:jc w:val="center"/>
              <w:rPr>
                <w:rFonts w:hint="eastAsia" w:ascii="仿宋" w:hAnsi="仿宋" w:eastAsia="仿宋" w:cs="宋体"/>
                <w:bCs/>
                <w:color w:val="000000" w:themeColor="text1"/>
                <w:szCs w:val="21"/>
                <w:highlight w:val="none"/>
              </w:rPr>
            </w:pPr>
            <w:r>
              <w:rPr>
                <w:rFonts w:hint="eastAsia" w:ascii="仿宋" w:hAnsi="仿宋" w:eastAsia="仿宋" w:cs="宋体"/>
                <w:bCs/>
                <w:color w:val="000000" w:themeColor="text1"/>
                <w:szCs w:val="21"/>
                <w:highlight w:val="none"/>
              </w:rPr>
              <w:t>7.5</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14174" w:type="dxa"/>
            <w:gridSpan w:val="6"/>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rPr>
              <w:t>4、植染空间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84</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学生操作台</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 xml:space="preserve">产品规格：外形尺寸1200×1200×750mm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1、台面：实木板台面，尺寸1200×1200mm，厚度20mm，采用中国传统清漆或生漆，漆面光洁，经久耐用、绿色环保，边角打磨圆润，有效防止磕碰，预留榫卯链接孔位，便于组配安装。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2、桌腿：实木材质，根据深化设计方案镂花边框设计，马蹄脚一体成型，中式典雅，大方美观，木方桌腿尺寸60×60mm，预留榫卯链接孔位，便于组配安装。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3、桌垫：订制透明钢化玻璃桌垫，尺寸1200×1200mm，厚度6mm，防刮、耐高温，磨边圆角。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4、脚垫：防滑脚垫，有效静音、防护地面。</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张</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8</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3530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85</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学生坐凳</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 xml:space="preserve">产品规格：外形尺寸350×250×400mm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1、凳面：实木凳面，尺寸350×250mm，厚度20mm，采用中国传统清漆或生漆，漆面光洁，经久耐用、绿色环保，边角打磨圆润，有效防止磕碰，预留榫卯链接孔位，便于组配安装。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2、凳腿：实木材质，木方凳腿尺寸不小于40×40mm，预留榫卯链接孔位，便于组配安装。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3、脚垫：防滑脚垫，有效静音、防护地面。</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把</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32</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86</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收纳手推车</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 xml:space="preserve">产品规格：1200×400×800mm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1、柜体：实木材质，采用中国传统清漆或生漆，漆面光洁，经久耐用、绿色环保，边角打磨圆润，有效防止磕碰，预留榫卯链接孔位，便于组配安装。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2、脚轮：优质静音万向滑轮，方便移动。</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个</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4</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87</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多功能材料柜</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 xml:space="preserve">产品规格：1300×450×900mm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1、柜体：环保E1级三聚氰胺饰面板，2mmPVC封条，热熔胶封边，耐磨、防水。组装后接缝严密、牢固无松动现象不变型，美观耐用。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2、收纳盒：环保PE材质，380×300×100mm，一体成型边缘光滑无毛刺，圆角设计，承重能力强，颜色根基深化设计方案订制。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3、导轨：环保PP材质，380×15mmm封口导轨，厚度3mm，有效美观固定收纳盒。</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张</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4</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3800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88</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定制收纳组合</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 xml:space="preserve">产品规格：外形尺寸2400×600×800mm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1、台面：尺寸2400×600mm， 采用优质环保E1级三聚氰胺饰面板，四周边缘精致打磨倒角处理，防腐蚀、防静电、耐磨抗污染等特性。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2、柜身：18mm厚优质环保E1级三聚氰胺饰面板，2mmPVC封条，热熔胶封边，耐磨、防水。组装后接缝严密、牢固无松动现象不变型，美观耐用。</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3、脚垫：采用可调节ABS脚垫，旋转升降，适用于不同地面环境。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4、优质五金配件：可对整体操作台的组装起到连接及加固作用。</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组</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89</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电子秤</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ABS材质，克和盎司转换，可更换电池，5kg/1g。</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台</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10</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90</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水盆</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优质PP材质，32.5*25*10cm。</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个</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10</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91</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水桶</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塑料材质，20*17*24cm。</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个</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10</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92</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塑封袋</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塑料材质，20*20cm100个。</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包</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15</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93</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A字夹</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4寸橘色A字夹。</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个</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50</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94</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长尾夹</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彩色长尾夹4号25MM(48个/桶）。</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盒</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10</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95</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竹夹</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20个装/包。</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包</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25</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96</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弹珠</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透明玻璃弹珠，14mm420粒。</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包</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97</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针</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50根/包，配有13针插。</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套</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98</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扎染线</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棉蜡线本白色2x3棉蜡线（800米）。</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只</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20</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99</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剪刀</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不锈钢直头剪4号13cm。</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把</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25</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100</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水消笔</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青色墨水消笔。</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个</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50</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101</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橡皮筋</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粗1.5mm，直径6厘米。</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斤</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5</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102</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冰糕棒</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夹染创作的重要工具，114*10*2mm，50支装。</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捆</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20</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103</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竹筷</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4.5*19.5,100支装。</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包</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20</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104</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棉绳</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3mm，100m。</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卷</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6</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105</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棉线</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大卷粗棉线 原白色。</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卷</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6</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106</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防护手套</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成人，优质塑料材质，每包100只。可有效防止双手染色。</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包</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15</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107</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夹板套件</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三角形、正方形、菱形、长方形等夹板一套。</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套</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30</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108</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中号工具收纳箱</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专用收纳盒，PP聚丙烯塑料材质，外形尺寸长40cmx宽31cmx深15cm，用于存放周转教师、学生常用、备用的中小号工具、物料、器材、辅料、木料等，摆放于教师工具柜及学生工具柜内</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个</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30</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109</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衣架</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36cm，金属加浸塑纳米防滑衣架，用于挂围裙，T恤等扎染作品。</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个</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20</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110</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棉布</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纯棉白布，宽度30cm。</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米</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100</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111</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T恤</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纯棉白色T恤,200g加厚面料，满足110-130米学生着装。</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件</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100</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112</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方巾</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纯棉白色方巾，30*30cm。</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块</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100</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113</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扎染颜料</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1000克蓝靛泥+100克助染剂+250克还原剂。</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套</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100</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114</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扎染颜料</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扎染液体染料100ml/瓶，一套共6色。</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套</w:t>
            </w:r>
          </w:p>
        </w:tc>
        <w:tc>
          <w:tcPr>
            <w:tcW w:w="1000" w:type="dxa"/>
            <w:vAlign w:val="center"/>
          </w:tcPr>
          <w:p>
            <w:pPr>
              <w:spacing w:line="360" w:lineRule="exact"/>
              <w:jc w:val="center"/>
              <w:rPr>
                <w:rFonts w:hint="eastAsia" w:ascii="仿宋" w:hAnsi="仿宋" w:eastAsia="仿宋"/>
                <w:bCs/>
                <w:color w:val="000000" w:themeColor="text1"/>
                <w:szCs w:val="21"/>
                <w:highlight w:val="none"/>
                <w:lang w:val="en-US" w:eastAsia="zh-CN"/>
              </w:rPr>
            </w:pPr>
            <w:r>
              <w:rPr>
                <w:rFonts w:hint="eastAsia" w:ascii="仿宋" w:hAnsi="仿宋" w:eastAsia="仿宋"/>
                <w:bCs/>
                <w:color w:val="000000" w:themeColor="text1"/>
                <w:szCs w:val="21"/>
                <w:highlight w:val="none"/>
                <w:lang w:val="en-US" w:eastAsia="zh-CN"/>
              </w:rPr>
              <w:t>100</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115</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夹扎工具套装</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尺寸：36cm*34 cm进口俄罗斯桦木夹板；木材表面水性清漆处理；手拎式携抽拉式箱体结构，含9种不同造型的夹扎工具套件</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套</w:t>
            </w:r>
          </w:p>
        </w:tc>
        <w:tc>
          <w:tcPr>
            <w:tcW w:w="1000" w:type="dxa"/>
            <w:noWrap/>
            <w:vAlign w:val="center"/>
          </w:tcPr>
          <w:p>
            <w:pPr>
              <w:spacing w:line="360" w:lineRule="exact"/>
              <w:jc w:val="center"/>
              <w:rPr>
                <w:rFonts w:hint="eastAsia" w:ascii="仿宋" w:hAnsi="仿宋" w:eastAsia="仿宋"/>
                <w:bCs/>
                <w:color w:val="000000" w:themeColor="text1"/>
                <w:szCs w:val="21"/>
                <w:highlight w:val="none"/>
                <w:lang w:val="en-US" w:eastAsia="zh-CN"/>
              </w:rPr>
            </w:pPr>
            <w:r>
              <w:rPr>
                <w:rFonts w:hint="eastAsia" w:ascii="仿宋" w:hAnsi="仿宋" w:eastAsia="仿宋"/>
                <w:bCs/>
                <w:color w:val="000000" w:themeColor="text1"/>
                <w:szCs w:val="21"/>
                <w:highlight w:val="none"/>
                <w:lang w:val="en-US" w:eastAsia="zh-CN"/>
              </w:rPr>
              <w:t>15</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116</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扎染晾干架</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整体尺寸：290*80*59cm，材质：进口新西兰松木，天然环保木材表面水性清漆处理</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个</w:t>
            </w:r>
          </w:p>
        </w:tc>
        <w:tc>
          <w:tcPr>
            <w:tcW w:w="1000" w:type="dxa"/>
            <w:noWrap/>
            <w:vAlign w:val="center"/>
          </w:tcPr>
          <w:p>
            <w:pPr>
              <w:spacing w:line="360" w:lineRule="exact"/>
              <w:jc w:val="center"/>
              <w:rPr>
                <w:rFonts w:hint="eastAsia" w:ascii="仿宋" w:hAnsi="仿宋" w:eastAsia="仿宋"/>
                <w:bCs/>
                <w:color w:val="000000" w:themeColor="text1"/>
                <w:szCs w:val="21"/>
                <w:highlight w:val="none"/>
                <w:lang w:val="en-US" w:eastAsia="zh-CN"/>
              </w:rPr>
            </w:pPr>
            <w:r>
              <w:rPr>
                <w:rFonts w:hint="eastAsia" w:ascii="仿宋" w:hAnsi="仿宋" w:eastAsia="仿宋"/>
                <w:bCs/>
                <w:color w:val="000000" w:themeColor="text1"/>
                <w:szCs w:val="21"/>
                <w:highlight w:val="none"/>
                <w:lang w:val="en-US" w:eastAsia="zh-CN"/>
              </w:rPr>
              <w:t>1</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117</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印染桶</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食品级材质塑料桶，耐太阳直射，耐酸碱、耐腐蚀、抗老化。</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个</w:t>
            </w:r>
          </w:p>
        </w:tc>
        <w:tc>
          <w:tcPr>
            <w:tcW w:w="1000" w:type="dxa"/>
            <w:noWrap/>
            <w:vAlign w:val="center"/>
          </w:tcPr>
          <w:p>
            <w:pPr>
              <w:spacing w:line="360" w:lineRule="exact"/>
              <w:jc w:val="center"/>
              <w:rPr>
                <w:rFonts w:hint="eastAsia" w:ascii="仿宋" w:hAnsi="仿宋" w:eastAsia="仿宋"/>
                <w:bCs/>
                <w:color w:val="000000" w:themeColor="text1"/>
                <w:szCs w:val="21"/>
                <w:highlight w:val="none"/>
                <w:lang w:val="en-US" w:eastAsia="zh-CN"/>
              </w:rPr>
            </w:pPr>
            <w:r>
              <w:rPr>
                <w:rFonts w:hint="eastAsia" w:ascii="仿宋" w:hAnsi="仿宋" w:eastAsia="仿宋"/>
                <w:bCs/>
                <w:color w:val="000000" w:themeColor="text1"/>
                <w:szCs w:val="21"/>
                <w:highlight w:val="none"/>
                <w:lang w:val="en-US" w:eastAsia="zh-CN"/>
              </w:rPr>
              <w:t>2</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118</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围裙</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PU面料防水防污围裙，尺寸80*67cm，后背H型肩带设计。</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件</w:t>
            </w:r>
          </w:p>
        </w:tc>
        <w:tc>
          <w:tcPr>
            <w:tcW w:w="1000" w:type="dxa"/>
            <w:vAlign w:val="center"/>
          </w:tcPr>
          <w:p>
            <w:pPr>
              <w:spacing w:line="360" w:lineRule="exact"/>
              <w:jc w:val="center"/>
              <w:rPr>
                <w:rFonts w:hint="eastAsia" w:ascii="仿宋" w:hAnsi="仿宋" w:eastAsia="仿宋"/>
                <w:bCs/>
                <w:color w:val="000000" w:themeColor="text1"/>
                <w:szCs w:val="21"/>
                <w:highlight w:val="none"/>
                <w:lang w:val="en-US" w:eastAsia="zh-CN"/>
              </w:rPr>
            </w:pPr>
            <w:r>
              <w:rPr>
                <w:rFonts w:hint="eastAsia" w:ascii="仿宋" w:hAnsi="仿宋" w:eastAsia="仿宋"/>
                <w:bCs/>
                <w:color w:val="000000" w:themeColor="text1"/>
                <w:szCs w:val="21"/>
                <w:highlight w:val="none"/>
                <w:lang w:val="en-US" w:eastAsia="zh-CN"/>
              </w:rPr>
              <w:t>100</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119</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鲁绣技艺实践套装</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鲁绣技艺实践套装，配套帆布、绣线、专业刺绣针、20*20cm竹绣绷1个。</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套</w:t>
            </w:r>
          </w:p>
        </w:tc>
        <w:tc>
          <w:tcPr>
            <w:tcW w:w="1000" w:type="dxa"/>
            <w:noWrap/>
            <w:vAlign w:val="center"/>
          </w:tcPr>
          <w:p>
            <w:pPr>
              <w:spacing w:line="360" w:lineRule="exact"/>
              <w:jc w:val="center"/>
              <w:rPr>
                <w:rFonts w:hint="eastAsia" w:ascii="仿宋" w:hAnsi="仿宋" w:eastAsia="仿宋"/>
                <w:bCs/>
                <w:color w:val="000000" w:themeColor="text1"/>
                <w:szCs w:val="21"/>
                <w:highlight w:val="none"/>
                <w:lang w:val="en-US" w:eastAsia="zh-CN"/>
              </w:rPr>
            </w:pPr>
            <w:r>
              <w:rPr>
                <w:rFonts w:hint="eastAsia" w:ascii="仿宋" w:hAnsi="仿宋" w:eastAsia="仿宋"/>
                <w:bCs/>
                <w:color w:val="000000" w:themeColor="text1"/>
                <w:szCs w:val="21"/>
                <w:highlight w:val="none"/>
                <w:lang w:val="en-US" w:eastAsia="zh-CN"/>
              </w:rPr>
              <w:t>50</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120</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水路改造</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Φ25国标PPR水管走明管上水及阀门，Φ50国标PVC水管走明管下水。</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m</w:t>
            </w:r>
          </w:p>
        </w:tc>
        <w:tc>
          <w:tcPr>
            <w:tcW w:w="1000" w:type="dxa"/>
            <w:vAlign w:val="center"/>
          </w:tcPr>
          <w:p>
            <w:pPr>
              <w:spacing w:line="360" w:lineRule="exact"/>
              <w:jc w:val="center"/>
              <w:rPr>
                <w:rFonts w:hint="eastAsia" w:ascii="仿宋" w:hAnsi="仿宋" w:eastAsia="仿宋"/>
                <w:bCs/>
                <w:color w:val="000000" w:themeColor="text1"/>
                <w:szCs w:val="21"/>
                <w:highlight w:val="none"/>
                <w:lang w:val="en-US" w:eastAsia="zh-CN"/>
              </w:rPr>
            </w:pPr>
            <w:r>
              <w:rPr>
                <w:rFonts w:hint="eastAsia" w:ascii="仿宋" w:hAnsi="仿宋" w:eastAsia="仿宋"/>
                <w:bCs/>
                <w:color w:val="000000" w:themeColor="text1"/>
                <w:szCs w:val="21"/>
                <w:highlight w:val="none"/>
                <w:lang w:val="en-US" w:eastAsia="zh-CN"/>
              </w:rPr>
              <w:t>65</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121</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电路改造</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强电灯线及开关插座改造（PVC明线槽、2.5平方国标铜芯线）</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m</w:t>
            </w:r>
          </w:p>
        </w:tc>
        <w:tc>
          <w:tcPr>
            <w:tcW w:w="1000" w:type="dxa"/>
            <w:vAlign w:val="center"/>
          </w:tcPr>
          <w:p>
            <w:pPr>
              <w:spacing w:line="360" w:lineRule="exact"/>
              <w:jc w:val="center"/>
              <w:rPr>
                <w:rFonts w:hint="eastAsia" w:ascii="仿宋" w:hAnsi="仿宋" w:eastAsia="仿宋"/>
                <w:bCs/>
                <w:color w:val="000000" w:themeColor="text1"/>
                <w:szCs w:val="21"/>
                <w:highlight w:val="none"/>
                <w:lang w:val="en-US" w:eastAsia="zh-CN"/>
              </w:rPr>
            </w:pPr>
            <w:r>
              <w:rPr>
                <w:rFonts w:hint="eastAsia" w:ascii="仿宋" w:hAnsi="仿宋" w:eastAsia="仿宋"/>
                <w:bCs/>
                <w:color w:val="000000" w:themeColor="text1"/>
                <w:szCs w:val="21"/>
                <w:highlight w:val="none"/>
                <w:lang w:val="en-US" w:eastAsia="zh-CN"/>
              </w:rPr>
              <w:t>35</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122</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空间及课程文化深化设计</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1.依据馆室的招标设备及课程特点使用功能，对空间130</w:t>
            </w:r>
            <w:r>
              <w:rPr>
                <w:rFonts w:hint="eastAsia" w:ascii="仿宋" w:hAnsi="仿宋" w:eastAsia="仿宋" w:cs="宋体"/>
                <w:bCs/>
                <w:color w:val="000000" w:themeColor="text1"/>
                <w:szCs w:val="21"/>
                <w:highlight w:val="none"/>
              </w:rPr>
              <w:t>㎡</w:t>
            </w:r>
            <w:r>
              <w:rPr>
                <w:rFonts w:hint="eastAsia" w:ascii="仿宋" w:hAnsi="仿宋" w:eastAsia="仿宋" w:cs="仿宋_GB2312"/>
                <w:bCs/>
                <w:color w:val="000000" w:themeColor="text1"/>
                <w:szCs w:val="21"/>
                <w:highlight w:val="none"/>
              </w:rPr>
              <w:t>进行整体深化设计，包含空间整体布局优化设计、整体空间效果深化设计、空间功能分区规划设计；同时完成立面文化深化设计全流程工作，含立面文化主题定位、相关资料收集、内容梳理、文字编撰、资料整理、图文排版、视觉效果设计、立面造型设计、色彩方案设计及整体文化氛围营造设计。最终设计成果以满足教学使用功能、空间展示效果及文化氛围要求为标准。</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2.设计成果以满足教学使用功能、空间展示效果及文化氛围要求为目标，最终以甲方确认的深化设计方案及制作实施项目作为验收依据。</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项</w:t>
            </w:r>
          </w:p>
        </w:tc>
        <w:tc>
          <w:tcPr>
            <w:tcW w:w="1000" w:type="dxa"/>
            <w:noWrap/>
            <w:vAlign w:val="center"/>
          </w:tcPr>
          <w:p>
            <w:pPr>
              <w:spacing w:line="360" w:lineRule="exact"/>
              <w:jc w:val="center"/>
              <w:rPr>
                <w:rFonts w:hint="eastAsia" w:ascii="仿宋" w:hAnsi="仿宋" w:eastAsia="仿宋"/>
                <w:bCs/>
                <w:color w:val="000000" w:themeColor="text1"/>
                <w:szCs w:val="21"/>
                <w:highlight w:val="none"/>
                <w:lang w:val="en-US" w:eastAsia="zh-CN"/>
              </w:rPr>
            </w:pPr>
            <w:r>
              <w:rPr>
                <w:rFonts w:hint="eastAsia" w:ascii="仿宋" w:hAnsi="仿宋" w:eastAsia="仿宋"/>
                <w:bCs/>
                <w:color w:val="000000" w:themeColor="text1"/>
                <w:szCs w:val="21"/>
                <w:highlight w:val="none"/>
                <w:lang w:val="en-US" w:eastAsia="zh-CN"/>
              </w:rPr>
              <w:t>1</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123</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前墙文化背景壁布</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宣绒布uv</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vAlign w:val="center"/>
          </w:tcPr>
          <w:p>
            <w:pPr>
              <w:spacing w:line="360" w:lineRule="exact"/>
              <w:jc w:val="center"/>
              <w:rPr>
                <w:rFonts w:hint="eastAsia" w:ascii="仿宋" w:hAnsi="仿宋" w:eastAsia="仿宋"/>
                <w:bCs/>
                <w:color w:val="000000" w:themeColor="text1"/>
                <w:szCs w:val="21"/>
                <w:highlight w:val="none"/>
                <w:lang w:val="en-US" w:eastAsia="zh-CN"/>
              </w:rPr>
            </w:pPr>
            <w:r>
              <w:rPr>
                <w:rFonts w:hint="eastAsia" w:ascii="仿宋" w:hAnsi="仿宋" w:eastAsia="仿宋"/>
                <w:bCs/>
                <w:color w:val="000000" w:themeColor="text1"/>
                <w:szCs w:val="21"/>
                <w:highlight w:val="none"/>
                <w:lang w:val="en-US" w:eastAsia="zh-CN"/>
              </w:rPr>
              <w:t>40</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124</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前墙主标语</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15mmPVC UV雕刻</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vAlign w:val="center"/>
          </w:tcPr>
          <w:p>
            <w:pPr>
              <w:spacing w:line="360" w:lineRule="exact"/>
              <w:jc w:val="center"/>
              <w:rPr>
                <w:rFonts w:hint="eastAsia" w:ascii="仿宋" w:hAnsi="仿宋" w:eastAsia="仿宋"/>
                <w:bCs/>
                <w:color w:val="000000" w:themeColor="text1"/>
                <w:szCs w:val="21"/>
                <w:highlight w:val="none"/>
                <w:lang w:val="en-US" w:eastAsia="zh-CN"/>
              </w:rPr>
            </w:pPr>
            <w:r>
              <w:rPr>
                <w:rFonts w:hint="eastAsia" w:ascii="仿宋" w:hAnsi="仿宋" w:eastAsia="仿宋"/>
                <w:bCs/>
                <w:color w:val="000000" w:themeColor="text1"/>
                <w:szCs w:val="21"/>
                <w:highlight w:val="none"/>
                <w:lang w:val="en-US" w:eastAsia="zh-CN"/>
              </w:rPr>
              <w:t>15</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125</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前墙软木板展示</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6mm碎花软木板</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vAlign w:val="center"/>
          </w:tcPr>
          <w:p>
            <w:pPr>
              <w:spacing w:line="360" w:lineRule="exact"/>
              <w:jc w:val="center"/>
              <w:rPr>
                <w:rFonts w:hint="eastAsia" w:ascii="仿宋" w:hAnsi="仿宋" w:eastAsia="仿宋"/>
                <w:bCs/>
                <w:color w:val="000000" w:themeColor="text1"/>
                <w:szCs w:val="21"/>
                <w:highlight w:val="none"/>
                <w:lang w:val="en-US" w:eastAsia="zh-CN"/>
              </w:rPr>
            </w:pPr>
            <w:r>
              <w:rPr>
                <w:rFonts w:hint="eastAsia" w:ascii="仿宋" w:hAnsi="仿宋" w:eastAsia="仿宋"/>
                <w:bCs/>
                <w:color w:val="000000" w:themeColor="text1"/>
                <w:szCs w:val="21"/>
                <w:highlight w:val="none"/>
                <w:lang w:val="en-US" w:eastAsia="zh-CN"/>
              </w:rPr>
              <w:t>12</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126</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前墙蜡染挂画</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定制蜡染挂画，圆形画框，直径45cm</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个</w:t>
            </w:r>
          </w:p>
        </w:tc>
        <w:tc>
          <w:tcPr>
            <w:tcW w:w="1000" w:type="dxa"/>
            <w:vAlign w:val="center"/>
          </w:tcPr>
          <w:p>
            <w:pPr>
              <w:spacing w:line="360" w:lineRule="exact"/>
              <w:jc w:val="center"/>
              <w:rPr>
                <w:rFonts w:hint="eastAsia" w:ascii="仿宋" w:hAnsi="仿宋" w:eastAsia="仿宋"/>
                <w:bCs/>
                <w:color w:val="000000" w:themeColor="text1"/>
                <w:szCs w:val="21"/>
                <w:highlight w:val="none"/>
                <w:lang w:val="en-US" w:eastAsia="zh-CN"/>
              </w:rPr>
            </w:pPr>
            <w:r>
              <w:rPr>
                <w:rFonts w:hint="eastAsia" w:ascii="仿宋" w:hAnsi="仿宋" w:eastAsia="仿宋"/>
                <w:bCs/>
                <w:color w:val="000000" w:themeColor="text1"/>
                <w:szCs w:val="21"/>
                <w:highlight w:val="none"/>
                <w:lang w:val="en-US" w:eastAsia="zh-CN"/>
              </w:rPr>
              <w:t>20</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127</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侧墙（无窗）—作品展示墙</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5mm毛毡</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vAlign w:val="center"/>
          </w:tcPr>
          <w:p>
            <w:pPr>
              <w:spacing w:line="360" w:lineRule="exact"/>
              <w:jc w:val="center"/>
              <w:rPr>
                <w:rFonts w:hint="eastAsia" w:ascii="仿宋" w:hAnsi="仿宋" w:eastAsia="仿宋"/>
                <w:bCs/>
                <w:color w:val="000000" w:themeColor="text1"/>
                <w:szCs w:val="21"/>
                <w:highlight w:val="none"/>
                <w:lang w:val="en-US" w:eastAsia="zh-CN"/>
              </w:rPr>
            </w:pPr>
            <w:r>
              <w:rPr>
                <w:rFonts w:hint="eastAsia" w:ascii="仿宋" w:hAnsi="仿宋" w:eastAsia="仿宋"/>
                <w:bCs/>
                <w:color w:val="000000" w:themeColor="text1"/>
                <w:szCs w:val="21"/>
                <w:highlight w:val="none"/>
                <w:lang w:val="en-US" w:eastAsia="zh-CN"/>
              </w:rPr>
              <w:t>6</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128</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后墙定制木饰条</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10mm厚 木纹饰条</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m</w:t>
            </w:r>
          </w:p>
        </w:tc>
        <w:tc>
          <w:tcPr>
            <w:tcW w:w="1000" w:type="dxa"/>
            <w:vAlign w:val="center"/>
          </w:tcPr>
          <w:p>
            <w:pPr>
              <w:spacing w:line="360" w:lineRule="exact"/>
              <w:jc w:val="center"/>
              <w:rPr>
                <w:rFonts w:hint="eastAsia" w:ascii="仿宋" w:hAnsi="仿宋" w:eastAsia="仿宋"/>
                <w:bCs/>
                <w:color w:val="000000" w:themeColor="text1"/>
                <w:szCs w:val="21"/>
                <w:highlight w:val="none"/>
                <w:lang w:val="en-US" w:eastAsia="zh-CN"/>
              </w:rPr>
            </w:pPr>
            <w:r>
              <w:rPr>
                <w:rFonts w:hint="eastAsia" w:ascii="仿宋" w:hAnsi="仿宋" w:eastAsia="仿宋"/>
                <w:bCs/>
                <w:color w:val="000000" w:themeColor="text1"/>
                <w:szCs w:val="21"/>
                <w:highlight w:val="none"/>
                <w:lang w:val="en-US" w:eastAsia="zh-CN"/>
              </w:rPr>
              <w:t>47</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9"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129</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后墙文化展示</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主题标语字15mm pvc UV雕刻；内容字10mm瓷白亚克力雕刻立体字；定制可开启木纹金属窄边画框；8mm PVC UV；分色油画布UV</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vAlign w:val="center"/>
          </w:tcPr>
          <w:p>
            <w:pPr>
              <w:spacing w:line="360" w:lineRule="exact"/>
              <w:jc w:val="center"/>
              <w:rPr>
                <w:rFonts w:hint="eastAsia" w:ascii="仿宋" w:hAnsi="仿宋" w:eastAsia="仿宋"/>
                <w:bCs/>
                <w:color w:val="000000" w:themeColor="text1"/>
                <w:szCs w:val="21"/>
                <w:highlight w:val="none"/>
                <w:lang w:val="en-US" w:eastAsia="zh-CN"/>
              </w:rPr>
            </w:pPr>
            <w:r>
              <w:rPr>
                <w:rFonts w:hint="eastAsia" w:ascii="仿宋" w:hAnsi="仿宋" w:eastAsia="仿宋"/>
                <w:bCs/>
                <w:color w:val="000000" w:themeColor="text1"/>
                <w:szCs w:val="21"/>
                <w:highlight w:val="none"/>
                <w:lang w:val="en-US" w:eastAsia="zh-CN"/>
              </w:rPr>
              <w:t>38</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680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130</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清染池标语</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5mmPVCuv+10mmPVC雕刻</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vAlign w:val="center"/>
          </w:tcPr>
          <w:p>
            <w:pPr>
              <w:spacing w:line="360" w:lineRule="exact"/>
              <w:jc w:val="center"/>
              <w:rPr>
                <w:rFonts w:hint="eastAsia" w:ascii="仿宋" w:hAnsi="仿宋" w:eastAsia="仿宋"/>
                <w:bCs/>
                <w:color w:val="000000" w:themeColor="text1"/>
                <w:szCs w:val="21"/>
                <w:highlight w:val="none"/>
                <w:lang w:val="en-US" w:eastAsia="zh-CN"/>
              </w:rPr>
            </w:pPr>
            <w:r>
              <w:rPr>
                <w:rFonts w:hint="eastAsia" w:ascii="仿宋" w:hAnsi="仿宋" w:eastAsia="仿宋"/>
                <w:bCs/>
                <w:color w:val="000000" w:themeColor="text1"/>
                <w:szCs w:val="21"/>
                <w:highlight w:val="none"/>
                <w:lang w:val="en-US" w:eastAsia="zh-CN"/>
              </w:rPr>
              <w:t>12</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14174" w:type="dxa"/>
            <w:gridSpan w:val="6"/>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rPr>
              <w:t>5、民族教育展览馆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131</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定制展架</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 xml:space="preserve">产品规格：外形尺寸1200*600*700mm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1、台面：环保E1级三聚氰胺饰面板，尺寸1200×600mm，整体厚度16mm。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2、桌腿：经典口字桌腿设计，采用25×25mm方钢，钢管壁管厚度0.8mm；桌腿一体化焊接、外表烤漆工艺，坚固耐久。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3、脚垫：采用可调节ABS脚垫，适用于不同地面环境</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张</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4</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132</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定制展架</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 xml:space="preserve">产品规格：外形尺寸1000*600*500mm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1、台面/底板：环保E1级三聚氰胺饰面板，尺寸1000×600mm，整体厚度16mm。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2、桌腿：经典口字桌腿设计，采用25×25mm方钢，钢管壁管厚度0.8mm；桌腿一体化焊接、外表烤漆工艺，坚固耐久。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3、脚垫：采用可调节ABS脚垫，适用于不同地面环境</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张</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8</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980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133</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定制展架</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 xml:space="preserve">产品规格：外形尺寸1200*450*700mm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1、台面：环保E1级三聚氰胺饰面板，尺寸1200×450mm，整体厚度16mm。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2、桌腿：经典口字桌腿设计，采用25×25mm方钢，钢管壁管厚度0.8mm；桌腿一体化焊接、外表烤漆工艺，坚固耐久。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3、脚垫：采用可调节ABS脚垫，适用于不同地面环境</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张</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5</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134</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定制展台</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 xml:space="preserve">产品规格：外形尺寸100*450*500mm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1、台面/底板：环保E1级三聚氰胺饰面板，尺寸1200×600mm，整体厚度16mm。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2、桌腿：经典口字桌腿设计，采用25×25mm方钢，钢管壁管厚度0.8mm；桌腿一体化焊接、外表烤漆工艺，坚固耐久。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3、脚垫：采用可调节ABS脚垫，适用于不同地面环境</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组</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5</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135</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顶面飘带造型</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定制艺术布帘画面，金属型材收口，吊筋悬挂曲线造型原顶面固定</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35</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136</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顶面石膏板圆形吊顶</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20*30mm方管焊接框架，12mm阻燃板框架基层造型，9mm石膏板造型饰面，吊筋悬挂原顶面，含相应脚手架费用。</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9.5</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137</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顶面石膏板圆形软膜灯箱</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12mm阻燃板造型基层，9mm厚石膏板饰面，自攻钉固定，钉眼涂防锈漆，宽200mm,高250mm.内嵌LED灯片，白色软膜，金属条收边。吊筋吊装原顶面。</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m</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10</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138</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顶面石膏板弧形吊顶</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1.20*30mm方管焊接曲线造型框架，12mm阻燃板框架基层造型，9mm石膏板造型造型饰面，吊挂原顶面</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2.灯槽处12mm阻燃板基层，9mm石膏板面层，led灯片 ，白色软膜罩(宽110，深度200mm)含相应脚手架费用。</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15</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139</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顶面石膏板基层处理</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石膏板接缝处填嵌缝石膏，粘贴专用绷带批刮腻子两遍，打磨至平整</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75</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140</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顶面石膏板乳胶漆</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滚刷乳胶漆面层，滚刷满足成活要求</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45</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141</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新建半高墙体</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40*60mm方管焊接框架，焊接处刷防锈漆，双面12mm厚阻燃板基层.双面9mm石膏板面层自攻钉固定，钉眼涂防锈漆。</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12</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142</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木质作造型台面</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40*60mm方管焊接框架，焊接处刷防锈漆，双层12mm厚阻燃板基层.白色碳晶板造型饰面（深度最宽处不低于300mm，高度不低于450mm,梯形造型，悬空于地面，距地面150mm)</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m</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12</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950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143</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墙面木质隔板</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定制成品18mm厚木质免漆造型隔板,深度300mm内</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m</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7</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144</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地面木制作造型</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40*60mm方管焊接框架，焊接处刷防锈漆，双层12mm厚阻燃板基层.</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白色碳晶板造型饰面(深度不低于600mm，高度最矮处不低于600mm</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m</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9</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145</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墙面作品展示区</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铁丝挂网（方格100*100mm），定制木质边框（40*60mm）</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22</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146</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轨道灯轨道</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全铜明装轨道灯轨道，吊筋悬挂，型材宽35mm，含相应脚手架费用</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m</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25</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147</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轨道灯</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功率30w,明装LED射灯，含相应脚手架费用</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个</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20</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148</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艺术吊灯</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定制成品艺术灯，圆柱形LED吊灯，15W 中性光（含相应脚手架费用）</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个</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25</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149</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电路改造</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强电灯线及开关插座改造（PVC明线槽、2.5平方国标铜芯线）</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m</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90</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150</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石膏板造型吊顶</w:t>
            </w:r>
          </w:p>
        </w:tc>
        <w:tc>
          <w:tcPr>
            <w:tcW w:w="7122" w:type="dxa"/>
            <w:vAlign w:val="center"/>
          </w:tcPr>
          <w:p>
            <w:pPr>
              <w:spacing w:line="360" w:lineRule="exac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38系列轻钢龙骨,50轻钢龙骨副骨间距400mm骨架，9mm石膏板造型</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30</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151</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软膜灯箱</w:t>
            </w:r>
          </w:p>
        </w:tc>
        <w:tc>
          <w:tcPr>
            <w:tcW w:w="7122" w:type="dxa"/>
            <w:vAlign w:val="center"/>
          </w:tcPr>
          <w:p>
            <w:pPr>
              <w:spacing w:line="360" w:lineRule="exac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定制软膜灯箱150mm厚（LED灯片，画面软膜），金属边框收口。</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11</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340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152</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顶面石膏板基层处理</w:t>
            </w:r>
          </w:p>
        </w:tc>
        <w:tc>
          <w:tcPr>
            <w:tcW w:w="7122" w:type="dxa"/>
            <w:vAlign w:val="center"/>
          </w:tcPr>
          <w:p>
            <w:pPr>
              <w:spacing w:line="360" w:lineRule="exac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石膏板接缝处填嵌缝石膏，粘贴专用绷带批刮腻子两遍，打磨至平整</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41</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153</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顶面石膏板乳胶漆</w:t>
            </w:r>
          </w:p>
        </w:tc>
        <w:tc>
          <w:tcPr>
            <w:tcW w:w="7122" w:type="dxa"/>
            <w:vAlign w:val="center"/>
          </w:tcPr>
          <w:p>
            <w:pPr>
              <w:spacing w:line="360" w:lineRule="exac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滚刷乳胶漆面层，滚刷满足成活要求</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41</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154</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墙面木制作</w:t>
            </w:r>
          </w:p>
        </w:tc>
        <w:tc>
          <w:tcPr>
            <w:tcW w:w="7122" w:type="dxa"/>
            <w:vAlign w:val="center"/>
          </w:tcPr>
          <w:p>
            <w:pPr>
              <w:spacing w:line="360" w:lineRule="exac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12mm厚阻燃板基层找平，9mm厚洞洞板饰面</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8</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155</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墙面木质造型隔板</w:t>
            </w:r>
          </w:p>
        </w:tc>
        <w:tc>
          <w:tcPr>
            <w:tcW w:w="7122" w:type="dxa"/>
            <w:vAlign w:val="center"/>
          </w:tcPr>
          <w:p>
            <w:pPr>
              <w:spacing w:line="360" w:lineRule="exac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定制成品18mm厚木质免漆造型隔板,深度300mm内</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m</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156</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电路改造</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强电灯线及开关插座改造（PVC明线槽、2.5平方国标铜芯线）</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40</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157</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门厅场景文化深化设计</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1.依据馆室的招标设备及课程特点使用功能，对空间50</w:t>
            </w:r>
            <w:r>
              <w:rPr>
                <w:rFonts w:hint="eastAsia" w:ascii="仿宋" w:hAnsi="仿宋" w:eastAsia="仿宋" w:cs="宋体"/>
                <w:bCs/>
                <w:color w:val="000000" w:themeColor="text1"/>
                <w:szCs w:val="21"/>
                <w:highlight w:val="none"/>
              </w:rPr>
              <w:t>㎡</w:t>
            </w:r>
            <w:r>
              <w:rPr>
                <w:rFonts w:hint="eastAsia" w:ascii="仿宋" w:hAnsi="仿宋" w:eastAsia="仿宋" w:cs="仿宋_GB2312"/>
                <w:bCs/>
                <w:color w:val="000000" w:themeColor="text1"/>
                <w:szCs w:val="21"/>
                <w:highlight w:val="none"/>
              </w:rPr>
              <w:t>进行整体深化设计，包含整体空间效果深化设计及立面文化深化设计；</w:t>
            </w:r>
            <w:r>
              <w:rPr>
                <w:rFonts w:hint="eastAsia" w:ascii="仿宋" w:hAnsi="仿宋" w:eastAsia="仿宋"/>
                <w:bCs/>
                <w:color w:val="000000" w:themeColor="text1"/>
                <w:szCs w:val="21"/>
                <w:highlight w:val="none"/>
              </w:rPr>
              <w:t xml:space="preserve">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2.以甲方确认实施的深化设计及制作项目为最终验收标准。</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项</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2" w:hRule="atLeast"/>
        </w:trPr>
        <w:tc>
          <w:tcPr>
            <w:tcW w:w="67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158</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右墙整面文化展示</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第一层：宣绒布UV</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第二层：10mmpvc基底 裹宣绒布uv</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第三层：20mmpvc基底 裹宣绒布uv</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底部:15mmPVC UV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立体字：雕刻10mm亚克力雕刻</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24</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950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159</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左墙外侧照片墙安装</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10mmPVC基底+亚克力盒子+卡纸打印照片，立体字10mm亚克力雕刻</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4.5</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160</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左墙内侧文化展示</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宣绒布uv；展板10mmPVC高清UV；立体字10mm亚克力UV底板+10mm瓷白亚克力雕刻字；照片10mmPVC基底+亚克力盒子+卡纸打印照片</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18</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161</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左墙内侧洞洞板展示</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洞洞板</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4.5</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162</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门厅定制灯箱</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灯箱布UV，铝合金型材</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13</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14174" w:type="dxa"/>
            <w:gridSpan w:val="6"/>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rPr>
              <w:t>6、阅览中心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163</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定制阶梯休闲区</w:t>
            </w:r>
          </w:p>
        </w:tc>
        <w:tc>
          <w:tcPr>
            <w:tcW w:w="7122" w:type="dxa"/>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 xml:space="preserve">产品规格：外形尺寸4000×500×300mm；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1、根据深化设计方案做60*40镀锌方管焊接龙骨架，双层12mm厚阻燃板基层，3mm红色塑料板饰面。</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项</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15500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164</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北面定制书架（含软包座位）</w:t>
            </w:r>
          </w:p>
        </w:tc>
        <w:tc>
          <w:tcPr>
            <w:tcW w:w="7122" w:type="dxa"/>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根据深化设计方案订制，产品规格：外形尺寸2900*350*1200mm；  1、材质：采用优质板材，四周边缘精致打磨倒角处理，防腐蚀、防静电、耐磨抗污染等特性。  2、封条：2mmPVC封条，热熔胶封边，耐磨、防水。组装后接缝严密、牢固无松动现象不变型，美观耐用。                                                                         3、软包：高密度回弹海绵，精密填充，柔软耐用。</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6.5</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165</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可拼接圆形休闲桌椅</w:t>
            </w:r>
          </w:p>
        </w:tc>
        <w:tc>
          <w:tcPr>
            <w:tcW w:w="7122" w:type="dxa"/>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 xml:space="preserve">产品规格：外形尺寸Φ800*750mm；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1、台面：木质台面，台面不小于Φ800mm，采用中国传统清漆或生漆，漆面光洁，经久耐用、绿色环保，边角打磨圆润，有效防止磕碰。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2、桌腿：优质电镀支架，稳固支撑，安全可靠，经久耐用。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3、脚垫：防滑脚垫，有效静音、防护地面。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4、根据深化设计方案配套红布椅4把</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套</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166</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石膏板造型顶</w:t>
            </w:r>
          </w:p>
        </w:tc>
        <w:tc>
          <w:tcPr>
            <w:tcW w:w="7122" w:type="dxa"/>
            <w:vAlign w:val="center"/>
          </w:tcPr>
          <w:p>
            <w:pPr>
              <w:spacing w:line="360" w:lineRule="exac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38系列轻钢龙骨,50轻钢龙骨副骨间距400mm骨架，9mm石膏板造型</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82</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167</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软膜灯箱</w:t>
            </w:r>
          </w:p>
        </w:tc>
        <w:tc>
          <w:tcPr>
            <w:tcW w:w="7122" w:type="dxa"/>
            <w:vAlign w:val="center"/>
          </w:tcPr>
          <w:p>
            <w:pPr>
              <w:spacing w:line="360" w:lineRule="exac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定制软膜灯箱150mm厚（LED灯片，白色软膜），金属边框收口。</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13</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168</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顶面石膏板基层处理</w:t>
            </w:r>
          </w:p>
        </w:tc>
        <w:tc>
          <w:tcPr>
            <w:tcW w:w="7122" w:type="dxa"/>
            <w:vAlign w:val="center"/>
          </w:tcPr>
          <w:p>
            <w:pPr>
              <w:spacing w:line="360" w:lineRule="exac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石膏板接缝处填嵌缝石膏，粘贴专用绷带批刮腻子两遍，打磨至平整</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78</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169</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顶面石膏板乳胶漆</w:t>
            </w:r>
          </w:p>
        </w:tc>
        <w:tc>
          <w:tcPr>
            <w:tcW w:w="7122" w:type="dxa"/>
            <w:vAlign w:val="center"/>
          </w:tcPr>
          <w:p>
            <w:pPr>
              <w:spacing w:line="360" w:lineRule="exac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滚刷乳胶漆面层，滚刷满足成活要求</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78</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170</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墙面木制作隔板</w:t>
            </w:r>
          </w:p>
        </w:tc>
        <w:tc>
          <w:tcPr>
            <w:tcW w:w="7122" w:type="dxa"/>
            <w:vAlign w:val="center"/>
          </w:tcPr>
          <w:p>
            <w:pPr>
              <w:spacing w:line="360" w:lineRule="exac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定制成品18mm厚木质免漆造型隔板,深度300mm内，固定原墙面</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m</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171</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墙面木制作造型</w:t>
            </w:r>
          </w:p>
        </w:tc>
        <w:tc>
          <w:tcPr>
            <w:tcW w:w="7122" w:type="dxa"/>
            <w:vAlign w:val="center"/>
          </w:tcPr>
          <w:p>
            <w:pPr>
              <w:spacing w:line="360" w:lineRule="exac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12mm厚阻燃板基层找平，5mm软木板饰面</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6</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172</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半高弧形墙</w:t>
            </w:r>
          </w:p>
        </w:tc>
        <w:tc>
          <w:tcPr>
            <w:tcW w:w="7122" w:type="dxa"/>
            <w:vAlign w:val="center"/>
          </w:tcPr>
          <w:p>
            <w:pPr>
              <w:spacing w:line="360" w:lineRule="exac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60*40镀锌方管焊接龙骨架，双层12mm厚阻燃板基层，3mm红色塑料板饰面.墙厚120mm</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7.5</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173</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弧形台阶</w:t>
            </w:r>
          </w:p>
        </w:tc>
        <w:tc>
          <w:tcPr>
            <w:tcW w:w="7122" w:type="dxa"/>
            <w:vAlign w:val="center"/>
          </w:tcPr>
          <w:p>
            <w:pPr>
              <w:spacing w:line="360" w:lineRule="exac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60*40镀锌方管焊接龙骨架，双层12mm厚阻燃板基层，3mm红色塑料板饰面.（两层错层台阶，总宽1050mm，高度不低于600mm)</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m</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7</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850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174</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筒灯</w:t>
            </w:r>
          </w:p>
        </w:tc>
        <w:tc>
          <w:tcPr>
            <w:tcW w:w="7122" w:type="dxa"/>
            <w:vAlign w:val="center"/>
          </w:tcPr>
          <w:p>
            <w:pPr>
              <w:spacing w:line="360" w:lineRule="exac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LED暗装4寸筒灯（开孔尺寸10公分，功率12W）</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个</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20</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175</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电路改造</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强电灯线及开关插座改造（PVC明线槽、2.5平方国标铜芯线）</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m</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55</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176</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门厅空间及课程文化深化设计</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1.依据馆室的招标设备及课程特点使用功能，对空间300</w:t>
            </w:r>
            <w:r>
              <w:rPr>
                <w:rFonts w:hint="eastAsia" w:ascii="仿宋" w:hAnsi="仿宋" w:eastAsia="仿宋" w:cs="宋体"/>
                <w:bCs/>
                <w:color w:val="000000" w:themeColor="text1"/>
                <w:szCs w:val="21"/>
                <w:highlight w:val="none"/>
              </w:rPr>
              <w:t>㎡</w:t>
            </w:r>
            <w:r>
              <w:rPr>
                <w:rFonts w:hint="eastAsia" w:ascii="仿宋" w:hAnsi="仿宋" w:eastAsia="仿宋" w:cs="仿宋_GB2312"/>
                <w:bCs/>
                <w:color w:val="000000" w:themeColor="text1"/>
                <w:szCs w:val="21"/>
                <w:highlight w:val="none"/>
              </w:rPr>
              <w:t>进行整体深化设计，包含空间整体布局优化设计、整体空间效果深化设计、空间功能分区规划设计；同时完成立面文化深化设计全流程工作，含立面文化主题定位、相关资料收集、内容梳理、文字编撰、资料整理、图文排版、视觉效果设计、立面造型设计、色彩方案设计及整体文化氛围营造设计。最终设计成果以满足教学使用功能、空间展示效果及文化氛围要求为标准。</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2.设计成果以满足教学使用功能、空间展示效果及文化氛围要求为目标，最终以甲方确认的深化设计方案及制作实施项目作为验收依据。</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项</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177</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整体背景墙文化展示</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立体字20mmPVC雕刻喷真石漆，10MM毛毡，可更换展板10mm亚克力uv</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35</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178</w:t>
            </w:r>
          </w:p>
        </w:tc>
        <w:tc>
          <w:tcPr>
            <w:tcW w:w="2692" w:type="dxa"/>
            <w:vMerge w:val="restart"/>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主题字区定制安装</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金属字喷漆，金属线悬挂（1m*1m）</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个</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6</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179</w:t>
            </w:r>
          </w:p>
        </w:tc>
        <w:tc>
          <w:tcPr>
            <w:tcW w:w="2692" w:type="dxa"/>
            <w:vMerge w:val="continue"/>
            <w:vAlign w:val="center"/>
          </w:tcPr>
          <w:p>
            <w:pPr>
              <w:spacing w:line="360" w:lineRule="exact"/>
              <w:jc w:val="left"/>
              <w:rPr>
                <w:rFonts w:ascii="仿宋" w:hAnsi="仿宋" w:eastAsia="仿宋"/>
                <w:bCs/>
                <w:color w:val="000000" w:themeColor="text1"/>
                <w:szCs w:val="21"/>
                <w:highlight w:val="none"/>
              </w:rPr>
            </w:pP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宣绒布UV</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8</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180</w:t>
            </w:r>
          </w:p>
        </w:tc>
        <w:tc>
          <w:tcPr>
            <w:tcW w:w="2692" w:type="dxa"/>
            <w:vMerge w:val="restart"/>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阅览文化展示区</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10mm厚软木板</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7.5</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181</w:t>
            </w:r>
          </w:p>
        </w:tc>
        <w:tc>
          <w:tcPr>
            <w:tcW w:w="2692" w:type="dxa"/>
            <w:vMerge w:val="continue"/>
            <w:vAlign w:val="center"/>
          </w:tcPr>
          <w:p>
            <w:pPr>
              <w:spacing w:line="360" w:lineRule="exact"/>
              <w:jc w:val="left"/>
              <w:rPr>
                <w:rFonts w:ascii="仿宋" w:hAnsi="仿宋" w:eastAsia="仿宋"/>
                <w:bCs/>
                <w:color w:val="000000" w:themeColor="text1"/>
                <w:szCs w:val="21"/>
                <w:highlight w:val="none"/>
              </w:rPr>
            </w:pP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磁吸板+车贴</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12.5</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182</w:t>
            </w:r>
          </w:p>
        </w:tc>
        <w:tc>
          <w:tcPr>
            <w:tcW w:w="2692" w:type="dxa"/>
            <w:vMerge w:val="continue"/>
            <w:vAlign w:val="center"/>
          </w:tcPr>
          <w:p>
            <w:pPr>
              <w:spacing w:line="360" w:lineRule="exact"/>
              <w:jc w:val="left"/>
              <w:rPr>
                <w:rFonts w:ascii="仿宋" w:hAnsi="仿宋" w:eastAsia="仿宋"/>
                <w:bCs/>
                <w:color w:val="000000" w:themeColor="text1"/>
                <w:szCs w:val="21"/>
                <w:highlight w:val="none"/>
              </w:rPr>
            </w:pP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灯具造型：10mm亚克力UV</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4</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183</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少年中国说区</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10mmPVC 雕刻喷漆</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4.5</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184</w:t>
            </w:r>
          </w:p>
        </w:tc>
        <w:tc>
          <w:tcPr>
            <w:tcW w:w="2692" w:type="dxa"/>
            <w:vMerge w:val="restart"/>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发光灯箱定制</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定制发光灯箱3.4x0.5x0.1m</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个</w:t>
            </w:r>
          </w:p>
        </w:tc>
        <w:tc>
          <w:tcPr>
            <w:tcW w:w="1000" w:type="dxa"/>
            <w:noWrap/>
            <w:vAlign w:val="center"/>
          </w:tcPr>
          <w:p>
            <w:pPr>
              <w:spacing w:line="360" w:lineRule="exact"/>
              <w:jc w:val="center"/>
              <w:rPr>
                <w:rFonts w:hint="eastAsia" w:ascii="仿宋" w:hAnsi="仿宋" w:eastAsia="仿宋"/>
                <w:bCs/>
                <w:color w:val="000000" w:themeColor="text1"/>
                <w:szCs w:val="21"/>
                <w:highlight w:val="none"/>
                <w:lang w:eastAsia="zh-CN"/>
              </w:rPr>
            </w:pPr>
            <w:r>
              <w:rPr>
                <w:rFonts w:hint="eastAsia" w:ascii="仿宋" w:hAnsi="仿宋" w:eastAsia="仿宋"/>
                <w:bCs/>
                <w:color w:val="000000" w:themeColor="text1"/>
                <w:szCs w:val="21"/>
                <w:highlight w:val="none"/>
                <w:lang w:val="en-US" w:eastAsia="zh-CN"/>
              </w:rPr>
              <w:t>4</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850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185</w:t>
            </w:r>
          </w:p>
        </w:tc>
        <w:tc>
          <w:tcPr>
            <w:tcW w:w="2692" w:type="dxa"/>
            <w:vMerge w:val="continue"/>
            <w:vAlign w:val="center"/>
          </w:tcPr>
          <w:p>
            <w:pPr>
              <w:spacing w:line="360" w:lineRule="exact"/>
              <w:jc w:val="left"/>
              <w:rPr>
                <w:rFonts w:ascii="仿宋" w:hAnsi="仿宋" w:eastAsia="仿宋"/>
                <w:bCs/>
                <w:color w:val="000000" w:themeColor="text1"/>
                <w:szCs w:val="21"/>
                <w:highlight w:val="none"/>
              </w:rPr>
            </w:pP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定制发光灯箱2x0.5x0.1m</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个</w:t>
            </w:r>
          </w:p>
        </w:tc>
        <w:tc>
          <w:tcPr>
            <w:tcW w:w="1000" w:type="dxa"/>
            <w:noWrap/>
            <w:vAlign w:val="center"/>
          </w:tcPr>
          <w:p>
            <w:pPr>
              <w:spacing w:line="360" w:lineRule="exact"/>
              <w:jc w:val="center"/>
              <w:rPr>
                <w:rFonts w:hint="eastAsia" w:ascii="仿宋" w:hAnsi="仿宋" w:eastAsia="仿宋"/>
                <w:bCs/>
                <w:color w:val="000000" w:themeColor="text1"/>
                <w:szCs w:val="21"/>
                <w:highlight w:val="none"/>
                <w:lang w:eastAsia="zh-CN"/>
              </w:rPr>
            </w:pPr>
            <w:r>
              <w:rPr>
                <w:rFonts w:hint="eastAsia" w:ascii="仿宋" w:hAnsi="仿宋" w:eastAsia="仿宋"/>
                <w:bCs/>
                <w:color w:val="000000" w:themeColor="text1"/>
                <w:szCs w:val="21"/>
                <w:highlight w:val="none"/>
                <w:lang w:val="en-US" w:eastAsia="zh-CN"/>
              </w:rPr>
              <w:t>6</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186</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休闲沙发组合</w:t>
            </w:r>
          </w:p>
        </w:tc>
        <w:tc>
          <w:tcPr>
            <w:tcW w:w="7122" w:type="dxa"/>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 xml:space="preserve">产品规格：外形尺寸1500*650*350mm；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1、面料：抗菌高密棉麻，舒适柔软细腻透气,长久耐磨抗皱。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2、填充：高密度回弹海绵，精密填充，柔软耐用。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3、沙发腿：实木材质，稳固支撑，安全可靠，经久耐用。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4、脚垫：防滑脚垫，有效静音、防护地面。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5、根据深化设计方案配套方桌。</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组</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187</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定制半圆书柜沙发（含桌椅）</w:t>
            </w:r>
          </w:p>
        </w:tc>
        <w:tc>
          <w:tcPr>
            <w:tcW w:w="7122" w:type="dxa"/>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 xml:space="preserve">根据深化设计方案订制，产品规格：整体外形尺寸Φ1600*700mm；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1、书柜：采用优质板材，四周边缘精致打磨倒角处理，防腐蚀、防静电、耐磨抗污染等特性。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2、沙发：根据深化设计方案配套软包坐垫，高密度回弹海绵精密填充，柔软耐用。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3、配套圆桌，尺寸不小于Φ600*450mm.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4、根据深化设计方案配套红布凳3个。</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项</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30000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188</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“少年中国说”社团文化设计与制作安装</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1.依据馆室的招标设备及课程特点使用功能，对空间90</w:t>
            </w:r>
            <w:r>
              <w:rPr>
                <w:rFonts w:hint="eastAsia" w:ascii="仿宋" w:hAnsi="仿宋" w:eastAsia="仿宋" w:cs="宋体"/>
                <w:bCs/>
                <w:color w:val="000000" w:themeColor="text1"/>
                <w:szCs w:val="21"/>
                <w:highlight w:val="none"/>
              </w:rPr>
              <w:t>㎡</w:t>
            </w:r>
            <w:r>
              <w:rPr>
                <w:rFonts w:hint="eastAsia" w:ascii="仿宋" w:hAnsi="仿宋" w:eastAsia="仿宋" w:cs="仿宋_GB2312"/>
                <w:bCs/>
                <w:color w:val="000000" w:themeColor="text1"/>
                <w:szCs w:val="21"/>
                <w:highlight w:val="none"/>
              </w:rPr>
              <w:t>进行整体深化设计，包含整体空间效果深化设计及立面文化深化设计；</w:t>
            </w:r>
            <w:r>
              <w:rPr>
                <w:rFonts w:hint="eastAsia" w:ascii="仿宋" w:hAnsi="仿宋" w:eastAsia="仿宋"/>
                <w:bCs/>
                <w:color w:val="000000" w:themeColor="text1"/>
                <w:szCs w:val="21"/>
                <w:highlight w:val="none"/>
              </w:rPr>
              <w:t xml:space="preserve">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2.空间场景制作及图文制作安装，包含但不限于：  (1)场景基层处理：①墙面木制作：15mm厚阻燃板基层找平，15mm厚洞洞板饰面；②定制成品18mm厚木质免漆造型隔板；③15mm厚阻燃板基层找平，9mm厚软木板饰面；④墙面及顶面彩色乳胶漆：原墙面及顶面彩色乳胶漆面层，滚刷满足成活要求；  (2)图文制作安装：墙面制作内容不低于5平方。主要制作内容工艺：①配套亚克力主题雕刻字；②20mm厚PVC板写真画面；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3.以甲方确认实施的深化设计及制作项目为最终验收标准。</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项</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30000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189</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北面定制书架（含软包座位）</w:t>
            </w:r>
          </w:p>
        </w:tc>
        <w:tc>
          <w:tcPr>
            <w:tcW w:w="7122" w:type="dxa"/>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 xml:space="preserve">根据深化设计方案订制，产品规格：外形尺寸1800*350*2000mm；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1、材质：采用优质板材，四周边缘精致打磨倒角处理，防腐蚀、防静电、耐磨抗污染等特性。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2、封条：2mmPVC封条，热熔胶封边，耐磨、防水。组装后接缝严密、牢固无松动现象不变型，美观耐用。</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3、软包：高密度回弹海绵，精密填充，柔软耐用。</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37</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190</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东面定制书架（含软包座位）</w:t>
            </w:r>
          </w:p>
        </w:tc>
        <w:tc>
          <w:tcPr>
            <w:tcW w:w="7122" w:type="dxa"/>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 xml:space="preserve">根据深化设计方案订制，产品规格：外形尺寸1800*350*2000mm；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1、材质：采用优质板材，四周边缘精致打磨倒角处理，防腐蚀、防静电、耐磨抗污染等特性。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2、封条：2mmPVC封条，热熔胶封边，耐磨、防水。组装后接缝严密、牢固无松动现象不变型，美观耐用。</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3、软包：高密度回弹海绵，精密填充，柔软耐用。</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12</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191</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圆形阅览桌</w:t>
            </w:r>
          </w:p>
        </w:tc>
        <w:tc>
          <w:tcPr>
            <w:tcW w:w="7122" w:type="dxa"/>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 xml:space="preserve">产品规格：外形尺寸Φ600*700mm；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1、台面：木质台面，台面Φ600mm，经久耐用、绿色环保，边角打磨圆润，有效防止磕碰。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2、桌腿：实木材质，稳固支撑，安全可靠，经久耐用。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3、脚垫：防滑脚垫，有效静音、防护地面。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4、配件：优质五金，可对整体桌子的组装起到连接及加固作用。</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组</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4</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650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192</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铝方通吊顶</w:t>
            </w:r>
          </w:p>
        </w:tc>
        <w:tc>
          <w:tcPr>
            <w:tcW w:w="7122" w:type="dxa"/>
            <w:vAlign w:val="center"/>
          </w:tcPr>
          <w:p>
            <w:pPr>
              <w:spacing w:line="360" w:lineRule="exac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防木纹铝方通吊顶</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35</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193</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木制作吊顶</w:t>
            </w:r>
          </w:p>
        </w:tc>
        <w:tc>
          <w:tcPr>
            <w:tcW w:w="7122" w:type="dxa"/>
            <w:vAlign w:val="center"/>
          </w:tcPr>
          <w:p>
            <w:pPr>
              <w:spacing w:line="360" w:lineRule="exac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12mm阻燃板框架基层，5mm防木纹碳晶板饰面（规格：150*200mm)，吊筋悬挂原顶面，含相应脚手架费用</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m</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28</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194</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新建墙体</w:t>
            </w:r>
          </w:p>
        </w:tc>
        <w:tc>
          <w:tcPr>
            <w:tcW w:w="7122" w:type="dxa"/>
            <w:vAlign w:val="center"/>
          </w:tcPr>
          <w:p>
            <w:pPr>
              <w:spacing w:line="360" w:lineRule="exac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40*60mm方管焊接框架，焊接处刷防锈漆，双面12mm厚阻燃板基层.双面9mm石膏板面层自攻钉固定，钉眼涂防锈漆。墙厚200mm</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14</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195</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木质折叠门</w:t>
            </w:r>
          </w:p>
        </w:tc>
        <w:tc>
          <w:tcPr>
            <w:tcW w:w="7122" w:type="dxa"/>
            <w:vAlign w:val="center"/>
          </w:tcPr>
          <w:p>
            <w:pPr>
              <w:spacing w:line="360" w:lineRule="exac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定制木质免漆木饰面折叠门，配套吊装铝型材轨道滑轮。门扇厚度50mm。</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15</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196</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“孔子学堂”社团文化设计与制作安装</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1.依据馆室的招标设备及课程特点使用功能，对空间170</w:t>
            </w:r>
            <w:r>
              <w:rPr>
                <w:rFonts w:hint="eastAsia" w:ascii="仿宋" w:hAnsi="仿宋" w:eastAsia="仿宋" w:cs="宋体"/>
                <w:bCs/>
                <w:color w:val="000000" w:themeColor="text1"/>
                <w:szCs w:val="21"/>
                <w:highlight w:val="none"/>
              </w:rPr>
              <w:t>㎡</w:t>
            </w:r>
            <w:r>
              <w:rPr>
                <w:rFonts w:hint="eastAsia" w:ascii="仿宋" w:hAnsi="仿宋" w:eastAsia="仿宋" w:cs="仿宋_GB2312"/>
                <w:bCs/>
                <w:color w:val="000000" w:themeColor="text1"/>
                <w:szCs w:val="21"/>
                <w:highlight w:val="none"/>
              </w:rPr>
              <w:t>进行整体深化设计，包含整体空间效果深化设计及立面文化深化设计；</w:t>
            </w:r>
            <w:r>
              <w:rPr>
                <w:rFonts w:hint="eastAsia" w:ascii="仿宋" w:hAnsi="仿宋" w:eastAsia="仿宋"/>
                <w:bCs/>
                <w:color w:val="000000" w:themeColor="text1"/>
                <w:szCs w:val="21"/>
                <w:highlight w:val="none"/>
              </w:rPr>
              <w:t xml:space="preserve">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2.图文制作安装：墙面制作内容不低于38平方。主要制作内容工艺：①配套亚克力主题雕刻字；②喷绘画面文字内容壁布粘贴；③20mm厚PVC板写真画面；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3.以甲方确认实施的深化设计及制作项目为最终验收标准。</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项</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31000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197</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报刊架</w:t>
            </w:r>
          </w:p>
        </w:tc>
        <w:tc>
          <w:tcPr>
            <w:tcW w:w="7122" w:type="dxa"/>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 xml:space="preserve">产品规格：外形尺寸1000*630*280mm；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1、材质：实木材质，环保材质，结实稳固。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2、结构：上部可夹报刊，下部可展示报刊，边角手工打磨。</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个</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198</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西面定制书架（含软包座位）</w:t>
            </w:r>
          </w:p>
        </w:tc>
        <w:tc>
          <w:tcPr>
            <w:tcW w:w="7122" w:type="dxa"/>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 xml:space="preserve">根据深化设计方案订制，产品规格：外形尺寸1800*350*2000mm；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1、材质：采用优质板材，四周边缘精致打磨倒角处理，防腐蚀、防静电、耐磨抗污染等特性。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2、封条：2mmPVC封条，热熔胶封边，耐磨、防水。组装后接缝严密、牢固无松动现象不变型，美观耐用。</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3、软包：高密度回弹海绵，精密填充，柔软耐用。</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12.6</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199</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北面靠边定制书架（含软包座位）</w:t>
            </w:r>
          </w:p>
        </w:tc>
        <w:tc>
          <w:tcPr>
            <w:tcW w:w="7122" w:type="dxa"/>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 xml:space="preserve">根据深化设计方案订制，产品规格：外形尺寸1800*350*2000mm；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1、材质：采用优质板材，四周边缘精致打磨倒角处理，防腐蚀、防静电、耐磨抗污染等特性。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2、封条：2mmPVC封条，热熔胶封边，耐磨、防水。组装后接缝严密、牢固无松动现象不变型，美观耐用。</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3、软包：高密度回弹海绵，精密填充，柔软耐用。</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30</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200</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东面靠边定制书架（含软包座位）</w:t>
            </w:r>
          </w:p>
        </w:tc>
        <w:tc>
          <w:tcPr>
            <w:tcW w:w="7122" w:type="dxa"/>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 xml:space="preserve">根据深化设计方案订制，产品规格：外形尺寸1800*350*2000mm；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1、材质：采用优质板材，四周边缘精致打磨倒角处理，防腐蚀、防静电、耐磨抗污染等特性。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2、封条：2mmPVC封条，热熔胶封边，耐磨、防水。组装后接缝严密、牢固无松动现象不变型，美观耐用。</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3、软包：高密度回弹海绵，精密填充，柔软耐用。</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cs="宋体"/>
                <w:bCs/>
                <w:color w:val="000000" w:themeColor="text1"/>
                <w:szCs w:val="21"/>
                <w:highlight w:val="none"/>
              </w:rPr>
              <w:t>㎡</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7.8</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201</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“校报编辑部”社团文化设计与制作安装</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1.依据馆室的招标设备及课程特点使用功能，对空间130</w:t>
            </w:r>
            <w:r>
              <w:rPr>
                <w:rFonts w:hint="eastAsia" w:ascii="仿宋" w:hAnsi="仿宋" w:eastAsia="仿宋" w:cs="宋体"/>
                <w:bCs/>
                <w:color w:val="000000" w:themeColor="text1"/>
                <w:szCs w:val="21"/>
                <w:highlight w:val="none"/>
              </w:rPr>
              <w:t>㎡</w:t>
            </w:r>
            <w:r>
              <w:rPr>
                <w:rFonts w:hint="eastAsia" w:ascii="仿宋" w:hAnsi="仿宋" w:eastAsia="仿宋" w:cs="仿宋_GB2312"/>
                <w:bCs/>
                <w:color w:val="000000" w:themeColor="text1"/>
                <w:szCs w:val="21"/>
                <w:highlight w:val="none"/>
              </w:rPr>
              <w:t>进行整体深化设计，包含整体空间效果深化设计及立面文化深化设计；</w:t>
            </w:r>
            <w:r>
              <w:rPr>
                <w:rFonts w:hint="eastAsia" w:ascii="仿宋" w:hAnsi="仿宋" w:eastAsia="仿宋"/>
                <w:bCs/>
                <w:color w:val="000000" w:themeColor="text1"/>
                <w:szCs w:val="21"/>
                <w:highlight w:val="none"/>
              </w:rPr>
              <w:t xml:space="preserve">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2.空间场景制作及图文制作安装，包含但不限于：  (1)场景基层处理：①墙面木制作：定制成品18mm厚木质免漆造型隔板；②原墙面彩色乳胶漆面层，滚刷满足成活要求；  (2)图文制作安装：墙面制作内容不低于20平方。主要制作内容工艺：①配套亚克力主题雕刻字；②磁吸白板；③20mm厚PVC板写真画面；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3.以甲方确认实施的深化设计及制作项目为最终验收标准。</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项</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202</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钢制书架</w:t>
            </w:r>
          </w:p>
        </w:tc>
        <w:tc>
          <w:tcPr>
            <w:tcW w:w="7122" w:type="dxa"/>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 xml:space="preserve">产品规格：外形尺寸1000*450*2000mm；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1、材质：冷轧钢板，承重力好，环氧静电喷塑工艺。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2、结构：层板可随心调节，使用更加方便。</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个</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6</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203</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“校本剧”社团文化设计与制作安装</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1.依据馆室的招标设备及课程特点使用功能，整体空间112</w:t>
            </w:r>
            <w:r>
              <w:rPr>
                <w:rFonts w:hint="eastAsia" w:ascii="仿宋" w:hAnsi="仿宋" w:eastAsia="仿宋" w:cs="宋体"/>
                <w:bCs/>
                <w:color w:val="000000" w:themeColor="text1"/>
                <w:szCs w:val="21"/>
                <w:highlight w:val="none"/>
              </w:rPr>
              <w:t>㎡</w:t>
            </w:r>
            <w:r>
              <w:rPr>
                <w:rFonts w:hint="eastAsia" w:ascii="仿宋" w:hAnsi="仿宋" w:eastAsia="仿宋" w:cs="仿宋_GB2312"/>
                <w:bCs/>
                <w:color w:val="000000" w:themeColor="text1"/>
                <w:szCs w:val="21"/>
                <w:highlight w:val="none"/>
              </w:rPr>
              <w:t>进行整体深化设计，包含整体空间效果深化设计及立面文化深化设计；</w:t>
            </w:r>
            <w:r>
              <w:rPr>
                <w:rFonts w:hint="eastAsia" w:ascii="仿宋" w:hAnsi="仿宋" w:eastAsia="仿宋"/>
                <w:bCs/>
                <w:color w:val="000000" w:themeColor="text1"/>
                <w:szCs w:val="21"/>
                <w:highlight w:val="none"/>
              </w:rPr>
              <w:t xml:space="preserve">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2.空间场景制作及图文制作安装，包含但不限于：  (1)场景基层处理：①墙面木制作：12mm厚阻燃板基层找平，9mm软木板饰面；②原墙面彩色乳胶漆面层，滚刷满足成活要求；③12mm阻燃板框架龙骨基层，12mm厚实木复合地板；  (2)图文制作安装：墙面制作内容不低于5平方。主要制作内容工艺：①配套亚克力主题雕刻字；②20mm厚PVC板写真画面；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3.以甲方确认实施的深化设计及制作项目为最终验收标准。</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项</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37000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204</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定制坐垫</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坐垫</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个</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60</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205</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“大声阅读及教师阅读区”课程文化深化设计与制作安装</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1.依据馆室的招标设备及课程特点使用功能，对空间80</w:t>
            </w:r>
            <w:r>
              <w:rPr>
                <w:rFonts w:hint="eastAsia" w:ascii="仿宋" w:hAnsi="仿宋" w:eastAsia="仿宋" w:cs="宋体"/>
                <w:bCs/>
                <w:color w:val="000000" w:themeColor="text1"/>
                <w:szCs w:val="21"/>
                <w:highlight w:val="none"/>
              </w:rPr>
              <w:t>㎡</w:t>
            </w:r>
            <w:r>
              <w:rPr>
                <w:rFonts w:hint="eastAsia" w:ascii="仿宋" w:hAnsi="仿宋" w:eastAsia="仿宋" w:cs="仿宋_GB2312"/>
                <w:bCs/>
                <w:color w:val="000000" w:themeColor="text1"/>
                <w:szCs w:val="21"/>
                <w:highlight w:val="none"/>
              </w:rPr>
              <w:t>进行整体深化设计，包含整体空间效果深化设计及立面文化深化设计；</w:t>
            </w:r>
            <w:r>
              <w:rPr>
                <w:rFonts w:hint="eastAsia" w:ascii="仿宋" w:hAnsi="仿宋" w:eastAsia="仿宋"/>
                <w:bCs/>
                <w:color w:val="000000" w:themeColor="text1"/>
                <w:szCs w:val="21"/>
                <w:highlight w:val="none"/>
              </w:rPr>
              <w:t xml:space="preserve">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2.空间场景制作及图文制作安装，包含但不限于：(1)场景基层处理：①墙面木制作：12mm厚阻燃板基层找平，9mm软木板饰面；②原墙面彩色乳胶漆面层，滚刷满足成活要求；  (2)图文制作安装：①12mm厚阻燃板基层找平，5mm软木板饰面；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3.以甲方确认实施的深化设计及制作项目为最终验收标准。</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项</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206</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休闲沙发组合</w:t>
            </w:r>
          </w:p>
        </w:tc>
        <w:tc>
          <w:tcPr>
            <w:tcW w:w="7122" w:type="dxa"/>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 xml:space="preserve">产品规格：外形尺寸1200*650*350mm；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1、面料：抗菌高密棉麻，舒适柔软细腻透气,长久耐磨抗皱。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2、填充：高密度回弹海绵，精密填充，柔软耐用。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3、沙发腿：实木材质，稳固支撑，安全可靠，经久耐用。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4、脚垫：防滑脚垫，有效静音、防护地面。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5、根据深化设计方案配套方桌。</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组</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5600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207</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墙面木制作隔板</w:t>
            </w:r>
          </w:p>
        </w:tc>
        <w:tc>
          <w:tcPr>
            <w:tcW w:w="7122" w:type="dxa"/>
            <w:vAlign w:val="center"/>
          </w:tcPr>
          <w:p>
            <w:pPr>
              <w:spacing w:line="360" w:lineRule="exac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定制成品18mm厚木质免漆造型隔板,深度300mm内，固定原墙面</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m</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32</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208</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墙面石膏板造型</w:t>
            </w:r>
          </w:p>
        </w:tc>
        <w:tc>
          <w:tcPr>
            <w:tcW w:w="7122" w:type="dxa"/>
            <w:vAlign w:val="center"/>
          </w:tcPr>
          <w:p>
            <w:pPr>
              <w:spacing w:line="360" w:lineRule="exac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9mm厚阻燃板基层找平，9mm厚石膏板饰面</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45</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209</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走廊场景深化设计</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依据馆室的招标设备及课程特点使用功能，对空间320㎡进行整体深化设计，包含空间整体布局优化设计、整体空间效果深化设计、空间功能分区规划设计；同时完成立面文化深化设计全流程工作，含立面文化主题定位、相关资料收集、内容梳理、文字编撰、资料整理、图文排版、视觉效果设计、立面造型设计、色彩方案设计及整体文化氛围营造设计。最终设计成果以满足教学使用功能、空间展示效果及文化氛围要求为标准。</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2.设计成果以满足教学使用功能、空间展示效果及文化氛围要求为目标，最终以甲方确认的深化设计方案及制作实施项目作为验收依据。</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项</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9"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210</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文学传承主题区</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宣绒布UV；立体字10mmPVC UV；磁吸白板；10mmPVC高清UV展板</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45</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211</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节气文化主题区</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宣绒布UV；立体字10mmPVC UV；磁吸白板；10mmPVC高清UV展板</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32</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212</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诗词意向主题区</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宣绒布UV；立体字10mmPVC UV；磁吸白板；10mmPVC高清UV展板</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10</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213</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语用生活主题区</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20mmPVC基础包宣绒布UV；立体字10mmPVC UV；磁吸白板；</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18</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14174" w:type="dxa"/>
            <w:gridSpan w:val="6"/>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rPr>
              <w:t>7、报告厅主题文化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214</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家岛共筑造型</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30*40mm方管焊接龙骨架，12mm阻燃板饰面，15mm厚软木板饰面,造型厚度120mm，仿真绿植造景。</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25</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580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215</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顶面吊顶</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12mm阻燃板框架基层造型，9mm石膏板造型饰面，滚刷彩色乳胶漆，内嵌软膜灯箱。吊筋悬挂原顶面，含脚手架费用</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30</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216</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墙面木制作1</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75系列龙骨骨架，12mm阻燃板框架基层，聚酯纤维板饰面</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40</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217</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墙面木制作隔板</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定制成品18mm厚木质免漆造型隔板,深度300mm内，固定原墙面</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m</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16</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218</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墙面木制作2</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12mm厚阻燃板基层找平，9mm厚洞洞板饰面</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8</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219</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石膏板软膜灯箱吊顶</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12mm阻燃板框架基层造型，9mm石膏板造型饰面，滚刷彩色乳胶漆，内嵌软膜灯箱，宽400mm,高200mm。吊筋悬挂原顶面，含脚手架费用</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m</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27</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220</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轨道灯轨道</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全铜明装轨道灯轨道，吊筋悬挂，型材宽35mm，含相应脚手架费用</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m</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15</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221</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轨道灯</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功率30w,明装LED射灯，含相应脚手架费用</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个</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14</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222</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电路改造</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强电灯线及开关插座改造（PVC明线槽、2.5平方国标铜芯线）</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m</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75</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223</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场景文化深化设计</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依据馆室的招标设备及课程特点使用功能，对空间390㎡进行整体深化设计，包含空间整体布局优化设计、整体空间效果深化设计、空间功能分区规划设计；同时完成立面文化深化设计全流程工作，含立面文化主题定位、相关资料收集、内容梳理、文字编撰、资料整理、图文排版、视觉效果设计、立面造型设计、色彩方案设计及整体文化氛围营造设计。最终设计成果以满足教学使用功能、空间展示效果及文化氛围要求为标准。</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2.设计成果以满足教学使用功能、空间展示效果及文化氛围要求为目标，最终以甲方确认的深化设计方案及制作实施项目作为验收依据。</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项</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224</w:t>
            </w:r>
          </w:p>
        </w:tc>
        <w:tc>
          <w:tcPr>
            <w:tcW w:w="2692" w:type="dxa"/>
            <w:vMerge w:val="restart"/>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主墙文化展示</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背景：3D浮雕壁布打印UV</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82</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225</w:t>
            </w:r>
          </w:p>
        </w:tc>
        <w:tc>
          <w:tcPr>
            <w:tcW w:w="2692" w:type="dxa"/>
            <w:vMerge w:val="continue"/>
            <w:vAlign w:val="center"/>
          </w:tcPr>
          <w:p>
            <w:pPr>
              <w:spacing w:line="360" w:lineRule="exact"/>
              <w:jc w:val="left"/>
              <w:rPr>
                <w:rFonts w:ascii="仿宋" w:hAnsi="仿宋" w:eastAsia="仿宋"/>
                <w:bCs/>
                <w:color w:val="000000" w:themeColor="text1"/>
                <w:szCs w:val="21"/>
                <w:highlight w:val="none"/>
              </w:rPr>
            </w:pP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LOGO：发光灯箱</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6.5</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226</w:t>
            </w:r>
          </w:p>
        </w:tc>
        <w:tc>
          <w:tcPr>
            <w:tcW w:w="2692" w:type="dxa"/>
            <w:vMerge w:val="continue"/>
            <w:vAlign w:val="center"/>
          </w:tcPr>
          <w:p>
            <w:pPr>
              <w:spacing w:line="360" w:lineRule="exact"/>
              <w:jc w:val="left"/>
              <w:rPr>
                <w:rFonts w:ascii="仿宋" w:hAnsi="仿宋" w:eastAsia="仿宋"/>
                <w:bCs/>
                <w:color w:val="000000" w:themeColor="text1"/>
                <w:szCs w:val="21"/>
                <w:highlight w:val="none"/>
              </w:rPr>
            </w:pP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校名字体：15mm透明亚克力+3mm亚克力UV；左右标语：15mm透明亚克力+3mm亚克力UV</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7.5</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227</w:t>
            </w:r>
          </w:p>
        </w:tc>
        <w:tc>
          <w:tcPr>
            <w:tcW w:w="2692" w:type="dxa"/>
            <w:vMerge w:val="continue"/>
            <w:vAlign w:val="center"/>
          </w:tcPr>
          <w:p>
            <w:pPr>
              <w:spacing w:line="360" w:lineRule="exact"/>
              <w:jc w:val="left"/>
              <w:rPr>
                <w:rFonts w:ascii="仿宋" w:hAnsi="仿宋" w:eastAsia="仿宋"/>
                <w:bCs/>
                <w:color w:val="000000" w:themeColor="text1"/>
                <w:szCs w:val="21"/>
                <w:highlight w:val="none"/>
              </w:rPr>
            </w:pP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左右标语底板：亚克力玻璃贴茶色膜</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8</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228</w:t>
            </w:r>
          </w:p>
        </w:tc>
        <w:tc>
          <w:tcPr>
            <w:tcW w:w="2692" w:type="dxa"/>
            <w:vMerge w:val="continue"/>
            <w:vAlign w:val="center"/>
          </w:tcPr>
          <w:p>
            <w:pPr>
              <w:spacing w:line="360" w:lineRule="exact"/>
              <w:jc w:val="left"/>
              <w:rPr>
                <w:rFonts w:ascii="仿宋" w:hAnsi="仿宋" w:eastAsia="仿宋"/>
                <w:bCs/>
                <w:color w:val="000000" w:themeColor="text1"/>
                <w:szCs w:val="21"/>
                <w:highlight w:val="none"/>
              </w:rPr>
            </w:pP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底部山水造型和英文字母：30mm太空版UV雕刻封边，</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13</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229</w:t>
            </w:r>
          </w:p>
        </w:tc>
        <w:tc>
          <w:tcPr>
            <w:tcW w:w="2692" w:type="dxa"/>
            <w:vMerge w:val="continue"/>
            <w:vAlign w:val="center"/>
          </w:tcPr>
          <w:p>
            <w:pPr>
              <w:spacing w:line="360" w:lineRule="exact"/>
              <w:jc w:val="left"/>
              <w:rPr>
                <w:rFonts w:ascii="仿宋" w:hAnsi="仿宋" w:eastAsia="仿宋"/>
                <w:bCs/>
                <w:color w:val="000000" w:themeColor="text1"/>
                <w:szCs w:val="21"/>
                <w:highlight w:val="none"/>
              </w:rPr>
            </w:pP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山造型饰条：20mm*20mm金属饰条烤漆</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13</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230</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文化科普展示区</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主标语底板：50mm太空版包壁布uv；立体字：15mm透明亚克力+3mm亚克力UV；内容15mm水晶一体板UV；底纹：壁布</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18</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231</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学校教育成果展示区</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主标语底板：50mm太空版包壁布uv；立体字15mm透明亚克力+3mm亚克力UV；背景绿色壁布；顶部装饰造型：15mm PVC雕刻UV；内容：50mm太空版包壁布uv+照片10mm磁吸底层面层</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18</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232</w:t>
            </w:r>
          </w:p>
        </w:tc>
        <w:tc>
          <w:tcPr>
            <w:tcW w:w="2692" w:type="dxa"/>
            <w:vMerge w:val="restart"/>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师德师风区</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背景壁布：宣绒布UV；文化展示：20mm水晶一体板UV+局部叠加；照片展示：20mm水晶一体板UV+亚克力盒+照片相纸打印；立体字：15mm透明亚克力+3mm亚克力UV</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20</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233</w:t>
            </w:r>
          </w:p>
        </w:tc>
        <w:tc>
          <w:tcPr>
            <w:tcW w:w="2692" w:type="dxa"/>
            <w:vMerge w:val="continue"/>
            <w:vAlign w:val="center"/>
          </w:tcPr>
          <w:p>
            <w:pPr>
              <w:spacing w:line="360" w:lineRule="exact"/>
              <w:jc w:val="left"/>
              <w:rPr>
                <w:rFonts w:ascii="仿宋" w:hAnsi="仿宋" w:eastAsia="仿宋"/>
                <w:bCs/>
                <w:color w:val="000000" w:themeColor="text1"/>
                <w:szCs w:val="21"/>
                <w:highlight w:val="none"/>
              </w:rPr>
            </w:pP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洞洞板</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5</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234</w:t>
            </w:r>
          </w:p>
        </w:tc>
        <w:tc>
          <w:tcPr>
            <w:tcW w:w="2692" w:type="dxa"/>
            <w:vMerge w:val="restart"/>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廉洁文化区</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展示墙：毛毡</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17</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235</w:t>
            </w:r>
          </w:p>
        </w:tc>
        <w:tc>
          <w:tcPr>
            <w:tcW w:w="2692" w:type="dxa"/>
            <w:vMerge w:val="continue"/>
            <w:vAlign w:val="center"/>
          </w:tcPr>
          <w:p>
            <w:pPr>
              <w:spacing w:line="360" w:lineRule="exact"/>
              <w:jc w:val="left"/>
              <w:rPr>
                <w:rFonts w:ascii="仿宋" w:hAnsi="仿宋" w:eastAsia="仿宋"/>
                <w:bCs/>
                <w:color w:val="000000" w:themeColor="text1"/>
                <w:szCs w:val="21"/>
                <w:highlight w:val="none"/>
              </w:rPr>
            </w:pP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异形展示：洞洞板，PVC底层包毛毡</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4.5</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236</w:t>
            </w:r>
          </w:p>
        </w:tc>
        <w:tc>
          <w:tcPr>
            <w:tcW w:w="2692" w:type="dxa"/>
            <w:vMerge w:val="continue"/>
            <w:vAlign w:val="center"/>
          </w:tcPr>
          <w:p>
            <w:pPr>
              <w:spacing w:line="360" w:lineRule="exact"/>
              <w:jc w:val="left"/>
              <w:rPr>
                <w:rFonts w:ascii="仿宋" w:hAnsi="仿宋" w:eastAsia="仿宋"/>
                <w:bCs/>
                <w:color w:val="000000" w:themeColor="text1"/>
                <w:szCs w:val="21"/>
                <w:highlight w:val="none"/>
              </w:rPr>
            </w:pP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立体字：10mm PVC uv</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237</w:t>
            </w:r>
          </w:p>
        </w:tc>
        <w:tc>
          <w:tcPr>
            <w:tcW w:w="2692" w:type="dxa"/>
            <w:vMerge w:val="continue"/>
            <w:vAlign w:val="center"/>
          </w:tcPr>
          <w:p>
            <w:pPr>
              <w:spacing w:line="360" w:lineRule="exact"/>
              <w:jc w:val="left"/>
              <w:rPr>
                <w:rFonts w:ascii="仿宋" w:hAnsi="仿宋" w:eastAsia="仿宋"/>
                <w:bCs/>
                <w:color w:val="000000" w:themeColor="text1"/>
                <w:szCs w:val="21"/>
                <w:highlight w:val="none"/>
              </w:rPr>
            </w:pP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洞洞板</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238</w:t>
            </w:r>
          </w:p>
        </w:tc>
        <w:tc>
          <w:tcPr>
            <w:tcW w:w="2692" w:type="dxa"/>
            <w:vMerge w:val="continue"/>
            <w:vAlign w:val="center"/>
          </w:tcPr>
          <w:p>
            <w:pPr>
              <w:spacing w:line="360" w:lineRule="exact"/>
              <w:jc w:val="left"/>
              <w:rPr>
                <w:rFonts w:ascii="仿宋" w:hAnsi="仿宋" w:eastAsia="仿宋"/>
                <w:bCs/>
                <w:color w:val="000000" w:themeColor="text1"/>
                <w:szCs w:val="21"/>
                <w:highlight w:val="none"/>
              </w:rPr>
            </w:pP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吊绳文化展示：金属线+5mmPVC高清UV</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4</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239</w:t>
            </w:r>
          </w:p>
        </w:tc>
        <w:tc>
          <w:tcPr>
            <w:tcW w:w="2692" w:type="dxa"/>
            <w:vMerge w:val="continue"/>
            <w:vAlign w:val="center"/>
          </w:tcPr>
          <w:p>
            <w:pPr>
              <w:spacing w:line="360" w:lineRule="exact"/>
              <w:jc w:val="left"/>
              <w:rPr>
                <w:rFonts w:ascii="仿宋" w:hAnsi="仿宋" w:eastAsia="仿宋"/>
                <w:bCs/>
                <w:color w:val="000000" w:themeColor="text1"/>
                <w:szCs w:val="21"/>
                <w:highlight w:val="none"/>
              </w:rPr>
            </w:pP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室内小品装饰车贴UV</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9</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14174" w:type="dxa"/>
            <w:gridSpan w:val="6"/>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rPr>
              <w:t>8、综合楼1F数字大厅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240</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LED屏</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 xml:space="preserve">像素点间距1.83mm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像素密度≥288369点/㎡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显示屏净尺寸3200mm*2880mm=9.21平方 分辨率1720*1548 = 266万像素点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模组分辨率≥172*86,模组尺寸（W×H）:320mm×160mm，</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9</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6500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241</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数据发送系统</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 xml:space="preserve">最大带载260万像素，最宽3840像素，最高2000像素，HDMI×2、DVI×1、VGA×1、CVBS×1，U盘输入，支持OSD，最大输入分辨率1920*1200@60Hz，支持分辨率任意设置，支持串口控制，支持音频解析，支持选配遥控器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输入：DVI×2、HDMI1.4×1、输出：千兆网口×2；  总点数：130万，最宽：4096，最高：2560.</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套</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7500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242</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数据接收系统</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支持高精度色度、亮度一体化逐点校正，支持所有常规芯片、PWM芯片，支持所有1~64扫任意模组；支持任意抽点，支持数据偏移，实现各种创意显示屏；数据组数：32组，最大带载：长度512点，高度384点（用于小间距，HUB320接口的模组)</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块</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16</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243</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超薄电源模块</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 xml:space="preserve">允许输入电压/输入频率  176~264VAC/47~63HZ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具备浪涌电流  冷启动，60A/230VAC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线性调整率  ≤0.5%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具有输出过载保护  110%-150%切断输出，输入重启后 上升，保持时间  50ms，20ms额定满载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允许工作温度  -30℃~+60℃</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个</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36</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244</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结构及箱体设计</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包含钢结构、短接跳线、安装调试及维护</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平方</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9.22</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245</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配电箱</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LED控制电箱，控制每一路电源模块供电，380v电箱</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个</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246</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主机</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Intel I5/8G内存/固态硬盘256G/4G显存/</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台</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5500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247</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吸顶音箱</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 xml:space="preserve">1.额定功率：立体声/并接模式，2X500W/8Ω，2X800W/4Ω.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2.输出功率桥接8欧：1350W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3.具备160×32高亮度显示屏，可显示温度、音量大小、工作模式等；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4.内置滤波功能，可滤除数字声及其它设备的高频干扰；</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个</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248</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功放</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 xml:space="preserve">1.音箱类型:无边框天花密封式吸顶音箱，两分频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2.低音单元: 6"低音单元，天花密封式音箱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3.高音单元: 1"同轴,材质：钛膜  4.定阻阻抗: 8Ω</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台</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3200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249</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全向麦克风</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产品尺寸：</w:t>
            </w:r>
            <w:r>
              <w:rPr>
                <w:rFonts w:hint="eastAsia" w:ascii="仿宋" w:hAnsi="仿宋" w:eastAsia="仿宋"/>
                <w:bCs/>
                <w:color w:val="000000" w:themeColor="text1"/>
                <w:szCs w:val="21"/>
                <w:highlight w:val="none"/>
                <w:lang w:val="en-US" w:eastAsia="zh-CN"/>
              </w:rPr>
              <w:t>约</w:t>
            </w:r>
            <w:r>
              <w:rPr>
                <w:rFonts w:hint="eastAsia" w:ascii="仿宋" w:hAnsi="仿宋" w:eastAsia="仿宋"/>
                <w:bCs/>
                <w:color w:val="000000" w:themeColor="text1"/>
                <w:szCs w:val="21"/>
                <w:highlight w:val="none"/>
              </w:rPr>
              <w:t xml:space="preserve">130*130*34mm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灵敏度：6颗-26dBFS数字全向拾音头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深度回声消除＞-70dB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回音消除长度≥300ms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双向噪音压缩＜15-40dB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信噪比：＞102dB</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台</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3500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250</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平板</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板电脑120Hz高刷2.5K全面屏鸿蒙 8+128GB WIFI</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台</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251</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无线</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固定端口：24个10/100/1000 BASE-T电口，2个10000Base-X SFP端口  模式切换：标准交换、网络克隆、端口隔离、汇聚上联  端口交换容量：52Gbps  转发能力：38.7Mpps  POE+供电：支持POE+，整机最大输出225W</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台</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252</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算力主机</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1.整机最大外形尺寸≤260 * 289 * 47（mm）；</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2.整机正面采用铝合金外壳设计，外部无任何可见的内部功能模块连接线；采用顶部出线，出线接口使用线槽屏蔽盖，出线美观；</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3.整机采用一体设计，产品边缘采用圆角包边防护；背板采用金属材质，有效屏蔽内部电路器件辐射；</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4.整机壁挂式固定方式，挂壁后使用螺丝进行锁紧固定，避免模块脱落；</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5.整机接口非外接拓展，不少于2路千兆以太网交换接口，不少于3路支持PoE功能的千兆以太网接口，支持级联PoE功能的网络摄像机和阵列麦克风； 不少于1路MicroSD卡接口，支持通过MicroSD卡升级整机系统软件；不少于1路Type-C 接口，支持调试和控制功能；</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6.整机内置网卡，支持2路网口连接以太网，实现有线上网功能；</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7.整机系统支持不低于linux 5.4，采用LPDDR4内存，内存容量大于等于16GB；采用SSD存储，支持TCG-OPAL 2.0硬件加密功能，存储容量大于等于256GB；</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8.整机采用国产AI算力芯片，峰值算力不低于32TOPS@INT8峰值算力，支持H.264&amp;H.265解码格式，解码能力支持32x1080P@25fps，8x4K@25fps，不低于8K ；编码能力不低于12x1080P@25fps, 不低于3x4K@25fps，不低于8K。支持JPEG图片编解码：1080P@600fps，不低于32768*32768。</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台</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5700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253</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教师画面采集终端</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1.产品采用一体化设计，内置4k摄像头和麦克风。</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2.产品摄像头传感器有效像素≥800万 ，支持4K超高清影像输出；视场角≥40°，对角线视场角≥45°。</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3.支持同时提供3路编码输出，支持H.264视频编码格式。</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4.内置视频处理器采用四核处理器，linux 5.1及以上操作系统，≥512MB系统内存、≥128MB存储空间。</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5.在无需连接外网情况下，产品支持老师在教学过程书写的板书内容和老师遮挡分层处理，输出视频中老师身体遮挡板书内容实现透视可见，实现教学过程板书可视化。</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6.支持老师在教学过程使用的教具识别，包括：三角尺、圆规、直尺和半圆尺、磁吸板擦/普通板擦识别。</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7.内置8阵列麦克风，拾音角度≥180°，麦克风拾音距离≥12m；</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8.采用4核国产音频处理芯片，配置64MB系统内存，256MB存储空间；</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9.支持web端进行远程OTA在线升级；</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10.支持PoE及DC12V两种供电方式。</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11.含2路RJ45级联接口，1路DC接口；1个红绿双色指示灯，支持显示产品工作状态；1路针孔按键，支持复位重启设备功能。</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台</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2580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254</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学生画面采集终端</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1.整机采用一体化设计，内置四个摄像头和8阵列麦克风，支持PoE和DC12V直流供电；</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2.整机具备不少于2路RJ45接口；不少于1路3.5mm audio in 音频输入接口；不少于1路Type-C接口；不少于1路DC12V电源输入接口；</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3.整机RJ45接口支持PoE功能，≥2级PoE功能阵列麦克风级联；3.5mm Audio in音频输入接口，支持对远端音频信号与本地音频进行混音，以消除混响；Type-C接口支持整机功能调试，可查看整机工作状态和系统配置；电源输入接口支持12V直流输入；</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4.产品内置专属的不低于4核音频CPU处理器，配置独立不低于64MB系统内存，不低于256MB存储空间；支持不低于8路麦克风数据处理，采样率不低于192k，AAC编码码率不低于480kbps；</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5.整机内置独立音频CPU处理器，采集音频拆分2路信号，一路用于课堂回放音频，一路用于AI语音分析；支持音频3A算法（自动增益控制（AGC）、自动抑制噪声（ANC）、自动回声消除（AEC）），提升麦克风拾音效果；</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6.整机内置8阵列麦克风，拾音角度≥180°，可用于对教室环境音频进行采集，拾音距离≥12m时，信噪比不低于15dB；</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7.产品内置采用不低于4核视频处理器，操作系统版本linux 5.1及以上操作系统，≥1GB系统内存、≥8GB存储空间。</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8.产品支持MJPG、H.264视频编码格式，支持输出1080p、4k、8k分辨率画面；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9.整机内置非独立式摄像头，采用一体化集成设计，摄像头数量≥4个；像素值均不低于800万； 均支持 3D 降噪算法和数字宽动态范围成像WDR 技术，支持输出 MJPG、 H.264 视频格式。</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10.整机内置的智能拼接摄像头，视场角≥141度且水平视场角≥139度，可拍摄≥1600万像素的照片，支持输出8192×2048分辨率的照片和视频，支持画面畸变矫正功能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11.整机通过一根网线可实现供电、网络传输及图像传输；</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台</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255</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吸顶麦克风</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1.360°全向拾音，拾音距离不低于3M。</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2.支持回声消除、噪声抑制、增益控制。</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3.支持POE供电。</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套</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256</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课堂反馈系统</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1.支持对教室环境的3D还原重建，采集生互动行为；支持多种视角转换。</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2.支持通过不同颜色呈现师生互动活跃度变化。支持点击学生头像，查看该学生的师生互动视频片段，统计该学生在本节课的上台互动、举手次数、问答次数。</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3.支持通过不同颜色呈现教师巡堂轨迹，颜色不同代表停留时间不同。</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4.支持教学大语言模型，根据教学内容自动生成师生问答、课堂互动、新课标落实三个维度，并生成教学建议。</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5.支持静默采集课堂数据，包含课程时长、课堂中教师讲授时长、教师讲授字数、教师授课平均语速。</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6.自动统计教师授课、师生互动、小组讨论、课堂练习的时间分布情况，支持图形可视化展示不同课堂行为的整体时间占比。</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7.通过语音识别技术，将课堂中声音转写为文字并自动切割为不同的片段，支持跳转到文字段落对应的视频片段。</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8.系统支持教师画面、学生画面双窗口显示，小窗口可自由拖动位置和自由切换；根据课件翻页可将教学视频进行虚拟切片，点击互动课件缩略图，可跳转至对应视频片段。</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9.通过多模态算法技术识别课堂行为并进行分类；根据课堂行为对教学视频进行打点，片段打点信息包含提问、回答、举手、起立、上台、齐读、讨论的教学事件，播放进度条支持显示事件类型、快速定位播放功能。</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10.系统自动生成报告，支持在移动端查看报告。</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套</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6700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257</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高拍仪</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 采用≥800万像素摄像头；采用 USB五伏电源直接供电，无需额外配置电源适配器，环保无辐射；箱内USB连线采用隐藏式设计，箱内无可见连线且USB口下出，有效防止积尘，且方便布线和返修。</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2. A4大小拍摄幅面，1080P动态视频预览达到30帧/秒；托板及挂墙部分采用金属加强，托板可承重3kg，整机壁挂式安装。</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3. 支持展台成像画面实时批注，预设多种笔划粗细及颜色供选择，且支持对展台成像画面联同批注内容进行同步缩放、移动。</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4. 整机采用圆弧式设计，无锐角；同时托板采用磁吸吸附式机构，防止托板打落，方便打开及固定，避免机械式锁具故障率高的问题。</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5. 展示托板正上方具备LED补光灯，保证展示区域的亮度及展示效果，补光灯开关采用触摸按键设计，同时可通过交互智能平板中的软件直接控制开关；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6. 带自动对焦摄像头；外壳在摄像头部分带保护镜片密封，防止灰尘沾染摄像头，防护等级达到IP4X级别。</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7. 具有故障自动检测功能：在调用展台却无法出现镜头采集画面信号时，可自动出现检测链接，并给出导致性原因（如硬件连接、摄像头占用、配套软件版本等问题）。</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8. 支持对展台画面进行放大、缩小、旋转、自适应、冻结画面等操作。</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9. 支持展台画面实时批注，预设多种笔划粗细及颜色供选择，且支持对展台画面联同批注内容进行同步缩放、移动。</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10. 支持展台画面拍照截图并进行多图预览，可对任一图片进行全屏显示。</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11. 老师可在一体机或电脑上选择延时拍照功能，支持5秒或10秒延时模式，预留充足时间以便调整拍摄内容。</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12. 具备图像增强功能，可自动裁剪背景并增强文字显示，使文档画面更清晰。</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13. 可选择图像、文本或动态等多种情景模式，适应不同展示内容。</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14. 支持故障自动检测，在软件无法出现展台拍摄画面时，自动出现检测链接，帮助用户检测“无画面”的原因，并给出引导性解决方案。可判断硬件连接、显卡驱动、摄像头占用、软件版本等问题。</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15. 支持二维码扫码功能：打开扫一扫功能后，将书本上的二维码放入扫描框内即可自动扫描，并进入系统浏览器获取二维码的链接内容，帮助老师快速获取电子教学资源。</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台</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650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258</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线材及辅材</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HDMI高清音视频信号线、超五类网络传输线、RVVP线缆、网络综合布线等。</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5口POE交换机，不少于4个POE网口，功率不小于50W.</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宗</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259</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数字内容及程序维护</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1.分辨率:1720*15482.</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2.帧数:25fps</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3.时长：具体时长以最终确定脚本为准，不低于6分钟。</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4.实现方式:三维建模人物+三维特效+二维场景</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5.终端屏幕数字内容三维制作：通过数字人互动进行演绎，漫游学校介绍，包括学校历来发展，教师建设，课程建设等相关数字内容，通过平板或者语音进行互动。</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6.程序开发引擎：支持两种方式，一种直接通过平板发送命令、可以通过平板程序进行电机播放。另一种通过全频麦克风，识别关键字触发视频播放。内嵌语音云端数据库</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7.平板端内容：平板端根据脚本设计UI界面、与屏幕内容进行数据通信，支持UDP/TCP协议</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8.智能语音对话分析服务包：语音云端服务，3年云服务。</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套</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170000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260</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墙面木质隔板</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定制成品18mm厚木质免漆造型隔板,深度300mm内，固定原墙面</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m</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8</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261</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墙面木制作造型</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12mm厚阻燃板基层找平，9mm厚洞洞板饰面</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15</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262</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电路改造</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强电灯线及开关插座改造（PVC明线槽、2.5平方国标铜芯线）</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m</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150</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263</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轨道灯轨道</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全铜明装轨道灯轨道，吊筋悬挂，型材宽35mm，含相应脚手架费用</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m</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80</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264</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轨道灯</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功率30w,明装LED射灯，含相应脚手架费用</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个</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78</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265</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场景文化深化设计</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依据馆室的招标设备及课程特点使用功能，对空间320㎡进行整体深化设计，包含空间整体布局优化设计、整体空间效果深化设计、空间功能分区规划设计；同时完成立面文化深化设计全流程工作，含立面文化主题定位、相关资料收集、内容梳理、文字编撰、资料整理、图文排版、视觉效果设计、立面造型设计、色彩方案设计及整体文化氛围营造设计。最终设计成果以满足教学使用功能、空间展示效果及文化氛围要求为标准。</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2.设计成果以满足教学使用功能、空间展示效果及文化氛围要求为目标，最终以甲方确认的深化设计方案及制作实施项目作为验收依据。</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项</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266</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筑牢中华民族共同体意识</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30mm太空版基层包3D浮雕宣绒布打印；小标语立体字10mm瓷白亚克力，底板3mm红色亚克力饰条</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28</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267</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中国式现代少年说</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10mmPVC底宣绒布uv，立体字10mm瓷白亚克力</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30</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268</w:t>
            </w:r>
          </w:p>
        </w:tc>
        <w:tc>
          <w:tcPr>
            <w:tcW w:w="2692" w:type="dxa"/>
            <w:vMerge w:val="restart"/>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共育荣榴红心凤凰英才</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主题标语10mm pvc uv</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6</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269</w:t>
            </w:r>
          </w:p>
        </w:tc>
        <w:tc>
          <w:tcPr>
            <w:tcW w:w="2692" w:type="dxa"/>
            <w:vMerge w:val="continue"/>
            <w:vAlign w:val="center"/>
          </w:tcPr>
          <w:p>
            <w:pPr>
              <w:spacing w:line="360" w:lineRule="exact"/>
              <w:jc w:val="left"/>
              <w:rPr>
                <w:rFonts w:ascii="仿宋" w:hAnsi="仿宋" w:eastAsia="仿宋"/>
                <w:bCs/>
                <w:color w:val="000000" w:themeColor="text1"/>
                <w:szCs w:val="21"/>
                <w:highlight w:val="none"/>
              </w:rPr>
            </w:pP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名言10mm棕色亚克力</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270</w:t>
            </w:r>
          </w:p>
        </w:tc>
        <w:tc>
          <w:tcPr>
            <w:tcW w:w="2692" w:type="dxa"/>
            <w:vMerge w:val="continue"/>
            <w:vAlign w:val="center"/>
          </w:tcPr>
          <w:p>
            <w:pPr>
              <w:spacing w:line="360" w:lineRule="exact"/>
              <w:jc w:val="left"/>
              <w:rPr>
                <w:rFonts w:ascii="仿宋" w:hAnsi="仿宋" w:eastAsia="仿宋"/>
                <w:bCs/>
                <w:color w:val="000000" w:themeColor="text1"/>
                <w:szCs w:val="21"/>
                <w:highlight w:val="none"/>
              </w:rPr>
            </w:pP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车贴</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4.5</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271</w:t>
            </w:r>
          </w:p>
        </w:tc>
        <w:tc>
          <w:tcPr>
            <w:tcW w:w="2692" w:type="dxa"/>
            <w:vMerge w:val="continue"/>
            <w:vAlign w:val="center"/>
          </w:tcPr>
          <w:p>
            <w:pPr>
              <w:spacing w:line="360" w:lineRule="exact"/>
              <w:jc w:val="left"/>
              <w:rPr>
                <w:rFonts w:ascii="仿宋" w:hAnsi="仿宋" w:eastAsia="仿宋"/>
                <w:bCs/>
                <w:color w:val="000000" w:themeColor="text1"/>
                <w:szCs w:val="21"/>
                <w:highlight w:val="none"/>
              </w:rPr>
            </w:pP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石榴画20mm水晶一体板</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272</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荣榴璀璨满校园</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造型20mm水晶一体板UV叠加封边；立体字15mm透明亚克力+3mm红色亚克力；照片20mm水晶一体板UV</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6</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273</w:t>
            </w:r>
          </w:p>
        </w:tc>
        <w:tc>
          <w:tcPr>
            <w:tcW w:w="2692" w:type="dxa"/>
            <w:vMerge w:val="restart"/>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红心照亮成长录</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车贴背景</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19.5</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274</w:t>
            </w:r>
          </w:p>
        </w:tc>
        <w:tc>
          <w:tcPr>
            <w:tcW w:w="2692" w:type="dxa"/>
            <w:vMerge w:val="continue"/>
            <w:vAlign w:val="center"/>
          </w:tcPr>
          <w:p>
            <w:pPr>
              <w:spacing w:line="360" w:lineRule="exact"/>
              <w:jc w:val="left"/>
              <w:rPr>
                <w:rFonts w:ascii="仿宋" w:hAnsi="仿宋" w:eastAsia="仿宋"/>
                <w:bCs/>
                <w:color w:val="000000" w:themeColor="text1"/>
                <w:szCs w:val="21"/>
                <w:highlight w:val="none"/>
              </w:rPr>
            </w:pP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洞洞板</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6</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275</w:t>
            </w:r>
          </w:p>
        </w:tc>
        <w:tc>
          <w:tcPr>
            <w:tcW w:w="2692" w:type="dxa"/>
            <w:vMerge w:val="continue"/>
            <w:vAlign w:val="center"/>
          </w:tcPr>
          <w:p>
            <w:pPr>
              <w:spacing w:line="360" w:lineRule="exact"/>
              <w:jc w:val="left"/>
              <w:rPr>
                <w:rFonts w:ascii="仿宋" w:hAnsi="仿宋" w:eastAsia="仿宋"/>
                <w:bCs/>
                <w:color w:val="000000" w:themeColor="text1"/>
                <w:szCs w:val="21"/>
                <w:highlight w:val="none"/>
              </w:rPr>
            </w:pP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毛毡</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8</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276</w:t>
            </w:r>
          </w:p>
        </w:tc>
        <w:tc>
          <w:tcPr>
            <w:tcW w:w="2692" w:type="dxa"/>
            <w:vMerge w:val="continue"/>
            <w:vAlign w:val="center"/>
          </w:tcPr>
          <w:p>
            <w:pPr>
              <w:spacing w:line="360" w:lineRule="exact"/>
              <w:jc w:val="left"/>
              <w:rPr>
                <w:rFonts w:ascii="仿宋" w:hAnsi="仿宋" w:eastAsia="仿宋"/>
                <w:bCs/>
                <w:color w:val="000000" w:themeColor="text1"/>
                <w:szCs w:val="21"/>
                <w:highlight w:val="none"/>
              </w:rPr>
            </w:pP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展板20mm水晶一体板</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4</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277</w:t>
            </w:r>
          </w:p>
        </w:tc>
        <w:tc>
          <w:tcPr>
            <w:tcW w:w="2692" w:type="dxa"/>
            <w:vMerge w:val="continue"/>
            <w:vAlign w:val="center"/>
          </w:tcPr>
          <w:p>
            <w:pPr>
              <w:spacing w:line="360" w:lineRule="exact"/>
              <w:jc w:val="left"/>
              <w:rPr>
                <w:rFonts w:ascii="仿宋" w:hAnsi="仿宋" w:eastAsia="仿宋"/>
                <w:bCs/>
                <w:color w:val="000000" w:themeColor="text1"/>
                <w:szCs w:val="21"/>
                <w:highlight w:val="none"/>
              </w:rPr>
            </w:pP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主题立体字10mm亚克力雕刻UV</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6</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278</w:t>
            </w:r>
          </w:p>
        </w:tc>
        <w:tc>
          <w:tcPr>
            <w:tcW w:w="2692" w:type="dxa"/>
            <w:vMerge w:val="restart"/>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法制红绿灯</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底板15mm水晶一体板UV；立体字15mm透明亚克力+3mm亚克力uv，内容10mm水晶一体板UV</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10</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279</w:t>
            </w:r>
          </w:p>
        </w:tc>
        <w:tc>
          <w:tcPr>
            <w:tcW w:w="2692" w:type="dxa"/>
            <w:vMerge w:val="continue"/>
            <w:vAlign w:val="center"/>
          </w:tcPr>
          <w:p>
            <w:pPr>
              <w:spacing w:line="360" w:lineRule="exact"/>
              <w:jc w:val="left"/>
              <w:rPr>
                <w:rFonts w:ascii="仿宋" w:hAnsi="仿宋" w:eastAsia="仿宋"/>
                <w:bCs/>
                <w:color w:val="000000" w:themeColor="text1"/>
                <w:szCs w:val="21"/>
                <w:highlight w:val="none"/>
              </w:rPr>
            </w:pP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毛毡</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4</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280</w:t>
            </w:r>
          </w:p>
        </w:tc>
        <w:tc>
          <w:tcPr>
            <w:tcW w:w="2692" w:type="dxa"/>
            <w:vMerge w:val="restart"/>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山海助防·凤凰长安</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展板20mm水晶一体板</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6</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281</w:t>
            </w:r>
          </w:p>
        </w:tc>
        <w:tc>
          <w:tcPr>
            <w:tcW w:w="2692" w:type="dxa"/>
            <w:vMerge w:val="continue"/>
            <w:vAlign w:val="center"/>
          </w:tcPr>
          <w:p>
            <w:pPr>
              <w:spacing w:line="360" w:lineRule="exact"/>
              <w:jc w:val="left"/>
              <w:rPr>
                <w:rFonts w:ascii="仿宋" w:hAnsi="仿宋" w:eastAsia="仿宋"/>
                <w:bCs/>
                <w:color w:val="000000" w:themeColor="text1"/>
                <w:szCs w:val="21"/>
                <w:highlight w:val="none"/>
              </w:rPr>
            </w:pP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立体字和显微镜15mm透 pvc uv</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6</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282</w:t>
            </w:r>
          </w:p>
        </w:tc>
        <w:tc>
          <w:tcPr>
            <w:tcW w:w="2692" w:type="dxa"/>
            <w:vMerge w:val="continue"/>
            <w:vAlign w:val="center"/>
          </w:tcPr>
          <w:p>
            <w:pPr>
              <w:spacing w:line="360" w:lineRule="exact"/>
              <w:jc w:val="left"/>
              <w:rPr>
                <w:rFonts w:ascii="仿宋" w:hAnsi="仿宋" w:eastAsia="仿宋"/>
                <w:bCs/>
                <w:color w:val="000000" w:themeColor="text1"/>
                <w:szCs w:val="21"/>
                <w:highlight w:val="none"/>
              </w:rPr>
            </w:pP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10mmPVC高清uv多层叠加</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4</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283</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隐患举报</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洞洞板</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3.8</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284</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清风凤凰·廉润校园</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底板20mmPVC包油画布UV；立体字15mm透明亚克力+3mm亚克力UV；饰条，竹子，印章底板20mm pvc雕刻UV</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32</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285</w:t>
            </w:r>
          </w:p>
        </w:tc>
        <w:tc>
          <w:tcPr>
            <w:tcW w:w="2692" w:type="dxa"/>
            <w:vMerge w:val="restart"/>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清廉教师行动准则展示区</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磁吸白板</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6</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286</w:t>
            </w:r>
          </w:p>
        </w:tc>
        <w:tc>
          <w:tcPr>
            <w:tcW w:w="2692" w:type="dxa"/>
            <w:vMerge w:val="continue"/>
            <w:vAlign w:val="center"/>
          </w:tcPr>
          <w:p>
            <w:pPr>
              <w:spacing w:line="360" w:lineRule="exact"/>
              <w:jc w:val="left"/>
              <w:rPr>
                <w:rFonts w:ascii="仿宋" w:hAnsi="仿宋" w:eastAsia="仿宋"/>
                <w:bCs/>
                <w:color w:val="000000" w:themeColor="text1"/>
                <w:szCs w:val="21"/>
                <w:highlight w:val="none"/>
              </w:rPr>
            </w:pP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洞洞板</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6.5</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287</w:t>
            </w:r>
          </w:p>
        </w:tc>
        <w:tc>
          <w:tcPr>
            <w:tcW w:w="2692" w:type="dxa"/>
            <w:vMerge w:val="continue"/>
            <w:vAlign w:val="center"/>
          </w:tcPr>
          <w:p>
            <w:pPr>
              <w:spacing w:line="360" w:lineRule="exact"/>
              <w:jc w:val="left"/>
              <w:rPr>
                <w:rFonts w:ascii="仿宋" w:hAnsi="仿宋" w:eastAsia="仿宋"/>
                <w:bCs/>
                <w:color w:val="000000" w:themeColor="text1"/>
                <w:szCs w:val="21"/>
                <w:highlight w:val="none"/>
              </w:rPr>
            </w:pP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立体字15mm透明亚克力+3mm亚克力UV雕刻；</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5</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288</w:t>
            </w:r>
          </w:p>
        </w:tc>
        <w:tc>
          <w:tcPr>
            <w:tcW w:w="2692" w:type="dxa"/>
            <w:vMerge w:val="continue"/>
            <w:vAlign w:val="center"/>
          </w:tcPr>
          <w:p>
            <w:pPr>
              <w:spacing w:line="360" w:lineRule="exact"/>
              <w:jc w:val="left"/>
              <w:rPr>
                <w:rFonts w:ascii="仿宋" w:hAnsi="仿宋" w:eastAsia="仿宋"/>
                <w:bCs/>
                <w:color w:val="000000" w:themeColor="text1"/>
                <w:szCs w:val="21"/>
                <w:highlight w:val="none"/>
              </w:rPr>
            </w:pP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竹子3mm亚克力UV雕刻</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6</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14174" w:type="dxa"/>
            <w:gridSpan w:val="6"/>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rPr>
              <w:t>9、户外导视设计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289</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楼名+英文+序号</w:t>
            </w:r>
          </w:p>
        </w:tc>
        <w:tc>
          <w:tcPr>
            <w:tcW w:w="7122" w:type="dxa"/>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立体字规格尺寸：4*1.5*0.03m,30mm厚金属字烤漆或拉丝不锈钢（银色，玫瑰金等）;7组，含高空安装</w:t>
            </w:r>
          </w:p>
        </w:tc>
        <w:tc>
          <w:tcPr>
            <w:tcW w:w="1000" w:type="dxa"/>
            <w:vMerge w:val="restart"/>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项</w:t>
            </w:r>
          </w:p>
        </w:tc>
        <w:tc>
          <w:tcPr>
            <w:tcW w:w="1000" w:type="dxa"/>
            <w:vMerge w:val="restart"/>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w:t>
            </w:r>
          </w:p>
        </w:tc>
        <w:tc>
          <w:tcPr>
            <w:tcW w:w="1690" w:type="dxa"/>
            <w:vMerge w:val="restart"/>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290</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总索引导视</w:t>
            </w:r>
          </w:p>
        </w:tc>
        <w:tc>
          <w:tcPr>
            <w:tcW w:w="7122" w:type="dxa"/>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规格尺寸：1.4*0.8*1.3m,1.5mm 304#不锈钢立体围边焊接成型，烤漆，信息（文字）丝网印刷；1组</w:t>
            </w:r>
          </w:p>
        </w:tc>
        <w:tc>
          <w:tcPr>
            <w:tcW w:w="1000" w:type="dxa"/>
            <w:vMerge w:val="continue"/>
            <w:vAlign w:val="center"/>
          </w:tcPr>
          <w:p>
            <w:pPr>
              <w:spacing w:line="360" w:lineRule="exact"/>
              <w:jc w:val="left"/>
              <w:rPr>
                <w:rFonts w:ascii="仿宋" w:hAnsi="仿宋" w:eastAsia="仿宋"/>
                <w:bCs/>
                <w:color w:val="000000" w:themeColor="text1"/>
                <w:szCs w:val="21"/>
                <w:highlight w:val="none"/>
              </w:rPr>
            </w:pPr>
          </w:p>
        </w:tc>
        <w:tc>
          <w:tcPr>
            <w:tcW w:w="1000" w:type="dxa"/>
            <w:vMerge w:val="continue"/>
            <w:vAlign w:val="center"/>
          </w:tcPr>
          <w:p>
            <w:pPr>
              <w:spacing w:line="360" w:lineRule="exact"/>
              <w:jc w:val="left"/>
              <w:rPr>
                <w:rFonts w:ascii="仿宋" w:hAnsi="仿宋" w:eastAsia="仿宋"/>
                <w:bCs/>
                <w:color w:val="000000" w:themeColor="text1"/>
                <w:szCs w:val="21"/>
                <w:highlight w:val="none"/>
              </w:rPr>
            </w:pPr>
          </w:p>
        </w:tc>
        <w:tc>
          <w:tcPr>
            <w:tcW w:w="1690" w:type="dxa"/>
            <w:vMerge w:val="continue"/>
            <w:vAlign w:val="center"/>
          </w:tcPr>
          <w:p>
            <w:pPr>
              <w:spacing w:line="360" w:lineRule="exact"/>
              <w:jc w:val="center"/>
              <w:rPr>
                <w:rFonts w:hint="eastAsia" w:ascii="仿宋" w:hAnsi="仿宋" w:eastAsia="仿宋"/>
                <w:bCs/>
                <w:color w:val="000000" w:themeColor="text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291</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停车场导视</w:t>
            </w:r>
          </w:p>
        </w:tc>
        <w:tc>
          <w:tcPr>
            <w:tcW w:w="7122" w:type="dxa"/>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规格尺寸：0.6*0.1*2.2m,1.5mm 304#不锈钢立体围边焊接成型，烤漆，信息（文字）丝网印刷；2组</w:t>
            </w:r>
          </w:p>
        </w:tc>
        <w:tc>
          <w:tcPr>
            <w:tcW w:w="1000" w:type="dxa"/>
            <w:vMerge w:val="continue"/>
            <w:vAlign w:val="center"/>
          </w:tcPr>
          <w:p>
            <w:pPr>
              <w:spacing w:line="360" w:lineRule="exact"/>
              <w:jc w:val="left"/>
              <w:rPr>
                <w:rFonts w:ascii="仿宋" w:hAnsi="仿宋" w:eastAsia="仿宋"/>
                <w:bCs/>
                <w:color w:val="000000" w:themeColor="text1"/>
                <w:szCs w:val="21"/>
                <w:highlight w:val="none"/>
              </w:rPr>
            </w:pPr>
          </w:p>
        </w:tc>
        <w:tc>
          <w:tcPr>
            <w:tcW w:w="1000" w:type="dxa"/>
            <w:vMerge w:val="continue"/>
            <w:vAlign w:val="center"/>
          </w:tcPr>
          <w:p>
            <w:pPr>
              <w:spacing w:line="360" w:lineRule="exact"/>
              <w:jc w:val="left"/>
              <w:rPr>
                <w:rFonts w:ascii="仿宋" w:hAnsi="仿宋" w:eastAsia="仿宋"/>
                <w:bCs/>
                <w:color w:val="000000" w:themeColor="text1"/>
                <w:szCs w:val="21"/>
                <w:highlight w:val="none"/>
              </w:rPr>
            </w:pPr>
          </w:p>
        </w:tc>
        <w:tc>
          <w:tcPr>
            <w:tcW w:w="1690" w:type="dxa"/>
            <w:vMerge w:val="continue"/>
            <w:vAlign w:val="center"/>
          </w:tcPr>
          <w:p>
            <w:pPr>
              <w:spacing w:line="360" w:lineRule="exact"/>
              <w:jc w:val="center"/>
              <w:rPr>
                <w:rFonts w:hint="eastAsia" w:ascii="仿宋" w:hAnsi="仿宋" w:eastAsia="仿宋"/>
                <w:bCs/>
                <w:color w:val="000000" w:themeColor="text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292</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分区导视索引</w:t>
            </w:r>
          </w:p>
        </w:tc>
        <w:tc>
          <w:tcPr>
            <w:tcW w:w="7122" w:type="dxa"/>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规格尺寸：0.6*0.1*2.2m,1.5mm 304#不锈钢立体围边焊接成型，烤漆，信息（文字）丝网印刷；6组</w:t>
            </w:r>
          </w:p>
        </w:tc>
        <w:tc>
          <w:tcPr>
            <w:tcW w:w="1000" w:type="dxa"/>
            <w:vMerge w:val="continue"/>
            <w:vAlign w:val="center"/>
          </w:tcPr>
          <w:p>
            <w:pPr>
              <w:spacing w:line="360" w:lineRule="exact"/>
              <w:jc w:val="left"/>
              <w:rPr>
                <w:rFonts w:ascii="仿宋" w:hAnsi="仿宋" w:eastAsia="仿宋"/>
                <w:bCs/>
                <w:color w:val="000000" w:themeColor="text1"/>
                <w:szCs w:val="21"/>
                <w:highlight w:val="none"/>
              </w:rPr>
            </w:pPr>
          </w:p>
        </w:tc>
        <w:tc>
          <w:tcPr>
            <w:tcW w:w="1000" w:type="dxa"/>
            <w:vMerge w:val="continue"/>
            <w:vAlign w:val="center"/>
          </w:tcPr>
          <w:p>
            <w:pPr>
              <w:spacing w:line="360" w:lineRule="exact"/>
              <w:jc w:val="left"/>
              <w:rPr>
                <w:rFonts w:ascii="仿宋" w:hAnsi="仿宋" w:eastAsia="仿宋"/>
                <w:bCs/>
                <w:color w:val="000000" w:themeColor="text1"/>
                <w:szCs w:val="21"/>
                <w:highlight w:val="none"/>
              </w:rPr>
            </w:pPr>
          </w:p>
        </w:tc>
        <w:tc>
          <w:tcPr>
            <w:tcW w:w="1690" w:type="dxa"/>
            <w:vMerge w:val="continue"/>
            <w:vAlign w:val="center"/>
          </w:tcPr>
          <w:p>
            <w:pPr>
              <w:spacing w:line="360" w:lineRule="exact"/>
              <w:jc w:val="center"/>
              <w:rPr>
                <w:rFonts w:hint="eastAsia" w:ascii="仿宋" w:hAnsi="仿宋" w:eastAsia="仿宋"/>
                <w:bCs/>
                <w:color w:val="000000" w:themeColor="text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293</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道路（命名）指示</w:t>
            </w:r>
          </w:p>
        </w:tc>
        <w:tc>
          <w:tcPr>
            <w:tcW w:w="7122" w:type="dxa"/>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规格尺寸：0.6*0.1*2.2m,1.5mm 304#不锈钢立体围边焊接成型，烤漆，信息（文字）丝网印刷；3组</w:t>
            </w:r>
          </w:p>
        </w:tc>
        <w:tc>
          <w:tcPr>
            <w:tcW w:w="1000" w:type="dxa"/>
            <w:vMerge w:val="continue"/>
            <w:vAlign w:val="center"/>
          </w:tcPr>
          <w:p>
            <w:pPr>
              <w:spacing w:line="360" w:lineRule="exact"/>
              <w:jc w:val="left"/>
              <w:rPr>
                <w:rFonts w:ascii="仿宋" w:hAnsi="仿宋" w:eastAsia="仿宋"/>
                <w:bCs/>
                <w:color w:val="000000" w:themeColor="text1"/>
                <w:szCs w:val="21"/>
                <w:highlight w:val="none"/>
              </w:rPr>
            </w:pPr>
          </w:p>
        </w:tc>
        <w:tc>
          <w:tcPr>
            <w:tcW w:w="1000" w:type="dxa"/>
            <w:vMerge w:val="continue"/>
            <w:vAlign w:val="center"/>
          </w:tcPr>
          <w:p>
            <w:pPr>
              <w:spacing w:line="360" w:lineRule="exact"/>
              <w:jc w:val="left"/>
              <w:rPr>
                <w:rFonts w:ascii="仿宋" w:hAnsi="仿宋" w:eastAsia="仿宋"/>
                <w:bCs/>
                <w:color w:val="000000" w:themeColor="text1"/>
                <w:szCs w:val="21"/>
                <w:highlight w:val="none"/>
              </w:rPr>
            </w:pPr>
          </w:p>
        </w:tc>
        <w:tc>
          <w:tcPr>
            <w:tcW w:w="1690" w:type="dxa"/>
            <w:vMerge w:val="continue"/>
            <w:vAlign w:val="center"/>
          </w:tcPr>
          <w:p>
            <w:pPr>
              <w:spacing w:line="360" w:lineRule="exact"/>
              <w:jc w:val="center"/>
              <w:rPr>
                <w:rFonts w:hint="eastAsia" w:ascii="仿宋" w:hAnsi="仿宋" w:eastAsia="仿宋"/>
                <w:bCs/>
                <w:color w:val="000000" w:themeColor="text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19"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294</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班级文化墙深化设计及制作安装</w:t>
            </w:r>
          </w:p>
        </w:tc>
        <w:tc>
          <w:tcPr>
            <w:tcW w:w="7122" w:type="dxa"/>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对班级文化牌立面文化进行深化设计及制作安装：主要材质包含但不限于亚克力、磁吸板等。深化设计制作尺寸不小于1200mm*5300mm，内容包含但不限于：</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1.班级文化展示：设计洞洞板面积不小于1㎡；可更换内容的亚克力盒不少于5个；亚克力字及亚克力雕刻造型等。  2.班级作品展示：彩色毛毡面积及彩色磁吸板面积均不小于1.5㎡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3.以甲方确认实施的深化设计及制作项目为最终验收标准。</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套</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40</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14174" w:type="dxa"/>
            <w:gridSpan w:val="6"/>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rPr>
              <w:t>10、华服创客室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295</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学生操作台</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 xml:space="preserve">产品规格：外形尺寸2080×840×750mm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1、台面：环保E1级三聚氰胺饰面板，Y形桌面设计，单张尺寸2080×840mm，可满足至少三人使用。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2、桌腿：钢制框架，桌腿一体化焊接、外表烤漆工艺，坚固耐久；内部布线设计，使用安全方便。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3、优质五金配件：可对整体操作台的组装起到连接及加固作用。</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套</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4</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3200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296</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学生坐凳</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 xml:space="preserve">产品规格：Φ350×420mm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1、凳面：直径350mm，优质玻璃钢材质。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2、支撑杆：采用螺旋式升降杆，更安全耐用，承重不小于150kg。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3、脚垫：优质钢管电镀五星脚，结构稳固。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4、脚垫：PP塑料底座，镀锌螺丝连接部件，耐磨防刮，即装即用。</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把</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35</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297</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多功能缝纫机操作台</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 xml:space="preserve">产品规格：1830×1040×750mm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1、柜体：环保E1级三聚氰胺饰面板，2mmPVC封条，热熔胶封边，耐磨、防水。组装后接缝严密、牢固无松动现象不变型，美观耐用。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2、脚轮：高品质的定制款脚轮，方便折叠移动，有效保护地面，增强稳定性。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3、升降台：可三档自由升降，有效利用柜体空间存放缝纫机。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4、优质五金配件：可对整体操作台的组装起到连接及加固作用。</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张</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4</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4800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298</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收纳手推车</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 xml:space="preserve">产品规格：1200×400×800mm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1、柜体：实木材质，采用中国传统清漆或生漆，漆面光洁，经久耐用、绿色环保，边角打磨圆润，有效防止磕碰，预留榫卯链接孔位，便于组配安装。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3、脚轮：优质静音万向滑轮，方便移动。</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个</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5</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299</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材料柜</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 xml:space="preserve">产品规格：1300×450×900mm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1、柜体：环保E1级三聚氰胺饰面板，2mmPVC封条，热熔胶封边，耐磨、防水。组装后接缝严密、牢固无松动现象不变型，美观耐用。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2、收纳盒：环保PE材质，380×300×100mm，一体成型边缘光滑无毛刺，圆角设计，承重能力强，颜色根基深化设计方案订制。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3、导轨：环保PP材质，380×15mmm封口导轨，厚度3mm，有效美观固定收纳盒。</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张</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4</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300</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收纳组合定制</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 xml:space="preserve">产品规格：外形尺寸2400×600×800mm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1、台面：尺寸2400×600mm， 采用优质环保E1级三聚氰胺饰面板，四周边缘精致打磨倒角处理，防腐蚀、防静电、耐磨抗污染等特性。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2、柜身：18mm厚优质环保E1级三聚氰胺饰面板，2mmPVC封条，热熔胶封边，耐磨、防水。组装后接缝严密、牢固无松动现象不变型，美观耐用。</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3、脚垫：采用可调节ABS脚垫，旋转升降，适用于不同地面环境。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4、优质五金配件：可对整体操作台的组装起到连接及加固作用。</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组</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301</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创意人台（男款）</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 xml:space="preserve">用于教学使用的创意设计、立体裁剪、扎针定位等，同时用于人体造型、尺寸的认知载体，高度约42cm。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底座：基于美观及底座腾空便于支架的紧扣设计。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支架：连接人台及底座的连接件，支撑起人台便于使用，且适配本公司创意人偶的身材高度同时作为上端人台部分的主心骨。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人台：片装设计的EVA材质，具备教学使用的弹性，片状厚度设计基于造型的曲线流线型，堆砌成人体形状。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顶端锁扣设计：设计备用部件于顶端，可按照实际情况进行增减，使人台达到固定的功能。</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套</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10</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302</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创意人台（女款）</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 xml:space="preserve">用于教学使用的创意设计、立体裁剪、扎针定位等，同时用于人体造型、尺寸的认知载体，高度约42cm。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底座：基于美观及底座腾空便于支架的紧扣设计。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支架：连接人台及底座的连接件，支撑起人台便于使用，且适配本公司创意人偶的身材高度同时作为上端人台部分的主心骨。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人台：片装设计的EVA材质，具备教学使用的弹性，片状厚度设计基于造型的曲线流线型，堆砌成人体形状。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顶端锁扣设计：设计备用部件于顶端，可按照实际情况进行增减，使人台达到固定的功能。</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套</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10</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303</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创客盒子</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 xml:space="preserve">包括工具材料包、辅料、专业教材、激发创意思维的橡胶板、3D创意笔及耗材。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1.无纺布材料包：包括深衣汉服、战国胡服、唐代衫裙、唐代大袖衫、宋朝褙子、明朝百褶裙、清朝旗装、近现代旗袍8款服饰的无纺布衣片，，以塑料手缝粗头针为工具，无纺布衣片和服饰相组合；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2.辅料：包括与服饰配套的花边、配饰、腰间系带、装饰花边等服装辅料。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3.橡胶纹饰板：纹饰为我国古代最有代表性的服饰纹样和传统元素，橡胶材质，直径8CM，纹饰内凹于橡胶表面。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4.低温充电款3D打印笔：1.嘴喷直径0.9mm；笔头温度60-90摄氏度（仅供PCL耗材使用）；工作电压5V1A（内置充电电池）；蓝色；适用于PCL低温耗材；净重51g；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5.PCL低温耗材：直径1.75mm,无污点、无气泡、无凸点，打印温度60-90摄氏度，绿色环保、无毒害。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6.配套国家一级出版社发行的正规专业教材（文化篇和制作篇）</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套</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30</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304</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民族服饰材料套件</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 xml:space="preserve">以中华民族文化体验学习为核心，通过理论学习和实践制作，让学生树立传承优秀传统文化的观念，学习和领会民族艺术精髓，增强中华民族自信心和自豪感。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1.无纺布衣片：包括故宫里的华服、苗族、侗族、蒙古袍之乌珠穆沁部落、蒙古袍之科尔沁部落等五套服饰的无纺布衣片，以塑料手缝粗头针为工具，将无纺布衣片和服饰相组合；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2.配套辅料：包括与服饰配套的花边、配饰、腰间系带、装饰贴纸等服装辅料。</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套</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50</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305</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创意设计套件</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 xml:space="preserve">一、本主题以小小服装设计师的职业体验为主线，通过活动互动了解旗袍的基础知识，感受旗袍的魅力，萌发设计创新的欲望；通过AR互动，完成旗袍的创新设计，开展技能训练实现设计到实物的转换，最后借助材料与工具完成整个创意物化的过程，享受设计的成就感；最终通过“百变旗袍秀”的展示，个性化表达设计结果，学生交流设计心得，学会分享。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二、内含包括版型纸样、魔法手册、创意人台、AR卡片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1. 版型纸样包含基础版型5份、变化版型10份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2．魔法手册含七款创意服饰的制作教程、版型应用教程（基础版型和变化版型）及学习单。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3．创意人台包括人台拼装组件、配件及说明书。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4．AR卡片含AR教学卡和AR绘本各一张。与AR课件资源交互虚拟仿真教学系统配套使用。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三、配创意手绘板一套</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套</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50</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306</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成衣制作面料</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服装常用面料（针织、梭织、帆布、无纺布等）一批，另含陈列架一个。</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批</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4500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307</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少数民族服饰课程资源套装</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衣食住行，以"服饰文化“为载体，通过动手制作民族服饰，全秒了解少数民族文化特点。套盒内包含壮族、回族、满族、侗族、维吾尔族、蒙古族、土家族、彝族、苗族、藏族等10套资源包，配套民族服科普手册、展示底座及背景板；每套资源包均配套精美说明及课件，为学生学习及教师教学活动开展提供便利。</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套</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100</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308</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少数民族服饰设计与制作资源包</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该资源包含有55个少数民族（男/女）服饰设计与制作材料。主要材料为各色布料、展示台、各民族服饰特色辅料。每个资源包配套制作手册及教学视频。为学生学习及教师教学活动开展提供便利。</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套</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100</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309</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标准工具套件</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标准工具套件为服饰专题教室标配，包含：大熨斗5个；裁缝剪刀10把；服装制版尺套装10套；果冻晶晶笔30套；万花尺30套；针包30个；珠针30组；针线包30套；酒精胶30瓶；气消笔30支；画粉10盒；</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套</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7000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310</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学生用包缝机</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自由臂两用缝台，产品规格不小于280*270*300mm，彩色线迹穿线指引，面板开关保护，分级式压脚抬升，手轮转动控制，差动调节，满足不同面料。</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台</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4400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311</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多功能收纳车</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产品规格：1200×400×800mm  1、柜体：实木材质，采用中国传统清漆或生漆，漆面光洁，经久耐用、绿色环保，边角打磨圆润，有效防止磕碰，预留榫卯链接孔位，便于组配安装。  3、脚轮：优质静音万向滑轮，方便移动。</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个</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4</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312</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水路改造</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Φ25国标PPR水管走明管上水及阀门，Φ50国标PVC水管走明管下水。</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m</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60</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313</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电路改造</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强电灯线及开关插座改造（PVC明线槽、2.5平方国标铜芯线）</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m</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40</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314</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空间及课程文化深化设计</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依据馆室的招标设备及课程特点使用功能，对空间75㎡进行整体深化设计，包含空间整体布局优化设计、整体空间效果深化设计、空间功能分区规划设计；同时完成立面文化深化设计全流程工作，含立面文化主题定位、相关资料收集、内容梳理、文字编撰、资料整理、图文排版、视觉效果设计、立面造型设计、色彩方案设计及整体文化氛围营造设计。最终设计成果以满足教学使用功能、空间展示效果及文化氛围要求为标准。</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2.设计成果以满足教学使用功能、空间展示效果及文化氛围要求为目标，最终以甲方确认的深化设计方案及制作实施项目作为验收依据。</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项</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315</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前墙文化背景壁布</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宣绒布UV；主标语10mm透明亚克UV</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36</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316</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前墙文化服饰展墙</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民族服饰</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套</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6</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317</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前墙定制毛毡</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5mm毛毡</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8.5</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318</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前墙科普文化展示</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3mm透明亚克力UV 镜钉固定</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9.8</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319</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侧墙定制洞洞板</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10mm洞洞板</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12</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320</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侧墙展板</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展板10mmPVC高清UV+10mm瓷白亚克力雕刻；主标语10mm瓷白亚克力雕刻</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w:t>
            </w:r>
            <w:r>
              <w:rPr>
                <w:rFonts w:hint="eastAsia" w:ascii="仿宋" w:hAnsi="仿宋" w:eastAsia="仿宋"/>
                <w:bCs/>
                <w:color w:val="000000" w:themeColor="text1"/>
                <w:szCs w:val="21"/>
                <w:highlight w:val="none"/>
              </w:rPr>
              <w:t>5</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321</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后墙文化背景</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背景壁布，10mm瓷白亚克力雕刻</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26</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322</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后墙置物格展示</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5mmPVC uv</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14174" w:type="dxa"/>
            <w:gridSpan w:val="6"/>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rPr>
              <w:t>11、民族文化实践室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323</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学生操作台1</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 xml:space="preserve">产品规格：外形尺寸500×500×750mm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1、台面：环保E1级三聚氰胺饰面板，梯形桌面设计，单张尺寸1200×520mm。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2、连接杆：使用1.2MM壁厚圆管，冷扎钢管。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3、桌腿：圆管1.5MM壁厚；桌腿一体化焊接、外表烤漆工艺，坚固耐久。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4、脚轮：50MM尼龙活动脚轮，旋转式可调节幅度15mm。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5、优质五金配件：可对整体操作台的组装起到连接及加固作用。</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张</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16</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850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324</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学生操作台2</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 xml:space="preserve">产品规格：外形尺寸1200×500×750mm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1、台面：环保E1级三聚氰胺饰面板，梯形桌面设计，单张尺寸1200×520mm。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2、连接杆：使用1.2MM壁厚圆管，冷扎钢管。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3、桌腿：圆管1.5MM壁厚；桌腿一体化焊接、外表烤漆工艺，坚固耐久。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4、脚轮：50MM尼龙活动脚轮，旋转式可调节幅度15mm。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5、优质五金配件：可对整体操作台的组装起到连接及加固作用。</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张</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8</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325</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学生坐凳</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 xml:space="preserve">产品规格：Φ350×420mm  1、凳面：直径350mm，优质玻璃钢材质。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2、支撑杆：采用螺旋式升降杆，更安全耐用，承重不小于150kg。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3、脚垫：优质钢管电镀五星脚，结构稳固。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4、脚垫：PP塑料底座，镀锌螺丝连接部件，耐磨防刮，即装即用。</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把</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32</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326</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多功能收纳车</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 xml:space="preserve">产品规格：1200×400×800mm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1、柜体：实木材质，采用中国传统清漆或生漆，漆面光洁，经久耐用、绿色环保，边角打磨圆润，有效防止磕碰，预留榫卯链接孔位，便于组配安装。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3、脚轮：优质静音万向滑轮，方便移动。</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个</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327</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收纳组合定制</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 xml:space="preserve">产品规格：外形尺寸2400×600×800mm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1、台面：尺寸2400×600mm， 采用优质环保E1级三聚氰胺饰面板，四周边缘精致打磨倒角处理，防腐蚀、防静电、耐磨抗污染等特性。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2、柜身：18mm厚优质环保E1级三聚氰胺饰面板，2mmPVC封条，热熔胶封边，耐磨、防水。组装后接缝严密、牢固无松动现象不变型，美观耐用。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 xml:space="preserve">3、脚垫：采用可调节ABS脚垫，旋转升降，适用于不同地面环境。  </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4、优质五金配件：可对整体操作台的组装起到连接及加固作用。</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组</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328</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民族传统乐器制作套装</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尺寸不小于30*14cm,材质：木制；含箜篌，马头琴，三弦，月琴，琵琶等不少于50种</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套</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30</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329</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民族特色民居制作套装</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尺寸不小于20*15cm,材质：2mm厚EPS板+纸，包含蒙古包，侗族鼓楼，客家围屋，傣家竹楼，满族四合院，藏族碉房不少于6类</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套</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30</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410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330</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民族特色文化实践套装</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56民族DIY手工挂饰画，每个尺寸不小于35*25cm，每套56个。</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套</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30</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331</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非遗民族编织竹扇套装</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尺寸不小于35*20cm，材质：竹制，含土家族西兰卡普扇，高山族贝壳羽毛扇，傣族七彩小珠扇,彝族火红太阳扇等不少于10种</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套</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30</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650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332</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《天工巧匠一中华传统工艺集成》实践套装</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含苗族银饰剪纸 、藏族经幡挂饰、壮族绣球、傣族纸象灯、彝族漆器纹样杯垫、哈萨克族刺绣书签、赫哲族鱼皮画、蒙古族皮艺钥匙扣、维吾尔族小花帽、满族剪纸共10个课程资源包。</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套</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30</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trPr>
        <w:tc>
          <w:tcPr>
            <w:tcW w:w="67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333</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空间及课程文化深化设计</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依据馆室的招标设备及课程特点使用功能，对空间75㎡进行整体深化设计，包含空间整体布局优化设计、整体空间效果深化设计、空间功能分区规划设计；同时完成立面文化深化设计全流程工作，含立面文化主题定位、相关资料收集、内容梳理、文字编撰、资料整理、图文排版、视觉效果设计、立面造型设计、色彩方案设计及整体文化氛围营造设计。最终设计成果以满足教学使用功能、空间展示效果及文化氛围要求为标准。</w:t>
            </w:r>
            <w:r>
              <w:rPr>
                <w:rFonts w:hint="eastAsia" w:ascii="仿宋" w:hAnsi="仿宋" w:eastAsia="仿宋"/>
                <w:bCs/>
                <w:color w:val="000000" w:themeColor="text1"/>
                <w:szCs w:val="21"/>
                <w:highlight w:val="none"/>
              </w:rPr>
              <w:br w:type="textWrapping"/>
            </w:r>
            <w:r>
              <w:rPr>
                <w:rFonts w:hint="eastAsia" w:ascii="仿宋" w:hAnsi="仿宋" w:eastAsia="仿宋"/>
                <w:bCs/>
                <w:color w:val="000000" w:themeColor="text1"/>
                <w:szCs w:val="21"/>
                <w:highlight w:val="none"/>
              </w:rPr>
              <w:t>2.设计成果以满足教学使用功能、空间展示效果及文化氛围要求为目标，最终以甲方确认的深化设计方案及制作实施项目作为验收依据。</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项</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334</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前墙定制背景毛毡</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毛毡</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12</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atLeast"/>
        </w:trPr>
        <w:tc>
          <w:tcPr>
            <w:tcW w:w="67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335</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前墙文化背景壁布</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宣绒布UV,10mmPVC UV</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9</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336</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前墙翻转互动装置</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金属转轴固定+PVC拼接+车贴uv（1.65*0.3*0.3m）</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个</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8</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337</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侧墙洞洞板展示</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10mm洞洞板</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9</w:t>
            </w:r>
          </w:p>
        </w:tc>
        <w:tc>
          <w:tcPr>
            <w:tcW w:w="1690" w:type="dxa"/>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338</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后墙文化背景设计</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油画布，10mmPVC UV</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20</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339</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后墙蓝色花纹区展示</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20mmpvc基底包宣绒布uv</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12</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67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340</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后墙定制白色毛毡</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毛毡</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8.5</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341</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后墙定制白板花纹</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10mmPVC 雕刻喷漆</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9</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670"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342</w:t>
            </w:r>
          </w:p>
        </w:tc>
        <w:tc>
          <w:tcPr>
            <w:tcW w:w="2692" w:type="dxa"/>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后墙文化展示</w:t>
            </w:r>
          </w:p>
        </w:tc>
        <w:tc>
          <w:tcPr>
            <w:tcW w:w="7122" w:type="dxa"/>
            <w:vAlign w:val="center"/>
          </w:tcPr>
          <w:p>
            <w:pPr>
              <w:spacing w:line="360" w:lineRule="exact"/>
              <w:jc w:val="left"/>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20mmpvc基底包宣绒布uv，立体字10mmPVC UV</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w:t>
            </w:r>
          </w:p>
        </w:tc>
        <w:tc>
          <w:tcPr>
            <w:tcW w:w="1000" w:type="dxa"/>
            <w:noWrap/>
            <w:vAlign w:val="center"/>
          </w:tcPr>
          <w:p>
            <w:pPr>
              <w:spacing w:line="360" w:lineRule="exact"/>
              <w:jc w:val="center"/>
              <w:rPr>
                <w:rFonts w:ascii="仿宋" w:hAnsi="仿宋" w:eastAsia="仿宋"/>
                <w:bCs/>
                <w:color w:val="000000" w:themeColor="text1"/>
                <w:szCs w:val="21"/>
                <w:highlight w:val="none"/>
              </w:rPr>
            </w:pPr>
            <w:r>
              <w:rPr>
                <w:rFonts w:hint="eastAsia" w:ascii="仿宋" w:hAnsi="仿宋" w:eastAsia="仿宋"/>
                <w:bCs/>
                <w:color w:val="000000" w:themeColor="text1"/>
                <w:szCs w:val="21"/>
                <w:highlight w:val="none"/>
              </w:rPr>
              <w:t>22</w:t>
            </w:r>
          </w:p>
        </w:tc>
        <w:tc>
          <w:tcPr>
            <w:tcW w:w="1690" w:type="dxa"/>
            <w:noWrap/>
            <w:vAlign w:val="center"/>
          </w:tcPr>
          <w:p>
            <w:pPr>
              <w:spacing w:line="360" w:lineRule="exact"/>
              <w:jc w:val="center"/>
              <w:rPr>
                <w:rFonts w:hint="eastAsia" w:ascii="仿宋" w:hAnsi="仿宋" w:eastAsia="仿宋"/>
                <w:bCs/>
                <w:color w:val="000000" w:themeColor="text1"/>
                <w:szCs w:val="21"/>
                <w:highlight w:val="none"/>
              </w:rPr>
            </w:pPr>
            <w:r>
              <w:rPr>
                <w:rFonts w:hint="eastAsia" w:ascii="仿宋" w:hAnsi="仿宋" w:eastAsia="仿宋"/>
                <w:bCs/>
                <w:color w:val="000000" w:themeColor="text1"/>
                <w:szCs w:val="21"/>
                <w:highlight w:val="none"/>
                <w:lang w:val="en-US" w:eastAsia="zh-CN"/>
              </w:rPr>
              <w:t>550</w:t>
            </w:r>
          </w:p>
        </w:tc>
      </w:tr>
      <w:bookmarkEnd w:id="20"/>
      <w:bookmarkEnd w:id="21"/>
    </w:tbl>
    <w:p>
      <w:pPr>
        <w:spacing w:line="560" w:lineRule="exact"/>
        <w:ind w:firstLine="562" w:firstLineChars="200"/>
        <w:rPr>
          <w:rFonts w:ascii="仿宋" w:hAnsi="仿宋" w:eastAsia="仿宋"/>
          <w:color w:val="000000" w:themeColor="text1"/>
          <w:sz w:val="28"/>
          <w:szCs w:val="28"/>
          <w:highlight w:val="none"/>
        </w:rPr>
      </w:pPr>
      <w:r>
        <w:rPr>
          <w:rFonts w:hint="eastAsia" w:ascii="仿宋" w:hAnsi="仿宋" w:eastAsia="仿宋"/>
          <w:b/>
          <w:color w:val="000000" w:themeColor="text1"/>
          <w:sz w:val="28"/>
          <w:szCs w:val="28"/>
          <w:highlight w:val="none"/>
        </w:rPr>
        <w:t>三、付款方式：</w:t>
      </w:r>
      <w:bookmarkStart w:id="22" w:name="OLE_LINK45"/>
      <w:bookmarkStart w:id="23" w:name="OLE_LINK46"/>
      <w:r>
        <w:rPr>
          <w:rFonts w:hint="eastAsia" w:ascii="仿宋_GB2312" w:hAnsi="宋体" w:eastAsia="仿宋_GB2312"/>
          <w:bCs/>
          <w:color w:val="000000" w:themeColor="text1"/>
          <w:sz w:val="30"/>
          <w:szCs w:val="30"/>
          <w:highlight w:val="none"/>
        </w:rPr>
        <w:t>项目完工验收合格且评审定案后，第一年支付定案价格的40%，第二年付定案价格的30%，第三年支付定案价格的20%，剩余10%第四年付清。该项目由威海（荣成）海洋高新技术产业园管理委员会社会工作部委托威海市港城建设集团有限公司进行代建，结算时由中标单位向荣成市第二十三中学开具发票，由区社会工作部进行付款。</w:t>
      </w:r>
    </w:p>
    <w:p>
      <w:pPr>
        <w:widowControl/>
        <w:adjustRightInd w:val="0"/>
        <w:snapToGrid w:val="0"/>
        <w:spacing w:line="560" w:lineRule="exact"/>
        <w:ind w:firstLine="562" w:firstLineChars="200"/>
        <w:jc w:val="left"/>
        <w:rPr>
          <w:rFonts w:ascii="仿宋_GB2312" w:hAnsi="宋体" w:eastAsia="仿宋_GB2312"/>
          <w:bCs/>
          <w:color w:val="000000" w:themeColor="text1"/>
          <w:sz w:val="30"/>
          <w:szCs w:val="30"/>
          <w:highlight w:val="none"/>
        </w:rPr>
      </w:pPr>
      <w:r>
        <w:rPr>
          <w:rFonts w:hint="eastAsia" w:ascii="仿宋" w:hAnsi="仿宋" w:eastAsia="仿宋"/>
          <w:b/>
          <w:color w:val="000000" w:themeColor="text1"/>
          <w:sz w:val="28"/>
          <w:szCs w:val="28"/>
          <w:highlight w:val="none"/>
        </w:rPr>
        <w:t>四、交付期：</w:t>
      </w:r>
      <w:r>
        <w:rPr>
          <w:rFonts w:hint="eastAsia" w:ascii="仿宋_GB2312" w:hAnsi="宋体" w:eastAsia="仿宋_GB2312"/>
          <w:bCs/>
          <w:color w:val="000000" w:themeColor="text1"/>
          <w:sz w:val="30"/>
          <w:szCs w:val="30"/>
          <w:highlight w:val="none"/>
        </w:rPr>
        <w:t>自合同签订之日起90天内供货安装调试完毕。</w:t>
      </w:r>
    </w:p>
    <w:bookmarkEnd w:id="22"/>
    <w:bookmarkEnd w:id="23"/>
    <w:p>
      <w:pPr>
        <w:widowControl/>
        <w:adjustRightInd w:val="0"/>
        <w:snapToGrid w:val="0"/>
        <w:spacing w:line="560" w:lineRule="exact"/>
        <w:ind w:firstLine="562" w:firstLineChars="200"/>
        <w:jc w:val="left"/>
        <w:rPr>
          <w:rFonts w:ascii="仿宋_GB2312" w:hAnsi="宋体" w:eastAsia="仿宋_GB2312"/>
          <w:bCs/>
          <w:color w:val="000000" w:themeColor="text1"/>
          <w:sz w:val="30"/>
          <w:szCs w:val="30"/>
          <w:highlight w:val="none"/>
        </w:rPr>
      </w:pPr>
      <w:r>
        <w:rPr>
          <w:rFonts w:hint="eastAsia" w:ascii="仿宋" w:hAnsi="仿宋" w:eastAsia="仿宋"/>
          <w:b/>
          <w:color w:val="000000" w:themeColor="text1"/>
          <w:sz w:val="28"/>
          <w:szCs w:val="28"/>
          <w:highlight w:val="none"/>
        </w:rPr>
        <w:t>五、质保期：</w:t>
      </w:r>
      <w:r>
        <w:rPr>
          <w:rFonts w:hint="eastAsia" w:ascii="仿宋_GB2312" w:hAnsi="宋体" w:eastAsia="仿宋_GB2312"/>
          <w:bCs/>
          <w:color w:val="000000" w:themeColor="text1"/>
          <w:sz w:val="30"/>
          <w:szCs w:val="30"/>
          <w:highlight w:val="none"/>
        </w:rPr>
        <w:t>自项目验收合格之日起不得低于五年。</w:t>
      </w:r>
    </w:p>
    <w:p>
      <w:pPr>
        <w:widowControl/>
        <w:adjustRightInd w:val="0"/>
        <w:snapToGrid w:val="0"/>
        <w:spacing w:line="560" w:lineRule="exact"/>
        <w:ind w:firstLine="562" w:firstLineChars="200"/>
        <w:jc w:val="left"/>
        <w:rPr>
          <w:rFonts w:ascii="仿宋" w:hAnsi="仿宋" w:eastAsia="仿宋"/>
          <w:b/>
          <w:color w:val="000000" w:themeColor="text1"/>
          <w:sz w:val="28"/>
          <w:szCs w:val="28"/>
          <w:highlight w:val="none"/>
        </w:rPr>
        <w:sectPr>
          <w:pgSz w:w="16838" w:h="11906" w:orient="landscape"/>
          <w:pgMar w:top="1077" w:right="1440" w:bottom="1077" w:left="1440" w:header="851" w:footer="992" w:gutter="0"/>
          <w:cols w:space="720" w:num="1"/>
          <w:docGrid w:type="lines" w:linePitch="312" w:charSpace="0"/>
        </w:sectPr>
      </w:pPr>
    </w:p>
    <w:p>
      <w:pPr>
        <w:pStyle w:val="42"/>
        <w:spacing w:before="0" w:after="0" w:line="360" w:lineRule="auto"/>
        <w:ind w:firstLine="646" w:firstLineChars="201"/>
        <w:rPr>
          <w:rFonts w:ascii="Times New Roman" w:hAnsi="Times New Roman"/>
          <w:color w:val="000000" w:themeColor="text1"/>
          <w:sz w:val="24"/>
          <w:highlight w:val="none"/>
        </w:rPr>
      </w:pPr>
      <w:r>
        <w:rPr>
          <w:rFonts w:hint="eastAsia" w:ascii="宋体" w:hAnsi="宋体" w:cs="宋体"/>
          <w:color w:val="000000" w:themeColor="text1"/>
          <w:highlight w:val="none"/>
        </w:rPr>
        <w:t>第四章 评标文件内容及格式</w:t>
      </w:r>
    </w:p>
    <w:p>
      <w:pPr>
        <w:spacing w:line="520" w:lineRule="exact"/>
        <w:ind w:firstLine="900" w:firstLineChars="300"/>
        <w:rPr>
          <w:rFonts w:ascii="仿宋_GB2312" w:hAnsi="宋体" w:eastAsia="仿宋_GB2312"/>
          <w:color w:val="000000" w:themeColor="text1"/>
          <w:sz w:val="30"/>
          <w:szCs w:val="30"/>
          <w:highlight w:val="none"/>
        </w:rPr>
      </w:pPr>
      <w:r>
        <w:rPr>
          <w:rFonts w:hint="eastAsia" w:ascii="仿宋_GB2312" w:hAnsi="宋体" w:eastAsia="仿宋_GB2312"/>
          <w:bCs/>
          <w:color w:val="000000" w:themeColor="text1"/>
          <w:sz w:val="30"/>
          <w:szCs w:val="30"/>
          <w:highlight w:val="none"/>
        </w:rPr>
        <w:t>一、</w:t>
      </w:r>
      <w:r>
        <w:rPr>
          <w:rFonts w:hint="eastAsia" w:ascii="仿宋_GB2312" w:hAnsi="宋体" w:eastAsia="仿宋_GB2312"/>
          <w:color w:val="000000" w:themeColor="text1"/>
          <w:sz w:val="30"/>
          <w:szCs w:val="30"/>
          <w:highlight w:val="none"/>
        </w:rPr>
        <w:t>评标原则</w:t>
      </w:r>
    </w:p>
    <w:p>
      <w:pPr>
        <w:tabs>
          <w:tab w:val="left" w:pos="540"/>
        </w:tabs>
        <w:spacing w:line="520" w:lineRule="exact"/>
        <w:ind w:firstLine="441" w:firstLineChars="147"/>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 xml:space="preserve"> “公平、公正、科学、择优”为本次评标的基本原则，评标委员会将按照这一原则的要求，公正、平等地对待各投标人，同时，在评标时恪守以下原则：</w:t>
      </w:r>
    </w:p>
    <w:p>
      <w:pPr>
        <w:tabs>
          <w:tab w:val="left" w:pos="540"/>
        </w:tabs>
        <w:spacing w:line="520" w:lineRule="exact"/>
        <w:ind w:firstLine="561" w:firstLineChars="187"/>
        <w:rPr>
          <w:rFonts w:ascii="仿宋_GB2312" w:hAnsi="宋体" w:eastAsia="仿宋_GB2312"/>
          <w:color w:val="000000" w:themeColor="text1"/>
          <w:sz w:val="30"/>
          <w:szCs w:val="30"/>
          <w:highlight w:val="none"/>
        </w:rPr>
      </w:pPr>
      <w:r>
        <w:rPr>
          <w:rFonts w:hint="eastAsia" w:ascii="仿宋_GB2312" w:hAnsi="宋体" w:eastAsia="仿宋_GB2312"/>
          <w:bCs/>
          <w:color w:val="000000" w:themeColor="text1"/>
          <w:sz w:val="30"/>
          <w:szCs w:val="30"/>
          <w:highlight w:val="none"/>
        </w:rPr>
        <w:t>1.</w:t>
      </w:r>
      <w:r>
        <w:rPr>
          <w:rFonts w:hint="eastAsia" w:ascii="仿宋_GB2312" w:hAnsi="宋体" w:eastAsia="仿宋_GB2312"/>
          <w:color w:val="000000" w:themeColor="text1"/>
          <w:sz w:val="30"/>
          <w:szCs w:val="30"/>
          <w:highlight w:val="none"/>
        </w:rPr>
        <w:t>客观性原则：评标委员会将严格按照招标文件的要求，对投标人的投标文件进行认真评审，评标委员会对投标文件的评审仅依据投标文件本身，而不依靠投标文件以外的任何因素。</w:t>
      </w:r>
    </w:p>
    <w:p>
      <w:pPr>
        <w:tabs>
          <w:tab w:val="left" w:pos="540"/>
        </w:tabs>
        <w:spacing w:line="520" w:lineRule="exact"/>
        <w:ind w:firstLine="561" w:firstLineChars="187"/>
        <w:rPr>
          <w:rFonts w:ascii="仿宋_GB2312" w:hAnsi="宋体" w:eastAsia="仿宋_GB2312"/>
          <w:color w:val="000000" w:themeColor="text1"/>
          <w:sz w:val="30"/>
          <w:szCs w:val="30"/>
          <w:highlight w:val="none"/>
        </w:rPr>
      </w:pPr>
      <w:r>
        <w:rPr>
          <w:rFonts w:hint="eastAsia" w:ascii="仿宋_GB2312" w:hAnsi="宋体" w:eastAsia="仿宋_GB2312"/>
          <w:bCs/>
          <w:color w:val="000000" w:themeColor="text1"/>
          <w:sz w:val="30"/>
          <w:szCs w:val="30"/>
          <w:highlight w:val="none"/>
        </w:rPr>
        <w:t>2.</w:t>
      </w:r>
      <w:r>
        <w:rPr>
          <w:rFonts w:hint="eastAsia" w:ascii="仿宋_GB2312" w:hAnsi="宋体" w:eastAsia="仿宋_GB2312"/>
          <w:color w:val="000000" w:themeColor="text1"/>
          <w:sz w:val="30"/>
          <w:szCs w:val="30"/>
          <w:highlight w:val="none"/>
        </w:rPr>
        <w:t>统一性原则：评标委员会将按照统一的评标原则和评标方法，采用统一标准进行评标。</w:t>
      </w:r>
    </w:p>
    <w:p>
      <w:pPr>
        <w:tabs>
          <w:tab w:val="left" w:pos="540"/>
        </w:tabs>
        <w:spacing w:line="520" w:lineRule="exact"/>
        <w:ind w:firstLine="561" w:firstLineChars="187"/>
        <w:rPr>
          <w:rFonts w:ascii="仿宋_GB2312" w:hAnsi="宋体" w:eastAsia="仿宋_GB2312"/>
          <w:color w:val="000000" w:themeColor="text1"/>
          <w:sz w:val="30"/>
          <w:szCs w:val="30"/>
          <w:highlight w:val="none"/>
        </w:rPr>
      </w:pPr>
      <w:r>
        <w:rPr>
          <w:rFonts w:hint="eastAsia" w:ascii="仿宋_GB2312" w:hAnsi="宋体" w:eastAsia="仿宋_GB2312"/>
          <w:bCs/>
          <w:color w:val="000000" w:themeColor="text1"/>
          <w:sz w:val="30"/>
          <w:szCs w:val="30"/>
          <w:highlight w:val="none"/>
        </w:rPr>
        <w:t>3.</w:t>
      </w:r>
      <w:r>
        <w:rPr>
          <w:rFonts w:hint="eastAsia" w:ascii="仿宋_GB2312" w:hAnsi="宋体" w:eastAsia="仿宋_GB2312"/>
          <w:color w:val="000000" w:themeColor="text1"/>
          <w:sz w:val="30"/>
          <w:szCs w:val="30"/>
          <w:highlight w:val="none"/>
        </w:rPr>
        <w:t>独立性原则：评标工作在评标委员会内部独立进行，不受外界任何因素的干扰和影响。</w:t>
      </w:r>
    </w:p>
    <w:p>
      <w:pPr>
        <w:tabs>
          <w:tab w:val="left" w:pos="540"/>
        </w:tabs>
        <w:spacing w:line="520" w:lineRule="exact"/>
        <w:ind w:firstLine="561" w:firstLineChars="187"/>
        <w:rPr>
          <w:rFonts w:ascii="仿宋_GB2312" w:hAnsi="宋体" w:eastAsia="仿宋_GB2312"/>
          <w:color w:val="000000" w:themeColor="text1"/>
          <w:sz w:val="30"/>
          <w:szCs w:val="30"/>
          <w:highlight w:val="none"/>
        </w:rPr>
      </w:pPr>
      <w:r>
        <w:rPr>
          <w:rFonts w:hint="eastAsia" w:ascii="仿宋_GB2312" w:hAnsi="宋体" w:eastAsia="仿宋_GB2312"/>
          <w:bCs/>
          <w:color w:val="000000" w:themeColor="text1"/>
          <w:sz w:val="30"/>
          <w:szCs w:val="30"/>
          <w:highlight w:val="none"/>
        </w:rPr>
        <w:t>4.</w:t>
      </w:r>
      <w:r>
        <w:rPr>
          <w:rFonts w:hint="eastAsia" w:ascii="仿宋_GB2312" w:hAnsi="宋体" w:eastAsia="仿宋_GB2312"/>
          <w:color w:val="000000" w:themeColor="text1"/>
          <w:sz w:val="30"/>
          <w:szCs w:val="30"/>
          <w:highlight w:val="none"/>
        </w:rPr>
        <w:t>保密性原则：评标委员会及熟知情况的有关工作人员必须对每位评委的评标意见和投标人的商业秘密严格保密，不得外泄。</w:t>
      </w:r>
    </w:p>
    <w:p>
      <w:pPr>
        <w:tabs>
          <w:tab w:val="left" w:pos="540"/>
        </w:tabs>
        <w:spacing w:line="520" w:lineRule="exact"/>
        <w:ind w:firstLine="561" w:firstLineChars="187"/>
        <w:rPr>
          <w:rFonts w:ascii="仿宋_GB2312" w:hAnsi="宋体" w:eastAsia="仿宋_GB2312"/>
          <w:color w:val="000000" w:themeColor="text1"/>
          <w:sz w:val="30"/>
          <w:szCs w:val="30"/>
          <w:highlight w:val="none"/>
        </w:rPr>
      </w:pPr>
      <w:r>
        <w:rPr>
          <w:rFonts w:hint="eastAsia" w:ascii="仿宋_GB2312" w:hAnsi="宋体" w:eastAsia="仿宋_GB2312"/>
          <w:bCs/>
          <w:color w:val="000000" w:themeColor="text1"/>
          <w:sz w:val="30"/>
          <w:szCs w:val="30"/>
          <w:highlight w:val="none"/>
        </w:rPr>
        <w:t>5.</w:t>
      </w:r>
      <w:r>
        <w:rPr>
          <w:rFonts w:hint="eastAsia" w:ascii="仿宋_GB2312" w:hAnsi="宋体" w:eastAsia="仿宋_GB2312"/>
          <w:color w:val="000000" w:themeColor="text1"/>
          <w:sz w:val="30"/>
          <w:szCs w:val="30"/>
          <w:highlight w:val="none"/>
        </w:rPr>
        <w:t>综合性原则：评标委员会将综合分析、评审投标人的各项指标，而不以单项指标的优劣评定出中标人。</w:t>
      </w:r>
    </w:p>
    <w:p>
      <w:pPr>
        <w:tabs>
          <w:tab w:val="left" w:pos="540"/>
          <w:tab w:val="left" w:pos="720"/>
        </w:tabs>
        <w:spacing w:line="520" w:lineRule="exact"/>
        <w:ind w:firstLine="600" w:firstLineChars="200"/>
        <w:rPr>
          <w:rFonts w:ascii="仿宋_GB2312" w:hAnsi="宋体" w:eastAsia="仿宋_GB2312"/>
          <w:bCs/>
          <w:color w:val="000000" w:themeColor="text1"/>
          <w:sz w:val="30"/>
          <w:szCs w:val="30"/>
          <w:highlight w:val="none"/>
        </w:rPr>
      </w:pPr>
      <w:r>
        <w:rPr>
          <w:rFonts w:hint="eastAsia" w:ascii="仿宋_GB2312" w:hAnsi="宋体" w:eastAsia="仿宋_GB2312"/>
          <w:bCs/>
          <w:color w:val="000000" w:themeColor="text1"/>
          <w:sz w:val="30"/>
          <w:szCs w:val="30"/>
          <w:highlight w:val="none"/>
        </w:rPr>
        <w:t>二、评标程序</w:t>
      </w:r>
    </w:p>
    <w:p>
      <w:pPr>
        <w:adjustRightInd w:val="0"/>
        <w:snapToGrid w:val="0"/>
        <w:spacing w:line="520" w:lineRule="exact"/>
        <w:ind w:firstLine="600" w:firstLineChars="200"/>
        <w:rPr>
          <w:rFonts w:ascii="仿宋_GB2312" w:hAnsi="宋体" w:eastAsia="仿宋_GB2312"/>
          <w:bCs/>
          <w:color w:val="000000" w:themeColor="text1"/>
          <w:sz w:val="30"/>
          <w:szCs w:val="30"/>
          <w:highlight w:val="none"/>
        </w:rPr>
      </w:pPr>
      <w:r>
        <w:rPr>
          <w:rFonts w:hint="eastAsia" w:ascii="仿宋_GB2312" w:hAnsi="宋体" w:eastAsia="仿宋_GB2312"/>
          <w:bCs/>
          <w:color w:val="000000" w:themeColor="text1"/>
          <w:sz w:val="30"/>
          <w:szCs w:val="30"/>
          <w:highlight w:val="none"/>
        </w:rPr>
        <w:t>1.开标结束后，采购人或者采购代理机构依法对投标人的资格进行审查。</w:t>
      </w:r>
    </w:p>
    <w:p>
      <w:pPr>
        <w:adjustRightInd w:val="0"/>
        <w:snapToGrid w:val="0"/>
        <w:spacing w:line="520" w:lineRule="exact"/>
        <w:ind w:firstLine="600" w:firstLineChars="200"/>
        <w:rPr>
          <w:rFonts w:ascii="仿宋_GB2312" w:hAnsi="宋体" w:eastAsia="仿宋_GB2312"/>
          <w:bCs/>
          <w:color w:val="000000" w:themeColor="text1"/>
          <w:sz w:val="30"/>
          <w:szCs w:val="30"/>
          <w:highlight w:val="none"/>
        </w:rPr>
      </w:pPr>
      <w:r>
        <w:rPr>
          <w:rFonts w:hint="eastAsia" w:ascii="仿宋_GB2312" w:hAnsi="宋体" w:eastAsia="仿宋_GB2312"/>
          <w:bCs/>
          <w:color w:val="000000" w:themeColor="text1"/>
          <w:sz w:val="30"/>
          <w:szCs w:val="30"/>
          <w:highlight w:val="none"/>
        </w:rPr>
        <w:t>2.评标委员会对符合资格的投标人的投标文件进行符合性审查，以确定其是否满足招标文件的实质性要求。</w:t>
      </w:r>
    </w:p>
    <w:p>
      <w:pPr>
        <w:adjustRightInd w:val="0"/>
        <w:snapToGrid w:val="0"/>
        <w:spacing w:line="520" w:lineRule="exact"/>
        <w:ind w:firstLine="600" w:firstLineChars="200"/>
        <w:rPr>
          <w:rFonts w:ascii="仿宋_GB2312" w:hAnsi="宋体" w:eastAsia="仿宋_GB2312"/>
          <w:b/>
          <w:bCs/>
          <w:color w:val="000000" w:themeColor="text1"/>
          <w:sz w:val="30"/>
          <w:szCs w:val="30"/>
          <w:highlight w:val="none"/>
        </w:rPr>
      </w:pPr>
      <w:r>
        <w:rPr>
          <w:rFonts w:hint="eastAsia" w:ascii="仿宋_GB2312" w:hAnsi="宋体" w:eastAsia="仿宋_GB2312"/>
          <w:bCs/>
          <w:color w:val="000000" w:themeColor="text1"/>
          <w:sz w:val="30"/>
          <w:szCs w:val="30"/>
          <w:highlight w:val="none"/>
        </w:rPr>
        <w:t>3.出现下列情形之一的，视为对招标文件未做出实质性响应，按照无效投标处理。</w:t>
      </w:r>
    </w:p>
    <w:p>
      <w:pPr>
        <w:spacing w:line="520" w:lineRule="exact"/>
        <w:ind w:firstLine="600" w:firstLineChars="200"/>
        <w:rPr>
          <w:rFonts w:ascii="仿宋_GB2312" w:hAnsi="宋体" w:eastAsia="仿宋_GB2312"/>
          <w:color w:val="000000" w:themeColor="text1"/>
          <w:sz w:val="30"/>
          <w:szCs w:val="30"/>
          <w:highlight w:val="none"/>
        </w:rPr>
      </w:pPr>
      <w:r>
        <w:rPr>
          <w:rFonts w:hint="eastAsia" w:ascii="仿宋_GB2312" w:hAnsi="宋体" w:eastAsia="仿宋_GB2312"/>
          <w:bCs/>
          <w:color w:val="000000" w:themeColor="text1"/>
          <w:sz w:val="30"/>
          <w:szCs w:val="30"/>
          <w:highlight w:val="none"/>
        </w:rPr>
        <w:t>详见《投标须知前附表》-《实质性条款一览表》中符合性检查条款。</w:t>
      </w:r>
    </w:p>
    <w:p>
      <w:pPr>
        <w:tabs>
          <w:tab w:val="left" w:pos="540"/>
          <w:tab w:val="left" w:pos="720"/>
        </w:tabs>
        <w:spacing w:line="520" w:lineRule="exact"/>
        <w:ind w:firstLine="600" w:firstLineChars="200"/>
        <w:rPr>
          <w:rFonts w:ascii="仿宋_GB2312" w:hAnsi="宋体" w:eastAsia="仿宋_GB2312"/>
          <w:bCs/>
          <w:color w:val="000000" w:themeColor="text1"/>
          <w:sz w:val="30"/>
          <w:szCs w:val="30"/>
          <w:highlight w:val="none"/>
        </w:rPr>
      </w:pPr>
      <w:r>
        <w:rPr>
          <w:rFonts w:hint="eastAsia" w:ascii="仿宋_GB2312" w:hAnsi="宋体" w:eastAsia="仿宋_GB2312"/>
          <w:bCs/>
          <w:color w:val="000000" w:themeColor="text1"/>
          <w:sz w:val="30"/>
          <w:szCs w:val="30"/>
          <w:highlight w:val="none"/>
        </w:rPr>
        <w:t>4.属于无效投标的，投标人不能通过修正或撤销投标文件中不符合之处而成为实质性响应的投标，招标公司将通知投标人，并说明无效投标理由；属于有效投标文件的，将进行下一轮次的询标和澄清。</w:t>
      </w:r>
    </w:p>
    <w:p>
      <w:pPr>
        <w:tabs>
          <w:tab w:val="left" w:pos="540"/>
          <w:tab w:val="left" w:pos="720"/>
        </w:tabs>
        <w:spacing w:line="520" w:lineRule="exact"/>
        <w:ind w:firstLine="600" w:firstLineChars="200"/>
        <w:rPr>
          <w:rFonts w:ascii="仿宋_GB2312" w:hAnsi="宋体" w:eastAsia="仿宋_GB2312"/>
          <w:bCs/>
          <w:color w:val="000000" w:themeColor="text1"/>
          <w:sz w:val="30"/>
          <w:szCs w:val="30"/>
          <w:highlight w:val="none"/>
        </w:rPr>
      </w:pPr>
      <w:r>
        <w:rPr>
          <w:rFonts w:hint="eastAsia" w:ascii="仿宋_GB2312" w:hAnsi="宋体" w:eastAsia="仿宋_GB2312"/>
          <w:bCs/>
          <w:color w:val="000000" w:themeColor="text1"/>
          <w:sz w:val="30"/>
          <w:szCs w:val="30"/>
          <w:highlight w:val="none"/>
        </w:rPr>
        <w:t>5.询标和澄清</w:t>
      </w:r>
    </w:p>
    <w:p>
      <w:pPr>
        <w:tabs>
          <w:tab w:val="left" w:pos="540"/>
          <w:tab w:val="left" w:pos="720"/>
        </w:tabs>
        <w:spacing w:line="520" w:lineRule="exact"/>
        <w:ind w:firstLine="600" w:firstLineChars="200"/>
        <w:rPr>
          <w:rFonts w:ascii="仿宋_GB2312" w:hAnsi="宋体" w:eastAsia="仿宋_GB2312"/>
          <w:bCs/>
          <w:color w:val="000000" w:themeColor="text1"/>
          <w:sz w:val="30"/>
          <w:szCs w:val="30"/>
          <w:highlight w:val="none"/>
        </w:rPr>
      </w:pPr>
      <w:r>
        <w:rPr>
          <w:rFonts w:hint="eastAsia" w:ascii="仿宋_GB2312" w:hAnsi="宋体" w:eastAsia="仿宋_GB2312"/>
          <w:bCs/>
          <w:color w:val="000000" w:themeColor="text1"/>
          <w:sz w:val="30"/>
          <w:szCs w:val="30"/>
          <w:highlight w:val="none"/>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pPr>
        <w:tabs>
          <w:tab w:val="left" w:pos="540"/>
          <w:tab w:val="left" w:pos="720"/>
        </w:tabs>
        <w:spacing w:line="520" w:lineRule="exact"/>
        <w:ind w:firstLine="600" w:firstLineChars="200"/>
        <w:rPr>
          <w:rFonts w:ascii="仿宋_GB2312" w:hAnsi="宋体" w:eastAsia="仿宋_GB2312"/>
          <w:bCs/>
          <w:color w:val="000000" w:themeColor="text1"/>
          <w:sz w:val="30"/>
          <w:szCs w:val="30"/>
          <w:highlight w:val="none"/>
        </w:rPr>
      </w:pPr>
      <w:r>
        <w:rPr>
          <w:rFonts w:hint="eastAsia" w:ascii="仿宋_GB2312" w:hAnsi="宋体" w:eastAsia="仿宋_GB2312"/>
          <w:bCs/>
          <w:color w:val="000000" w:themeColor="text1"/>
          <w:sz w:val="30"/>
          <w:szCs w:val="30"/>
          <w:highlight w:val="none"/>
        </w:rPr>
        <w:t>(2)投标人依据评审要求进行澄清、说明或者补正的内容构成投标文件的组成部分。</w:t>
      </w:r>
    </w:p>
    <w:p>
      <w:pPr>
        <w:tabs>
          <w:tab w:val="left" w:pos="540"/>
          <w:tab w:val="left" w:pos="720"/>
        </w:tabs>
        <w:spacing w:line="520" w:lineRule="exact"/>
        <w:ind w:firstLine="600" w:firstLineChars="200"/>
        <w:rPr>
          <w:rFonts w:ascii="仿宋_GB2312" w:hAnsi="宋体" w:eastAsia="仿宋_GB2312"/>
          <w:bCs/>
          <w:color w:val="000000" w:themeColor="text1"/>
          <w:sz w:val="30"/>
          <w:szCs w:val="30"/>
          <w:highlight w:val="none"/>
        </w:rPr>
      </w:pPr>
      <w:r>
        <w:rPr>
          <w:rFonts w:hint="eastAsia" w:ascii="仿宋_GB2312" w:hAnsi="宋体" w:eastAsia="仿宋_GB2312"/>
          <w:bCs/>
          <w:color w:val="000000" w:themeColor="text1"/>
          <w:sz w:val="30"/>
          <w:szCs w:val="30"/>
          <w:highlight w:val="none"/>
        </w:rPr>
        <w:t>6.比较与评价</w:t>
      </w:r>
    </w:p>
    <w:p>
      <w:pPr>
        <w:tabs>
          <w:tab w:val="left" w:pos="540"/>
          <w:tab w:val="left" w:pos="720"/>
        </w:tabs>
        <w:spacing w:line="520" w:lineRule="exact"/>
        <w:ind w:firstLine="600" w:firstLineChars="200"/>
        <w:rPr>
          <w:rFonts w:ascii="仿宋_GB2312" w:hAnsi="宋体" w:eastAsia="仿宋_GB2312"/>
          <w:bCs/>
          <w:color w:val="000000" w:themeColor="text1"/>
          <w:sz w:val="30"/>
          <w:szCs w:val="30"/>
          <w:highlight w:val="none"/>
        </w:rPr>
      </w:pPr>
      <w:r>
        <w:rPr>
          <w:rFonts w:hint="eastAsia" w:ascii="仿宋_GB2312" w:hAnsi="宋体" w:eastAsia="仿宋_GB2312"/>
          <w:bCs/>
          <w:color w:val="000000" w:themeColor="text1"/>
          <w:sz w:val="30"/>
          <w:szCs w:val="30"/>
          <w:highlight w:val="none"/>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技术方面得分高的排前。</w:t>
      </w:r>
    </w:p>
    <w:p>
      <w:pPr>
        <w:tabs>
          <w:tab w:val="left" w:pos="540"/>
        </w:tabs>
        <w:spacing w:line="520" w:lineRule="exact"/>
        <w:ind w:firstLine="602" w:firstLineChars="200"/>
        <w:rPr>
          <w:rFonts w:ascii="仿宋_GB2312" w:hAnsi="宋体" w:eastAsia="仿宋_GB2312"/>
          <w:bCs/>
          <w:color w:val="000000" w:themeColor="text1"/>
          <w:sz w:val="30"/>
          <w:szCs w:val="30"/>
          <w:highlight w:val="none"/>
        </w:rPr>
      </w:pPr>
      <w:r>
        <w:rPr>
          <w:rFonts w:ascii="仿宋_GB2312" w:eastAsia="仿宋_GB2312"/>
          <w:b/>
          <w:bCs/>
          <w:color w:val="000000" w:themeColor="text1"/>
          <w:sz w:val="30"/>
          <w:szCs w:val="30"/>
          <w:highlight w:val="none"/>
        </w:rPr>
        <w:t>7</w:t>
      </w:r>
      <w:r>
        <w:rPr>
          <w:rFonts w:hint="eastAsia" w:ascii="仿宋_GB2312" w:eastAsia="仿宋_GB2312"/>
          <w:b/>
          <w:bCs/>
          <w:color w:val="000000" w:themeColor="text1"/>
          <w:sz w:val="30"/>
          <w:szCs w:val="30"/>
          <w:highlight w:val="none"/>
        </w:rPr>
        <w:t>.评标方法</w:t>
      </w:r>
    </w:p>
    <w:p>
      <w:pPr>
        <w:tabs>
          <w:tab w:val="left" w:pos="540"/>
        </w:tabs>
        <w:spacing w:line="520" w:lineRule="exact"/>
        <w:ind w:firstLine="600" w:firstLineChars="200"/>
        <w:rPr>
          <w:rFonts w:ascii="仿宋_GB2312" w:hAnsi="宋体" w:eastAsia="仿宋_GB2312"/>
          <w:bCs/>
          <w:color w:val="000000" w:themeColor="text1"/>
          <w:sz w:val="30"/>
          <w:szCs w:val="30"/>
          <w:highlight w:val="none"/>
        </w:rPr>
      </w:pPr>
      <w:r>
        <w:rPr>
          <w:rFonts w:hint="eastAsia" w:ascii="仿宋_GB2312" w:hAnsi="宋体" w:eastAsia="仿宋_GB2312"/>
          <w:bCs/>
          <w:color w:val="000000" w:themeColor="text1"/>
          <w:sz w:val="30"/>
          <w:szCs w:val="30"/>
          <w:highlight w:val="none"/>
        </w:rPr>
        <w:t>(1)评标方法：综合评分法。</w:t>
      </w:r>
    </w:p>
    <w:p>
      <w:pPr>
        <w:tabs>
          <w:tab w:val="left" w:pos="540"/>
        </w:tabs>
        <w:spacing w:line="520" w:lineRule="exact"/>
        <w:ind w:firstLine="600" w:firstLineChars="200"/>
        <w:rPr>
          <w:rFonts w:ascii="仿宋_GB2312" w:hAnsi="宋体" w:eastAsia="仿宋_GB2312"/>
          <w:bCs/>
          <w:color w:val="000000" w:themeColor="text1"/>
          <w:sz w:val="30"/>
          <w:szCs w:val="30"/>
          <w:highlight w:val="none"/>
        </w:rPr>
      </w:pPr>
      <w:r>
        <w:rPr>
          <w:rFonts w:hint="eastAsia" w:ascii="仿宋_GB2312" w:hAnsi="宋体" w:eastAsia="仿宋_GB2312"/>
          <w:bCs/>
          <w:color w:val="000000" w:themeColor="text1"/>
          <w:sz w:val="30"/>
          <w:szCs w:val="30"/>
          <w:highlight w:val="none"/>
        </w:rPr>
        <w:t>(2)评标细则：</w:t>
      </w:r>
    </w:p>
    <w:tbl>
      <w:tblPr>
        <w:tblStyle w:val="47"/>
        <w:tblW w:w="9752"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25"/>
        <w:gridCol w:w="738"/>
        <w:gridCol w:w="1134"/>
        <w:gridCol w:w="5256"/>
        <w:gridCol w:w="1026"/>
        <w:gridCol w:w="7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Ex>
        <w:trPr>
          <w:trHeight w:val="454" w:hRule="atLeast"/>
          <w:jc w:val="center"/>
        </w:trPr>
        <w:tc>
          <w:tcPr>
            <w:tcW w:w="825" w:type="dxa"/>
            <w:shd w:val="clear" w:color="auto" w:fill="D9D9D9"/>
            <w:vAlign w:val="center"/>
          </w:tcPr>
          <w:p>
            <w:pPr>
              <w:pStyle w:val="13"/>
              <w:ind w:firstLine="0"/>
              <w:jc w:val="center"/>
              <w:rPr>
                <w:rFonts w:ascii="仿宋_GB2312" w:hAnsi="仿宋" w:eastAsia="仿宋_GB2312"/>
                <w:b/>
                <w:color w:val="000000" w:themeColor="text1"/>
                <w:sz w:val="24"/>
                <w:szCs w:val="24"/>
                <w:highlight w:val="none"/>
              </w:rPr>
            </w:pPr>
            <w:r>
              <w:rPr>
                <w:rFonts w:hint="eastAsia" w:ascii="仿宋_GB2312" w:hAnsi="仿宋" w:eastAsia="仿宋_GB2312"/>
                <w:b/>
                <w:color w:val="000000" w:themeColor="text1"/>
                <w:sz w:val="24"/>
                <w:szCs w:val="24"/>
                <w:highlight w:val="none"/>
              </w:rPr>
              <w:t>编号</w:t>
            </w:r>
          </w:p>
        </w:tc>
        <w:tc>
          <w:tcPr>
            <w:tcW w:w="738" w:type="dxa"/>
            <w:shd w:val="clear" w:color="auto" w:fill="D9D9D9"/>
            <w:vAlign w:val="center"/>
          </w:tcPr>
          <w:p>
            <w:pPr>
              <w:pStyle w:val="13"/>
              <w:ind w:firstLine="0"/>
              <w:jc w:val="center"/>
              <w:rPr>
                <w:rFonts w:ascii="仿宋_GB2312" w:hAnsi="仿宋" w:eastAsia="仿宋_GB2312"/>
                <w:b/>
                <w:color w:val="000000" w:themeColor="text1"/>
                <w:sz w:val="24"/>
                <w:szCs w:val="24"/>
                <w:highlight w:val="none"/>
              </w:rPr>
            </w:pPr>
            <w:r>
              <w:rPr>
                <w:rFonts w:hint="eastAsia" w:ascii="仿宋_GB2312" w:hAnsi="仿宋" w:eastAsia="仿宋_GB2312"/>
                <w:b/>
                <w:color w:val="000000" w:themeColor="text1"/>
                <w:sz w:val="24"/>
                <w:szCs w:val="24"/>
                <w:highlight w:val="none"/>
              </w:rPr>
              <w:t>类型</w:t>
            </w:r>
          </w:p>
        </w:tc>
        <w:tc>
          <w:tcPr>
            <w:tcW w:w="1134" w:type="dxa"/>
            <w:shd w:val="clear" w:color="auto" w:fill="D9D9D9"/>
            <w:vAlign w:val="center"/>
          </w:tcPr>
          <w:p>
            <w:pPr>
              <w:pStyle w:val="13"/>
              <w:ind w:firstLine="0"/>
              <w:jc w:val="center"/>
              <w:rPr>
                <w:rFonts w:ascii="仿宋_GB2312" w:hAnsi="仿宋" w:eastAsia="仿宋_GB2312"/>
                <w:b/>
                <w:color w:val="000000" w:themeColor="text1"/>
                <w:sz w:val="24"/>
                <w:szCs w:val="24"/>
                <w:highlight w:val="none"/>
              </w:rPr>
            </w:pPr>
            <w:r>
              <w:rPr>
                <w:rFonts w:hint="eastAsia" w:ascii="仿宋_GB2312" w:hAnsi="仿宋" w:eastAsia="仿宋_GB2312"/>
                <w:b/>
                <w:color w:val="000000" w:themeColor="text1"/>
                <w:sz w:val="24"/>
                <w:szCs w:val="24"/>
                <w:highlight w:val="none"/>
              </w:rPr>
              <w:t>评分标题</w:t>
            </w:r>
          </w:p>
        </w:tc>
        <w:tc>
          <w:tcPr>
            <w:tcW w:w="5256" w:type="dxa"/>
            <w:shd w:val="clear" w:color="auto" w:fill="D9D9D9"/>
            <w:vAlign w:val="center"/>
          </w:tcPr>
          <w:p>
            <w:pPr>
              <w:pStyle w:val="13"/>
              <w:ind w:firstLine="0"/>
              <w:jc w:val="center"/>
              <w:rPr>
                <w:rFonts w:ascii="仿宋_GB2312" w:hAnsi="仿宋" w:eastAsia="仿宋_GB2312"/>
                <w:b/>
                <w:color w:val="000000" w:themeColor="text1"/>
                <w:sz w:val="24"/>
                <w:szCs w:val="24"/>
                <w:highlight w:val="none"/>
              </w:rPr>
            </w:pPr>
            <w:r>
              <w:rPr>
                <w:rFonts w:hint="eastAsia" w:ascii="仿宋_GB2312" w:hAnsi="仿宋" w:eastAsia="仿宋_GB2312"/>
                <w:b/>
                <w:color w:val="000000" w:themeColor="text1"/>
                <w:sz w:val="24"/>
                <w:szCs w:val="24"/>
                <w:highlight w:val="none"/>
              </w:rPr>
              <w:t>评分标准</w:t>
            </w:r>
          </w:p>
        </w:tc>
        <w:tc>
          <w:tcPr>
            <w:tcW w:w="1026" w:type="dxa"/>
            <w:shd w:val="clear" w:color="auto" w:fill="D9D9D9"/>
            <w:vAlign w:val="center"/>
          </w:tcPr>
          <w:p>
            <w:pPr>
              <w:pStyle w:val="13"/>
              <w:ind w:firstLine="0"/>
              <w:jc w:val="center"/>
              <w:rPr>
                <w:rFonts w:ascii="仿宋_GB2312" w:hAnsi="仿宋" w:eastAsia="仿宋_GB2312"/>
                <w:b/>
                <w:color w:val="000000" w:themeColor="text1"/>
                <w:sz w:val="24"/>
                <w:szCs w:val="24"/>
                <w:highlight w:val="none"/>
              </w:rPr>
            </w:pPr>
            <w:r>
              <w:rPr>
                <w:rFonts w:hint="eastAsia" w:ascii="仿宋_GB2312" w:hAnsi="仿宋" w:eastAsia="仿宋_GB2312"/>
                <w:b/>
                <w:color w:val="000000" w:themeColor="text1"/>
                <w:sz w:val="24"/>
                <w:szCs w:val="24"/>
                <w:highlight w:val="none"/>
              </w:rPr>
              <w:t>性质</w:t>
            </w:r>
          </w:p>
        </w:tc>
        <w:tc>
          <w:tcPr>
            <w:tcW w:w="773" w:type="dxa"/>
            <w:shd w:val="clear" w:color="auto" w:fill="D9D9D9"/>
            <w:vAlign w:val="center"/>
          </w:tcPr>
          <w:p>
            <w:pPr>
              <w:pStyle w:val="13"/>
              <w:ind w:firstLine="0"/>
              <w:jc w:val="center"/>
              <w:rPr>
                <w:rFonts w:ascii="仿宋_GB2312" w:hAnsi="仿宋" w:eastAsia="仿宋_GB2312"/>
                <w:b/>
                <w:color w:val="000000" w:themeColor="text1"/>
                <w:sz w:val="24"/>
                <w:szCs w:val="24"/>
                <w:highlight w:val="none"/>
              </w:rPr>
            </w:pPr>
            <w:r>
              <w:rPr>
                <w:rFonts w:hint="eastAsia" w:ascii="仿宋_GB2312" w:hAnsi="仿宋" w:eastAsia="仿宋_GB2312"/>
                <w:b/>
                <w:color w:val="000000" w:themeColor="text1"/>
                <w:sz w:val="24"/>
                <w:szCs w:val="24"/>
                <w:highlight w:val="none"/>
              </w:rPr>
              <w:t>分数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Ex>
        <w:trPr>
          <w:trHeight w:val="454" w:hRule="atLeast"/>
          <w:jc w:val="center"/>
        </w:trPr>
        <w:tc>
          <w:tcPr>
            <w:tcW w:w="825" w:type="dxa"/>
            <w:vAlign w:val="center"/>
          </w:tcPr>
          <w:p>
            <w:pPr>
              <w:pStyle w:val="13"/>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1</w:t>
            </w:r>
          </w:p>
        </w:tc>
        <w:tc>
          <w:tcPr>
            <w:tcW w:w="738" w:type="dxa"/>
            <w:vAlign w:val="center"/>
          </w:tcPr>
          <w:p>
            <w:pPr>
              <w:pStyle w:val="13"/>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价格</w:t>
            </w:r>
          </w:p>
        </w:tc>
        <w:tc>
          <w:tcPr>
            <w:tcW w:w="1134" w:type="dxa"/>
            <w:vAlign w:val="center"/>
          </w:tcPr>
          <w:p>
            <w:pPr>
              <w:pStyle w:val="13"/>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价格分</w:t>
            </w:r>
          </w:p>
        </w:tc>
        <w:tc>
          <w:tcPr>
            <w:tcW w:w="5256" w:type="dxa"/>
            <w:vAlign w:val="center"/>
          </w:tcPr>
          <w:p>
            <w:pPr>
              <w:pStyle w:val="13"/>
              <w:ind w:firstLine="0"/>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满足招标文件要求且投标价格最低的投标报价为评标基准价，其价格分为满分（标准分）。其他投标人的价格分统一按照下列公式计算：投标报价得分=(评标基准价／投标报价)×30。</w:t>
            </w:r>
          </w:p>
        </w:tc>
        <w:tc>
          <w:tcPr>
            <w:tcW w:w="1026" w:type="dxa"/>
            <w:vAlign w:val="center"/>
          </w:tcPr>
          <w:p>
            <w:pPr>
              <w:pStyle w:val="13"/>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系统分</w:t>
            </w:r>
          </w:p>
        </w:tc>
        <w:tc>
          <w:tcPr>
            <w:tcW w:w="773" w:type="dxa"/>
            <w:vAlign w:val="center"/>
          </w:tcPr>
          <w:p>
            <w:pPr>
              <w:pStyle w:val="13"/>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Ex>
        <w:trPr>
          <w:trHeight w:val="454" w:hRule="atLeast"/>
          <w:jc w:val="center"/>
        </w:trPr>
        <w:tc>
          <w:tcPr>
            <w:tcW w:w="825" w:type="dxa"/>
            <w:vAlign w:val="center"/>
          </w:tcPr>
          <w:p>
            <w:pPr>
              <w:pStyle w:val="13"/>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2</w:t>
            </w:r>
          </w:p>
        </w:tc>
        <w:tc>
          <w:tcPr>
            <w:tcW w:w="738" w:type="dxa"/>
            <w:vAlign w:val="center"/>
          </w:tcPr>
          <w:p>
            <w:pPr>
              <w:pStyle w:val="13"/>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商务</w:t>
            </w:r>
          </w:p>
        </w:tc>
        <w:tc>
          <w:tcPr>
            <w:tcW w:w="1134" w:type="dxa"/>
            <w:vAlign w:val="center"/>
          </w:tcPr>
          <w:p>
            <w:pPr>
              <w:pStyle w:val="13"/>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业绩</w:t>
            </w:r>
          </w:p>
        </w:tc>
        <w:tc>
          <w:tcPr>
            <w:tcW w:w="5256" w:type="dxa"/>
            <w:vAlign w:val="center"/>
          </w:tcPr>
          <w:p>
            <w:pPr>
              <w:pStyle w:val="13"/>
              <w:ind w:firstLine="0"/>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投标人自2023年至今签订（以签订合同的时间为准）的类似项目业绩，每提供一份类似项目业绩得1分，最高得3分。</w:t>
            </w:r>
          </w:p>
          <w:p>
            <w:pPr>
              <w:pStyle w:val="13"/>
              <w:ind w:firstLine="0"/>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注：投标文件中须附业绩的中标通知书及合同扫描件并加盖公章，缺一不可，否则不得分。</w:t>
            </w:r>
          </w:p>
        </w:tc>
        <w:tc>
          <w:tcPr>
            <w:tcW w:w="1026" w:type="dxa"/>
            <w:vAlign w:val="center"/>
          </w:tcPr>
          <w:p>
            <w:pPr>
              <w:pStyle w:val="13"/>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客观分</w:t>
            </w:r>
          </w:p>
        </w:tc>
        <w:tc>
          <w:tcPr>
            <w:tcW w:w="773" w:type="dxa"/>
            <w:vAlign w:val="center"/>
          </w:tcPr>
          <w:p>
            <w:pPr>
              <w:pStyle w:val="13"/>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3.00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Ex>
        <w:trPr>
          <w:trHeight w:val="454" w:hRule="atLeast"/>
          <w:jc w:val="center"/>
        </w:trPr>
        <w:tc>
          <w:tcPr>
            <w:tcW w:w="825" w:type="dxa"/>
            <w:vAlign w:val="center"/>
          </w:tcPr>
          <w:p>
            <w:pPr>
              <w:pStyle w:val="13"/>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3</w:t>
            </w:r>
          </w:p>
        </w:tc>
        <w:tc>
          <w:tcPr>
            <w:tcW w:w="738" w:type="dxa"/>
            <w:vAlign w:val="center"/>
          </w:tcPr>
          <w:p>
            <w:pPr>
              <w:pStyle w:val="13"/>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技术</w:t>
            </w:r>
          </w:p>
        </w:tc>
        <w:tc>
          <w:tcPr>
            <w:tcW w:w="1134" w:type="dxa"/>
            <w:vAlign w:val="center"/>
          </w:tcPr>
          <w:p>
            <w:pPr>
              <w:pStyle w:val="13"/>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技术响应</w:t>
            </w:r>
          </w:p>
        </w:tc>
        <w:tc>
          <w:tcPr>
            <w:tcW w:w="5256" w:type="dxa"/>
            <w:vAlign w:val="center"/>
          </w:tcPr>
          <w:p>
            <w:pPr>
              <w:pStyle w:val="13"/>
              <w:ind w:firstLine="0"/>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评标委员会根据各投标人所投产品的技术参数响应情况进行打分，投标人所投产品技术参数满足或优于招标文件要求的得满分16分；若存在负偏离，每发现有一处负偏离扣1分，扣完为止。</w:t>
            </w:r>
          </w:p>
          <w:p>
            <w:pPr>
              <w:pStyle w:val="13"/>
              <w:ind w:firstLine="0"/>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注：投标人须认真填写投标文件格式中的投标偏离表，如有正/负偏离，均须在偏离表中明确标明，作为评审依据，每项技术指标及要求需逐一列明，未逐一列明或未进行明确标注的，评标委员会以投报的技术文件和有关证明材料为准进行打分。</w:t>
            </w:r>
          </w:p>
        </w:tc>
        <w:tc>
          <w:tcPr>
            <w:tcW w:w="1026" w:type="dxa"/>
            <w:vAlign w:val="center"/>
          </w:tcPr>
          <w:p>
            <w:pPr>
              <w:pStyle w:val="13"/>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主观分</w:t>
            </w:r>
          </w:p>
        </w:tc>
        <w:tc>
          <w:tcPr>
            <w:tcW w:w="773" w:type="dxa"/>
            <w:vAlign w:val="center"/>
          </w:tcPr>
          <w:p>
            <w:pPr>
              <w:pStyle w:val="13"/>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16.00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Ex>
        <w:trPr>
          <w:trHeight w:val="454" w:hRule="atLeast"/>
          <w:jc w:val="center"/>
        </w:trPr>
        <w:tc>
          <w:tcPr>
            <w:tcW w:w="825" w:type="dxa"/>
            <w:vAlign w:val="center"/>
          </w:tcPr>
          <w:p>
            <w:pPr>
              <w:pStyle w:val="13"/>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4</w:t>
            </w:r>
          </w:p>
        </w:tc>
        <w:tc>
          <w:tcPr>
            <w:tcW w:w="738" w:type="dxa"/>
            <w:vAlign w:val="center"/>
          </w:tcPr>
          <w:p>
            <w:pPr>
              <w:pStyle w:val="13"/>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技术</w:t>
            </w:r>
          </w:p>
        </w:tc>
        <w:tc>
          <w:tcPr>
            <w:tcW w:w="1134" w:type="dxa"/>
            <w:vAlign w:val="center"/>
          </w:tcPr>
          <w:p>
            <w:pPr>
              <w:pStyle w:val="13"/>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产品成熟度</w:t>
            </w:r>
          </w:p>
        </w:tc>
        <w:tc>
          <w:tcPr>
            <w:tcW w:w="5256" w:type="dxa"/>
            <w:vAlign w:val="center"/>
          </w:tcPr>
          <w:p>
            <w:pPr>
              <w:pStyle w:val="13"/>
              <w:ind w:firstLine="0"/>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评委根据投标人提供产品的相关检测报告或证明材料文件进行打分：</w:t>
            </w:r>
          </w:p>
          <w:p>
            <w:pPr>
              <w:pStyle w:val="13"/>
              <w:ind w:firstLine="0"/>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1.投标人所投的边柜、多功能学生操作台、多功能材料柜、定制展架所用板材，需符合GB 18580-2017《室内装饰装修材料人造板及其制品中甲醛释放限量》相关标准，能够提供相关检测机构出具的合格检测报告的，得2分；</w:t>
            </w:r>
          </w:p>
          <w:p>
            <w:pPr>
              <w:pStyle w:val="13"/>
              <w:ind w:firstLine="0"/>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2.投标人所投的实木类教师演示台、学生操作台、学生坐凳采用的底漆或面漆，需符合GB 18581-2020《木器涂料中有害物质限量》相关标准，提供相关检测机构出具的合格检测报告的，得2分；</w:t>
            </w:r>
          </w:p>
          <w:p>
            <w:pPr>
              <w:pStyle w:val="13"/>
              <w:ind w:firstLine="0"/>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3.投标人所投学生操作边台、多功能边台、边柜、定制书架采用的PVC封边条，需符合《家具用封边条技术要求》相关标准，提供相关检测机构出具的合格检测报告的，得2分。</w:t>
            </w:r>
          </w:p>
          <w:p>
            <w:pPr>
              <w:pStyle w:val="13"/>
              <w:ind w:firstLine="0"/>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注：投标人须提供相关检测报告的原件扫描件，否则不得分。</w:t>
            </w:r>
          </w:p>
        </w:tc>
        <w:tc>
          <w:tcPr>
            <w:tcW w:w="1026" w:type="dxa"/>
            <w:vAlign w:val="center"/>
          </w:tcPr>
          <w:p>
            <w:pPr>
              <w:pStyle w:val="13"/>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客观分</w:t>
            </w:r>
          </w:p>
        </w:tc>
        <w:tc>
          <w:tcPr>
            <w:tcW w:w="773" w:type="dxa"/>
            <w:vAlign w:val="center"/>
          </w:tcPr>
          <w:p>
            <w:pPr>
              <w:pStyle w:val="13"/>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6.00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Ex>
        <w:trPr>
          <w:trHeight w:val="454" w:hRule="atLeast"/>
          <w:jc w:val="center"/>
        </w:trPr>
        <w:tc>
          <w:tcPr>
            <w:tcW w:w="825" w:type="dxa"/>
            <w:vAlign w:val="center"/>
          </w:tcPr>
          <w:p>
            <w:pPr>
              <w:pStyle w:val="13"/>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5</w:t>
            </w:r>
          </w:p>
        </w:tc>
        <w:tc>
          <w:tcPr>
            <w:tcW w:w="738" w:type="dxa"/>
            <w:vAlign w:val="center"/>
          </w:tcPr>
          <w:p>
            <w:pPr>
              <w:pStyle w:val="13"/>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技术</w:t>
            </w:r>
          </w:p>
        </w:tc>
        <w:tc>
          <w:tcPr>
            <w:tcW w:w="1134" w:type="dxa"/>
            <w:vAlign w:val="center"/>
          </w:tcPr>
          <w:p>
            <w:pPr>
              <w:pStyle w:val="13"/>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产品的总体质量、整体性能情况</w:t>
            </w:r>
          </w:p>
        </w:tc>
        <w:tc>
          <w:tcPr>
            <w:tcW w:w="5256" w:type="dxa"/>
            <w:vAlign w:val="center"/>
          </w:tcPr>
          <w:p>
            <w:pPr>
              <w:pStyle w:val="13"/>
              <w:ind w:firstLine="0"/>
              <w:rPr>
                <w:rFonts w:ascii="仿宋_GB2312" w:hAnsi="仿宋" w:eastAsia="仿宋_GB2312"/>
                <w:bCs/>
                <w:color w:val="000000" w:themeColor="text1"/>
                <w:sz w:val="24"/>
                <w:highlight w:val="none"/>
              </w:rPr>
            </w:pPr>
            <w:r>
              <w:rPr>
                <w:rFonts w:hint="eastAsia" w:ascii="仿宋_GB2312" w:hAnsi="仿宋" w:eastAsia="仿宋_GB2312"/>
                <w:bCs/>
                <w:color w:val="000000" w:themeColor="text1"/>
                <w:sz w:val="24"/>
                <w:highlight w:val="none"/>
              </w:rPr>
              <w:t>由评委根据投标人提供的产品资料按照以下标准进行打分：①产品性能稳定、运行可靠、故障率低；②设备配置齐全、合理、科学，具有升级空间；③制造工艺、制造标准不存在高低档搭配；④产品后期使用成本低,易于维护。</w:t>
            </w:r>
            <w:bookmarkStart w:id="24" w:name="OLE_LINK8"/>
            <w:bookmarkStart w:id="25" w:name="OLE_LINK7"/>
            <w:r>
              <w:rPr>
                <w:rFonts w:hint="eastAsia" w:ascii="仿宋_GB2312" w:hAnsi="仿宋" w:eastAsia="仿宋_GB2312"/>
                <w:bCs/>
                <w:color w:val="000000" w:themeColor="text1"/>
                <w:sz w:val="24"/>
                <w:highlight w:val="none"/>
              </w:rPr>
              <w:t>共计4项，每项满分3分，在此基础上每有一处瑕疵减1分，减完为止。缺条项，该项不得分。</w:t>
            </w:r>
          </w:p>
          <w:p>
            <w:pPr>
              <w:pStyle w:val="13"/>
              <w:ind w:firstLine="0"/>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注：瑕疵指内容凭空编造、存在无关的事项、内容不全面、套用其他项目方案、规范标准错误、项目地点错误、内容粗略、存在不可能实现的夸大情形。</w:t>
            </w:r>
            <w:bookmarkEnd w:id="24"/>
            <w:bookmarkEnd w:id="25"/>
          </w:p>
        </w:tc>
        <w:tc>
          <w:tcPr>
            <w:tcW w:w="1026" w:type="dxa"/>
            <w:vAlign w:val="center"/>
          </w:tcPr>
          <w:p>
            <w:pPr>
              <w:pStyle w:val="13"/>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主观分</w:t>
            </w:r>
          </w:p>
        </w:tc>
        <w:tc>
          <w:tcPr>
            <w:tcW w:w="773" w:type="dxa"/>
            <w:vAlign w:val="center"/>
          </w:tcPr>
          <w:p>
            <w:pPr>
              <w:pStyle w:val="13"/>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12.00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Ex>
        <w:trPr>
          <w:trHeight w:val="454" w:hRule="atLeast"/>
          <w:jc w:val="center"/>
        </w:trPr>
        <w:tc>
          <w:tcPr>
            <w:tcW w:w="825" w:type="dxa"/>
            <w:vAlign w:val="center"/>
          </w:tcPr>
          <w:p>
            <w:pPr>
              <w:pStyle w:val="13"/>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6</w:t>
            </w:r>
          </w:p>
        </w:tc>
        <w:tc>
          <w:tcPr>
            <w:tcW w:w="738" w:type="dxa"/>
            <w:vAlign w:val="center"/>
          </w:tcPr>
          <w:p>
            <w:pPr>
              <w:pStyle w:val="13"/>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技术</w:t>
            </w:r>
          </w:p>
        </w:tc>
        <w:tc>
          <w:tcPr>
            <w:tcW w:w="1134" w:type="dxa"/>
            <w:vAlign w:val="center"/>
          </w:tcPr>
          <w:p>
            <w:pPr>
              <w:pStyle w:val="13"/>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供货安装方案</w:t>
            </w:r>
          </w:p>
        </w:tc>
        <w:tc>
          <w:tcPr>
            <w:tcW w:w="5256" w:type="dxa"/>
            <w:vAlign w:val="center"/>
          </w:tcPr>
          <w:p>
            <w:pPr>
              <w:pStyle w:val="13"/>
              <w:ind w:firstLine="0"/>
              <w:rPr>
                <w:rFonts w:ascii="仿宋_GB2312" w:hAnsi="仿宋" w:eastAsia="仿宋_GB2312"/>
                <w:bCs/>
                <w:color w:val="000000" w:themeColor="text1"/>
                <w:sz w:val="24"/>
                <w:highlight w:val="none"/>
              </w:rPr>
            </w:pPr>
            <w:bookmarkStart w:id="26" w:name="OLE_LINK10"/>
            <w:bookmarkStart w:id="27" w:name="OLE_LINK12"/>
            <w:r>
              <w:rPr>
                <w:rFonts w:hint="eastAsia" w:ascii="仿宋_GB2312" w:hAnsi="仿宋" w:eastAsia="仿宋_GB2312"/>
                <w:bCs/>
                <w:color w:val="000000" w:themeColor="text1"/>
                <w:sz w:val="24"/>
                <w:highlight w:val="none"/>
              </w:rPr>
              <w:t>由评委审核各投标人的供货安装方案后根据以下标准进行打分：①提报了详细切实可行的供货方案，供货渠道正规，供货方式具有操作性；②供应商安装方案周详、针对性强、技术规范，设计合理，描述清晰准确、图文并茂；③拟派人员充足且经验丰富，专业结构合理，岗位设置搭配合理，管理和技术人员比例协调，团队整体实力强；④供应商内部管理制度完善，风险控制措施到位；⑤进度安排合理，能确保项目的有效实施；⑥配备的专职培训人员或讲师，制定详细的培训计划，进行现场培训并免费提供相关培训资料，培训内容完备、安排合理，对培训实行效果跟踪；共计6项，每项满分3分，在此基础上每有一处瑕疵减1分，减完为止。缺条项，该项不得分。</w:t>
            </w:r>
          </w:p>
          <w:p>
            <w:pPr>
              <w:pStyle w:val="13"/>
              <w:ind w:firstLine="0"/>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注：瑕疵指内容凭空编造、存在无关的事项、内容不全面、套用其他项目方案、规范标准错误、项目地点错误、内容粗略、存在不可能实现的夸大情形。</w:t>
            </w:r>
            <w:bookmarkEnd w:id="26"/>
            <w:bookmarkEnd w:id="27"/>
          </w:p>
        </w:tc>
        <w:tc>
          <w:tcPr>
            <w:tcW w:w="1026" w:type="dxa"/>
            <w:vAlign w:val="center"/>
          </w:tcPr>
          <w:p>
            <w:pPr>
              <w:pStyle w:val="13"/>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lang w:val="en-US" w:eastAsia="zh-CN"/>
              </w:rPr>
              <w:t>主观</w:t>
            </w:r>
            <w:r>
              <w:rPr>
                <w:rFonts w:hint="eastAsia" w:ascii="仿宋_GB2312" w:hAnsi="仿宋" w:eastAsia="仿宋_GB2312"/>
                <w:bCs/>
                <w:color w:val="000000" w:themeColor="text1"/>
                <w:sz w:val="24"/>
                <w:szCs w:val="24"/>
                <w:highlight w:val="none"/>
              </w:rPr>
              <w:t>分</w:t>
            </w:r>
          </w:p>
        </w:tc>
        <w:tc>
          <w:tcPr>
            <w:tcW w:w="773" w:type="dxa"/>
            <w:vAlign w:val="center"/>
          </w:tcPr>
          <w:p>
            <w:pPr>
              <w:pStyle w:val="13"/>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18.00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Ex>
        <w:trPr>
          <w:trHeight w:val="454" w:hRule="atLeast"/>
          <w:jc w:val="center"/>
        </w:trPr>
        <w:tc>
          <w:tcPr>
            <w:tcW w:w="825" w:type="dxa"/>
            <w:vAlign w:val="center"/>
          </w:tcPr>
          <w:p>
            <w:pPr>
              <w:pStyle w:val="13"/>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7</w:t>
            </w:r>
          </w:p>
        </w:tc>
        <w:tc>
          <w:tcPr>
            <w:tcW w:w="738" w:type="dxa"/>
            <w:vAlign w:val="center"/>
          </w:tcPr>
          <w:p>
            <w:pPr>
              <w:pStyle w:val="13"/>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技术</w:t>
            </w:r>
          </w:p>
        </w:tc>
        <w:tc>
          <w:tcPr>
            <w:tcW w:w="1134" w:type="dxa"/>
            <w:vAlign w:val="center"/>
          </w:tcPr>
          <w:p>
            <w:pPr>
              <w:pStyle w:val="13"/>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设计方案</w:t>
            </w:r>
          </w:p>
        </w:tc>
        <w:tc>
          <w:tcPr>
            <w:tcW w:w="5256" w:type="dxa"/>
            <w:vAlign w:val="center"/>
          </w:tcPr>
          <w:p>
            <w:pPr>
              <w:pStyle w:val="13"/>
              <w:ind w:firstLine="0"/>
              <w:rPr>
                <w:rFonts w:ascii="仿宋_GB2312" w:hAnsi="仿宋" w:eastAsia="仿宋_GB2312"/>
                <w:bCs/>
                <w:color w:val="000000" w:themeColor="text1"/>
                <w:sz w:val="24"/>
                <w:highlight w:val="none"/>
              </w:rPr>
            </w:pPr>
            <w:r>
              <w:rPr>
                <w:rFonts w:hint="eastAsia" w:ascii="仿宋_GB2312" w:hAnsi="仿宋" w:eastAsia="仿宋_GB2312"/>
                <w:bCs/>
                <w:color w:val="000000" w:themeColor="text1"/>
                <w:sz w:val="24"/>
                <w:highlight w:val="none"/>
              </w:rPr>
              <w:t>投标人根据招标文件清单符合采购需求的整体布局效果图。设计方案各项图纸全面且满足或优于采购人使用要求，图纸细化分明，设计符合现场情况，整体效果图标准符合采购人需求得5分；设计方案能满足采购人需求，但存在少了不足得3分；设计方案简陋，存在漏洞，不能较好的满足采购人需求得1分；未提供相关图纸或图纸提供不详细的，本项不得分</w:t>
            </w:r>
          </w:p>
        </w:tc>
        <w:tc>
          <w:tcPr>
            <w:tcW w:w="1026" w:type="dxa"/>
            <w:vAlign w:val="center"/>
          </w:tcPr>
          <w:p>
            <w:pPr>
              <w:pStyle w:val="13"/>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主观分</w:t>
            </w:r>
          </w:p>
        </w:tc>
        <w:tc>
          <w:tcPr>
            <w:tcW w:w="773" w:type="dxa"/>
            <w:vAlign w:val="center"/>
          </w:tcPr>
          <w:p>
            <w:pPr>
              <w:pStyle w:val="13"/>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Ex>
        <w:trPr>
          <w:trHeight w:val="454" w:hRule="atLeast"/>
          <w:jc w:val="center"/>
        </w:trPr>
        <w:tc>
          <w:tcPr>
            <w:tcW w:w="825" w:type="dxa"/>
            <w:vAlign w:val="center"/>
          </w:tcPr>
          <w:p>
            <w:pPr>
              <w:pStyle w:val="13"/>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7</w:t>
            </w:r>
          </w:p>
        </w:tc>
        <w:tc>
          <w:tcPr>
            <w:tcW w:w="738" w:type="dxa"/>
            <w:vAlign w:val="center"/>
          </w:tcPr>
          <w:p>
            <w:pPr>
              <w:pStyle w:val="13"/>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服务</w:t>
            </w:r>
          </w:p>
        </w:tc>
        <w:tc>
          <w:tcPr>
            <w:tcW w:w="1134" w:type="dxa"/>
            <w:vAlign w:val="center"/>
          </w:tcPr>
          <w:p>
            <w:pPr>
              <w:pStyle w:val="13"/>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售后服务</w:t>
            </w:r>
          </w:p>
        </w:tc>
        <w:tc>
          <w:tcPr>
            <w:tcW w:w="5256" w:type="dxa"/>
            <w:vAlign w:val="center"/>
          </w:tcPr>
          <w:p>
            <w:pPr>
              <w:pStyle w:val="13"/>
              <w:ind w:firstLine="0"/>
              <w:rPr>
                <w:rFonts w:ascii="仿宋_GB2312" w:hAnsi="仿宋" w:eastAsia="仿宋_GB2312"/>
                <w:bCs/>
                <w:color w:val="000000" w:themeColor="text1"/>
                <w:sz w:val="24"/>
                <w:highlight w:val="none"/>
              </w:rPr>
            </w:pPr>
            <w:bookmarkStart w:id="28" w:name="OLE_LINK11"/>
            <w:r>
              <w:rPr>
                <w:rFonts w:hint="eastAsia" w:ascii="仿宋_GB2312" w:hAnsi="仿宋" w:eastAsia="仿宋_GB2312"/>
                <w:bCs/>
                <w:color w:val="000000" w:themeColor="text1"/>
                <w:sz w:val="24"/>
                <w:highlight w:val="none"/>
              </w:rPr>
              <w:t>由评委审核各投标人的售后服务方案后根据以下标准进行打分：①售后服务网点多，分布广，能够快速有效提供服务；②售后服务机构技术服务人员情况，提供姓名、工作经验，人员配备充足售后服务经验丰富；③备品备件库供应充足；④针对产品的使用环境、使用频率及更新等进行回访、巡检、维护、保养等方案；⑤质保期内外服务响应迅速，具有完善的故障解决方案和应急方案，共计5项，每项满分2分，在此基础上每有一处瑕疵减0.5分，减完为止。缺条项，该项不得分。</w:t>
            </w:r>
          </w:p>
          <w:p>
            <w:pPr>
              <w:pStyle w:val="13"/>
              <w:ind w:firstLine="0"/>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注：瑕疵指内容凭空编造、存在无关的事项、内容不全面、套用其他项目方案、规范标准错误、项目地点错误、内容粗略、存在不可能实现的夸大情形。</w:t>
            </w:r>
            <w:bookmarkEnd w:id="28"/>
          </w:p>
        </w:tc>
        <w:tc>
          <w:tcPr>
            <w:tcW w:w="1026" w:type="dxa"/>
            <w:vAlign w:val="center"/>
          </w:tcPr>
          <w:p>
            <w:pPr>
              <w:pStyle w:val="13"/>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主观分</w:t>
            </w:r>
          </w:p>
        </w:tc>
        <w:tc>
          <w:tcPr>
            <w:tcW w:w="773" w:type="dxa"/>
            <w:vAlign w:val="center"/>
          </w:tcPr>
          <w:p>
            <w:pPr>
              <w:pStyle w:val="13"/>
              <w:ind w:firstLine="0"/>
              <w:jc w:val="center"/>
              <w:rPr>
                <w:rFonts w:ascii="仿宋_GB2312" w:hAnsi="仿宋" w:eastAsia="仿宋_GB2312"/>
                <w:bCs/>
                <w:color w:val="000000" w:themeColor="text1"/>
                <w:sz w:val="24"/>
                <w:szCs w:val="24"/>
                <w:highlight w:val="none"/>
              </w:rPr>
            </w:pPr>
            <w:r>
              <w:rPr>
                <w:rFonts w:hint="eastAsia" w:ascii="仿宋_GB2312" w:hAnsi="仿宋" w:eastAsia="仿宋_GB2312"/>
                <w:bCs/>
                <w:color w:val="000000" w:themeColor="text1"/>
                <w:sz w:val="24"/>
                <w:szCs w:val="24"/>
                <w:highlight w:val="none"/>
              </w:rPr>
              <w:t>10.00</w:t>
            </w:r>
          </w:p>
        </w:tc>
      </w:tr>
    </w:tbl>
    <w:p>
      <w:pPr>
        <w:spacing w:line="520" w:lineRule="exact"/>
        <w:ind w:firstLine="602" w:firstLineChars="200"/>
        <w:rPr>
          <w:rFonts w:ascii="仿宋_GB2312" w:hAnsi="宋体" w:eastAsia="仿宋_GB2312"/>
          <w:color w:val="000000" w:themeColor="text1"/>
          <w:sz w:val="30"/>
          <w:szCs w:val="30"/>
          <w:highlight w:val="none"/>
        </w:rPr>
      </w:pPr>
      <w:r>
        <w:rPr>
          <w:rFonts w:hint="eastAsia" w:ascii="仿宋_GB2312" w:hAnsi="宋体" w:eastAsia="仿宋_GB2312"/>
          <w:b/>
          <w:bCs/>
          <w:color w:val="000000" w:themeColor="text1"/>
          <w:sz w:val="30"/>
          <w:szCs w:val="30"/>
          <w:highlight w:val="none"/>
        </w:rPr>
        <w:t>三、定标</w:t>
      </w:r>
    </w:p>
    <w:p>
      <w:pPr>
        <w:spacing w:line="520" w:lineRule="exact"/>
        <w:ind w:firstLine="600" w:firstLineChars="200"/>
        <w:rPr>
          <w:rFonts w:ascii="仿宋_GB2312" w:hAnsi="仿宋" w:eastAsia="仿宋_GB2312"/>
          <w:bCs/>
          <w:color w:val="000000" w:themeColor="text1"/>
          <w:sz w:val="30"/>
          <w:szCs w:val="30"/>
          <w:highlight w:val="none"/>
        </w:rPr>
      </w:pPr>
      <w:r>
        <w:rPr>
          <w:rFonts w:hint="eastAsia" w:ascii="仿宋_GB2312" w:hAnsi="仿宋" w:eastAsia="仿宋_GB2312"/>
          <w:bCs/>
          <w:color w:val="000000" w:themeColor="text1"/>
          <w:sz w:val="30"/>
          <w:szCs w:val="30"/>
          <w:highlight w:val="none"/>
        </w:rPr>
        <w:t>1.评标委员会将综合得分排序第一的投标人确定为中标人。</w:t>
      </w:r>
    </w:p>
    <w:p>
      <w:pPr>
        <w:spacing w:line="520" w:lineRule="exact"/>
        <w:ind w:firstLine="600" w:firstLineChars="200"/>
        <w:rPr>
          <w:rFonts w:ascii="仿宋_GB2312" w:hAnsi="仿宋" w:eastAsia="仿宋_GB2312"/>
          <w:bCs/>
          <w:color w:val="000000" w:themeColor="text1"/>
          <w:sz w:val="30"/>
          <w:szCs w:val="30"/>
          <w:highlight w:val="none"/>
        </w:rPr>
      </w:pPr>
      <w:r>
        <w:rPr>
          <w:rFonts w:hint="eastAsia" w:ascii="仿宋_GB2312" w:hAnsi="仿宋" w:eastAsia="仿宋_GB2312"/>
          <w:bCs/>
          <w:color w:val="000000" w:themeColor="text1"/>
          <w:sz w:val="30"/>
          <w:szCs w:val="30"/>
          <w:highlight w:val="none"/>
        </w:rPr>
        <w:t>2.评标结果将在威海市公共资源交易网（荣成市）、中国招标投标公共服务平台上予以公告。</w:t>
      </w:r>
    </w:p>
    <w:p>
      <w:pPr>
        <w:spacing w:line="520" w:lineRule="exact"/>
        <w:ind w:firstLine="590" w:firstLineChars="196"/>
        <w:rPr>
          <w:rFonts w:ascii="仿宋_GB2312" w:hAnsi="宋体" w:eastAsia="仿宋_GB2312"/>
          <w:b/>
          <w:color w:val="000000" w:themeColor="text1"/>
          <w:sz w:val="30"/>
          <w:szCs w:val="30"/>
          <w:highlight w:val="none"/>
        </w:rPr>
      </w:pPr>
      <w:r>
        <w:rPr>
          <w:rFonts w:hint="eastAsia" w:ascii="仿宋_GB2312" w:hAnsi="宋体" w:eastAsia="仿宋_GB2312"/>
          <w:b/>
          <w:color w:val="000000" w:themeColor="text1"/>
          <w:sz w:val="30"/>
          <w:szCs w:val="30"/>
          <w:highlight w:val="none"/>
        </w:rPr>
        <w:t>四、编写评标报告</w:t>
      </w:r>
    </w:p>
    <w:p>
      <w:pPr>
        <w:spacing w:line="520" w:lineRule="exact"/>
        <w:ind w:firstLine="588" w:firstLineChars="196"/>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依据评委评标签字的原始记录和评标结果，按照规定的内容要求编写评标报告，并由全体评委签名。</w:t>
      </w:r>
    </w:p>
    <w:p>
      <w:pPr>
        <w:pStyle w:val="24"/>
        <w:spacing w:line="520" w:lineRule="exact"/>
        <w:ind w:left="550" w:leftChars="262"/>
        <w:jc w:val="left"/>
        <w:rPr>
          <w:rFonts w:ascii="仿宋_GB2312" w:eastAsia="仿宋_GB2312"/>
          <w:b/>
          <w:color w:val="000000" w:themeColor="text1"/>
          <w:sz w:val="30"/>
          <w:szCs w:val="30"/>
          <w:highlight w:val="none"/>
        </w:rPr>
      </w:pPr>
      <w:r>
        <w:rPr>
          <w:rFonts w:hint="eastAsia" w:ascii="仿宋_GB2312" w:eastAsia="仿宋_GB2312"/>
          <w:b/>
          <w:bCs/>
          <w:color w:val="000000" w:themeColor="text1"/>
          <w:sz w:val="30"/>
          <w:szCs w:val="30"/>
          <w:highlight w:val="none"/>
        </w:rPr>
        <w:t>五、</w:t>
      </w:r>
      <w:r>
        <w:rPr>
          <w:rFonts w:hint="eastAsia" w:ascii="仿宋_GB2312" w:eastAsia="仿宋_GB2312"/>
          <w:b/>
          <w:color w:val="000000" w:themeColor="text1"/>
          <w:sz w:val="30"/>
          <w:szCs w:val="30"/>
          <w:highlight w:val="none"/>
        </w:rPr>
        <w:t>签订合同</w:t>
      </w:r>
    </w:p>
    <w:p>
      <w:pPr>
        <w:pStyle w:val="24"/>
        <w:spacing w:line="520" w:lineRule="exact"/>
        <w:ind w:firstLine="588" w:firstLineChars="196"/>
        <w:jc w:val="left"/>
        <w:rPr>
          <w:rFonts w:ascii="仿宋_GB2312"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1.评标结果公告后，由采购人与招标公司联合向中标人签发中标通知书。</w:t>
      </w:r>
    </w:p>
    <w:p>
      <w:pPr>
        <w:pStyle w:val="24"/>
        <w:tabs>
          <w:tab w:val="left" w:pos="0"/>
        </w:tabs>
        <w:spacing w:line="520" w:lineRule="exact"/>
        <w:ind w:firstLine="600" w:firstLineChars="20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2.中标合同原则以第六部分合同书（范本）为基础，并根据投标、答疑情况进行修改补充，自签订之日起生效。</w:t>
      </w:r>
    </w:p>
    <w:p>
      <w:pPr>
        <w:spacing w:line="520" w:lineRule="exact"/>
        <w:ind w:firstLine="600" w:firstLineChars="200"/>
        <w:rPr>
          <w:rFonts w:ascii="仿宋_GB2312" w:hAnsi="宋体" w:eastAsia="仿宋_GB2312"/>
          <w:color w:val="000000" w:themeColor="text1"/>
          <w:sz w:val="30"/>
          <w:szCs w:val="30"/>
          <w:highlight w:val="none"/>
        </w:rPr>
        <w:sectPr>
          <w:pgSz w:w="11906" w:h="16838"/>
          <w:pgMar w:top="1440" w:right="1080" w:bottom="1440" w:left="1080" w:header="851" w:footer="992" w:gutter="0"/>
          <w:cols w:space="425" w:num="1"/>
          <w:docGrid w:type="lines" w:linePitch="312" w:charSpace="0"/>
        </w:sectPr>
      </w:pPr>
      <w:r>
        <w:rPr>
          <w:rFonts w:hint="eastAsia" w:ascii="仿宋_GB2312" w:hAnsi="宋体" w:eastAsia="仿宋_GB2312"/>
          <w:color w:val="000000" w:themeColor="text1"/>
          <w:sz w:val="30"/>
          <w:szCs w:val="30"/>
          <w:highlight w:val="none"/>
        </w:rPr>
        <w:t>3.中标人在规定的期限内无正当理由拒绝签订合同，取消原中标决定，与排位在中标人之后第一位的中标候选投标人签订采购合同或重新组织采购。</w:t>
      </w:r>
    </w:p>
    <w:p>
      <w:pPr>
        <w:pStyle w:val="42"/>
        <w:spacing w:before="0" w:after="0" w:line="360" w:lineRule="auto"/>
        <w:ind w:firstLine="2249" w:firstLineChars="700"/>
        <w:jc w:val="both"/>
        <w:rPr>
          <w:rFonts w:ascii="宋体" w:hAnsi="宋体" w:cs="宋体"/>
          <w:color w:val="000000" w:themeColor="text1"/>
          <w:highlight w:val="none"/>
        </w:rPr>
        <w:sectPr>
          <w:headerReference r:id="rId9" w:type="even"/>
          <w:footerReference r:id="rId10" w:type="even"/>
          <w:pgSz w:w="11906" w:h="16838"/>
          <w:pgMar w:top="1440" w:right="1080" w:bottom="1440" w:left="1080" w:header="851" w:footer="992" w:gutter="0"/>
          <w:cols w:space="425" w:num="1"/>
          <w:docGrid w:type="lines" w:linePitch="312" w:charSpace="0"/>
        </w:sectPr>
      </w:pPr>
      <w:r>
        <w:rPr>
          <w:rFonts w:hint="eastAsia" w:ascii="宋体" w:hAnsi="宋体" w:cs="宋体"/>
          <w:color w:val="000000" w:themeColor="text1"/>
          <w:highlight w:val="none"/>
        </w:rPr>
        <w:t>第五章投标文件格式与要求</w:t>
      </w:r>
    </w:p>
    <w:p>
      <w:pPr>
        <w:spacing w:before="100" w:beforeAutospacing="1" w:after="100" w:afterAutospacing="1" w:line="415" w:lineRule="auto"/>
        <w:jc w:val="center"/>
        <w:outlineLvl w:val="0"/>
        <w:rPr>
          <w:rFonts w:ascii="楷体_GB2312" w:hAnsi="宋体" w:eastAsia="楷体_GB2312" w:cs="宋体"/>
          <w:b/>
          <w:bCs/>
          <w:color w:val="000000" w:themeColor="text1"/>
          <w:sz w:val="44"/>
          <w:szCs w:val="44"/>
          <w:highlight w:val="none"/>
        </w:rPr>
        <w:sectPr>
          <w:headerReference r:id="rId11" w:type="default"/>
          <w:footerReference r:id="rId12" w:type="default"/>
          <w:pgSz w:w="11906" w:h="16838"/>
          <w:pgMar w:top="1440" w:right="1077" w:bottom="1440" w:left="1077" w:header="851" w:footer="992" w:gutter="0"/>
          <w:cols w:space="425" w:num="1"/>
          <w:vAlign w:val="center"/>
          <w:docGrid w:linePitch="312" w:charSpace="0"/>
        </w:sectPr>
      </w:pPr>
      <w:r>
        <w:rPr>
          <w:rFonts w:hint="eastAsia" w:ascii="楷体_GB2312" w:hAnsi="宋体" w:eastAsia="楷体_GB2312" w:cs="宋体"/>
          <w:b/>
          <w:bCs/>
          <w:color w:val="000000" w:themeColor="text1"/>
          <w:sz w:val="44"/>
          <w:szCs w:val="44"/>
          <w:highlight w:val="none"/>
        </w:rPr>
        <w:t xml:space="preserve">  投标（响应）文件格式</w:t>
      </w:r>
    </w:p>
    <w:p>
      <w:pPr>
        <w:spacing w:line="460" w:lineRule="exact"/>
        <w:jc w:val="left"/>
        <w:rPr>
          <w:b/>
          <w:color w:val="000000" w:themeColor="text1"/>
          <w:kern w:val="0"/>
          <w:sz w:val="24"/>
          <w:highlight w:val="none"/>
        </w:rPr>
      </w:pPr>
    </w:p>
    <w:p>
      <w:pPr>
        <w:ind w:right="2080"/>
        <w:rPr>
          <w:rFonts w:ascii="仿宋" w:hAnsi="仿宋" w:eastAsia="仿宋"/>
          <w:color w:val="000000" w:themeColor="text1"/>
          <w:sz w:val="52"/>
          <w:highlight w:val="none"/>
        </w:rPr>
      </w:pPr>
    </w:p>
    <w:p>
      <w:pPr>
        <w:pStyle w:val="24"/>
        <w:tabs>
          <w:tab w:val="left" w:pos="580"/>
        </w:tabs>
        <w:ind w:left="201" w:leftChars="50" w:hanging="96" w:hangingChars="22"/>
        <w:jc w:val="right"/>
        <w:rPr>
          <w:rFonts w:ascii="仿宋_GB2312" w:hAnsi="宋体" w:eastAsia="仿宋_GB2312"/>
          <w:bCs/>
          <w:color w:val="000000" w:themeColor="text1"/>
          <w:sz w:val="44"/>
          <w:szCs w:val="44"/>
          <w:highlight w:val="none"/>
        </w:rPr>
      </w:pPr>
    </w:p>
    <w:p>
      <w:pPr>
        <w:jc w:val="center"/>
        <w:rPr>
          <w:rFonts w:ascii="仿宋_GB2312" w:hAnsi="宋体" w:eastAsia="仿宋_GB2312"/>
          <w:color w:val="000000" w:themeColor="text1"/>
          <w:sz w:val="72"/>
          <w:highlight w:val="none"/>
        </w:rPr>
      </w:pPr>
      <w:r>
        <w:rPr>
          <w:rFonts w:hint="eastAsia" w:ascii="仿宋_GB2312" w:hAnsi="宋体" w:eastAsia="仿宋_GB2312"/>
          <w:color w:val="000000" w:themeColor="text1"/>
          <w:sz w:val="52"/>
          <w:highlight w:val="none"/>
        </w:rPr>
        <w:cr/>
      </w:r>
      <w:r>
        <w:rPr>
          <w:rFonts w:hint="eastAsia" w:ascii="仿宋_GB2312" w:hAnsi="宋体" w:eastAsia="仿宋_GB2312"/>
          <w:b/>
          <w:bCs/>
          <w:color w:val="000000" w:themeColor="text1"/>
          <w:sz w:val="84"/>
          <w:highlight w:val="none"/>
        </w:rPr>
        <w:t>投 标 文 件</w:t>
      </w:r>
      <w:r>
        <w:rPr>
          <w:rFonts w:hint="eastAsia" w:ascii="仿宋_GB2312" w:hAnsi="宋体" w:eastAsia="仿宋_GB2312"/>
          <w:b/>
          <w:bCs/>
          <w:color w:val="000000" w:themeColor="text1"/>
          <w:sz w:val="84"/>
          <w:highlight w:val="none"/>
        </w:rPr>
        <w:cr/>
      </w:r>
    </w:p>
    <w:p>
      <w:pPr>
        <w:pStyle w:val="13"/>
        <w:rPr>
          <w:rFonts w:ascii="仿宋_GB2312" w:hAnsi="宋体" w:eastAsia="仿宋_GB2312"/>
          <w:color w:val="000000" w:themeColor="text1"/>
          <w:sz w:val="72"/>
          <w:highlight w:val="none"/>
        </w:rPr>
      </w:pPr>
    </w:p>
    <w:p>
      <w:pPr>
        <w:pStyle w:val="13"/>
        <w:rPr>
          <w:rFonts w:ascii="仿宋_GB2312" w:hAnsi="宋体" w:eastAsia="仿宋_GB2312"/>
          <w:color w:val="000000" w:themeColor="text1"/>
          <w:sz w:val="72"/>
          <w:highlight w:val="none"/>
        </w:rPr>
      </w:pPr>
    </w:p>
    <w:p>
      <w:pPr>
        <w:ind w:left="2518" w:leftChars="1199"/>
        <w:rPr>
          <w:rFonts w:ascii="仿宋_GB2312" w:hAnsi="宋体" w:eastAsia="仿宋_GB2312"/>
          <w:color w:val="000000" w:themeColor="text1"/>
          <w:sz w:val="36"/>
          <w:highlight w:val="none"/>
        </w:rPr>
      </w:pPr>
      <w:r>
        <w:rPr>
          <w:rFonts w:hint="eastAsia" w:ascii="仿宋_GB2312" w:hAnsi="宋体" w:eastAsia="仿宋_GB2312"/>
          <w:b/>
          <w:bCs/>
          <w:color w:val="000000" w:themeColor="text1"/>
          <w:sz w:val="36"/>
          <w:highlight w:val="none"/>
        </w:rPr>
        <w:t>采购项目：</w:t>
      </w:r>
      <w:r>
        <w:rPr>
          <w:rFonts w:hint="eastAsia" w:ascii="仿宋_GB2312" w:hAnsi="宋体" w:eastAsia="仿宋_GB2312"/>
          <w:color w:val="000000" w:themeColor="text1"/>
          <w:sz w:val="36"/>
          <w:highlight w:val="none"/>
        </w:rPr>
        <w:t>荣成市第二十三中学特色教室及智慧文化建设</w:t>
      </w:r>
    </w:p>
    <w:p>
      <w:pPr>
        <w:ind w:left="2518" w:leftChars="1199"/>
        <w:rPr>
          <w:rFonts w:hint="eastAsia" w:ascii="仿宋_GB2312" w:hAnsi="宋体" w:eastAsia="仿宋_GB2312"/>
          <w:color w:val="000000" w:themeColor="text1"/>
          <w:sz w:val="36"/>
          <w:highlight w:val="none"/>
          <w:lang w:eastAsia="zh-CN"/>
        </w:rPr>
      </w:pPr>
      <w:r>
        <w:rPr>
          <w:rFonts w:hint="eastAsia" w:ascii="仿宋_GB2312" w:hAnsi="宋体" w:eastAsia="仿宋_GB2312"/>
          <w:b/>
          <w:bCs/>
          <w:color w:val="000000" w:themeColor="text1"/>
          <w:sz w:val="36"/>
          <w:highlight w:val="none"/>
        </w:rPr>
        <w:t>采购编号：</w:t>
      </w:r>
      <w:r>
        <w:rPr>
          <w:rFonts w:hint="eastAsia" w:ascii="仿宋_GB2312" w:hAnsi="宋体" w:eastAsia="仿宋_GB2312"/>
          <w:color w:val="000000" w:themeColor="text1"/>
          <w:sz w:val="36"/>
          <w:highlight w:val="none"/>
          <w:lang w:eastAsia="zh-CN"/>
        </w:rPr>
        <w:t>WHHGYSDGQ2026-16</w:t>
      </w:r>
    </w:p>
    <w:p>
      <w:pPr>
        <w:ind w:left="2518" w:leftChars="1199"/>
        <w:rPr>
          <w:rFonts w:ascii="仿宋_GB2312" w:hAnsi="宋体" w:eastAsia="仿宋_GB2312"/>
          <w:color w:val="000000" w:themeColor="text1"/>
          <w:sz w:val="36"/>
          <w:highlight w:val="none"/>
        </w:rPr>
      </w:pPr>
      <w:r>
        <w:rPr>
          <w:rFonts w:hint="eastAsia" w:ascii="仿宋_GB2312" w:hAnsi="宋体" w:eastAsia="仿宋_GB2312"/>
          <w:color w:val="000000" w:themeColor="text1"/>
          <w:sz w:val="36"/>
          <w:highlight w:val="none"/>
        </w:rPr>
        <w:t>所投包段： 　　　　　　</w:t>
      </w:r>
    </w:p>
    <w:p>
      <w:pPr>
        <w:jc w:val="left"/>
        <w:rPr>
          <w:rFonts w:ascii="仿宋_GB2312" w:hAnsi="宋体" w:eastAsia="仿宋_GB2312"/>
          <w:color w:val="000000" w:themeColor="text1"/>
          <w:sz w:val="36"/>
          <w:highlight w:val="none"/>
        </w:rPr>
      </w:pPr>
    </w:p>
    <w:p>
      <w:pPr>
        <w:pStyle w:val="13"/>
        <w:rPr>
          <w:rFonts w:ascii="仿宋_GB2312" w:hAnsi="宋体" w:eastAsia="仿宋_GB2312"/>
          <w:color w:val="000000" w:themeColor="text1"/>
          <w:sz w:val="36"/>
          <w:highlight w:val="none"/>
        </w:rPr>
      </w:pPr>
    </w:p>
    <w:p>
      <w:pPr>
        <w:pStyle w:val="13"/>
        <w:rPr>
          <w:rFonts w:ascii="仿宋_GB2312" w:hAnsi="宋体" w:eastAsia="仿宋_GB2312"/>
          <w:color w:val="000000" w:themeColor="text1"/>
          <w:sz w:val="36"/>
          <w:highlight w:val="none"/>
        </w:rPr>
      </w:pPr>
    </w:p>
    <w:p>
      <w:pPr>
        <w:pStyle w:val="13"/>
        <w:rPr>
          <w:color w:val="000000" w:themeColor="text1"/>
          <w:highlight w:val="none"/>
        </w:rPr>
      </w:pPr>
    </w:p>
    <w:p>
      <w:pPr>
        <w:pStyle w:val="24"/>
        <w:tabs>
          <w:tab w:val="left" w:pos="580"/>
        </w:tabs>
        <w:ind w:left="185" w:leftChars="88" w:firstLine="2340" w:firstLineChars="650"/>
        <w:rPr>
          <w:rFonts w:ascii="仿宋_GB2312" w:hAnsi="宋体" w:eastAsia="仿宋_GB2312"/>
          <w:color w:val="000000" w:themeColor="text1"/>
          <w:sz w:val="36"/>
          <w:highlight w:val="none"/>
        </w:rPr>
      </w:pPr>
      <w:r>
        <w:rPr>
          <w:rFonts w:hint="eastAsia" w:ascii="仿宋_GB2312" w:hAnsi="宋体" w:eastAsia="仿宋_GB2312"/>
          <w:color w:val="000000" w:themeColor="text1"/>
          <w:sz w:val="36"/>
          <w:highlight w:val="none"/>
        </w:rPr>
        <w:t>投标人名称：***有限公司（加盖公章）</w:t>
      </w:r>
    </w:p>
    <w:p>
      <w:pPr>
        <w:ind w:left="7209" w:leftChars="1290" w:right="720" w:hanging="4500" w:hangingChars="1250"/>
        <w:rPr>
          <w:rFonts w:ascii="仿宋_GB2312" w:hAnsi="宋体" w:eastAsia="仿宋_GB2312"/>
          <w:color w:val="000000" w:themeColor="text1"/>
          <w:sz w:val="36"/>
          <w:highlight w:val="none"/>
        </w:rPr>
      </w:pPr>
      <w:r>
        <w:rPr>
          <w:rFonts w:hint="eastAsia" w:ascii="仿宋_GB2312" w:hAnsi="宋体" w:eastAsia="仿宋_GB2312"/>
          <w:color w:val="000000" w:themeColor="text1"/>
          <w:sz w:val="36"/>
          <w:highlight w:val="none"/>
        </w:rPr>
        <w:t>日期：2026年  月  日</w:t>
      </w:r>
      <w:r>
        <w:rPr>
          <w:rFonts w:hint="eastAsia" w:ascii="仿宋_GB2312" w:hAnsi="宋体" w:eastAsia="仿宋_GB2312"/>
          <w:color w:val="000000" w:themeColor="text1"/>
          <w:sz w:val="36"/>
          <w:highlight w:val="none"/>
        </w:rPr>
        <w:cr/>
      </w:r>
    </w:p>
    <w:p>
      <w:pPr>
        <w:ind w:right="720"/>
        <w:jc w:val="center"/>
        <w:rPr>
          <w:rFonts w:hAnsi="宋体"/>
          <w:b/>
          <w:bCs/>
          <w:color w:val="000000" w:themeColor="text1"/>
          <w:sz w:val="44"/>
          <w:szCs w:val="44"/>
          <w:highlight w:val="none"/>
        </w:rPr>
      </w:pPr>
      <w:r>
        <w:rPr>
          <w:rFonts w:hint="eastAsia" w:hAnsi="宋体"/>
          <w:b/>
          <w:color w:val="000000" w:themeColor="text1"/>
          <w:sz w:val="44"/>
          <w:szCs w:val="44"/>
          <w:highlight w:val="none"/>
        </w:rPr>
        <w:t>投标承诺函</w:t>
      </w:r>
    </w:p>
    <w:p>
      <w:pPr>
        <w:pStyle w:val="24"/>
        <w:spacing w:line="520" w:lineRule="exact"/>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山东志诚工程咨询管理有限公司：</w:t>
      </w:r>
    </w:p>
    <w:p>
      <w:pPr>
        <w:pStyle w:val="24"/>
        <w:spacing w:line="520" w:lineRule="exact"/>
        <w:ind w:firstLine="600" w:firstLineChars="20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我方收到</w:t>
      </w:r>
      <w:r>
        <w:rPr>
          <w:rFonts w:hint="eastAsia" w:ascii="仿宋_GB2312" w:hAnsi="宋体" w:eastAsia="仿宋_GB2312"/>
          <w:color w:val="000000" w:themeColor="text1"/>
          <w:sz w:val="30"/>
          <w:szCs w:val="30"/>
          <w:highlight w:val="none"/>
          <w:lang w:eastAsia="zh-CN"/>
        </w:rPr>
        <w:t>WHHGYSDGQ2026-16</w:t>
      </w:r>
      <w:r>
        <w:rPr>
          <w:rFonts w:hint="eastAsia" w:ascii="仿宋_GB2312" w:hAnsi="宋体" w:eastAsia="仿宋_GB2312"/>
          <w:color w:val="000000" w:themeColor="text1"/>
          <w:sz w:val="30"/>
          <w:szCs w:val="30"/>
          <w:highlight w:val="none"/>
        </w:rPr>
        <w:t>号招标文件，经详细研究，决定参加投标。</w:t>
      </w:r>
    </w:p>
    <w:p>
      <w:pPr>
        <w:pStyle w:val="24"/>
        <w:spacing w:line="520" w:lineRule="exact"/>
        <w:ind w:firstLine="600" w:firstLineChars="20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1.我方愿意按照招标文件的规定和要求提供货物和服务，报价详见《开标一览表》。</w:t>
      </w:r>
    </w:p>
    <w:p>
      <w:pPr>
        <w:pStyle w:val="24"/>
        <w:spacing w:line="520" w:lineRule="exact"/>
        <w:ind w:firstLine="600" w:firstLineChars="20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2.我方同意90天的投标有效期，严格遵守投标文件的各项承诺。在此期限届满之前，本投标文件始终对我方具有约束力，并随时接受中标。我方承诺在投标有效期内不修改、撤销投标文件。</w:t>
      </w:r>
    </w:p>
    <w:p>
      <w:pPr>
        <w:pStyle w:val="24"/>
        <w:spacing w:line="520" w:lineRule="exact"/>
        <w:ind w:firstLine="600" w:firstLineChars="20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3.我方愿意遵守招标文件的规定和要求，并提供招标文件中要求的所有资料。</w:t>
      </w:r>
    </w:p>
    <w:p>
      <w:pPr>
        <w:pStyle w:val="24"/>
        <w:spacing w:line="520" w:lineRule="exact"/>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 xml:space="preserve">    4.我方同意最低价是中标的主要选择标准，但不是唯一的选择标准。</w:t>
      </w:r>
    </w:p>
    <w:p>
      <w:pPr>
        <w:pStyle w:val="24"/>
        <w:spacing w:line="520" w:lineRule="exact"/>
        <w:ind w:firstLine="600" w:firstLineChars="20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5.我方愿意按招标文件规定，全额交纳投标代理费。</w:t>
      </w:r>
    </w:p>
    <w:p>
      <w:pPr>
        <w:pStyle w:val="24"/>
        <w:spacing w:line="520" w:lineRule="exact"/>
        <w:ind w:firstLine="600" w:firstLineChars="200"/>
        <w:rPr>
          <w:rFonts w:ascii="仿宋_GB2312" w:hAnsi="宋体" w:eastAsia="仿宋_GB2312"/>
          <w:color w:val="000000" w:themeColor="text1"/>
          <w:sz w:val="30"/>
          <w:szCs w:val="30"/>
          <w:highlight w:val="none"/>
        </w:rPr>
      </w:pPr>
      <w:r>
        <w:rPr>
          <w:rFonts w:ascii="仿宋_GB2312" w:hAnsi="宋体" w:eastAsia="仿宋_GB2312"/>
          <w:color w:val="000000" w:themeColor="text1"/>
          <w:sz w:val="30"/>
          <w:szCs w:val="30"/>
          <w:highlight w:val="none"/>
        </w:rPr>
        <w:t>6</w:t>
      </w:r>
      <w:r>
        <w:rPr>
          <w:rFonts w:hint="eastAsia" w:ascii="仿宋_GB2312" w:hAnsi="宋体" w:eastAsia="仿宋_GB2312"/>
          <w:color w:val="000000" w:themeColor="text1"/>
          <w:sz w:val="30"/>
          <w:szCs w:val="30"/>
          <w:highlight w:val="none"/>
        </w:rPr>
        <w:t>.如果我方中标：</w:t>
      </w:r>
    </w:p>
    <w:p>
      <w:pPr>
        <w:pStyle w:val="24"/>
        <w:spacing w:line="520" w:lineRule="exact"/>
        <w:ind w:firstLine="57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（1）我方承诺将按照招标文件的规定全额交纳代理服务费；</w:t>
      </w:r>
    </w:p>
    <w:p>
      <w:pPr>
        <w:pStyle w:val="24"/>
        <w:spacing w:line="520" w:lineRule="exact"/>
        <w:ind w:firstLine="57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（2）我方承诺在中标通知书发出后，在规定期限内与招标人签订合同；</w:t>
      </w:r>
    </w:p>
    <w:p>
      <w:pPr>
        <w:pStyle w:val="24"/>
        <w:spacing w:line="520" w:lineRule="exact"/>
        <w:ind w:firstLine="600" w:firstLineChars="20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（3）我方承诺在合同约定的期限内，按期、保质、保量完成供货安装任务。</w:t>
      </w:r>
    </w:p>
    <w:p>
      <w:pPr>
        <w:pStyle w:val="24"/>
        <w:spacing w:line="520" w:lineRule="exact"/>
        <w:ind w:firstLine="600" w:firstLineChars="200"/>
        <w:rPr>
          <w:rFonts w:ascii="仿宋_GB2312" w:hAnsi="宋体" w:eastAsia="仿宋_GB2312"/>
          <w:color w:val="000000" w:themeColor="text1"/>
          <w:sz w:val="30"/>
          <w:szCs w:val="30"/>
          <w:highlight w:val="none"/>
        </w:rPr>
      </w:pPr>
      <w:r>
        <w:rPr>
          <w:rFonts w:ascii="仿宋_GB2312" w:hAnsi="宋体" w:eastAsia="仿宋_GB2312"/>
          <w:color w:val="000000" w:themeColor="text1"/>
          <w:sz w:val="30"/>
          <w:szCs w:val="30"/>
          <w:highlight w:val="none"/>
        </w:rPr>
        <w:t>7</w:t>
      </w:r>
      <w:r>
        <w:rPr>
          <w:rFonts w:hint="eastAsia" w:ascii="仿宋_GB2312" w:hAnsi="宋体" w:eastAsia="仿宋_GB2312"/>
          <w:color w:val="000000" w:themeColor="text1"/>
          <w:sz w:val="30"/>
          <w:szCs w:val="30"/>
          <w:highlight w:val="none"/>
        </w:rPr>
        <w:t>.所有有关本投标的函电，请按下列地址联系：</w:t>
      </w:r>
    </w:p>
    <w:p>
      <w:pPr>
        <w:pStyle w:val="24"/>
        <w:spacing w:line="520" w:lineRule="exact"/>
        <w:ind w:firstLine="64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单    位：                     邮政编码：</w:t>
      </w:r>
    </w:p>
    <w:p>
      <w:pPr>
        <w:pStyle w:val="24"/>
        <w:spacing w:line="520" w:lineRule="exact"/>
        <w:ind w:firstLine="64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地    址：                     联 系 人：</w:t>
      </w:r>
    </w:p>
    <w:p>
      <w:pPr>
        <w:pStyle w:val="24"/>
        <w:spacing w:line="520" w:lineRule="exact"/>
        <w:ind w:firstLine="64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电    话：                     传    真：</w:t>
      </w:r>
    </w:p>
    <w:p>
      <w:pPr>
        <w:pStyle w:val="24"/>
        <w:spacing w:line="520" w:lineRule="exact"/>
        <w:ind w:firstLine="64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开户名称：</w:t>
      </w:r>
    </w:p>
    <w:p>
      <w:pPr>
        <w:pStyle w:val="24"/>
        <w:spacing w:line="520" w:lineRule="exact"/>
        <w:ind w:firstLine="64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开户银行：</w:t>
      </w:r>
    </w:p>
    <w:p>
      <w:pPr>
        <w:pStyle w:val="24"/>
        <w:spacing w:line="520" w:lineRule="exact"/>
        <w:ind w:firstLine="64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开户账号：</w:t>
      </w:r>
    </w:p>
    <w:p>
      <w:pPr>
        <w:pStyle w:val="24"/>
        <w:spacing w:line="520" w:lineRule="exact"/>
        <w:ind w:firstLine="64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 xml:space="preserve">投标人（盖章）： </w:t>
      </w:r>
    </w:p>
    <w:p>
      <w:pPr>
        <w:pStyle w:val="24"/>
        <w:spacing w:line="520" w:lineRule="exact"/>
        <w:ind w:firstLine="64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法定代表人或被授权人（签字或盖章）：</w:t>
      </w:r>
    </w:p>
    <w:p>
      <w:pPr>
        <w:pStyle w:val="24"/>
        <w:spacing w:line="520" w:lineRule="exact"/>
        <w:ind w:firstLine="64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 xml:space="preserve">投标日期：××年××月××日 </w:t>
      </w:r>
    </w:p>
    <w:p>
      <w:pPr>
        <w:pStyle w:val="24"/>
        <w:spacing w:line="520" w:lineRule="exact"/>
        <w:jc w:val="center"/>
        <w:rPr>
          <w:rFonts w:ascii="仿宋_GB2312" w:hAnsi="宋体" w:eastAsia="仿宋_GB2312"/>
          <w:b/>
          <w:bCs/>
          <w:color w:val="000000" w:themeColor="text1"/>
          <w:sz w:val="36"/>
          <w:highlight w:val="none"/>
        </w:rPr>
      </w:pPr>
    </w:p>
    <w:p>
      <w:pPr>
        <w:pStyle w:val="24"/>
        <w:jc w:val="right"/>
        <w:rPr>
          <w:rFonts w:ascii="仿宋_GB2312" w:hAnsi="宋体" w:eastAsia="仿宋_GB2312"/>
          <w:b/>
          <w:bCs/>
          <w:color w:val="000000" w:themeColor="text1"/>
          <w:sz w:val="28"/>
          <w:szCs w:val="28"/>
          <w:highlight w:val="none"/>
        </w:rPr>
        <w:sectPr>
          <w:headerReference r:id="rId13" w:type="default"/>
          <w:footerReference r:id="rId14" w:type="default"/>
          <w:pgSz w:w="11906" w:h="16838"/>
          <w:pgMar w:top="1418" w:right="1134" w:bottom="1134" w:left="1418" w:header="851" w:footer="992" w:gutter="0"/>
          <w:cols w:space="720" w:num="1"/>
          <w:docGrid w:type="lines" w:linePitch="520" w:charSpace="0"/>
        </w:sectPr>
      </w:pPr>
      <w:r>
        <w:rPr>
          <w:rFonts w:hint="eastAsia" w:ascii="仿宋" w:hAnsi="仿宋" w:eastAsia="仿宋"/>
          <w:color w:val="000000" w:themeColor="text1"/>
          <w:sz w:val="32"/>
          <w:szCs w:val="32"/>
          <w:highlight w:val="none"/>
          <w:u w:val="single"/>
        </w:rPr>
        <w:t xml:space="preserve">           　　　</w:t>
      </w:r>
    </w:p>
    <w:p>
      <w:pPr>
        <w:pStyle w:val="13"/>
        <w:rPr>
          <w:color w:val="000000" w:themeColor="text1"/>
          <w:highlight w:val="none"/>
        </w:rPr>
      </w:pPr>
    </w:p>
    <w:p>
      <w:pPr>
        <w:pStyle w:val="24"/>
        <w:spacing w:line="520" w:lineRule="exact"/>
        <w:jc w:val="center"/>
        <w:rPr>
          <w:rFonts w:hAnsi="宋体"/>
          <w:b/>
          <w:color w:val="000000" w:themeColor="text1"/>
          <w:sz w:val="44"/>
          <w:szCs w:val="44"/>
          <w:highlight w:val="none"/>
        </w:rPr>
      </w:pPr>
      <w:r>
        <w:rPr>
          <w:rFonts w:hint="eastAsia" w:hAnsi="宋体"/>
          <w:b/>
          <w:color w:val="000000" w:themeColor="text1"/>
          <w:sz w:val="44"/>
          <w:szCs w:val="44"/>
          <w:highlight w:val="none"/>
        </w:rPr>
        <w:t>有效的营业执照副本扫描件</w:t>
      </w:r>
    </w:p>
    <w:p>
      <w:pPr>
        <w:pStyle w:val="24"/>
        <w:spacing w:line="520" w:lineRule="exact"/>
        <w:jc w:val="center"/>
        <w:rPr>
          <w:rFonts w:hAnsi="宋体"/>
          <w:b/>
          <w:color w:val="000000" w:themeColor="text1"/>
          <w:sz w:val="44"/>
          <w:szCs w:val="44"/>
          <w:highlight w:val="none"/>
        </w:rPr>
      </w:pPr>
    </w:p>
    <w:p>
      <w:pPr>
        <w:pStyle w:val="24"/>
        <w:spacing w:line="520" w:lineRule="exact"/>
        <w:jc w:val="right"/>
        <w:rPr>
          <w:rFonts w:ascii="仿宋_GB2312" w:hAnsi="宋体" w:eastAsia="仿宋_GB2312"/>
          <w:b/>
          <w:bCs/>
          <w:color w:val="000000" w:themeColor="text1"/>
          <w:sz w:val="30"/>
          <w:szCs w:val="30"/>
          <w:highlight w:val="none"/>
        </w:rPr>
      </w:pPr>
    </w:p>
    <w:p>
      <w:pPr>
        <w:pStyle w:val="24"/>
        <w:spacing w:line="520" w:lineRule="exact"/>
        <w:jc w:val="right"/>
        <w:rPr>
          <w:rFonts w:ascii="仿宋_GB2312" w:hAnsi="宋体" w:eastAsia="仿宋_GB2312"/>
          <w:b/>
          <w:bCs/>
          <w:color w:val="000000" w:themeColor="text1"/>
          <w:sz w:val="30"/>
          <w:szCs w:val="30"/>
          <w:highlight w:val="none"/>
        </w:rPr>
      </w:pPr>
    </w:p>
    <w:p>
      <w:pPr>
        <w:pStyle w:val="24"/>
        <w:spacing w:line="520" w:lineRule="exact"/>
        <w:jc w:val="right"/>
        <w:rPr>
          <w:rFonts w:ascii="仿宋_GB2312" w:hAnsi="宋体" w:eastAsia="仿宋_GB2312"/>
          <w:b/>
          <w:bCs/>
          <w:color w:val="000000" w:themeColor="text1"/>
          <w:sz w:val="30"/>
          <w:szCs w:val="30"/>
          <w:highlight w:val="none"/>
        </w:rPr>
      </w:pPr>
    </w:p>
    <w:p>
      <w:pPr>
        <w:pStyle w:val="24"/>
        <w:spacing w:line="520" w:lineRule="exact"/>
        <w:jc w:val="right"/>
        <w:rPr>
          <w:rFonts w:ascii="仿宋_GB2312" w:hAnsi="宋体" w:eastAsia="仿宋_GB2312"/>
          <w:b/>
          <w:bCs/>
          <w:color w:val="000000" w:themeColor="text1"/>
          <w:sz w:val="30"/>
          <w:szCs w:val="30"/>
          <w:highlight w:val="none"/>
        </w:rPr>
      </w:pPr>
    </w:p>
    <w:p>
      <w:pPr>
        <w:pStyle w:val="24"/>
        <w:spacing w:line="520" w:lineRule="exact"/>
        <w:jc w:val="right"/>
        <w:rPr>
          <w:rFonts w:ascii="仿宋_GB2312" w:hAnsi="宋体" w:eastAsia="仿宋_GB2312"/>
          <w:b/>
          <w:bCs/>
          <w:color w:val="000000" w:themeColor="text1"/>
          <w:sz w:val="30"/>
          <w:szCs w:val="30"/>
          <w:highlight w:val="none"/>
        </w:rPr>
      </w:pPr>
    </w:p>
    <w:p>
      <w:pPr>
        <w:pStyle w:val="24"/>
        <w:spacing w:line="520" w:lineRule="exact"/>
        <w:jc w:val="right"/>
        <w:rPr>
          <w:rFonts w:ascii="仿宋_GB2312" w:hAnsi="宋体" w:eastAsia="仿宋_GB2312"/>
          <w:b/>
          <w:bCs/>
          <w:color w:val="000000" w:themeColor="text1"/>
          <w:sz w:val="30"/>
          <w:szCs w:val="30"/>
          <w:highlight w:val="none"/>
        </w:rPr>
      </w:pPr>
    </w:p>
    <w:p>
      <w:pPr>
        <w:pStyle w:val="24"/>
        <w:spacing w:line="520" w:lineRule="exact"/>
        <w:jc w:val="right"/>
        <w:rPr>
          <w:rFonts w:ascii="仿宋_GB2312" w:hAnsi="宋体" w:eastAsia="仿宋_GB2312"/>
          <w:b/>
          <w:bCs/>
          <w:color w:val="000000" w:themeColor="text1"/>
          <w:sz w:val="30"/>
          <w:szCs w:val="30"/>
          <w:highlight w:val="none"/>
        </w:rPr>
      </w:pPr>
    </w:p>
    <w:p>
      <w:pPr>
        <w:pStyle w:val="24"/>
        <w:spacing w:line="520" w:lineRule="exact"/>
        <w:jc w:val="right"/>
        <w:rPr>
          <w:rFonts w:ascii="仿宋_GB2312" w:hAnsi="宋体" w:eastAsia="仿宋_GB2312"/>
          <w:b/>
          <w:bCs/>
          <w:color w:val="000000" w:themeColor="text1"/>
          <w:sz w:val="30"/>
          <w:szCs w:val="30"/>
          <w:highlight w:val="none"/>
        </w:rPr>
      </w:pPr>
    </w:p>
    <w:p>
      <w:pPr>
        <w:pStyle w:val="24"/>
        <w:spacing w:line="520" w:lineRule="exact"/>
        <w:jc w:val="right"/>
        <w:rPr>
          <w:rFonts w:ascii="仿宋_GB2312" w:hAnsi="宋体" w:eastAsia="仿宋_GB2312"/>
          <w:b/>
          <w:bCs/>
          <w:color w:val="000000" w:themeColor="text1"/>
          <w:sz w:val="30"/>
          <w:szCs w:val="30"/>
          <w:highlight w:val="none"/>
        </w:rPr>
      </w:pPr>
    </w:p>
    <w:p>
      <w:pPr>
        <w:pStyle w:val="24"/>
        <w:spacing w:line="520" w:lineRule="exact"/>
        <w:jc w:val="right"/>
        <w:rPr>
          <w:rFonts w:ascii="仿宋_GB2312" w:hAnsi="宋体" w:eastAsia="仿宋_GB2312"/>
          <w:b/>
          <w:bCs/>
          <w:color w:val="000000" w:themeColor="text1"/>
          <w:sz w:val="30"/>
          <w:szCs w:val="30"/>
          <w:highlight w:val="none"/>
        </w:rPr>
      </w:pPr>
    </w:p>
    <w:p>
      <w:pPr>
        <w:pStyle w:val="24"/>
        <w:spacing w:line="520" w:lineRule="exact"/>
        <w:jc w:val="right"/>
        <w:rPr>
          <w:rFonts w:ascii="仿宋_GB2312" w:hAnsi="宋体" w:eastAsia="仿宋_GB2312"/>
          <w:b/>
          <w:bCs/>
          <w:color w:val="000000" w:themeColor="text1"/>
          <w:sz w:val="30"/>
          <w:szCs w:val="30"/>
          <w:highlight w:val="none"/>
        </w:rPr>
      </w:pPr>
    </w:p>
    <w:p>
      <w:pPr>
        <w:pStyle w:val="24"/>
        <w:spacing w:line="520" w:lineRule="exact"/>
        <w:jc w:val="right"/>
        <w:rPr>
          <w:rFonts w:ascii="仿宋_GB2312" w:hAnsi="宋体" w:eastAsia="仿宋_GB2312"/>
          <w:b/>
          <w:bCs/>
          <w:color w:val="000000" w:themeColor="text1"/>
          <w:sz w:val="30"/>
          <w:szCs w:val="30"/>
          <w:highlight w:val="none"/>
        </w:rPr>
      </w:pPr>
    </w:p>
    <w:p>
      <w:pPr>
        <w:pStyle w:val="24"/>
        <w:spacing w:line="520" w:lineRule="exact"/>
        <w:jc w:val="right"/>
        <w:rPr>
          <w:rFonts w:ascii="仿宋_GB2312" w:hAnsi="宋体" w:eastAsia="仿宋_GB2312"/>
          <w:b/>
          <w:bCs/>
          <w:color w:val="000000" w:themeColor="text1"/>
          <w:sz w:val="30"/>
          <w:szCs w:val="30"/>
          <w:highlight w:val="none"/>
        </w:rPr>
      </w:pPr>
    </w:p>
    <w:p>
      <w:pPr>
        <w:pStyle w:val="24"/>
        <w:spacing w:line="520" w:lineRule="exact"/>
        <w:jc w:val="right"/>
        <w:rPr>
          <w:rFonts w:ascii="仿宋_GB2312" w:hAnsi="宋体" w:eastAsia="仿宋_GB2312"/>
          <w:b/>
          <w:bCs/>
          <w:color w:val="000000" w:themeColor="text1"/>
          <w:sz w:val="30"/>
          <w:szCs w:val="30"/>
          <w:highlight w:val="none"/>
        </w:rPr>
      </w:pPr>
    </w:p>
    <w:p>
      <w:pPr>
        <w:pStyle w:val="24"/>
        <w:spacing w:line="520" w:lineRule="exact"/>
        <w:jc w:val="right"/>
        <w:rPr>
          <w:rFonts w:ascii="仿宋_GB2312" w:hAnsi="宋体" w:eastAsia="仿宋_GB2312"/>
          <w:b/>
          <w:bCs/>
          <w:color w:val="000000" w:themeColor="text1"/>
          <w:sz w:val="30"/>
          <w:szCs w:val="30"/>
          <w:highlight w:val="none"/>
        </w:rPr>
      </w:pPr>
    </w:p>
    <w:p>
      <w:pPr>
        <w:pStyle w:val="24"/>
        <w:spacing w:line="520" w:lineRule="exact"/>
        <w:jc w:val="right"/>
        <w:rPr>
          <w:rFonts w:ascii="仿宋_GB2312" w:hAnsi="宋体" w:eastAsia="仿宋_GB2312"/>
          <w:b/>
          <w:bCs/>
          <w:color w:val="000000" w:themeColor="text1"/>
          <w:sz w:val="30"/>
          <w:szCs w:val="30"/>
          <w:highlight w:val="none"/>
        </w:rPr>
      </w:pPr>
    </w:p>
    <w:p>
      <w:pPr>
        <w:pStyle w:val="24"/>
        <w:spacing w:line="520" w:lineRule="exact"/>
        <w:jc w:val="right"/>
        <w:rPr>
          <w:rFonts w:ascii="仿宋_GB2312" w:hAnsi="宋体" w:eastAsia="仿宋_GB2312"/>
          <w:b/>
          <w:bCs/>
          <w:color w:val="000000" w:themeColor="text1"/>
          <w:sz w:val="30"/>
          <w:szCs w:val="30"/>
          <w:highlight w:val="none"/>
        </w:rPr>
      </w:pPr>
    </w:p>
    <w:p>
      <w:pPr>
        <w:pStyle w:val="24"/>
        <w:spacing w:line="520" w:lineRule="exact"/>
        <w:ind w:right="600"/>
        <w:jc w:val="center"/>
        <w:rPr>
          <w:rFonts w:ascii="仿宋_GB2312" w:hAnsi="宋体" w:eastAsia="仿宋_GB2312"/>
          <w:color w:val="000000" w:themeColor="text1"/>
          <w:sz w:val="30"/>
          <w:szCs w:val="30"/>
          <w:highlight w:val="none"/>
        </w:rPr>
        <w:sectPr>
          <w:pgSz w:w="11906" w:h="16838"/>
          <w:pgMar w:top="1440" w:right="1080" w:bottom="1440" w:left="1080" w:header="851" w:footer="992" w:gutter="0"/>
          <w:cols w:space="720" w:num="1"/>
          <w:docGrid w:type="lines" w:linePitch="312" w:charSpace="0"/>
        </w:sectPr>
      </w:pPr>
      <w:r>
        <w:rPr>
          <w:rFonts w:hint="eastAsia" w:ascii="仿宋_GB2312" w:hAnsi="宋体" w:eastAsia="仿宋_GB2312"/>
          <w:color w:val="000000" w:themeColor="text1"/>
          <w:sz w:val="30"/>
          <w:szCs w:val="30"/>
          <w:highlight w:val="none"/>
        </w:rPr>
        <w:t>投标人(盖章)：</w:t>
      </w:r>
    </w:p>
    <w:p>
      <w:pPr>
        <w:pStyle w:val="24"/>
        <w:spacing w:line="520" w:lineRule="exact"/>
        <w:jc w:val="center"/>
        <w:rPr>
          <w:rFonts w:hAnsi="宋体"/>
          <w:b/>
          <w:color w:val="000000" w:themeColor="text1"/>
          <w:sz w:val="44"/>
          <w:szCs w:val="44"/>
          <w:highlight w:val="none"/>
        </w:rPr>
      </w:pPr>
      <w:r>
        <w:rPr>
          <w:rFonts w:hint="eastAsia" w:hAnsi="宋体"/>
          <w:b/>
          <w:color w:val="000000" w:themeColor="text1"/>
          <w:sz w:val="44"/>
          <w:szCs w:val="44"/>
          <w:highlight w:val="none"/>
        </w:rPr>
        <w:t>法人授权委托书</w:t>
      </w:r>
    </w:p>
    <w:p>
      <w:pPr>
        <w:pStyle w:val="24"/>
        <w:spacing w:line="520" w:lineRule="exact"/>
        <w:ind w:firstLine="1110"/>
        <w:jc w:val="center"/>
        <w:rPr>
          <w:rFonts w:ascii="仿宋_GB2312" w:hAnsi="宋体" w:eastAsia="仿宋_GB2312"/>
          <w:b/>
          <w:bCs/>
          <w:color w:val="000000" w:themeColor="text1"/>
          <w:sz w:val="28"/>
          <w:highlight w:val="none"/>
        </w:rPr>
      </w:pPr>
    </w:p>
    <w:p>
      <w:pPr>
        <w:pStyle w:val="24"/>
        <w:spacing w:line="520" w:lineRule="exact"/>
        <w:ind w:firstLine="600" w:firstLineChars="20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本授权书声明：注册于</w:t>
      </w:r>
      <w:r>
        <w:rPr>
          <w:rFonts w:hint="eastAsia" w:ascii="仿宋_GB2312" w:hAnsi="宋体" w:eastAsia="仿宋_GB2312"/>
          <w:color w:val="000000" w:themeColor="text1"/>
          <w:sz w:val="30"/>
          <w:szCs w:val="30"/>
          <w:highlight w:val="none"/>
          <w:u w:val="single"/>
        </w:rPr>
        <w:t xml:space="preserve">   (国家或地区的名称)  </w:t>
      </w:r>
      <w:r>
        <w:rPr>
          <w:rFonts w:hint="eastAsia" w:ascii="仿宋_GB2312" w:hAnsi="宋体" w:eastAsia="仿宋_GB2312"/>
          <w:color w:val="000000" w:themeColor="text1"/>
          <w:sz w:val="30"/>
          <w:szCs w:val="30"/>
          <w:highlight w:val="none"/>
        </w:rPr>
        <w:t>的</w:t>
      </w:r>
      <w:r>
        <w:rPr>
          <w:rFonts w:hint="eastAsia" w:ascii="仿宋_GB2312" w:hAnsi="宋体" w:eastAsia="仿宋_GB2312"/>
          <w:color w:val="000000" w:themeColor="text1"/>
          <w:sz w:val="30"/>
          <w:szCs w:val="30"/>
          <w:highlight w:val="none"/>
          <w:u w:val="single"/>
        </w:rPr>
        <w:t xml:space="preserve">  (公司名称)  </w:t>
      </w:r>
      <w:r>
        <w:rPr>
          <w:rFonts w:hint="eastAsia" w:ascii="仿宋_GB2312" w:hAnsi="宋体" w:eastAsia="仿宋_GB2312"/>
          <w:color w:val="000000" w:themeColor="text1"/>
          <w:sz w:val="30"/>
          <w:szCs w:val="30"/>
          <w:highlight w:val="none"/>
        </w:rPr>
        <w:t>的</w:t>
      </w:r>
      <w:r>
        <w:rPr>
          <w:rFonts w:hint="eastAsia" w:ascii="仿宋_GB2312" w:hAnsi="宋体" w:eastAsia="仿宋_GB2312"/>
          <w:color w:val="000000" w:themeColor="text1"/>
          <w:sz w:val="30"/>
          <w:szCs w:val="30"/>
          <w:highlight w:val="none"/>
          <w:u w:val="single"/>
        </w:rPr>
        <w:t xml:space="preserve"> (法人代表姓名、职务)  </w:t>
      </w:r>
      <w:r>
        <w:rPr>
          <w:rFonts w:hint="eastAsia" w:ascii="仿宋_GB2312" w:hAnsi="宋体" w:eastAsia="仿宋_GB2312"/>
          <w:color w:val="000000" w:themeColor="text1"/>
          <w:sz w:val="30"/>
          <w:szCs w:val="30"/>
          <w:highlight w:val="none"/>
        </w:rPr>
        <w:t>，代表本公司授权</w:t>
      </w:r>
      <w:r>
        <w:rPr>
          <w:rFonts w:hint="eastAsia" w:ascii="仿宋_GB2312" w:hAnsi="宋体" w:eastAsia="仿宋_GB2312"/>
          <w:color w:val="000000" w:themeColor="text1"/>
          <w:sz w:val="30"/>
          <w:szCs w:val="30"/>
          <w:highlight w:val="none"/>
          <w:u w:val="single"/>
        </w:rPr>
        <w:t xml:space="preserve">  (被授权单位名称)  </w:t>
      </w:r>
      <w:r>
        <w:rPr>
          <w:rFonts w:hint="eastAsia" w:ascii="仿宋_GB2312" w:hAnsi="宋体" w:eastAsia="仿宋_GB2312"/>
          <w:color w:val="000000" w:themeColor="text1"/>
          <w:sz w:val="30"/>
          <w:szCs w:val="30"/>
          <w:highlight w:val="none"/>
        </w:rPr>
        <w:t>的</w:t>
      </w:r>
      <w:r>
        <w:rPr>
          <w:rFonts w:hint="eastAsia" w:ascii="仿宋_GB2312" w:hAnsi="宋体" w:eastAsia="仿宋_GB2312"/>
          <w:color w:val="000000" w:themeColor="text1"/>
          <w:sz w:val="30"/>
          <w:szCs w:val="30"/>
          <w:highlight w:val="none"/>
          <w:u w:val="single"/>
        </w:rPr>
        <w:t xml:space="preserve">        (被授权人的姓名、职务)</w:t>
      </w:r>
      <w:r>
        <w:rPr>
          <w:rFonts w:hint="eastAsia" w:ascii="仿宋_GB2312" w:hAnsi="宋体" w:eastAsia="仿宋_GB2312"/>
          <w:color w:val="000000" w:themeColor="text1"/>
          <w:sz w:val="30"/>
          <w:szCs w:val="30"/>
          <w:highlight w:val="none"/>
        </w:rPr>
        <w:t>为本公司的合法代理人，参加编号为</w:t>
      </w:r>
      <w:r>
        <w:rPr>
          <w:rFonts w:hint="eastAsia" w:ascii="仿宋_GB2312" w:hAnsi="宋体" w:eastAsia="仿宋_GB2312"/>
          <w:color w:val="000000" w:themeColor="text1"/>
          <w:sz w:val="30"/>
          <w:szCs w:val="30"/>
          <w:highlight w:val="none"/>
          <w:lang w:eastAsia="zh-CN"/>
        </w:rPr>
        <w:t>WHHGYSDGQ2026-16</w:t>
      </w:r>
      <w:r>
        <w:rPr>
          <w:rFonts w:hint="eastAsia" w:ascii="仿宋_GB2312" w:hAnsi="宋体" w:eastAsia="仿宋_GB2312"/>
          <w:color w:val="000000" w:themeColor="text1"/>
          <w:sz w:val="30"/>
          <w:szCs w:val="30"/>
          <w:highlight w:val="none"/>
        </w:rPr>
        <w:t>号的公开招标采购活动，以本公司名义处理一切与之有关的事宜。</w:t>
      </w:r>
    </w:p>
    <w:p>
      <w:pPr>
        <w:pStyle w:val="24"/>
        <w:spacing w:line="520" w:lineRule="exact"/>
        <w:ind w:firstLine="600" w:firstLineChars="20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如果本公司在此次采购活动中中标，被授权人有权代表本公司签署合同。</w:t>
      </w:r>
    </w:p>
    <w:p>
      <w:pPr>
        <w:pStyle w:val="24"/>
        <w:spacing w:line="520" w:lineRule="exact"/>
        <w:ind w:firstLine="600" w:firstLineChars="20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本授权书于年月日法定代表人签字或盖章并由被授权人签字、单位盖章生效，特此声明。</w:t>
      </w:r>
    </w:p>
    <w:p>
      <w:pPr>
        <w:pStyle w:val="24"/>
        <w:spacing w:line="520" w:lineRule="exact"/>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 xml:space="preserve">    被授权人无转委托权。</w:t>
      </w:r>
    </w:p>
    <w:p>
      <w:pPr>
        <w:pStyle w:val="24"/>
        <w:spacing w:line="520" w:lineRule="exact"/>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 xml:space="preserve"> </w:t>
      </w:r>
    </w:p>
    <w:p>
      <w:pPr>
        <w:pStyle w:val="24"/>
        <w:spacing w:line="520" w:lineRule="exact"/>
        <w:ind w:firstLine="600" w:firstLineChars="20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法定代表人签字或盖章：</w:t>
      </w:r>
    </w:p>
    <w:p>
      <w:pPr>
        <w:pStyle w:val="24"/>
        <w:spacing w:line="520" w:lineRule="exact"/>
        <w:ind w:firstLine="600" w:firstLineChars="20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被授权人签字：</w:t>
      </w:r>
    </w:p>
    <w:p>
      <w:pPr>
        <w:pStyle w:val="24"/>
        <w:spacing w:line="520" w:lineRule="exact"/>
        <w:ind w:firstLine="600" w:firstLineChars="200"/>
        <w:rPr>
          <w:rFonts w:ascii="仿宋_GB2312" w:hAnsi="宋体" w:eastAsia="仿宋_GB2312"/>
          <w:color w:val="000000" w:themeColor="text1"/>
          <w:sz w:val="30"/>
          <w:szCs w:val="30"/>
          <w:highlight w:val="none"/>
        </w:rPr>
      </w:pPr>
      <w:r>
        <w:rPr>
          <w:rFonts w:hint="eastAsia" w:ascii="仿宋_GB2312" w:hAnsi="宋体" w:eastAsia="仿宋_GB2312"/>
          <w:color w:val="000000" w:themeColor="text1"/>
          <w:sz w:val="30"/>
          <w:szCs w:val="30"/>
          <w:highlight w:val="none"/>
        </w:rPr>
        <w:t>投标人公章:</w:t>
      </w:r>
    </w:p>
    <w:tbl>
      <w:tblPr>
        <w:tblStyle w:val="47"/>
        <w:tblpPr w:leftFromText="180" w:rightFromText="180" w:vertAnchor="text" w:tblpXSpec="center" w:tblpY="1"/>
        <w:tblOverlap w:val="never"/>
        <w:tblW w:w="49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40" w:hRule="atLeast"/>
        </w:trPr>
        <w:tc>
          <w:tcPr>
            <w:tcW w:w="4961" w:type="dxa"/>
            <w:vAlign w:val="center"/>
          </w:tcPr>
          <w:p>
            <w:pPr>
              <w:pStyle w:val="40"/>
              <w:spacing w:line="440" w:lineRule="exact"/>
              <w:jc w:val="center"/>
              <w:rPr>
                <w:rFonts w:ascii="仿宋_GB2312" w:eastAsia="仿宋_GB2312"/>
                <w:color w:val="000000" w:themeColor="text1"/>
                <w:highlight w:val="none"/>
              </w:rPr>
            </w:pPr>
            <w:r>
              <w:rPr>
                <w:rFonts w:hint="eastAsia" w:ascii="仿宋_GB2312" w:eastAsia="仿宋_GB2312"/>
                <w:color w:val="000000" w:themeColor="text1"/>
                <w:kern w:val="2"/>
                <w:highlight w:val="none"/>
              </w:rPr>
              <w:t>（被授权人身份证扫描件）</w:t>
            </w:r>
          </w:p>
        </w:tc>
      </w:tr>
    </w:tbl>
    <w:p>
      <w:pPr>
        <w:pStyle w:val="24"/>
        <w:spacing w:line="520" w:lineRule="exact"/>
        <w:jc w:val="center"/>
        <w:rPr>
          <w:rFonts w:ascii="仿宋_GB2312" w:hAnsi="宋体" w:eastAsia="仿宋_GB2312"/>
          <w:b/>
          <w:color w:val="000000" w:themeColor="text1"/>
          <w:sz w:val="36"/>
          <w:highlight w:val="none"/>
        </w:rPr>
      </w:pPr>
    </w:p>
    <w:p>
      <w:pPr>
        <w:rPr>
          <w:rFonts w:ascii="仿宋_GB2312" w:eastAsia="仿宋_GB2312"/>
          <w:color w:val="000000" w:themeColor="text1"/>
          <w:highlight w:val="none"/>
        </w:rPr>
      </w:pPr>
    </w:p>
    <w:p>
      <w:pPr>
        <w:rPr>
          <w:rFonts w:ascii="仿宋_GB2312" w:eastAsia="仿宋_GB2312"/>
          <w:color w:val="000000" w:themeColor="text1"/>
          <w:highlight w:val="none"/>
        </w:rPr>
      </w:pPr>
    </w:p>
    <w:p>
      <w:pPr>
        <w:rPr>
          <w:rFonts w:ascii="仿宋_GB2312" w:eastAsia="仿宋_GB2312"/>
          <w:color w:val="000000" w:themeColor="text1"/>
          <w:highlight w:val="none"/>
        </w:rPr>
      </w:pPr>
    </w:p>
    <w:p>
      <w:pPr>
        <w:rPr>
          <w:rFonts w:ascii="仿宋_GB2312" w:eastAsia="仿宋_GB2312"/>
          <w:color w:val="000000" w:themeColor="text1"/>
          <w:highlight w:val="none"/>
        </w:rPr>
      </w:pPr>
    </w:p>
    <w:p>
      <w:pPr>
        <w:rPr>
          <w:rFonts w:ascii="仿宋_GB2312" w:eastAsia="仿宋_GB2312"/>
          <w:color w:val="000000" w:themeColor="text1"/>
          <w:highlight w:val="none"/>
        </w:rPr>
      </w:pPr>
    </w:p>
    <w:p>
      <w:pPr>
        <w:ind w:firstLine="420" w:firstLineChars="200"/>
        <w:rPr>
          <w:rFonts w:ascii="仿宋_GB2312" w:eastAsia="仿宋_GB2312"/>
          <w:color w:val="000000" w:themeColor="text1"/>
          <w:highlight w:val="none"/>
        </w:rPr>
      </w:pPr>
    </w:p>
    <w:p>
      <w:pPr>
        <w:ind w:firstLine="420" w:firstLineChars="200"/>
        <w:rPr>
          <w:rFonts w:ascii="仿宋_GB2312" w:eastAsia="仿宋_GB2312"/>
          <w:color w:val="000000" w:themeColor="text1"/>
          <w:highlight w:val="none"/>
        </w:rPr>
      </w:pPr>
    </w:p>
    <w:p>
      <w:pPr>
        <w:ind w:firstLine="420" w:firstLineChars="200"/>
        <w:rPr>
          <w:rFonts w:ascii="仿宋_GB2312" w:eastAsia="仿宋_GB2312"/>
          <w:color w:val="000000" w:themeColor="text1"/>
          <w:highlight w:val="none"/>
        </w:rPr>
      </w:pPr>
    </w:p>
    <w:p>
      <w:pPr>
        <w:ind w:firstLine="420" w:firstLineChars="200"/>
        <w:rPr>
          <w:rFonts w:ascii="仿宋_GB2312" w:eastAsia="仿宋_GB2312"/>
          <w:color w:val="000000" w:themeColor="text1"/>
          <w:highlight w:val="none"/>
        </w:rPr>
      </w:pPr>
    </w:p>
    <w:p>
      <w:pPr>
        <w:ind w:firstLine="420" w:firstLineChars="200"/>
        <w:rPr>
          <w:rFonts w:ascii="仿宋_GB2312" w:eastAsia="仿宋_GB2312"/>
          <w:color w:val="000000" w:themeColor="text1"/>
          <w:highlight w:val="none"/>
        </w:rPr>
      </w:pPr>
    </w:p>
    <w:p>
      <w:pPr>
        <w:spacing w:line="560" w:lineRule="exact"/>
        <w:jc w:val="center"/>
        <w:rPr>
          <w:rFonts w:ascii="宋体" w:hAnsi="宋体"/>
          <w:b/>
          <w:color w:val="000000" w:themeColor="text1"/>
          <w:sz w:val="44"/>
          <w:szCs w:val="44"/>
          <w:highlight w:val="none"/>
        </w:rPr>
      </w:pPr>
    </w:p>
    <w:p>
      <w:pPr>
        <w:spacing w:line="560" w:lineRule="exact"/>
        <w:jc w:val="center"/>
        <w:rPr>
          <w:rFonts w:ascii="宋体" w:hAnsi="宋体"/>
          <w:b/>
          <w:color w:val="000000" w:themeColor="text1"/>
          <w:sz w:val="44"/>
          <w:szCs w:val="44"/>
          <w:highlight w:val="none"/>
        </w:rPr>
      </w:pPr>
    </w:p>
    <w:p>
      <w:pPr>
        <w:spacing w:line="560" w:lineRule="exact"/>
        <w:jc w:val="center"/>
        <w:rPr>
          <w:rFonts w:ascii="宋体" w:hAnsi="宋体"/>
          <w:b/>
          <w:color w:val="000000" w:themeColor="text1"/>
          <w:sz w:val="44"/>
          <w:szCs w:val="44"/>
          <w:highlight w:val="none"/>
        </w:rPr>
      </w:pPr>
    </w:p>
    <w:p>
      <w:pPr>
        <w:spacing w:line="560" w:lineRule="exact"/>
        <w:jc w:val="center"/>
        <w:rPr>
          <w:rFonts w:ascii="宋体" w:hAnsi="宋体"/>
          <w:b/>
          <w:color w:val="000000" w:themeColor="text1"/>
          <w:sz w:val="44"/>
          <w:szCs w:val="44"/>
          <w:highlight w:val="none"/>
        </w:rPr>
      </w:pPr>
      <w:r>
        <w:rPr>
          <w:rFonts w:hint="eastAsia" w:ascii="宋体" w:hAnsi="宋体"/>
          <w:b/>
          <w:color w:val="000000" w:themeColor="text1"/>
          <w:sz w:val="44"/>
          <w:szCs w:val="44"/>
          <w:highlight w:val="none"/>
        </w:rPr>
        <w:t>投标人的依法缴纳税收和社会保障资金的声明</w:t>
      </w:r>
    </w:p>
    <w:p>
      <w:pPr>
        <w:spacing w:line="560" w:lineRule="exact"/>
        <w:jc w:val="center"/>
        <w:rPr>
          <w:rFonts w:ascii="宋体" w:hAnsi="宋体"/>
          <w:b/>
          <w:color w:val="000000" w:themeColor="text1"/>
          <w:sz w:val="44"/>
          <w:szCs w:val="44"/>
          <w:highlight w:val="none"/>
        </w:rPr>
      </w:pPr>
    </w:p>
    <w:p>
      <w:pPr>
        <w:spacing w:line="560" w:lineRule="exact"/>
        <w:jc w:val="center"/>
        <w:rPr>
          <w:rFonts w:ascii="宋体" w:hAnsi="宋体"/>
          <w:b/>
          <w:color w:val="000000" w:themeColor="text1"/>
          <w:sz w:val="44"/>
          <w:szCs w:val="44"/>
          <w:highlight w:val="none"/>
        </w:rPr>
      </w:pPr>
      <w:bookmarkStart w:id="29" w:name="OLE_LINK1"/>
    </w:p>
    <w:p>
      <w:pPr>
        <w:spacing w:line="560" w:lineRule="exact"/>
        <w:jc w:val="center"/>
        <w:rPr>
          <w:rFonts w:ascii="宋体" w:hAnsi="宋体"/>
          <w:b/>
          <w:color w:val="000000" w:themeColor="text1"/>
          <w:sz w:val="44"/>
          <w:szCs w:val="44"/>
          <w:highlight w:val="none"/>
        </w:rPr>
      </w:pPr>
    </w:p>
    <w:p>
      <w:pPr>
        <w:spacing w:line="560" w:lineRule="exact"/>
        <w:jc w:val="center"/>
        <w:rPr>
          <w:rFonts w:ascii="宋体" w:hAnsi="宋体"/>
          <w:b/>
          <w:color w:val="000000" w:themeColor="text1"/>
          <w:sz w:val="44"/>
          <w:szCs w:val="44"/>
          <w:highlight w:val="none"/>
        </w:rPr>
      </w:pPr>
    </w:p>
    <w:p>
      <w:pPr>
        <w:spacing w:line="560" w:lineRule="exact"/>
        <w:jc w:val="center"/>
        <w:rPr>
          <w:rFonts w:ascii="宋体" w:hAnsi="宋体"/>
          <w:b/>
          <w:color w:val="000000" w:themeColor="text1"/>
          <w:sz w:val="44"/>
          <w:szCs w:val="44"/>
          <w:highlight w:val="none"/>
        </w:rPr>
      </w:pPr>
    </w:p>
    <w:p>
      <w:pPr>
        <w:spacing w:line="560" w:lineRule="exact"/>
        <w:jc w:val="center"/>
        <w:rPr>
          <w:rFonts w:ascii="宋体" w:hAnsi="宋体"/>
          <w:b/>
          <w:color w:val="000000" w:themeColor="text1"/>
          <w:sz w:val="44"/>
          <w:szCs w:val="44"/>
          <w:highlight w:val="none"/>
        </w:rPr>
      </w:pPr>
    </w:p>
    <w:p>
      <w:pPr>
        <w:spacing w:line="560" w:lineRule="exact"/>
        <w:jc w:val="center"/>
        <w:rPr>
          <w:rFonts w:ascii="宋体" w:hAnsi="宋体"/>
          <w:b/>
          <w:color w:val="000000" w:themeColor="text1"/>
          <w:sz w:val="44"/>
          <w:szCs w:val="44"/>
          <w:highlight w:val="none"/>
        </w:rPr>
      </w:pPr>
    </w:p>
    <w:p>
      <w:pPr>
        <w:spacing w:line="560" w:lineRule="exact"/>
        <w:jc w:val="center"/>
        <w:rPr>
          <w:rFonts w:ascii="宋体" w:hAnsi="宋体"/>
          <w:b/>
          <w:color w:val="000000" w:themeColor="text1"/>
          <w:sz w:val="44"/>
          <w:szCs w:val="44"/>
          <w:highlight w:val="none"/>
        </w:rPr>
      </w:pPr>
    </w:p>
    <w:p>
      <w:pPr>
        <w:spacing w:line="560" w:lineRule="exact"/>
        <w:jc w:val="center"/>
        <w:rPr>
          <w:rFonts w:ascii="宋体" w:hAnsi="宋体"/>
          <w:b/>
          <w:color w:val="000000" w:themeColor="text1"/>
          <w:sz w:val="44"/>
          <w:szCs w:val="44"/>
          <w:highlight w:val="none"/>
        </w:rPr>
      </w:pPr>
    </w:p>
    <w:p>
      <w:pPr>
        <w:spacing w:line="560" w:lineRule="exact"/>
        <w:jc w:val="center"/>
        <w:rPr>
          <w:rFonts w:ascii="宋体" w:hAnsi="宋体"/>
          <w:b/>
          <w:color w:val="000000" w:themeColor="text1"/>
          <w:sz w:val="44"/>
          <w:szCs w:val="44"/>
          <w:highlight w:val="none"/>
        </w:rPr>
      </w:pPr>
    </w:p>
    <w:p>
      <w:pPr>
        <w:spacing w:line="560" w:lineRule="exact"/>
        <w:jc w:val="center"/>
        <w:rPr>
          <w:rFonts w:ascii="宋体" w:hAnsi="宋体"/>
          <w:b/>
          <w:color w:val="000000" w:themeColor="text1"/>
          <w:sz w:val="44"/>
          <w:szCs w:val="44"/>
          <w:highlight w:val="none"/>
        </w:rPr>
      </w:pPr>
    </w:p>
    <w:p>
      <w:pPr>
        <w:spacing w:line="560" w:lineRule="exact"/>
        <w:jc w:val="center"/>
        <w:rPr>
          <w:rFonts w:ascii="宋体" w:hAnsi="宋体"/>
          <w:b/>
          <w:color w:val="000000" w:themeColor="text1"/>
          <w:sz w:val="44"/>
          <w:szCs w:val="44"/>
          <w:highlight w:val="none"/>
        </w:rPr>
      </w:pPr>
    </w:p>
    <w:p>
      <w:pPr>
        <w:spacing w:line="560" w:lineRule="exact"/>
        <w:jc w:val="center"/>
        <w:rPr>
          <w:rFonts w:ascii="宋体" w:hAnsi="宋体"/>
          <w:b/>
          <w:color w:val="000000" w:themeColor="text1"/>
          <w:sz w:val="44"/>
          <w:szCs w:val="44"/>
          <w:highlight w:val="none"/>
        </w:rPr>
      </w:pPr>
    </w:p>
    <w:p>
      <w:pPr>
        <w:spacing w:line="560" w:lineRule="exact"/>
        <w:jc w:val="center"/>
        <w:rPr>
          <w:rFonts w:ascii="宋体" w:hAnsi="宋体"/>
          <w:b/>
          <w:color w:val="000000" w:themeColor="text1"/>
          <w:sz w:val="44"/>
          <w:szCs w:val="44"/>
          <w:highlight w:val="none"/>
        </w:rPr>
      </w:pPr>
    </w:p>
    <w:p>
      <w:pPr>
        <w:spacing w:line="560" w:lineRule="exact"/>
        <w:jc w:val="center"/>
        <w:rPr>
          <w:rFonts w:ascii="宋体" w:hAnsi="宋体"/>
          <w:b/>
          <w:color w:val="000000" w:themeColor="text1"/>
          <w:sz w:val="44"/>
          <w:szCs w:val="44"/>
          <w:highlight w:val="none"/>
        </w:rPr>
      </w:pPr>
    </w:p>
    <w:p>
      <w:pPr>
        <w:spacing w:line="560" w:lineRule="exact"/>
        <w:jc w:val="center"/>
        <w:rPr>
          <w:rFonts w:ascii="宋体" w:hAnsi="宋体"/>
          <w:b/>
          <w:color w:val="000000" w:themeColor="text1"/>
          <w:sz w:val="44"/>
          <w:szCs w:val="44"/>
          <w:highlight w:val="none"/>
        </w:rPr>
      </w:pPr>
    </w:p>
    <w:p>
      <w:pPr>
        <w:spacing w:line="560" w:lineRule="exact"/>
        <w:jc w:val="center"/>
        <w:rPr>
          <w:rFonts w:ascii="宋体" w:hAnsi="宋体"/>
          <w:b/>
          <w:color w:val="000000" w:themeColor="text1"/>
          <w:sz w:val="44"/>
          <w:szCs w:val="44"/>
          <w:highlight w:val="none"/>
        </w:rPr>
      </w:pPr>
    </w:p>
    <w:p>
      <w:pPr>
        <w:spacing w:line="560" w:lineRule="exact"/>
        <w:jc w:val="center"/>
        <w:rPr>
          <w:rFonts w:ascii="宋体" w:hAnsi="宋体"/>
          <w:b/>
          <w:color w:val="000000" w:themeColor="text1"/>
          <w:sz w:val="44"/>
          <w:szCs w:val="44"/>
          <w:highlight w:val="none"/>
        </w:rPr>
      </w:pPr>
    </w:p>
    <w:p>
      <w:pPr>
        <w:spacing w:line="560" w:lineRule="exact"/>
        <w:jc w:val="center"/>
        <w:rPr>
          <w:rFonts w:ascii="宋体" w:hAnsi="宋体"/>
          <w:b/>
          <w:color w:val="000000" w:themeColor="text1"/>
          <w:sz w:val="44"/>
          <w:szCs w:val="44"/>
          <w:highlight w:val="none"/>
        </w:rPr>
      </w:pPr>
    </w:p>
    <w:p>
      <w:pPr>
        <w:spacing w:line="560" w:lineRule="exact"/>
        <w:jc w:val="center"/>
        <w:rPr>
          <w:rFonts w:ascii="宋体" w:hAnsi="宋体"/>
          <w:b/>
          <w:color w:val="000000" w:themeColor="text1"/>
          <w:sz w:val="44"/>
          <w:szCs w:val="44"/>
          <w:highlight w:val="none"/>
        </w:rPr>
      </w:pPr>
    </w:p>
    <w:p>
      <w:pPr>
        <w:ind w:right="600"/>
        <w:jc w:val="center"/>
        <w:rPr>
          <w:rFonts w:ascii="仿宋_GB2312" w:hAnsi="宋体" w:eastAsia="仿宋_GB2312"/>
          <w:color w:val="000000" w:themeColor="text1"/>
          <w:sz w:val="30"/>
          <w:szCs w:val="30"/>
          <w:highlight w:val="none"/>
        </w:rPr>
        <w:sectPr>
          <w:footerReference r:id="rId15" w:type="default"/>
          <w:pgSz w:w="11906" w:h="16838"/>
          <w:pgMar w:top="1440" w:right="1080" w:bottom="1440" w:left="1080" w:header="851" w:footer="992" w:gutter="0"/>
          <w:cols w:space="720" w:num="1"/>
          <w:docGrid w:type="lines" w:linePitch="312" w:charSpace="0"/>
        </w:sectPr>
      </w:pPr>
      <w:r>
        <w:rPr>
          <w:rFonts w:hint="eastAsia" w:ascii="仿宋_GB2312" w:hAnsi="宋体" w:eastAsia="仿宋_GB2312"/>
          <w:color w:val="000000" w:themeColor="text1"/>
          <w:sz w:val="30"/>
          <w:szCs w:val="30"/>
          <w:highlight w:val="none"/>
        </w:rPr>
        <w:t>投标人(盖章)：</w:t>
      </w:r>
      <w:bookmarkEnd w:id="29"/>
    </w:p>
    <w:p>
      <w:pPr>
        <w:ind w:right="600"/>
        <w:jc w:val="center"/>
        <w:rPr>
          <w:rFonts w:ascii="宋体" w:hAnsi="宋体"/>
          <w:b/>
          <w:bCs/>
          <w:color w:val="000000" w:themeColor="text1"/>
          <w:sz w:val="44"/>
          <w:szCs w:val="44"/>
          <w:highlight w:val="none"/>
        </w:rPr>
      </w:pPr>
      <w:r>
        <w:rPr>
          <w:rFonts w:hint="eastAsia" w:ascii="宋体" w:hAnsi="宋体"/>
          <w:b/>
          <w:bCs/>
          <w:color w:val="000000" w:themeColor="text1"/>
          <w:sz w:val="44"/>
          <w:szCs w:val="44"/>
          <w:highlight w:val="none"/>
        </w:rPr>
        <w:t>近期的完税凭证扫描件及交纳社保资金凭证的扫描件</w:t>
      </w:r>
    </w:p>
    <w:p>
      <w:pPr>
        <w:ind w:right="600"/>
        <w:jc w:val="center"/>
        <w:rPr>
          <w:rFonts w:ascii="宋体" w:hAnsi="宋体"/>
          <w:b/>
          <w:bCs/>
          <w:color w:val="000000" w:themeColor="text1"/>
          <w:sz w:val="44"/>
          <w:szCs w:val="44"/>
          <w:highlight w:val="none"/>
        </w:rPr>
      </w:pPr>
    </w:p>
    <w:p>
      <w:pPr>
        <w:spacing w:line="560" w:lineRule="exact"/>
        <w:jc w:val="center"/>
        <w:rPr>
          <w:rFonts w:ascii="宋体" w:hAnsi="宋体"/>
          <w:b/>
          <w:color w:val="000000" w:themeColor="text1"/>
          <w:sz w:val="44"/>
          <w:szCs w:val="44"/>
          <w:highlight w:val="none"/>
        </w:rPr>
      </w:pPr>
    </w:p>
    <w:p>
      <w:pPr>
        <w:spacing w:line="560" w:lineRule="exact"/>
        <w:jc w:val="center"/>
        <w:rPr>
          <w:rFonts w:ascii="宋体" w:hAnsi="宋体"/>
          <w:b/>
          <w:color w:val="000000" w:themeColor="text1"/>
          <w:sz w:val="44"/>
          <w:szCs w:val="44"/>
          <w:highlight w:val="none"/>
        </w:rPr>
      </w:pPr>
    </w:p>
    <w:p>
      <w:pPr>
        <w:spacing w:line="560" w:lineRule="exact"/>
        <w:jc w:val="center"/>
        <w:rPr>
          <w:rFonts w:ascii="宋体" w:hAnsi="宋体"/>
          <w:b/>
          <w:color w:val="000000" w:themeColor="text1"/>
          <w:sz w:val="44"/>
          <w:szCs w:val="44"/>
          <w:highlight w:val="none"/>
        </w:rPr>
      </w:pPr>
    </w:p>
    <w:p>
      <w:pPr>
        <w:spacing w:line="560" w:lineRule="exact"/>
        <w:jc w:val="center"/>
        <w:rPr>
          <w:rFonts w:ascii="宋体" w:hAnsi="宋体"/>
          <w:b/>
          <w:color w:val="000000" w:themeColor="text1"/>
          <w:sz w:val="44"/>
          <w:szCs w:val="44"/>
          <w:highlight w:val="none"/>
        </w:rPr>
      </w:pPr>
    </w:p>
    <w:p>
      <w:pPr>
        <w:spacing w:line="560" w:lineRule="exact"/>
        <w:jc w:val="center"/>
        <w:rPr>
          <w:rFonts w:ascii="宋体" w:hAnsi="宋体"/>
          <w:b/>
          <w:color w:val="000000" w:themeColor="text1"/>
          <w:sz w:val="44"/>
          <w:szCs w:val="44"/>
          <w:highlight w:val="none"/>
        </w:rPr>
      </w:pPr>
    </w:p>
    <w:p>
      <w:pPr>
        <w:spacing w:line="560" w:lineRule="exact"/>
        <w:jc w:val="center"/>
        <w:rPr>
          <w:rFonts w:ascii="宋体" w:hAnsi="宋体"/>
          <w:b/>
          <w:color w:val="000000" w:themeColor="text1"/>
          <w:sz w:val="44"/>
          <w:szCs w:val="44"/>
          <w:highlight w:val="none"/>
        </w:rPr>
      </w:pPr>
    </w:p>
    <w:p>
      <w:pPr>
        <w:spacing w:line="560" w:lineRule="exact"/>
        <w:jc w:val="center"/>
        <w:rPr>
          <w:rFonts w:ascii="宋体" w:hAnsi="宋体"/>
          <w:b/>
          <w:color w:val="000000" w:themeColor="text1"/>
          <w:sz w:val="44"/>
          <w:szCs w:val="44"/>
          <w:highlight w:val="none"/>
        </w:rPr>
      </w:pPr>
    </w:p>
    <w:p>
      <w:pPr>
        <w:spacing w:line="560" w:lineRule="exact"/>
        <w:jc w:val="center"/>
        <w:rPr>
          <w:rFonts w:ascii="宋体" w:hAnsi="宋体"/>
          <w:b/>
          <w:color w:val="000000" w:themeColor="text1"/>
          <w:sz w:val="44"/>
          <w:szCs w:val="44"/>
          <w:highlight w:val="none"/>
        </w:rPr>
      </w:pPr>
    </w:p>
    <w:p>
      <w:pPr>
        <w:spacing w:line="560" w:lineRule="exact"/>
        <w:jc w:val="center"/>
        <w:rPr>
          <w:rFonts w:ascii="宋体" w:hAnsi="宋体"/>
          <w:b/>
          <w:color w:val="000000" w:themeColor="text1"/>
          <w:sz w:val="44"/>
          <w:szCs w:val="44"/>
          <w:highlight w:val="none"/>
        </w:rPr>
      </w:pPr>
    </w:p>
    <w:p>
      <w:pPr>
        <w:spacing w:line="560" w:lineRule="exact"/>
        <w:jc w:val="center"/>
        <w:rPr>
          <w:rFonts w:ascii="宋体" w:hAnsi="宋体"/>
          <w:b/>
          <w:color w:val="000000" w:themeColor="text1"/>
          <w:sz w:val="44"/>
          <w:szCs w:val="44"/>
          <w:highlight w:val="none"/>
        </w:rPr>
      </w:pPr>
    </w:p>
    <w:p>
      <w:pPr>
        <w:spacing w:line="560" w:lineRule="exact"/>
        <w:jc w:val="center"/>
        <w:rPr>
          <w:rFonts w:ascii="宋体" w:hAnsi="宋体"/>
          <w:b/>
          <w:color w:val="000000" w:themeColor="text1"/>
          <w:sz w:val="44"/>
          <w:szCs w:val="44"/>
          <w:highlight w:val="none"/>
        </w:rPr>
      </w:pPr>
    </w:p>
    <w:p>
      <w:pPr>
        <w:spacing w:line="560" w:lineRule="exact"/>
        <w:jc w:val="center"/>
        <w:rPr>
          <w:rFonts w:ascii="宋体" w:hAnsi="宋体"/>
          <w:b/>
          <w:color w:val="000000" w:themeColor="text1"/>
          <w:sz w:val="44"/>
          <w:szCs w:val="44"/>
          <w:highlight w:val="none"/>
        </w:rPr>
      </w:pPr>
    </w:p>
    <w:p>
      <w:pPr>
        <w:spacing w:line="560" w:lineRule="exact"/>
        <w:jc w:val="center"/>
        <w:rPr>
          <w:rFonts w:ascii="宋体" w:hAnsi="宋体"/>
          <w:b/>
          <w:color w:val="000000" w:themeColor="text1"/>
          <w:sz w:val="44"/>
          <w:szCs w:val="44"/>
          <w:highlight w:val="none"/>
        </w:rPr>
      </w:pPr>
    </w:p>
    <w:p>
      <w:pPr>
        <w:spacing w:line="560" w:lineRule="exact"/>
        <w:jc w:val="center"/>
        <w:rPr>
          <w:rFonts w:ascii="宋体" w:hAnsi="宋体"/>
          <w:b/>
          <w:color w:val="000000" w:themeColor="text1"/>
          <w:sz w:val="44"/>
          <w:szCs w:val="44"/>
          <w:highlight w:val="none"/>
        </w:rPr>
      </w:pPr>
    </w:p>
    <w:p>
      <w:pPr>
        <w:spacing w:line="560" w:lineRule="exact"/>
        <w:jc w:val="center"/>
        <w:rPr>
          <w:rFonts w:ascii="宋体" w:hAnsi="宋体"/>
          <w:b/>
          <w:color w:val="000000" w:themeColor="text1"/>
          <w:sz w:val="44"/>
          <w:szCs w:val="44"/>
          <w:highlight w:val="none"/>
        </w:rPr>
      </w:pPr>
    </w:p>
    <w:p>
      <w:pPr>
        <w:spacing w:line="560" w:lineRule="exact"/>
        <w:jc w:val="center"/>
        <w:rPr>
          <w:rFonts w:ascii="宋体" w:hAnsi="宋体"/>
          <w:b/>
          <w:color w:val="000000" w:themeColor="text1"/>
          <w:sz w:val="44"/>
          <w:szCs w:val="44"/>
          <w:highlight w:val="none"/>
        </w:rPr>
      </w:pPr>
    </w:p>
    <w:p>
      <w:pPr>
        <w:spacing w:line="560" w:lineRule="exact"/>
        <w:jc w:val="center"/>
        <w:rPr>
          <w:rFonts w:ascii="宋体" w:hAnsi="宋体"/>
          <w:b/>
          <w:color w:val="000000" w:themeColor="text1"/>
          <w:sz w:val="44"/>
          <w:szCs w:val="44"/>
          <w:highlight w:val="none"/>
        </w:rPr>
      </w:pPr>
    </w:p>
    <w:p>
      <w:pPr>
        <w:spacing w:line="560" w:lineRule="exact"/>
        <w:jc w:val="center"/>
        <w:rPr>
          <w:rFonts w:ascii="宋体" w:hAnsi="宋体"/>
          <w:b/>
          <w:color w:val="000000" w:themeColor="text1"/>
          <w:sz w:val="44"/>
          <w:szCs w:val="44"/>
          <w:highlight w:val="none"/>
        </w:rPr>
      </w:pPr>
    </w:p>
    <w:p>
      <w:pPr>
        <w:spacing w:line="560" w:lineRule="exact"/>
        <w:jc w:val="center"/>
        <w:rPr>
          <w:rFonts w:ascii="宋体" w:hAnsi="宋体"/>
          <w:b/>
          <w:color w:val="000000" w:themeColor="text1"/>
          <w:sz w:val="44"/>
          <w:szCs w:val="44"/>
          <w:highlight w:val="none"/>
        </w:rPr>
      </w:pPr>
    </w:p>
    <w:p>
      <w:pPr>
        <w:ind w:right="600"/>
        <w:jc w:val="center"/>
        <w:rPr>
          <w:rFonts w:ascii="宋体" w:hAnsi="宋体"/>
          <w:b/>
          <w:bCs/>
          <w:color w:val="000000" w:themeColor="text1"/>
          <w:sz w:val="44"/>
          <w:szCs w:val="44"/>
          <w:highlight w:val="none"/>
        </w:rPr>
        <w:sectPr>
          <w:pgSz w:w="11906" w:h="16838"/>
          <w:pgMar w:top="1440" w:right="1080" w:bottom="1440" w:left="1080" w:header="851" w:footer="992" w:gutter="0"/>
          <w:cols w:space="720" w:num="1"/>
          <w:docGrid w:type="lines" w:linePitch="312" w:charSpace="0"/>
        </w:sectPr>
      </w:pPr>
      <w:r>
        <w:rPr>
          <w:rFonts w:hint="eastAsia" w:ascii="仿宋_GB2312" w:hAnsi="宋体" w:eastAsia="仿宋_GB2312"/>
          <w:color w:val="000000" w:themeColor="text1"/>
          <w:sz w:val="30"/>
          <w:szCs w:val="30"/>
          <w:highlight w:val="none"/>
        </w:rPr>
        <w:t>投标人(盖章)：</w:t>
      </w:r>
    </w:p>
    <w:p>
      <w:pPr>
        <w:spacing w:line="560" w:lineRule="exact"/>
        <w:rPr>
          <w:rFonts w:ascii="宋体" w:hAnsi="宋体"/>
          <w:b/>
          <w:color w:val="000000" w:themeColor="text1"/>
          <w:sz w:val="44"/>
          <w:szCs w:val="44"/>
          <w:highlight w:val="none"/>
        </w:rPr>
      </w:pPr>
    </w:p>
    <w:p>
      <w:pPr>
        <w:spacing w:line="560" w:lineRule="exact"/>
        <w:jc w:val="center"/>
        <w:rPr>
          <w:rFonts w:ascii="宋体" w:hAnsi="宋体"/>
          <w:b/>
          <w:bCs/>
          <w:color w:val="000000" w:themeColor="text1"/>
          <w:sz w:val="44"/>
          <w:szCs w:val="44"/>
          <w:highlight w:val="none"/>
        </w:rPr>
      </w:pPr>
      <w:r>
        <w:rPr>
          <w:rFonts w:hint="eastAsia" w:ascii="宋体" w:hAnsi="宋体"/>
          <w:b/>
          <w:bCs/>
          <w:color w:val="000000" w:themeColor="text1"/>
          <w:sz w:val="44"/>
          <w:szCs w:val="44"/>
          <w:highlight w:val="none"/>
        </w:rPr>
        <w:t>投标人参加本项目投标前三年内无重大违法违纪行为声明原件（格式自定）</w:t>
      </w:r>
    </w:p>
    <w:p>
      <w:pPr>
        <w:jc w:val="right"/>
        <w:rPr>
          <w:rFonts w:ascii="仿宋_GB2312" w:hAnsi="宋体" w:eastAsia="仿宋_GB2312"/>
          <w:b/>
          <w:bCs/>
          <w:color w:val="000000" w:themeColor="text1"/>
          <w:sz w:val="30"/>
          <w:szCs w:val="30"/>
          <w:highlight w:val="none"/>
        </w:rPr>
      </w:pPr>
    </w:p>
    <w:p>
      <w:pPr>
        <w:jc w:val="right"/>
        <w:rPr>
          <w:rFonts w:ascii="仿宋_GB2312" w:hAnsi="宋体" w:eastAsia="仿宋_GB2312"/>
          <w:b/>
          <w:bCs/>
          <w:color w:val="000000" w:themeColor="text1"/>
          <w:sz w:val="30"/>
          <w:szCs w:val="30"/>
          <w:highlight w:val="none"/>
        </w:rPr>
      </w:pPr>
    </w:p>
    <w:p>
      <w:pPr>
        <w:jc w:val="right"/>
        <w:rPr>
          <w:rFonts w:ascii="仿宋_GB2312" w:hAnsi="宋体" w:eastAsia="仿宋_GB2312"/>
          <w:b/>
          <w:bCs/>
          <w:color w:val="000000" w:themeColor="text1"/>
          <w:sz w:val="30"/>
          <w:szCs w:val="30"/>
          <w:highlight w:val="none"/>
        </w:rPr>
      </w:pPr>
    </w:p>
    <w:p>
      <w:pPr>
        <w:jc w:val="right"/>
        <w:rPr>
          <w:rFonts w:ascii="仿宋_GB2312" w:hAnsi="宋体" w:eastAsia="仿宋_GB2312"/>
          <w:b/>
          <w:bCs/>
          <w:color w:val="000000" w:themeColor="text1"/>
          <w:sz w:val="30"/>
          <w:szCs w:val="30"/>
          <w:highlight w:val="none"/>
        </w:rPr>
      </w:pPr>
    </w:p>
    <w:p>
      <w:pPr>
        <w:jc w:val="right"/>
        <w:rPr>
          <w:rFonts w:ascii="仿宋_GB2312" w:hAnsi="宋体" w:eastAsia="仿宋_GB2312"/>
          <w:b/>
          <w:bCs/>
          <w:color w:val="000000" w:themeColor="text1"/>
          <w:sz w:val="30"/>
          <w:szCs w:val="30"/>
          <w:highlight w:val="none"/>
        </w:rPr>
      </w:pPr>
    </w:p>
    <w:p>
      <w:pPr>
        <w:jc w:val="right"/>
        <w:rPr>
          <w:rFonts w:ascii="仿宋_GB2312" w:hAnsi="宋体" w:eastAsia="仿宋_GB2312"/>
          <w:b/>
          <w:bCs/>
          <w:color w:val="000000" w:themeColor="text1"/>
          <w:sz w:val="30"/>
          <w:szCs w:val="30"/>
          <w:highlight w:val="none"/>
        </w:rPr>
      </w:pPr>
    </w:p>
    <w:p>
      <w:pPr>
        <w:jc w:val="right"/>
        <w:rPr>
          <w:rFonts w:ascii="仿宋_GB2312" w:hAnsi="宋体" w:eastAsia="仿宋_GB2312"/>
          <w:b/>
          <w:bCs/>
          <w:color w:val="000000" w:themeColor="text1"/>
          <w:sz w:val="30"/>
          <w:szCs w:val="30"/>
          <w:highlight w:val="none"/>
        </w:rPr>
      </w:pPr>
    </w:p>
    <w:p>
      <w:pPr>
        <w:jc w:val="right"/>
        <w:rPr>
          <w:rFonts w:ascii="仿宋_GB2312" w:hAnsi="宋体" w:eastAsia="仿宋_GB2312"/>
          <w:b/>
          <w:bCs/>
          <w:color w:val="000000" w:themeColor="text1"/>
          <w:sz w:val="30"/>
          <w:szCs w:val="30"/>
          <w:highlight w:val="none"/>
        </w:rPr>
      </w:pPr>
    </w:p>
    <w:p>
      <w:pPr>
        <w:jc w:val="right"/>
        <w:rPr>
          <w:rFonts w:ascii="仿宋_GB2312" w:hAnsi="宋体" w:eastAsia="仿宋_GB2312"/>
          <w:b/>
          <w:bCs/>
          <w:color w:val="000000" w:themeColor="text1"/>
          <w:sz w:val="30"/>
          <w:szCs w:val="30"/>
          <w:highlight w:val="none"/>
        </w:rPr>
      </w:pPr>
    </w:p>
    <w:p>
      <w:pPr>
        <w:jc w:val="right"/>
        <w:rPr>
          <w:rFonts w:ascii="仿宋_GB2312" w:hAnsi="宋体" w:eastAsia="仿宋_GB2312"/>
          <w:b/>
          <w:bCs/>
          <w:color w:val="000000" w:themeColor="text1"/>
          <w:sz w:val="30"/>
          <w:szCs w:val="30"/>
          <w:highlight w:val="none"/>
        </w:rPr>
      </w:pPr>
    </w:p>
    <w:p>
      <w:pPr>
        <w:jc w:val="right"/>
        <w:rPr>
          <w:rFonts w:ascii="仿宋_GB2312" w:hAnsi="宋体" w:eastAsia="仿宋_GB2312"/>
          <w:b/>
          <w:bCs/>
          <w:color w:val="000000" w:themeColor="text1"/>
          <w:sz w:val="30"/>
          <w:szCs w:val="30"/>
          <w:highlight w:val="none"/>
        </w:rPr>
      </w:pPr>
    </w:p>
    <w:p>
      <w:pPr>
        <w:jc w:val="right"/>
        <w:rPr>
          <w:rFonts w:ascii="仿宋_GB2312" w:hAnsi="宋体" w:eastAsia="仿宋_GB2312"/>
          <w:b/>
          <w:bCs/>
          <w:color w:val="000000" w:themeColor="text1"/>
          <w:sz w:val="30"/>
          <w:szCs w:val="30"/>
          <w:highlight w:val="none"/>
        </w:rPr>
      </w:pPr>
    </w:p>
    <w:p>
      <w:pPr>
        <w:jc w:val="right"/>
        <w:rPr>
          <w:rFonts w:ascii="仿宋_GB2312" w:hAnsi="宋体" w:eastAsia="仿宋_GB2312"/>
          <w:b/>
          <w:bCs/>
          <w:color w:val="000000" w:themeColor="text1"/>
          <w:sz w:val="30"/>
          <w:szCs w:val="30"/>
          <w:highlight w:val="none"/>
        </w:rPr>
      </w:pPr>
    </w:p>
    <w:p>
      <w:pPr>
        <w:ind w:right="1204"/>
        <w:rPr>
          <w:rFonts w:ascii="仿宋_GB2312" w:hAnsi="宋体" w:eastAsia="仿宋_GB2312"/>
          <w:b/>
          <w:bCs/>
          <w:color w:val="000000" w:themeColor="text1"/>
          <w:sz w:val="30"/>
          <w:szCs w:val="30"/>
          <w:highlight w:val="none"/>
        </w:rPr>
      </w:pPr>
    </w:p>
    <w:p>
      <w:pPr>
        <w:jc w:val="right"/>
        <w:rPr>
          <w:rFonts w:ascii="仿宋_GB2312" w:hAnsi="宋体" w:eastAsia="仿宋_GB2312"/>
          <w:b/>
          <w:bCs/>
          <w:color w:val="000000" w:themeColor="text1"/>
          <w:sz w:val="30"/>
          <w:szCs w:val="30"/>
          <w:highlight w:val="none"/>
        </w:rPr>
      </w:pPr>
    </w:p>
    <w:p>
      <w:pPr>
        <w:jc w:val="right"/>
        <w:rPr>
          <w:rFonts w:ascii="仿宋_GB2312" w:hAnsi="宋体" w:eastAsia="仿宋_GB2312"/>
          <w:b/>
          <w:bCs/>
          <w:color w:val="000000" w:themeColor="text1"/>
          <w:sz w:val="30"/>
          <w:szCs w:val="30"/>
          <w:highlight w:val="none"/>
        </w:rPr>
      </w:pPr>
    </w:p>
    <w:p>
      <w:pPr>
        <w:pStyle w:val="13"/>
        <w:rPr>
          <w:color w:val="000000" w:themeColor="text1"/>
          <w:highlight w:val="none"/>
        </w:rPr>
      </w:pPr>
    </w:p>
    <w:p>
      <w:pPr>
        <w:jc w:val="right"/>
        <w:rPr>
          <w:rFonts w:ascii="仿宋_GB2312" w:hAnsi="宋体" w:eastAsia="仿宋_GB2312"/>
          <w:b/>
          <w:bCs/>
          <w:color w:val="000000" w:themeColor="text1"/>
          <w:sz w:val="30"/>
          <w:szCs w:val="30"/>
          <w:highlight w:val="none"/>
        </w:rPr>
      </w:pPr>
    </w:p>
    <w:p>
      <w:pPr>
        <w:pStyle w:val="13"/>
        <w:rPr>
          <w:color w:val="000000" w:themeColor="text1"/>
          <w:highlight w:val="none"/>
        </w:rPr>
      </w:pPr>
    </w:p>
    <w:p>
      <w:pPr>
        <w:ind w:right="600" w:firstLine="4200" w:firstLineChars="1400"/>
        <w:rPr>
          <w:rFonts w:ascii="仿宋_GB2312" w:hAnsi="宋体" w:eastAsia="仿宋_GB2312"/>
          <w:b/>
          <w:bCs/>
          <w:color w:val="000000" w:themeColor="text1"/>
          <w:sz w:val="30"/>
          <w:szCs w:val="30"/>
          <w:highlight w:val="none"/>
        </w:rPr>
      </w:pPr>
      <w:r>
        <w:rPr>
          <w:rFonts w:hint="eastAsia" w:ascii="仿宋_GB2312" w:hAnsi="宋体" w:eastAsia="仿宋_GB2312"/>
          <w:color w:val="000000" w:themeColor="text1"/>
          <w:sz w:val="30"/>
          <w:szCs w:val="30"/>
          <w:highlight w:val="none"/>
        </w:rPr>
        <w:t>投标人(盖章)：</w:t>
      </w:r>
    </w:p>
    <w:p>
      <w:pPr>
        <w:rPr>
          <w:rFonts w:ascii="宋体" w:hAnsi="宋体"/>
          <w:b/>
          <w:color w:val="000000" w:themeColor="text1"/>
          <w:sz w:val="44"/>
          <w:szCs w:val="44"/>
          <w:highlight w:val="none"/>
        </w:rPr>
      </w:pPr>
    </w:p>
    <w:p>
      <w:pPr>
        <w:jc w:val="center"/>
        <w:rPr>
          <w:rFonts w:ascii="宋体" w:hAnsi="宋体"/>
          <w:b/>
          <w:bCs/>
          <w:color w:val="000000" w:themeColor="text1"/>
          <w:sz w:val="44"/>
          <w:szCs w:val="44"/>
          <w:highlight w:val="none"/>
        </w:rPr>
      </w:pPr>
      <w:r>
        <w:rPr>
          <w:rFonts w:hint="eastAsia" w:ascii="宋体" w:hAnsi="宋体"/>
          <w:b/>
          <w:bCs/>
          <w:color w:val="000000" w:themeColor="text1"/>
          <w:sz w:val="44"/>
          <w:szCs w:val="44"/>
          <w:highlight w:val="none"/>
        </w:rPr>
        <w:t>投标人、法定代表人、授权委托人未被最高法院列入失信被执行人</w:t>
      </w:r>
    </w:p>
    <w:p>
      <w:pPr>
        <w:jc w:val="center"/>
        <w:rPr>
          <w:rFonts w:ascii="宋体" w:hAnsi="宋体"/>
          <w:b/>
          <w:bCs/>
          <w:color w:val="000000" w:themeColor="text1"/>
          <w:sz w:val="44"/>
          <w:szCs w:val="44"/>
          <w:highlight w:val="none"/>
        </w:rPr>
      </w:pPr>
      <w:r>
        <w:rPr>
          <w:rFonts w:hint="eastAsia" w:ascii="宋体" w:hAnsi="宋体"/>
          <w:b/>
          <w:bCs/>
          <w:color w:val="000000" w:themeColor="text1"/>
          <w:sz w:val="44"/>
          <w:szCs w:val="44"/>
          <w:highlight w:val="none"/>
        </w:rPr>
        <w:t>（网址http://zxgk.court.gov.cn/zhzxgk/）</w:t>
      </w:r>
    </w:p>
    <w:p>
      <w:pPr>
        <w:jc w:val="center"/>
        <w:rPr>
          <w:rFonts w:ascii="仿宋" w:hAnsi="仿宋" w:eastAsia="仿宋"/>
          <w:color w:val="000000" w:themeColor="text1"/>
          <w:sz w:val="40"/>
          <w:szCs w:val="44"/>
          <w:highlight w:val="none"/>
        </w:rPr>
      </w:pPr>
    </w:p>
    <w:p>
      <w:pPr>
        <w:jc w:val="center"/>
        <w:rPr>
          <w:rFonts w:ascii="仿宋" w:hAnsi="仿宋" w:eastAsia="仿宋"/>
          <w:color w:val="000000" w:themeColor="text1"/>
          <w:sz w:val="40"/>
          <w:szCs w:val="44"/>
          <w:highlight w:val="none"/>
        </w:rPr>
      </w:pPr>
    </w:p>
    <w:p>
      <w:pPr>
        <w:pStyle w:val="13"/>
        <w:rPr>
          <w:color w:val="000000" w:themeColor="text1"/>
          <w:highlight w:val="none"/>
        </w:rPr>
      </w:pPr>
    </w:p>
    <w:p>
      <w:pPr>
        <w:pStyle w:val="13"/>
        <w:rPr>
          <w:color w:val="000000" w:themeColor="text1"/>
          <w:highlight w:val="none"/>
        </w:rPr>
      </w:pPr>
    </w:p>
    <w:p>
      <w:pPr>
        <w:pStyle w:val="13"/>
        <w:rPr>
          <w:color w:val="000000" w:themeColor="text1"/>
          <w:highlight w:val="none"/>
        </w:rPr>
      </w:pPr>
    </w:p>
    <w:p>
      <w:pPr>
        <w:pStyle w:val="13"/>
        <w:rPr>
          <w:color w:val="000000" w:themeColor="text1"/>
          <w:highlight w:val="none"/>
        </w:rPr>
      </w:pPr>
    </w:p>
    <w:p>
      <w:pPr>
        <w:pStyle w:val="13"/>
        <w:rPr>
          <w:color w:val="000000" w:themeColor="text1"/>
          <w:highlight w:val="none"/>
        </w:rPr>
      </w:pPr>
    </w:p>
    <w:p>
      <w:pPr>
        <w:pStyle w:val="13"/>
        <w:rPr>
          <w:color w:val="000000" w:themeColor="text1"/>
          <w:highlight w:val="none"/>
        </w:rPr>
      </w:pPr>
    </w:p>
    <w:p>
      <w:pPr>
        <w:pStyle w:val="13"/>
        <w:rPr>
          <w:color w:val="000000" w:themeColor="text1"/>
          <w:highlight w:val="none"/>
        </w:rPr>
      </w:pPr>
    </w:p>
    <w:p>
      <w:pPr>
        <w:pStyle w:val="13"/>
        <w:rPr>
          <w:color w:val="000000" w:themeColor="text1"/>
          <w:highlight w:val="none"/>
        </w:rPr>
      </w:pPr>
    </w:p>
    <w:p>
      <w:pPr>
        <w:pStyle w:val="13"/>
        <w:rPr>
          <w:color w:val="000000" w:themeColor="text1"/>
          <w:highlight w:val="none"/>
        </w:rPr>
      </w:pPr>
    </w:p>
    <w:p>
      <w:pPr>
        <w:pStyle w:val="13"/>
        <w:rPr>
          <w:color w:val="000000" w:themeColor="text1"/>
          <w:highlight w:val="none"/>
        </w:rPr>
      </w:pPr>
    </w:p>
    <w:p>
      <w:pPr>
        <w:pStyle w:val="13"/>
        <w:rPr>
          <w:color w:val="000000" w:themeColor="text1"/>
          <w:highlight w:val="none"/>
        </w:rPr>
      </w:pPr>
    </w:p>
    <w:p>
      <w:pPr>
        <w:pStyle w:val="13"/>
        <w:rPr>
          <w:color w:val="000000" w:themeColor="text1"/>
          <w:highlight w:val="none"/>
        </w:rPr>
      </w:pPr>
    </w:p>
    <w:p>
      <w:pPr>
        <w:pStyle w:val="13"/>
        <w:rPr>
          <w:color w:val="000000" w:themeColor="text1"/>
          <w:highlight w:val="none"/>
        </w:rPr>
      </w:pPr>
    </w:p>
    <w:p>
      <w:pPr>
        <w:pStyle w:val="13"/>
        <w:rPr>
          <w:color w:val="000000" w:themeColor="text1"/>
          <w:highlight w:val="none"/>
        </w:rPr>
      </w:pPr>
    </w:p>
    <w:p>
      <w:pPr>
        <w:pStyle w:val="13"/>
        <w:rPr>
          <w:color w:val="000000" w:themeColor="text1"/>
          <w:highlight w:val="none"/>
        </w:rPr>
      </w:pPr>
    </w:p>
    <w:p>
      <w:pPr>
        <w:pStyle w:val="13"/>
        <w:rPr>
          <w:color w:val="000000" w:themeColor="text1"/>
          <w:highlight w:val="none"/>
        </w:rPr>
      </w:pPr>
    </w:p>
    <w:p>
      <w:pPr>
        <w:pStyle w:val="13"/>
        <w:rPr>
          <w:color w:val="000000" w:themeColor="text1"/>
          <w:highlight w:val="none"/>
        </w:rPr>
      </w:pPr>
    </w:p>
    <w:p>
      <w:pPr>
        <w:pStyle w:val="13"/>
        <w:rPr>
          <w:color w:val="000000" w:themeColor="text1"/>
          <w:highlight w:val="none"/>
        </w:rPr>
      </w:pPr>
    </w:p>
    <w:p>
      <w:pPr>
        <w:pStyle w:val="13"/>
        <w:rPr>
          <w:color w:val="000000" w:themeColor="text1"/>
          <w:highlight w:val="none"/>
        </w:rPr>
      </w:pPr>
    </w:p>
    <w:p>
      <w:pPr>
        <w:pStyle w:val="13"/>
        <w:rPr>
          <w:color w:val="000000" w:themeColor="text1"/>
          <w:highlight w:val="none"/>
        </w:rPr>
      </w:pPr>
    </w:p>
    <w:p>
      <w:pPr>
        <w:pStyle w:val="13"/>
        <w:rPr>
          <w:color w:val="000000" w:themeColor="text1"/>
          <w:highlight w:val="none"/>
        </w:rPr>
      </w:pPr>
    </w:p>
    <w:p>
      <w:pPr>
        <w:pStyle w:val="13"/>
        <w:rPr>
          <w:color w:val="000000" w:themeColor="text1"/>
          <w:highlight w:val="none"/>
        </w:rPr>
      </w:pPr>
    </w:p>
    <w:p>
      <w:pPr>
        <w:pStyle w:val="13"/>
        <w:rPr>
          <w:color w:val="000000" w:themeColor="text1"/>
          <w:highlight w:val="none"/>
        </w:rPr>
      </w:pPr>
    </w:p>
    <w:p>
      <w:pPr>
        <w:pStyle w:val="13"/>
        <w:rPr>
          <w:color w:val="000000" w:themeColor="text1"/>
          <w:highlight w:val="none"/>
        </w:rPr>
      </w:pPr>
    </w:p>
    <w:p>
      <w:pPr>
        <w:pStyle w:val="13"/>
        <w:rPr>
          <w:color w:val="000000" w:themeColor="text1"/>
          <w:highlight w:val="none"/>
        </w:rPr>
      </w:pPr>
    </w:p>
    <w:p>
      <w:pPr>
        <w:pStyle w:val="13"/>
        <w:rPr>
          <w:color w:val="000000" w:themeColor="text1"/>
          <w:highlight w:val="none"/>
        </w:rPr>
      </w:pPr>
    </w:p>
    <w:p>
      <w:pPr>
        <w:pStyle w:val="13"/>
        <w:rPr>
          <w:color w:val="000000" w:themeColor="text1"/>
          <w:highlight w:val="none"/>
        </w:rPr>
      </w:pPr>
    </w:p>
    <w:p>
      <w:pPr>
        <w:pStyle w:val="13"/>
        <w:rPr>
          <w:color w:val="000000" w:themeColor="text1"/>
          <w:highlight w:val="none"/>
        </w:rPr>
      </w:pPr>
    </w:p>
    <w:p>
      <w:pPr>
        <w:pStyle w:val="13"/>
        <w:rPr>
          <w:color w:val="000000" w:themeColor="text1"/>
          <w:highlight w:val="none"/>
        </w:rPr>
      </w:pPr>
    </w:p>
    <w:p>
      <w:pPr>
        <w:pStyle w:val="13"/>
        <w:rPr>
          <w:color w:val="000000" w:themeColor="text1"/>
          <w:highlight w:val="none"/>
        </w:rPr>
      </w:pPr>
    </w:p>
    <w:p>
      <w:pPr>
        <w:pStyle w:val="13"/>
        <w:rPr>
          <w:color w:val="000000" w:themeColor="text1"/>
          <w:highlight w:val="none"/>
        </w:rPr>
      </w:pPr>
    </w:p>
    <w:p>
      <w:pPr>
        <w:jc w:val="center"/>
        <w:rPr>
          <w:rFonts w:ascii="宋体" w:hAnsi="宋体"/>
          <w:b/>
          <w:bCs/>
          <w:color w:val="000000" w:themeColor="text1"/>
          <w:sz w:val="44"/>
          <w:szCs w:val="44"/>
          <w:highlight w:val="none"/>
        </w:rPr>
      </w:pPr>
      <w:r>
        <w:rPr>
          <w:rFonts w:hint="eastAsia" w:ascii="宋体" w:hAnsi="宋体"/>
          <w:b/>
          <w:bCs/>
          <w:color w:val="000000" w:themeColor="text1"/>
          <w:sz w:val="44"/>
          <w:szCs w:val="44"/>
          <w:highlight w:val="none"/>
        </w:rPr>
        <w:t>财务状况报告</w:t>
      </w:r>
    </w:p>
    <w:p>
      <w:pPr>
        <w:jc w:val="center"/>
        <w:rPr>
          <w:rFonts w:ascii="宋体" w:hAnsi="宋体"/>
          <w:b/>
          <w:bCs/>
          <w:color w:val="000000" w:themeColor="text1"/>
          <w:sz w:val="44"/>
          <w:szCs w:val="44"/>
          <w:highlight w:val="none"/>
        </w:rPr>
      </w:pPr>
      <w:r>
        <w:rPr>
          <w:rFonts w:hint="eastAsia" w:ascii="宋体" w:hAnsi="宋体"/>
          <w:b/>
          <w:bCs/>
          <w:color w:val="000000" w:themeColor="text1"/>
          <w:sz w:val="44"/>
          <w:szCs w:val="44"/>
          <w:highlight w:val="none"/>
        </w:rPr>
        <w:t>（加盖投标人签章）</w:t>
      </w:r>
    </w:p>
    <w:p>
      <w:pPr>
        <w:jc w:val="center"/>
        <w:rPr>
          <w:rFonts w:ascii="仿宋" w:hAnsi="仿宋" w:eastAsia="仿宋"/>
          <w:color w:val="000000" w:themeColor="text1"/>
          <w:sz w:val="40"/>
          <w:szCs w:val="44"/>
          <w:highlight w:val="none"/>
        </w:rPr>
      </w:pPr>
    </w:p>
    <w:p>
      <w:pPr>
        <w:jc w:val="center"/>
        <w:rPr>
          <w:rFonts w:ascii="仿宋" w:hAnsi="仿宋" w:eastAsia="仿宋"/>
          <w:color w:val="000000" w:themeColor="text1"/>
          <w:sz w:val="40"/>
          <w:szCs w:val="44"/>
          <w:highlight w:val="none"/>
        </w:rPr>
      </w:pPr>
    </w:p>
    <w:p>
      <w:pPr>
        <w:jc w:val="center"/>
        <w:rPr>
          <w:rFonts w:ascii="仿宋" w:hAnsi="仿宋" w:eastAsia="仿宋"/>
          <w:color w:val="000000" w:themeColor="text1"/>
          <w:sz w:val="40"/>
          <w:szCs w:val="44"/>
          <w:highlight w:val="none"/>
        </w:rPr>
      </w:pPr>
    </w:p>
    <w:p>
      <w:pPr>
        <w:jc w:val="center"/>
        <w:rPr>
          <w:rFonts w:ascii="仿宋" w:hAnsi="仿宋" w:eastAsia="仿宋"/>
          <w:color w:val="000000" w:themeColor="text1"/>
          <w:sz w:val="40"/>
          <w:szCs w:val="44"/>
          <w:highlight w:val="none"/>
        </w:rPr>
      </w:pPr>
    </w:p>
    <w:p>
      <w:pPr>
        <w:jc w:val="center"/>
        <w:rPr>
          <w:rFonts w:ascii="仿宋" w:hAnsi="仿宋" w:eastAsia="仿宋"/>
          <w:color w:val="000000" w:themeColor="text1"/>
          <w:sz w:val="40"/>
          <w:szCs w:val="44"/>
          <w:highlight w:val="none"/>
        </w:rPr>
      </w:pPr>
    </w:p>
    <w:p>
      <w:pPr>
        <w:jc w:val="center"/>
        <w:rPr>
          <w:rFonts w:ascii="仿宋" w:hAnsi="仿宋" w:eastAsia="仿宋"/>
          <w:color w:val="000000" w:themeColor="text1"/>
          <w:sz w:val="40"/>
          <w:szCs w:val="44"/>
          <w:highlight w:val="none"/>
        </w:rPr>
      </w:pPr>
    </w:p>
    <w:p>
      <w:pPr>
        <w:jc w:val="center"/>
        <w:rPr>
          <w:rFonts w:ascii="仿宋" w:hAnsi="仿宋" w:eastAsia="仿宋"/>
          <w:color w:val="000000" w:themeColor="text1"/>
          <w:sz w:val="40"/>
          <w:szCs w:val="44"/>
          <w:highlight w:val="none"/>
        </w:rPr>
      </w:pPr>
    </w:p>
    <w:p>
      <w:pPr>
        <w:jc w:val="center"/>
        <w:rPr>
          <w:rFonts w:ascii="仿宋" w:hAnsi="仿宋" w:eastAsia="仿宋"/>
          <w:color w:val="000000" w:themeColor="text1"/>
          <w:sz w:val="40"/>
          <w:szCs w:val="44"/>
          <w:highlight w:val="none"/>
        </w:rPr>
      </w:pPr>
    </w:p>
    <w:p>
      <w:pPr>
        <w:jc w:val="center"/>
        <w:rPr>
          <w:rFonts w:ascii="仿宋" w:hAnsi="仿宋" w:eastAsia="仿宋"/>
          <w:color w:val="000000" w:themeColor="text1"/>
          <w:sz w:val="40"/>
          <w:szCs w:val="44"/>
          <w:highlight w:val="none"/>
        </w:rPr>
      </w:pPr>
    </w:p>
    <w:p>
      <w:pPr>
        <w:jc w:val="center"/>
        <w:rPr>
          <w:rFonts w:ascii="仿宋" w:hAnsi="仿宋" w:eastAsia="仿宋"/>
          <w:color w:val="000000" w:themeColor="text1"/>
          <w:sz w:val="40"/>
          <w:szCs w:val="44"/>
          <w:highlight w:val="none"/>
        </w:rPr>
      </w:pPr>
    </w:p>
    <w:p>
      <w:pPr>
        <w:jc w:val="center"/>
        <w:rPr>
          <w:rFonts w:ascii="仿宋" w:hAnsi="仿宋" w:eastAsia="仿宋"/>
          <w:color w:val="000000" w:themeColor="text1"/>
          <w:sz w:val="40"/>
          <w:szCs w:val="44"/>
          <w:highlight w:val="none"/>
        </w:rPr>
      </w:pPr>
    </w:p>
    <w:p>
      <w:pPr>
        <w:jc w:val="center"/>
        <w:rPr>
          <w:rFonts w:ascii="仿宋" w:hAnsi="仿宋" w:eastAsia="仿宋"/>
          <w:color w:val="000000" w:themeColor="text1"/>
          <w:sz w:val="40"/>
          <w:szCs w:val="44"/>
          <w:highlight w:val="none"/>
        </w:rPr>
      </w:pPr>
    </w:p>
    <w:p>
      <w:pPr>
        <w:jc w:val="center"/>
        <w:rPr>
          <w:rFonts w:ascii="仿宋" w:hAnsi="仿宋" w:eastAsia="仿宋"/>
          <w:color w:val="000000" w:themeColor="text1"/>
          <w:sz w:val="40"/>
          <w:szCs w:val="44"/>
          <w:highlight w:val="none"/>
        </w:rPr>
      </w:pPr>
    </w:p>
    <w:p>
      <w:pPr>
        <w:jc w:val="center"/>
        <w:rPr>
          <w:rFonts w:ascii="宋体" w:hAnsi="宋体"/>
          <w:b/>
          <w:bCs/>
          <w:color w:val="000000" w:themeColor="text1"/>
          <w:sz w:val="44"/>
          <w:szCs w:val="44"/>
          <w:highlight w:val="none"/>
        </w:rPr>
        <w:sectPr>
          <w:pgSz w:w="11906" w:h="16838"/>
          <w:pgMar w:top="1440" w:right="1080" w:bottom="1440" w:left="1080" w:header="851" w:footer="992" w:gutter="0"/>
          <w:cols w:space="720" w:num="1"/>
          <w:docGrid w:type="lines" w:linePitch="312" w:charSpace="0"/>
        </w:sectPr>
      </w:pPr>
    </w:p>
    <w:p>
      <w:pPr>
        <w:jc w:val="center"/>
        <w:rPr>
          <w:rFonts w:ascii="宋体" w:hAnsi="宋体"/>
          <w:b/>
          <w:bCs/>
          <w:color w:val="000000" w:themeColor="text1"/>
          <w:sz w:val="44"/>
          <w:szCs w:val="44"/>
          <w:highlight w:val="none"/>
        </w:rPr>
      </w:pPr>
      <w:r>
        <w:rPr>
          <w:rFonts w:hint="eastAsia" w:ascii="宋体" w:hAnsi="宋体"/>
          <w:b/>
          <w:bCs/>
          <w:color w:val="000000" w:themeColor="text1"/>
          <w:sz w:val="44"/>
          <w:szCs w:val="44"/>
          <w:highlight w:val="none"/>
        </w:rPr>
        <w:t>投标人基本情况表</w:t>
      </w:r>
    </w:p>
    <w:tbl>
      <w:tblPr>
        <w:tblStyle w:val="47"/>
        <w:tblW w:w="92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647"/>
        <w:gridCol w:w="567"/>
        <w:gridCol w:w="1098"/>
        <w:gridCol w:w="567"/>
        <w:gridCol w:w="657"/>
        <w:gridCol w:w="1557"/>
        <w:gridCol w:w="46"/>
        <w:gridCol w:w="503"/>
        <w:gridCol w:w="2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7" w:hRule="atLeast"/>
          <w:jc w:val="center"/>
        </w:trPr>
        <w:tc>
          <w:tcPr>
            <w:tcW w:w="2214" w:type="dxa"/>
            <w:gridSpan w:val="2"/>
            <w:vAlign w:val="center"/>
          </w:tcPr>
          <w:p>
            <w:pPr>
              <w:spacing w:line="440" w:lineRule="exact"/>
              <w:jc w:val="center"/>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单位名称</w:t>
            </w:r>
          </w:p>
        </w:tc>
        <w:tc>
          <w:tcPr>
            <w:tcW w:w="2889" w:type="dxa"/>
            <w:gridSpan w:val="4"/>
            <w:vAlign w:val="center"/>
          </w:tcPr>
          <w:p>
            <w:pPr>
              <w:spacing w:line="440" w:lineRule="exact"/>
              <w:jc w:val="center"/>
              <w:rPr>
                <w:rFonts w:ascii="仿宋" w:hAnsi="仿宋" w:eastAsia="仿宋"/>
                <w:color w:val="000000" w:themeColor="text1"/>
                <w:sz w:val="28"/>
                <w:szCs w:val="28"/>
                <w:highlight w:val="none"/>
              </w:rPr>
            </w:pPr>
          </w:p>
        </w:tc>
        <w:tc>
          <w:tcPr>
            <w:tcW w:w="2106" w:type="dxa"/>
            <w:gridSpan w:val="3"/>
            <w:vAlign w:val="center"/>
          </w:tcPr>
          <w:p>
            <w:pPr>
              <w:spacing w:line="440" w:lineRule="exact"/>
              <w:jc w:val="center"/>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地址</w:t>
            </w:r>
          </w:p>
        </w:tc>
        <w:tc>
          <w:tcPr>
            <w:tcW w:w="2049" w:type="dxa"/>
            <w:vAlign w:val="center"/>
          </w:tcPr>
          <w:p>
            <w:pPr>
              <w:spacing w:line="440" w:lineRule="exact"/>
              <w:jc w:val="center"/>
              <w:rPr>
                <w:rFonts w:ascii="仿宋" w:hAnsi="仿宋" w:eastAsia="仿宋"/>
                <w:color w:val="000000" w:themeColor="text1"/>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7" w:hRule="atLeast"/>
          <w:jc w:val="center"/>
        </w:trPr>
        <w:tc>
          <w:tcPr>
            <w:tcW w:w="2214" w:type="dxa"/>
            <w:gridSpan w:val="2"/>
            <w:vAlign w:val="center"/>
          </w:tcPr>
          <w:p>
            <w:pPr>
              <w:spacing w:line="440" w:lineRule="exact"/>
              <w:jc w:val="center"/>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办公电话/传真</w:t>
            </w:r>
          </w:p>
        </w:tc>
        <w:tc>
          <w:tcPr>
            <w:tcW w:w="2889" w:type="dxa"/>
            <w:gridSpan w:val="4"/>
            <w:vAlign w:val="center"/>
          </w:tcPr>
          <w:p>
            <w:pPr>
              <w:spacing w:line="440" w:lineRule="exact"/>
              <w:jc w:val="center"/>
              <w:rPr>
                <w:rFonts w:ascii="仿宋" w:hAnsi="仿宋" w:eastAsia="仿宋"/>
                <w:color w:val="000000" w:themeColor="text1"/>
                <w:sz w:val="28"/>
                <w:szCs w:val="28"/>
                <w:highlight w:val="none"/>
              </w:rPr>
            </w:pPr>
          </w:p>
        </w:tc>
        <w:tc>
          <w:tcPr>
            <w:tcW w:w="2106" w:type="dxa"/>
            <w:gridSpan w:val="3"/>
            <w:vAlign w:val="center"/>
          </w:tcPr>
          <w:p>
            <w:pPr>
              <w:spacing w:line="440" w:lineRule="exact"/>
              <w:jc w:val="center"/>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联系人</w:t>
            </w:r>
          </w:p>
        </w:tc>
        <w:tc>
          <w:tcPr>
            <w:tcW w:w="2049" w:type="dxa"/>
            <w:vAlign w:val="center"/>
          </w:tcPr>
          <w:p>
            <w:pPr>
              <w:spacing w:line="440" w:lineRule="exact"/>
              <w:jc w:val="center"/>
              <w:rPr>
                <w:rFonts w:ascii="仿宋" w:hAnsi="仿宋" w:eastAsia="仿宋"/>
                <w:color w:val="000000" w:themeColor="text1"/>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7" w:hRule="atLeast"/>
          <w:jc w:val="center"/>
        </w:trPr>
        <w:tc>
          <w:tcPr>
            <w:tcW w:w="2214" w:type="dxa"/>
            <w:gridSpan w:val="2"/>
            <w:vAlign w:val="center"/>
          </w:tcPr>
          <w:p>
            <w:pPr>
              <w:spacing w:line="440" w:lineRule="exact"/>
              <w:jc w:val="center"/>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所属/主管部门</w:t>
            </w:r>
          </w:p>
        </w:tc>
        <w:tc>
          <w:tcPr>
            <w:tcW w:w="7044" w:type="dxa"/>
            <w:gridSpan w:val="8"/>
            <w:vAlign w:val="center"/>
          </w:tcPr>
          <w:p>
            <w:pPr>
              <w:spacing w:line="440" w:lineRule="exact"/>
              <w:jc w:val="center"/>
              <w:rPr>
                <w:rFonts w:ascii="仿宋" w:hAnsi="仿宋" w:eastAsia="仿宋"/>
                <w:color w:val="000000" w:themeColor="text1"/>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7" w:hRule="atLeast"/>
          <w:jc w:val="center"/>
        </w:trPr>
        <w:tc>
          <w:tcPr>
            <w:tcW w:w="2214" w:type="dxa"/>
            <w:gridSpan w:val="2"/>
            <w:vAlign w:val="center"/>
          </w:tcPr>
          <w:p>
            <w:pPr>
              <w:spacing w:line="440" w:lineRule="exact"/>
              <w:jc w:val="center"/>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总经理</w:t>
            </w:r>
          </w:p>
        </w:tc>
        <w:tc>
          <w:tcPr>
            <w:tcW w:w="1665" w:type="dxa"/>
            <w:gridSpan w:val="2"/>
            <w:vAlign w:val="center"/>
          </w:tcPr>
          <w:p>
            <w:pPr>
              <w:spacing w:line="440" w:lineRule="exact"/>
              <w:jc w:val="center"/>
              <w:rPr>
                <w:rFonts w:ascii="仿宋" w:hAnsi="仿宋" w:eastAsia="仿宋"/>
                <w:color w:val="000000" w:themeColor="text1"/>
                <w:sz w:val="28"/>
                <w:szCs w:val="28"/>
                <w:highlight w:val="none"/>
              </w:rPr>
            </w:pPr>
          </w:p>
        </w:tc>
        <w:tc>
          <w:tcPr>
            <w:tcW w:w="2827" w:type="dxa"/>
            <w:gridSpan w:val="4"/>
            <w:vAlign w:val="center"/>
          </w:tcPr>
          <w:p>
            <w:pPr>
              <w:spacing w:line="440" w:lineRule="exact"/>
              <w:jc w:val="center"/>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固定办公面积（平米）</w:t>
            </w:r>
          </w:p>
        </w:tc>
        <w:tc>
          <w:tcPr>
            <w:tcW w:w="2552" w:type="dxa"/>
            <w:gridSpan w:val="2"/>
            <w:vAlign w:val="center"/>
          </w:tcPr>
          <w:p>
            <w:pPr>
              <w:spacing w:line="440" w:lineRule="exact"/>
              <w:jc w:val="center"/>
              <w:rPr>
                <w:rFonts w:ascii="仿宋" w:hAnsi="仿宋" w:eastAsia="仿宋"/>
                <w:color w:val="000000" w:themeColor="text1"/>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7" w:hRule="atLeast"/>
          <w:jc w:val="center"/>
        </w:trPr>
        <w:tc>
          <w:tcPr>
            <w:tcW w:w="567" w:type="dxa"/>
            <w:vMerge w:val="restart"/>
            <w:vAlign w:val="center"/>
          </w:tcPr>
          <w:p>
            <w:pPr>
              <w:spacing w:line="440" w:lineRule="exact"/>
              <w:jc w:val="center"/>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注册情况</w:t>
            </w:r>
          </w:p>
        </w:tc>
        <w:tc>
          <w:tcPr>
            <w:tcW w:w="2214" w:type="dxa"/>
            <w:gridSpan w:val="2"/>
            <w:vAlign w:val="center"/>
          </w:tcPr>
          <w:p>
            <w:pPr>
              <w:spacing w:line="440" w:lineRule="exact"/>
              <w:jc w:val="center"/>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工商注册号</w:t>
            </w:r>
          </w:p>
        </w:tc>
        <w:tc>
          <w:tcPr>
            <w:tcW w:w="6477" w:type="dxa"/>
            <w:gridSpan w:val="7"/>
            <w:vAlign w:val="center"/>
          </w:tcPr>
          <w:p>
            <w:pPr>
              <w:spacing w:line="440" w:lineRule="exact"/>
              <w:jc w:val="center"/>
              <w:rPr>
                <w:rFonts w:ascii="仿宋" w:hAnsi="仿宋" w:eastAsia="仿宋"/>
                <w:color w:val="000000" w:themeColor="text1"/>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7" w:hRule="atLeast"/>
          <w:jc w:val="center"/>
        </w:trPr>
        <w:tc>
          <w:tcPr>
            <w:tcW w:w="567" w:type="dxa"/>
            <w:vMerge w:val="continue"/>
            <w:textDirection w:val="tbRlV"/>
            <w:vAlign w:val="center"/>
          </w:tcPr>
          <w:p>
            <w:pPr>
              <w:spacing w:line="440" w:lineRule="exact"/>
              <w:jc w:val="center"/>
              <w:rPr>
                <w:rFonts w:ascii="仿宋" w:hAnsi="仿宋" w:eastAsia="仿宋"/>
                <w:color w:val="000000" w:themeColor="text1"/>
                <w:sz w:val="28"/>
                <w:szCs w:val="28"/>
                <w:highlight w:val="none"/>
              </w:rPr>
            </w:pPr>
          </w:p>
        </w:tc>
        <w:tc>
          <w:tcPr>
            <w:tcW w:w="2214" w:type="dxa"/>
            <w:gridSpan w:val="2"/>
            <w:vAlign w:val="center"/>
          </w:tcPr>
          <w:p>
            <w:pPr>
              <w:spacing w:line="440" w:lineRule="exact"/>
              <w:jc w:val="center"/>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注册资本（万元）</w:t>
            </w:r>
          </w:p>
        </w:tc>
        <w:tc>
          <w:tcPr>
            <w:tcW w:w="6477" w:type="dxa"/>
            <w:gridSpan w:val="7"/>
            <w:vAlign w:val="center"/>
          </w:tcPr>
          <w:p>
            <w:pPr>
              <w:spacing w:line="440" w:lineRule="exact"/>
              <w:jc w:val="center"/>
              <w:rPr>
                <w:rFonts w:ascii="仿宋" w:hAnsi="仿宋" w:eastAsia="仿宋"/>
                <w:color w:val="000000" w:themeColor="text1"/>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7" w:hRule="atLeast"/>
          <w:jc w:val="center"/>
        </w:trPr>
        <w:tc>
          <w:tcPr>
            <w:tcW w:w="567" w:type="dxa"/>
            <w:vMerge w:val="continue"/>
            <w:textDirection w:val="tbRlV"/>
            <w:vAlign w:val="center"/>
          </w:tcPr>
          <w:p>
            <w:pPr>
              <w:spacing w:line="440" w:lineRule="exact"/>
              <w:jc w:val="center"/>
              <w:rPr>
                <w:rFonts w:ascii="仿宋" w:hAnsi="仿宋" w:eastAsia="仿宋"/>
                <w:color w:val="000000" w:themeColor="text1"/>
                <w:sz w:val="28"/>
                <w:szCs w:val="28"/>
                <w:highlight w:val="none"/>
              </w:rPr>
            </w:pPr>
          </w:p>
        </w:tc>
        <w:tc>
          <w:tcPr>
            <w:tcW w:w="2214" w:type="dxa"/>
            <w:gridSpan w:val="2"/>
            <w:vAlign w:val="center"/>
          </w:tcPr>
          <w:p>
            <w:pPr>
              <w:spacing w:line="440" w:lineRule="exact"/>
              <w:jc w:val="center"/>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法定代表人</w:t>
            </w:r>
          </w:p>
        </w:tc>
        <w:tc>
          <w:tcPr>
            <w:tcW w:w="1665" w:type="dxa"/>
            <w:gridSpan w:val="2"/>
            <w:vAlign w:val="center"/>
          </w:tcPr>
          <w:p>
            <w:pPr>
              <w:spacing w:line="440" w:lineRule="exact"/>
              <w:jc w:val="center"/>
              <w:rPr>
                <w:rFonts w:ascii="仿宋" w:hAnsi="仿宋" w:eastAsia="仿宋"/>
                <w:color w:val="000000" w:themeColor="text1"/>
                <w:sz w:val="28"/>
                <w:szCs w:val="28"/>
                <w:highlight w:val="none"/>
              </w:rPr>
            </w:pPr>
          </w:p>
        </w:tc>
        <w:tc>
          <w:tcPr>
            <w:tcW w:w="2214" w:type="dxa"/>
            <w:gridSpan w:val="2"/>
            <w:vAlign w:val="center"/>
          </w:tcPr>
          <w:p>
            <w:pPr>
              <w:spacing w:line="440" w:lineRule="exact"/>
              <w:jc w:val="center"/>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单位类型</w:t>
            </w:r>
          </w:p>
        </w:tc>
        <w:tc>
          <w:tcPr>
            <w:tcW w:w="2598" w:type="dxa"/>
            <w:gridSpan w:val="3"/>
            <w:vAlign w:val="center"/>
          </w:tcPr>
          <w:p>
            <w:pPr>
              <w:spacing w:line="440" w:lineRule="exact"/>
              <w:jc w:val="center"/>
              <w:rPr>
                <w:rFonts w:ascii="仿宋" w:hAnsi="仿宋" w:eastAsia="仿宋"/>
                <w:color w:val="000000" w:themeColor="text1"/>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7" w:hRule="atLeast"/>
          <w:jc w:val="center"/>
        </w:trPr>
        <w:tc>
          <w:tcPr>
            <w:tcW w:w="567" w:type="dxa"/>
            <w:vMerge w:val="continue"/>
            <w:textDirection w:val="tbRlV"/>
            <w:vAlign w:val="center"/>
          </w:tcPr>
          <w:p>
            <w:pPr>
              <w:spacing w:line="440" w:lineRule="exact"/>
              <w:jc w:val="center"/>
              <w:rPr>
                <w:rFonts w:ascii="仿宋" w:hAnsi="仿宋" w:eastAsia="仿宋"/>
                <w:color w:val="000000" w:themeColor="text1"/>
                <w:sz w:val="28"/>
                <w:szCs w:val="28"/>
                <w:highlight w:val="none"/>
              </w:rPr>
            </w:pPr>
          </w:p>
        </w:tc>
        <w:tc>
          <w:tcPr>
            <w:tcW w:w="2214" w:type="dxa"/>
            <w:gridSpan w:val="2"/>
            <w:vAlign w:val="center"/>
          </w:tcPr>
          <w:p>
            <w:pPr>
              <w:spacing w:line="440" w:lineRule="exact"/>
              <w:jc w:val="center"/>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成立时间</w:t>
            </w:r>
          </w:p>
        </w:tc>
        <w:tc>
          <w:tcPr>
            <w:tcW w:w="1665" w:type="dxa"/>
            <w:gridSpan w:val="2"/>
            <w:vAlign w:val="center"/>
          </w:tcPr>
          <w:p>
            <w:pPr>
              <w:spacing w:line="440" w:lineRule="exact"/>
              <w:jc w:val="center"/>
              <w:rPr>
                <w:rFonts w:ascii="仿宋" w:hAnsi="仿宋" w:eastAsia="仿宋"/>
                <w:color w:val="000000" w:themeColor="text1"/>
                <w:sz w:val="28"/>
                <w:szCs w:val="28"/>
                <w:highlight w:val="none"/>
              </w:rPr>
            </w:pPr>
          </w:p>
        </w:tc>
        <w:tc>
          <w:tcPr>
            <w:tcW w:w="2214" w:type="dxa"/>
            <w:gridSpan w:val="2"/>
            <w:vAlign w:val="center"/>
          </w:tcPr>
          <w:p>
            <w:pPr>
              <w:spacing w:line="440" w:lineRule="exact"/>
              <w:jc w:val="center"/>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营业期限</w:t>
            </w:r>
          </w:p>
        </w:tc>
        <w:tc>
          <w:tcPr>
            <w:tcW w:w="2598" w:type="dxa"/>
            <w:gridSpan w:val="3"/>
            <w:vAlign w:val="center"/>
          </w:tcPr>
          <w:p>
            <w:pPr>
              <w:spacing w:line="440" w:lineRule="exact"/>
              <w:jc w:val="center"/>
              <w:rPr>
                <w:rFonts w:ascii="仿宋" w:hAnsi="仿宋" w:eastAsia="仿宋"/>
                <w:color w:val="000000" w:themeColor="text1"/>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7" w:hRule="atLeast"/>
          <w:jc w:val="center"/>
        </w:trPr>
        <w:tc>
          <w:tcPr>
            <w:tcW w:w="567" w:type="dxa"/>
            <w:vMerge w:val="continue"/>
            <w:textDirection w:val="tbRlV"/>
            <w:vAlign w:val="center"/>
          </w:tcPr>
          <w:p>
            <w:pPr>
              <w:spacing w:line="440" w:lineRule="exact"/>
              <w:jc w:val="center"/>
              <w:rPr>
                <w:rFonts w:ascii="仿宋" w:hAnsi="仿宋" w:eastAsia="仿宋"/>
                <w:color w:val="000000" w:themeColor="text1"/>
                <w:sz w:val="28"/>
                <w:szCs w:val="28"/>
                <w:highlight w:val="none"/>
              </w:rPr>
            </w:pPr>
          </w:p>
        </w:tc>
        <w:tc>
          <w:tcPr>
            <w:tcW w:w="2214" w:type="dxa"/>
            <w:gridSpan w:val="2"/>
            <w:vAlign w:val="center"/>
          </w:tcPr>
          <w:p>
            <w:pPr>
              <w:spacing w:line="440" w:lineRule="exact"/>
              <w:jc w:val="center"/>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经营范围</w:t>
            </w:r>
          </w:p>
        </w:tc>
        <w:tc>
          <w:tcPr>
            <w:tcW w:w="6477" w:type="dxa"/>
            <w:gridSpan w:val="7"/>
            <w:vAlign w:val="center"/>
          </w:tcPr>
          <w:p>
            <w:pPr>
              <w:spacing w:line="440" w:lineRule="exact"/>
              <w:jc w:val="center"/>
              <w:rPr>
                <w:rFonts w:ascii="仿宋" w:hAnsi="仿宋" w:eastAsia="仿宋"/>
                <w:color w:val="000000" w:themeColor="text1"/>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7" w:hRule="atLeast"/>
          <w:jc w:val="center"/>
        </w:trPr>
        <w:tc>
          <w:tcPr>
            <w:tcW w:w="9258" w:type="dxa"/>
            <w:gridSpan w:val="10"/>
            <w:vAlign w:val="center"/>
          </w:tcPr>
          <w:p>
            <w:pPr>
              <w:spacing w:line="440" w:lineRule="exact"/>
              <w:jc w:val="center"/>
              <w:rPr>
                <w:rFonts w:ascii="仿宋" w:hAnsi="仿宋" w:eastAsia="仿宋"/>
                <w:color w:val="000000" w:themeColor="text1"/>
                <w:sz w:val="28"/>
                <w:szCs w:val="28"/>
                <w:highlight w:val="none"/>
              </w:rPr>
            </w:pPr>
            <w:r>
              <w:rPr>
                <w:rFonts w:hint="eastAsia" w:ascii="仿宋" w:hAnsi="仿宋" w:eastAsia="仿宋"/>
                <w:color w:val="000000" w:themeColor="text1"/>
                <w:sz w:val="28"/>
                <w:szCs w:val="28"/>
                <w:highlight w:val="none"/>
              </w:rPr>
              <w:t>投标人情况简介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90" w:hRule="atLeast"/>
          <w:jc w:val="center"/>
        </w:trPr>
        <w:tc>
          <w:tcPr>
            <w:tcW w:w="9258" w:type="dxa"/>
            <w:gridSpan w:val="10"/>
          </w:tcPr>
          <w:p>
            <w:pPr>
              <w:spacing w:line="440" w:lineRule="exact"/>
              <w:rPr>
                <w:rFonts w:ascii="仿宋" w:hAnsi="仿宋" w:eastAsia="仿宋"/>
                <w:color w:val="000000" w:themeColor="text1"/>
                <w:sz w:val="28"/>
                <w:szCs w:val="28"/>
                <w:highlight w:val="none"/>
              </w:rPr>
            </w:pPr>
          </w:p>
        </w:tc>
      </w:tr>
    </w:tbl>
    <w:p>
      <w:pPr>
        <w:jc w:val="center"/>
        <w:rPr>
          <w:rFonts w:ascii="仿宋" w:hAnsi="仿宋" w:eastAsia="仿宋"/>
          <w:b/>
          <w:color w:val="000000" w:themeColor="text1"/>
          <w:sz w:val="44"/>
          <w:szCs w:val="44"/>
          <w:highlight w:val="none"/>
        </w:rPr>
      </w:pPr>
    </w:p>
    <w:p>
      <w:pPr>
        <w:wordWrap w:val="0"/>
        <w:spacing w:line="560" w:lineRule="exact"/>
        <w:ind w:right="640" w:firstLine="4160" w:firstLineChars="1300"/>
        <w:rPr>
          <w:rFonts w:ascii="仿宋" w:hAnsi="仿宋" w:eastAsia="仿宋"/>
          <w:color w:val="000000" w:themeColor="text1"/>
          <w:sz w:val="32"/>
          <w:szCs w:val="32"/>
          <w:highlight w:val="none"/>
        </w:rPr>
      </w:pPr>
      <w:r>
        <w:rPr>
          <w:rFonts w:hint="eastAsia" w:ascii="仿宋" w:hAnsi="仿宋" w:eastAsia="仿宋"/>
          <w:color w:val="000000" w:themeColor="text1"/>
          <w:sz w:val="32"/>
          <w:szCs w:val="32"/>
          <w:highlight w:val="none"/>
        </w:rPr>
        <w:t xml:space="preserve">投标人单位（盖章）： </w:t>
      </w:r>
    </w:p>
    <w:p>
      <w:pPr>
        <w:wordWrap w:val="0"/>
        <w:spacing w:line="560" w:lineRule="exact"/>
        <w:jc w:val="right"/>
        <w:rPr>
          <w:rFonts w:ascii="仿宋" w:hAnsi="仿宋" w:eastAsia="仿宋"/>
          <w:color w:val="000000" w:themeColor="text1"/>
          <w:sz w:val="32"/>
          <w:szCs w:val="32"/>
          <w:highlight w:val="none"/>
        </w:rPr>
      </w:pPr>
      <w:r>
        <w:rPr>
          <w:rFonts w:hint="eastAsia" w:ascii="仿宋" w:hAnsi="仿宋" w:eastAsia="仿宋"/>
          <w:color w:val="000000" w:themeColor="text1"/>
          <w:sz w:val="32"/>
          <w:szCs w:val="32"/>
          <w:highlight w:val="none"/>
        </w:rPr>
        <w:t xml:space="preserve">法定代表人或被授权人（签字或盖章） </w:t>
      </w:r>
    </w:p>
    <w:p>
      <w:pPr>
        <w:wordWrap w:val="0"/>
        <w:spacing w:line="560" w:lineRule="exact"/>
        <w:ind w:right="1280"/>
        <w:rPr>
          <w:rFonts w:ascii="仿宋_GB2312" w:hAnsi="仿宋" w:eastAsia="仿宋_GB2312"/>
          <w:color w:val="000000" w:themeColor="text1"/>
          <w:sz w:val="32"/>
          <w:szCs w:val="32"/>
          <w:highlight w:val="none"/>
        </w:rPr>
        <w:sectPr>
          <w:pgSz w:w="11906" w:h="16838"/>
          <w:pgMar w:top="1440" w:right="1080" w:bottom="1440" w:left="1080" w:header="851" w:footer="992" w:gutter="0"/>
          <w:cols w:space="720" w:num="1"/>
          <w:docGrid w:type="lines" w:linePitch="312" w:charSpace="0"/>
        </w:sectPr>
      </w:pPr>
    </w:p>
    <w:p>
      <w:pPr>
        <w:pStyle w:val="404"/>
        <w:snapToGrid w:val="0"/>
        <w:jc w:val="center"/>
        <w:rPr>
          <w:rFonts w:hAnsi="宋体"/>
          <w:b/>
          <w:bCs/>
          <w:color w:val="000000" w:themeColor="text1"/>
          <w:kern w:val="2"/>
          <w:sz w:val="44"/>
          <w:szCs w:val="44"/>
          <w:highlight w:val="none"/>
        </w:rPr>
      </w:pPr>
      <w:r>
        <w:rPr>
          <w:rFonts w:hint="eastAsia" w:hAnsi="宋体"/>
          <w:b/>
          <w:bCs/>
          <w:color w:val="000000" w:themeColor="text1"/>
          <w:kern w:val="2"/>
          <w:sz w:val="44"/>
          <w:szCs w:val="44"/>
          <w:highlight w:val="none"/>
        </w:rPr>
        <w:t>2023年至类似项目业绩表</w:t>
      </w:r>
    </w:p>
    <w:tbl>
      <w:tblPr>
        <w:tblStyle w:val="47"/>
        <w:tblW w:w="954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4"/>
        <w:gridCol w:w="1800"/>
        <w:gridCol w:w="2047"/>
        <w:gridCol w:w="1260"/>
        <w:gridCol w:w="1440"/>
        <w:gridCol w:w="19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1034" w:type="dxa"/>
            <w:noWrap/>
            <w:vAlign w:val="center"/>
          </w:tcPr>
          <w:p>
            <w:pPr>
              <w:jc w:val="center"/>
              <w:rPr>
                <w:rFonts w:ascii="仿宋" w:hAnsi="仿宋" w:eastAsia="仿宋"/>
                <w:color w:val="000000" w:themeColor="text1"/>
                <w:sz w:val="30"/>
                <w:szCs w:val="30"/>
                <w:highlight w:val="none"/>
              </w:rPr>
            </w:pPr>
            <w:r>
              <w:rPr>
                <w:rFonts w:hint="eastAsia" w:ascii="仿宋" w:hAnsi="仿宋" w:eastAsia="仿宋"/>
                <w:color w:val="000000" w:themeColor="text1"/>
                <w:sz w:val="30"/>
                <w:szCs w:val="30"/>
                <w:highlight w:val="none"/>
              </w:rPr>
              <w:t>序号</w:t>
            </w:r>
          </w:p>
        </w:tc>
        <w:tc>
          <w:tcPr>
            <w:tcW w:w="1800" w:type="dxa"/>
            <w:noWrap/>
            <w:vAlign w:val="center"/>
          </w:tcPr>
          <w:p>
            <w:pPr>
              <w:jc w:val="center"/>
              <w:rPr>
                <w:rFonts w:ascii="仿宋" w:hAnsi="仿宋" w:eastAsia="仿宋"/>
                <w:color w:val="000000" w:themeColor="text1"/>
                <w:sz w:val="30"/>
                <w:szCs w:val="30"/>
                <w:highlight w:val="none"/>
              </w:rPr>
            </w:pPr>
            <w:r>
              <w:rPr>
                <w:rFonts w:hint="eastAsia" w:ascii="仿宋" w:hAnsi="仿宋" w:eastAsia="仿宋"/>
                <w:color w:val="000000" w:themeColor="text1"/>
                <w:sz w:val="30"/>
                <w:szCs w:val="30"/>
                <w:highlight w:val="none"/>
              </w:rPr>
              <w:t>用户名称</w:t>
            </w:r>
          </w:p>
        </w:tc>
        <w:tc>
          <w:tcPr>
            <w:tcW w:w="2047" w:type="dxa"/>
            <w:noWrap/>
            <w:vAlign w:val="center"/>
          </w:tcPr>
          <w:p>
            <w:pPr>
              <w:jc w:val="center"/>
              <w:rPr>
                <w:rFonts w:ascii="仿宋" w:hAnsi="仿宋" w:eastAsia="仿宋"/>
                <w:color w:val="000000" w:themeColor="text1"/>
                <w:sz w:val="30"/>
                <w:szCs w:val="30"/>
                <w:highlight w:val="none"/>
              </w:rPr>
            </w:pPr>
            <w:r>
              <w:rPr>
                <w:rFonts w:hint="eastAsia" w:ascii="仿宋" w:hAnsi="仿宋" w:eastAsia="仿宋"/>
                <w:color w:val="000000" w:themeColor="text1"/>
                <w:sz w:val="30"/>
                <w:szCs w:val="30"/>
                <w:highlight w:val="none"/>
              </w:rPr>
              <w:t>项目名称</w:t>
            </w:r>
          </w:p>
        </w:tc>
        <w:tc>
          <w:tcPr>
            <w:tcW w:w="1260" w:type="dxa"/>
            <w:noWrap/>
            <w:vAlign w:val="center"/>
          </w:tcPr>
          <w:p>
            <w:pPr>
              <w:jc w:val="center"/>
              <w:rPr>
                <w:rFonts w:ascii="仿宋" w:hAnsi="仿宋" w:eastAsia="仿宋"/>
                <w:color w:val="000000" w:themeColor="text1"/>
                <w:sz w:val="30"/>
                <w:szCs w:val="30"/>
                <w:highlight w:val="none"/>
              </w:rPr>
            </w:pPr>
            <w:r>
              <w:rPr>
                <w:rFonts w:hint="eastAsia" w:ascii="仿宋" w:hAnsi="仿宋" w:eastAsia="仿宋"/>
                <w:color w:val="000000" w:themeColor="text1"/>
                <w:sz w:val="30"/>
                <w:szCs w:val="30"/>
                <w:highlight w:val="none"/>
              </w:rPr>
              <w:t>合同额</w:t>
            </w:r>
          </w:p>
        </w:tc>
        <w:tc>
          <w:tcPr>
            <w:tcW w:w="1440" w:type="dxa"/>
            <w:noWrap/>
            <w:vAlign w:val="center"/>
          </w:tcPr>
          <w:p>
            <w:pPr>
              <w:jc w:val="center"/>
              <w:rPr>
                <w:rFonts w:ascii="仿宋" w:hAnsi="仿宋" w:eastAsia="仿宋"/>
                <w:color w:val="000000" w:themeColor="text1"/>
                <w:sz w:val="30"/>
                <w:szCs w:val="30"/>
                <w:highlight w:val="none"/>
              </w:rPr>
            </w:pPr>
            <w:r>
              <w:rPr>
                <w:rFonts w:hint="eastAsia" w:ascii="仿宋" w:hAnsi="仿宋" w:eastAsia="仿宋"/>
                <w:color w:val="000000" w:themeColor="text1"/>
                <w:sz w:val="30"/>
                <w:szCs w:val="30"/>
                <w:highlight w:val="none"/>
              </w:rPr>
              <w:t>服务时间</w:t>
            </w:r>
          </w:p>
        </w:tc>
        <w:tc>
          <w:tcPr>
            <w:tcW w:w="1959" w:type="dxa"/>
            <w:noWrap/>
            <w:vAlign w:val="center"/>
          </w:tcPr>
          <w:p>
            <w:pPr>
              <w:jc w:val="center"/>
              <w:rPr>
                <w:rFonts w:ascii="仿宋" w:hAnsi="仿宋" w:eastAsia="仿宋"/>
                <w:color w:val="000000" w:themeColor="text1"/>
                <w:sz w:val="30"/>
                <w:szCs w:val="30"/>
                <w:highlight w:val="none"/>
              </w:rPr>
            </w:pPr>
            <w:r>
              <w:rPr>
                <w:rFonts w:hint="eastAsia" w:ascii="仿宋" w:hAnsi="仿宋" w:eastAsia="仿宋"/>
                <w:color w:val="000000" w:themeColor="text1"/>
                <w:sz w:val="30"/>
                <w:szCs w:val="30"/>
                <w:highlight w:val="none"/>
              </w:rPr>
              <w:t>电话/联系人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034" w:type="dxa"/>
            <w:noWrap/>
            <w:vAlign w:val="center"/>
          </w:tcPr>
          <w:p>
            <w:pPr>
              <w:jc w:val="center"/>
              <w:rPr>
                <w:rFonts w:ascii="仿宋" w:hAnsi="仿宋" w:eastAsia="仿宋"/>
                <w:color w:val="000000" w:themeColor="text1"/>
                <w:sz w:val="30"/>
                <w:szCs w:val="30"/>
                <w:highlight w:val="none"/>
              </w:rPr>
            </w:pPr>
          </w:p>
        </w:tc>
        <w:tc>
          <w:tcPr>
            <w:tcW w:w="1800" w:type="dxa"/>
            <w:noWrap/>
            <w:vAlign w:val="center"/>
          </w:tcPr>
          <w:p>
            <w:pPr>
              <w:jc w:val="center"/>
              <w:rPr>
                <w:rFonts w:ascii="仿宋" w:hAnsi="仿宋" w:eastAsia="仿宋"/>
                <w:color w:val="000000" w:themeColor="text1"/>
                <w:sz w:val="30"/>
                <w:szCs w:val="30"/>
                <w:highlight w:val="none"/>
              </w:rPr>
            </w:pPr>
          </w:p>
        </w:tc>
        <w:tc>
          <w:tcPr>
            <w:tcW w:w="2047" w:type="dxa"/>
            <w:noWrap/>
            <w:vAlign w:val="center"/>
          </w:tcPr>
          <w:p>
            <w:pPr>
              <w:jc w:val="center"/>
              <w:rPr>
                <w:rFonts w:ascii="仿宋" w:hAnsi="仿宋" w:eastAsia="仿宋"/>
                <w:color w:val="000000" w:themeColor="text1"/>
                <w:sz w:val="30"/>
                <w:szCs w:val="30"/>
                <w:highlight w:val="none"/>
              </w:rPr>
            </w:pPr>
          </w:p>
        </w:tc>
        <w:tc>
          <w:tcPr>
            <w:tcW w:w="1260" w:type="dxa"/>
            <w:noWrap/>
            <w:vAlign w:val="center"/>
          </w:tcPr>
          <w:p>
            <w:pPr>
              <w:jc w:val="center"/>
              <w:rPr>
                <w:rFonts w:ascii="仿宋" w:hAnsi="仿宋" w:eastAsia="仿宋"/>
                <w:color w:val="000000" w:themeColor="text1"/>
                <w:sz w:val="30"/>
                <w:szCs w:val="30"/>
                <w:highlight w:val="none"/>
              </w:rPr>
            </w:pPr>
          </w:p>
        </w:tc>
        <w:tc>
          <w:tcPr>
            <w:tcW w:w="1440" w:type="dxa"/>
            <w:noWrap/>
            <w:vAlign w:val="center"/>
          </w:tcPr>
          <w:p>
            <w:pPr>
              <w:jc w:val="center"/>
              <w:rPr>
                <w:rFonts w:ascii="仿宋" w:hAnsi="仿宋" w:eastAsia="仿宋"/>
                <w:color w:val="000000" w:themeColor="text1"/>
                <w:sz w:val="30"/>
                <w:szCs w:val="30"/>
                <w:highlight w:val="none"/>
              </w:rPr>
            </w:pPr>
          </w:p>
        </w:tc>
        <w:tc>
          <w:tcPr>
            <w:tcW w:w="1959" w:type="dxa"/>
            <w:noWrap/>
            <w:vAlign w:val="center"/>
          </w:tcPr>
          <w:p>
            <w:pPr>
              <w:jc w:val="center"/>
              <w:rPr>
                <w:rFonts w:ascii="仿宋" w:hAnsi="仿宋" w:eastAsia="仿宋"/>
                <w:color w:val="000000" w:themeColor="text1"/>
                <w:sz w:val="30"/>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034" w:type="dxa"/>
            <w:noWrap/>
            <w:vAlign w:val="center"/>
          </w:tcPr>
          <w:p>
            <w:pPr>
              <w:rPr>
                <w:rFonts w:ascii="仿宋" w:hAnsi="仿宋" w:eastAsia="仿宋"/>
                <w:color w:val="000000" w:themeColor="text1"/>
                <w:sz w:val="30"/>
                <w:szCs w:val="30"/>
                <w:highlight w:val="none"/>
              </w:rPr>
            </w:pPr>
          </w:p>
        </w:tc>
        <w:tc>
          <w:tcPr>
            <w:tcW w:w="1800" w:type="dxa"/>
            <w:noWrap/>
            <w:vAlign w:val="center"/>
          </w:tcPr>
          <w:p>
            <w:pPr>
              <w:jc w:val="center"/>
              <w:rPr>
                <w:rFonts w:ascii="仿宋" w:hAnsi="仿宋" w:eastAsia="仿宋"/>
                <w:color w:val="000000" w:themeColor="text1"/>
                <w:sz w:val="30"/>
                <w:szCs w:val="30"/>
                <w:highlight w:val="none"/>
              </w:rPr>
            </w:pPr>
          </w:p>
        </w:tc>
        <w:tc>
          <w:tcPr>
            <w:tcW w:w="2047" w:type="dxa"/>
            <w:noWrap/>
            <w:vAlign w:val="center"/>
          </w:tcPr>
          <w:p>
            <w:pPr>
              <w:jc w:val="center"/>
              <w:rPr>
                <w:rFonts w:ascii="仿宋" w:hAnsi="仿宋" w:eastAsia="仿宋"/>
                <w:color w:val="000000" w:themeColor="text1"/>
                <w:sz w:val="30"/>
                <w:szCs w:val="30"/>
                <w:highlight w:val="none"/>
              </w:rPr>
            </w:pPr>
          </w:p>
        </w:tc>
        <w:tc>
          <w:tcPr>
            <w:tcW w:w="1260" w:type="dxa"/>
            <w:noWrap/>
            <w:vAlign w:val="center"/>
          </w:tcPr>
          <w:p>
            <w:pPr>
              <w:jc w:val="center"/>
              <w:rPr>
                <w:rFonts w:ascii="仿宋" w:hAnsi="仿宋" w:eastAsia="仿宋"/>
                <w:color w:val="000000" w:themeColor="text1"/>
                <w:sz w:val="30"/>
                <w:szCs w:val="30"/>
                <w:highlight w:val="none"/>
              </w:rPr>
            </w:pPr>
          </w:p>
        </w:tc>
        <w:tc>
          <w:tcPr>
            <w:tcW w:w="1440" w:type="dxa"/>
            <w:noWrap/>
            <w:vAlign w:val="center"/>
          </w:tcPr>
          <w:p>
            <w:pPr>
              <w:jc w:val="center"/>
              <w:rPr>
                <w:rFonts w:ascii="仿宋" w:hAnsi="仿宋" w:eastAsia="仿宋"/>
                <w:color w:val="000000" w:themeColor="text1"/>
                <w:sz w:val="30"/>
                <w:szCs w:val="30"/>
                <w:highlight w:val="none"/>
              </w:rPr>
            </w:pPr>
          </w:p>
        </w:tc>
        <w:tc>
          <w:tcPr>
            <w:tcW w:w="1959" w:type="dxa"/>
            <w:noWrap/>
            <w:vAlign w:val="center"/>
          </w:tcPr>
          <w:p>
            <w:pPr>
              <w:jc w:val="center"/>
              <w:rPr>
                <w:rFonts w:ascii="仿宋" w:hAnsi="仿宋" w:eastAsia="仿宋"/>
                <w:color w:val="000000" w:themeColor="text1"/>
                <w:sz w:val="30"/>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034" w:type="dxa"/>
            <w:noWrap/>
            <w:vAlign w:val="center"/>
          </w:tcPr>
          <w:p>
            <w:pPr>
              <w:rPr>
                <w:rFonts w:ascii="仿宋" w:hAnsi="仿宋" w:eastAsia="仿宋"/>
                <w:color w:val="000000" w:themeColor="text1"/>
                <w:sz w:val="30"/>
                <w:szCs w:val="30"/>
                <w:highlight w:val="none"/>
              </w:rPr>
            </w:pPr>
          </w:p>
        </w:tc>
        <w:tc>
          <w:tcPr>
            <w:tcW w:w="1800" w:type="dxa"/>
            <w:noWrap/>
            <w:vAlign w:val="center"/>
          </w:tcPr>
          <w:p>
            <w:pPr>
              <w:jc w:val="center"/>
              <w:rPr>
                <w:rFonts w:ascii="仿宋" w:hAnsi="仿宋" w:eastAsia="仿宋"/>
                <w:color w:val="000000" w:themeColor="text1"/>
                <w:sz w:val="30"/>
                <w:szCs w:val="30"/>
                <w:highlight w:val="none"/>
              </w:rPr>
            </w:pPr>
          </w:p>
        </w:tc>
        <w:tc>
          <w:tcPr>
            <w:tcW w:w="2047" w:type="dxa"/>
            <w:noWrap/>
            <w:vAlign w:val="center"/>
          </w:tcPr>
          <w:p>
            <w:pPr>
              <w:jc w:val="center"/>
              <w:rPr>
                <w:rFonts w:ascii="仿宋" w:hAnsi="仿宋" w:eastAsia="仿宋"/>
                <w:color w:val="000000" w:themeColor="text1"/>
                <w:sz w:val="30"/>
                <w:szCs w:val="30"/>
                <w:highlight w:val="none"/>
              </w:rPr>
            </w:pPr>
          </w:p>
        </w:tc>
        <w:tc>
          <w:tcPr>
            <w:tcW w:w="1260" w:type="dxa"/>
            <w:noWrap/>
            <w:vAlign w:val="center"/>
          </w:tcPr>
          <w:p>
            <w:pPr>
              <w:jc w:val="center"/>
              <w:rPr>
                <w:rFonts w:ascii="仿宋" w:hAnsi="仿宋" w:eastAsia="仿宋"/>
                <w:color w:val="000000" w:themeColor="text1"/>
                <w:sz w:val="30"/>
                <w:szCs w:val="30"/>
                <w:highlight w:val="none"/>
              </w:rPr>
            </w:pPr>
          </w:p>
        </w:tc>
        <w:tc>
          <w:tcPr>
            <w:tcW w:w="1440" w:type="dxa"/>
            <w:noWrap/>
            <w:vAlign w:val="center"/>
          </w:tcPr>
          <w:p>
            <w:pPr>
              <w:jc w:val="center"/>
              <w:rPr>
                <w:rFonts w:ascii="仿宋" w:hAnsi="仿宋" w:eastAsia="仿宋"/>
                <w:color w:val="000000" w:themeColor="text1"/>
                <w:sz w:val="30"/>
                <w:szCs w:val="30"/>
                <w:highlight w:val="none"/>
              </w:rPr>
            </w:pPr>
          </w:p>
        </w:tc>
        <w:tc>
          <w:tcPr>
            <w:tcW w:w="1959" w:type="dxa"/>
            <w:noWrap/>
            <w:vAlign w:val="center"/>
          </w:tcPr>
          <w:p>
            <w:pPr>
              <w:jc w:val="center"/>
              <w:rPr>
                <w:rFonts w:ascii="仿宋" w:hAnsi="仿宋" w:eastAsia="仿宋"/>
                <w:color w:val="000000" w:themeColor="text1"/>
                <w:sz w:val="30"/>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034" w:type="dxa"/>
            <w:noWrap/>
            <w:vAlign w:val="center"/>
          </w:tcPr>
          <w:p>
            <w:pPr>
              <w:rPr>
                <w:rFonts w:ascii="仿宋" w:hAnsi="仿宋" w:eastAsia="仿宋"/>
                <w:color w:val="000000" w:themeColor="text1"/>
                <w:sz w:val="30"/>
                <w:szCs w:val="30"/>
                <w:highlight w:val="none"/>
              </w:rPr>
            </w:pPr>
          </w:p>
        </w:tc>
        <w:tc>
          <w:tcPr>
            <w:tcW w:w="1800" w:type="dxa"/>
            <w:noWrap/>
            <w:vAlign w:val="center"/>
          </w:tcPr>
          <w:p>
            <w:pPr>
              <w:jc w:val="center"/>
              <w:rPr>
                <w:rFonts w:ascii="仿宋" w:hAnsi="仿宋" w:eastAsia="仿宋"/>
                <w:color w:val="000000" w:themeColor="text1"/>
                <w:sz w:val="30"/>
                <w:szCs w:val="30"/>
                <w:highlight w:val="none"/>
              </w:rPr>
            </w:pPr>
          </w:p>
        </w:tc>
        <w:tc>
          <w:tcPr>
            <w:tcW w:w="2047" w:type="dxa"/>
            <w:noWrap/>
            <w:vAlign w:val="center"/>
          </w:tcPr>
          <w:p>
            <w:pPr>
              <w:jc w:val="center"/>
              <w:rPr>
                <w:rFonts w:ascii="仿宋" w:hAnsi="仿宋" w:eastAsia="仿宋"/>
                <w:color w:val="000000" w:themeColor="text1"/>
                <w:sz w:val="30"/>
                <w:szCs w:val="30"/>
                <w:highlight w:val="none"/>
              </w:rPr>
            </w:pPr>
          </w:p>
        </w:tc>
        <w:tc>
          <w:tcPr>
            <w:tcW w:w="1260" w:type="dxa"/>
            <w:noWrap/>
            <w:vAlign w:val="center"/>
          </w:tcPr>
          <w:p>
            <w:pPr>
              <w:jc w:val="center"/>
              <w:rPr>
                <w:rFonts w:ascii="仿宋" w:hAnsi="仿宋" w:eastAsia="仿宋"/>
                <w:color w:val="000000" w:themeColor="text1"/>
                <w:sz w:val="30"/>
                <w:szCs w:val="30"/>
                <w:highlight w:val="none"/>
              </w:rPr>
            </w:pPr>
          </w:p>
        </w:tc>
        <w:tc>
          <w:tcPr>
            <w:tcW w:w="1440" w:type="dxa"/>
            <w:noWrap/>
            <w:vAlign w:val="center"/>
          </w:tcPr>
          <w:p>
            <w:pPr>
              <w:jc w:val="center"/>
              <w:rPr>
                <w:rFonts w:ascii="仿宋" w:hAnsi="仿宋" w:eastAsia="仿宋"/>
                <w:color w:val="000000" w:themeColor="text1"/>
                <w:sz w:val="30"/>
                <w:szCs w:val="30"/>
                <w:highlight w:val="none"/>
              </w:rPr>
            </w:pPr>
          </w:p>
        </w:tc>
        <w:tc>
          <w:tcPr>
            <w:tcW w:w="1959" w:type="dxa"/>
            <w:noWrap/>
            <w:vAlign w:val="center"/>
          </w:tcPr>
          <w:p>
            <w:pPr>
              <w:jc w:val="center"/>
              <w:rPr>
                <w:rFonts w:ascii="仿宋" w:hAnsi="仿宋" w:eastAsia="仿宋"/>
                <w:color w:val="000000" w:themeColor="text1"/>
                <w:sz w:val="30"/>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034" w:type="dxa"/>
            <w:noWrap/>
            <w:vAlign w:val="center"/>
          </w:tcPr>
          <w:p>
            <w:pPr>
              <w:rPr>
                <w:rFonts w:ascii="仿宋" w:hAnsi="仿宋" w:eastAsia="仿宋"/>
                <w:color w:val="000000" w:themeColor="text1"/>
                <w:sz w:val="30"/>
                <w:szCs w:val="30"/>
                <w:highlight w:val="none"/>
              </w:rPr>
            </w:pPr>
          </w:p>
        </w:tc>
        <w:tc>
          <w:tcPr>
            <w:tcW w:w="1800" w:type="dxa"/>
            <w:noWrap/>
            <w:vAlign w:val="center"/>
          </w:tcPr>
          <w:p>
            <w:pPr>
              <w:jc w:val="center"/>
              <w:rPr>
                <w:rFonts w:ascii="仿宋" w:hAnsi="仿宋" w:eastAsia="仿宋"/>
                <w:color w:val="000000" w:themeColor="text1"/>
                <w:sz w:val="30"/>
                <w:szCs w:val="30"/>
                <w:highlight w:val="none"/>
              </w:rPr>
            </w:pPr>
          </w:p>
        </w:tc>
        <w:tc>
          <w:tcPr>
            <w:tcW w:w="2047" w:type="dxa"/>
            <w:noWrap/>
            <w:vAlign w:val="center"/>
          </w:tcPr>
          <w:p>
            <w:pPr>
              <w:jc w:val="center"/>
              <w:rPr>
                <w:rFonts w:ascii="仿宋" w:hAnsi="仿宋" w:eastAsia="仿宋"/>
                <w:color w:val="000000" w:themeColor="text1"/>
                <w:sz w:val="30"/>
                <w:szCs w:val="30"/>
                <w:highlight w:val="none"/>
              </w:rPr>
            </w:pPr>
          </w:p>
        </w:tc>
        <w:tc>
          <w:tcPr>
            <w:tcW w:w="1260" w:type="dxa"/>
            <w:noWrap/>
            <w:vAlign w:val="center"/>
          </w:tcPr>
          <w:p>
            <w:pPr>
              <w:jc w:val="center"/>
              <w:rPr>
                <w:rFonts w:ascii="仿宋" w:hAnsi="仿宋" w:eastAsia="仿宋"/>
                <w:color w:val="000000" w:themeColor="text1"/>
                <w:sz w:val="30"/>
                <w:szCs w:val="30"/>
                <w:highlight w:val="none"/>
              </w:rPr>
            </w:pPr>
          </w:p>
        </w:tc>
        <w:tc>
          <w:tcPr>
            <w:tcW w:w="1440" w:type="dxa"/>
            <w:noWrap/>
            <w:vAlign w:val="center"/>
          </w:tcPr>
          <w:p>
            <w:pPr>
              <w:jc w:val="center"/>
              <w:rPr>
                <w:rFonts w:ascii="仿宋" w:hAnsi="仿宋" w:eastAsia="仿宋"/>
                <w:color w:val="000000" w:themeColor="text1"/>
                <w:sz w:val="30"/>
                <w:szCs w:val="30"/>
                <w:highlight w:val="none"/>
              </w:rPr>
            </w:pPr>
          </w:p>
        </w:tc>
        <w:tc>
          <w:tcPr>
            <w:tcW w:w="1959" w:type="dxa"/>
            <w:noWrap/>
            <w:vAlign w:val="center"/>
          </w:tcPr>
          <w:p>
            <w:pPr>
              <w:jc w:val="center"/>
              <w:rPr>
                <w:rFonts w:ascii="仿宋" w:hAnsi="仿宋" w:eastAsia="仿宋"/>
                <w:color w:val="000000" w:themeColor="text1"/>
                <w:sz w:val="30"/>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034" w:type="dxa"/>
            <w:noWrap/>
            <w:vAlign w:val="center"/>
          </w:tcPr>
          <w:p>
            <w:pPr>
              <w:rPr>
                <w:rFonts w:ascii="仿宋" w:hAnsi="仿宋" w:eastAsia="仿宋"/>
                <w:color w:val="000000" w:themeColor="text1"/>
                <w:sz w:val="30"/>
                <w:szCs w:val="30"/>
                <w:highlight w:val="none"/>
              </w:rPr>
            </w:pPr>
          </w:p>
        </w:tc>
        <w:tc>
          <w:tcPr>
            <w:tcW w:w="1800" w:type="dxa"/>
            <w:noWrap/>
            <w:vAlign w:val="center"/>
          </w:tcPr>
          <w:p>
            <w:pPr>
              <w:jc w:val="center"/>
              <w:rPr>
                <w:rFonts w:ascii="仿宋" w:hAnsi="仿宋" w:eastAsia="仿宋"/>
                <w:color w:val="000000" w:themeColor="text1"/>
                <w:sz w:val="30"/>
                <w:szCs w:val="30"/>
                <w:highlight w:val="none"/>
              </w:rPr>
            </w:pPr>
          </w:p>
        </w:tc>
        <w:tc>
          <w:tcPr>
            <w:tcW w:w="2047" w:type="dxa"/>
            <w:noWrap/>
            <w:vAlign w:val="center"/>
          </w:tcPr>
          <w:p>
            <w:pPr>
              <w:jc w:val="center"/>
              <w:rPr>
                <w:rFonts w:ascii="仿宋" w:hAnsi="仿宋" w:eastAsia="仿宋"/>
                <w:color w:val="000000" w:themeColor="text1"/>
                <w:sz w:val="30"/>
                <w:szCs w:val="30"/>
                <w:highlight w:val="none"/>
              </w:rPr>
            </w:pPr>
          </w:p>
        </w:tc>
        <w:tc>
          <w:tcPr>
            <w:tcW w:w="1260" w:type="dxa"/>
            <w:noWrap/>
            <w:vAlign w:val="center"/>
          </w:tcPr>
          <w:p>
            <w:pPr>
              <w:jc w:val="center"/>
              <w:rPr>
                <w:rFonts w:ascii="仿宋" w:hAnsi="仿宋" w:eastAsia="仿宋"/>
                <w:color w:val="000000" w:themeColor="text1"/>
                <w:sz w:val="30"/>
                <w:szCs w:val="30"/>
                <w:highlight w:val="none"/>
              </w:rPr>
            </w:pPr>
          </w:p>
        </w:tc>
        <w:tc>
          <w:tcPr>
            <w:tcW w:w="1440" w:type="dxa"/>
            <w:noWrap/>
            <w:vAlign w:val="center"/>
          </w:tcPr>
          <w:p>
            <w:pPr>
              <w:jc w:val="center"/>
              <w:rPr>
                <w:rFonts w:ascii="仿宋" w:hAnsi="仿宋" w:eastAsia="仿宋"/>
                <w:color w:val="000000" w:themeColor="text1"/>
                <w:sz w:val="30"/>
                <w:szCs w:val="30"/>
                <w:highlight w:val="none"/>
              </w:rPr>
            </w:pPr>
          </w:p>
        </w:tc>
        <w:tc>
          <w:tcPr>
            <w:tcW w:w="1959" w:type="dxa"/>
            <w:noWrap/>
            <w:vAlign w:val="center"/>
          </w:tcPr>
          <w:p>
            <w:pPr>
              <w:jc w:val="center"/>
              <w:rPr>
                <w:rFonts w:ascii="仿宋" w:hAnsi="仿宋" w:eastAsia="仿宋"/>
                <w:color w:val="000000" w:themeColor="text1"/>
                <w:sz w:val="30"/>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034" w:type="dxa"/>
            <w:noWrap/>
            <w:vAlign w:val="center"/>
          </w:tcPr>
          <w:p>
            <w:pPr>
              <w:rPr>
                <w:rFonts w:ascii="仿宋" w:hAnsi="仿宋" w:eastAsia="仿宋"/>
                <w:color w:val="000000" w:themeColor="text1"/>
                <w:sz w:val="30"/>
                <w:szCs w:val="30"/>
                <w:highlight w:val="none"/>
              </w:rPr>
            </w:pPr>
          </w:p>
        </w:tc>
        <w:tc>
          <w:tcPr>
            <w:tcW w:w="1800" w:type="dxa"/>
            <w:noWrap/>
            <w:vAlign w:val="center"/>
          </w:tcPr>
          <w:p>
            <w:pPr>
              <w:jc w:val="center"/>
              <w:rPr>
                <w:rFonts w:ascii="仿宋" w:hAnsi="仿宋" w:eastAsia="仿宋"/>
                <w:color w:val="000000" w:themeColor="text1"/>
                <w:sz w:val="30"/>
                <w:szCs w:val="30"/>
                <w:highlight w:val="none"/>
              </w:rPr>
            </w:pPr>
          </w:p>
        </w:tc>
        <w:tc>
          <w:tcPr>
            <w:tcW w:w="2047" w:type="dxa"/>
            <w:noWrap/>
            <w:vAlign w:val="center"/>
          </w:tcPr>
          <w:p>
            <w:pPr>
              <w:jc w:val="center"/>
              <w:rPr>
                <w:rFonts w:ascii="仿宋" w:hAnsi="仿宋" w:eastAsia="仿宋"/>
                <w:color w:val="000000" w:themeColor="text1"/>
                <w:sz w:val="30"/>
                <w:szCs w:val="30"/>
                <w:highlight w:val="none"/>
              </w:rPr>
            </w:pPr>
          </w:p>
        </w:tc>
        <w:tc>
          <w:tcPr>
            <w:tcW w:w="1260" w:type="dxa"/>
            <w:noWrap/>
            <w:vAlign w:val="center"/>
          </w:tcPr>
          <w:p>
            <w:pPr>
              <w:jc w:val="center"/>
              <w:rPr>
                <w:rFonts w:ascii="仿宋" w:hAnsi="仿宋" w:eastAsia="仿宋"/>
                <w:color w:val="000000" w:themeColor="text1"/>
                <w:sz w:val="30"/>
                <w:szCs w:val="30"/>
                <w:highlight w:val="none"/>
              </w:rPr>
            </w:pPr>
          </w:p>
        </w:tc>
        <w:tc>
          <w:tcPr>
            <w:tcW w:w="1440" w:type="dxa"/>
            <w:noWrap/>
            <w:vAlign w:val="center"/>
          </w:tcPr>
          <w:p>
            <w:pPr>
              <w:jc w:val="center"/>
              <w:rPr>
                <w:rFonts w:ascii="仿宋" w:hAnsi="仿宋" w:eastAsia="仿宋"/>
                <w:color w:val="000000" w:themeColor="text1"/>
                <w:sz w:val="30"/>
                <w:szCs w:val="30"/>
                <w:highlight w:val="none"/>
              </w:rPr>
            </w:pPr>
          </w:p>
        </w:tc>
        <w:tc>
          <w:tcPr>
            <w:tcW w:w="1959" w:type="dxa"/>
            <w:noWrap/>
            <w:vAlign w:val="center"/>
          </w:tcPr>
          <w:p>
            <w:pPr>
              <w:jc w:val="center"/>
              <w:rPr>
                <w:rFonts w:ascii="仿宋" w:hAnsi="仿宋" w:eastAsia="仿宋"/>
                <w:color w:val="000000" w:themeColor="text1"/>
                <w:sz w:val="30"/>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034" w:type="dxa"/>
            <w:noWrap/>
            <w:vAlign w:val="center"/>
          </w:tcPr>
          <w:p>
            <w:pPr>
              <w:rPr>
                <w:rFonts w:ascii="仿宋" w:hAnsi="仿宋" w:eastAsia="仿宋"/>
                <w:color w:val="000000" w:themeColor="text1"/>
                <w:sz w:val="30"/>
                <w:szCs w:val="30"/>
                <w:highlight w:val="none"/>
              </w:rPr>
            </w:pPr>
          </w:p>
        </w:tc>
        <w:tc>
          <w:tcPr>
            <w:tcW w:w="1800" w:type="dxa"/>
            <w:noWrap/>
            <w:vAlign w:val="center"/>
          </w:tcPr>
          <w:p>
            <w:pPr>
              <w:jc w:val="center"/>
              <w:rPr>
                <w:rFonts w:ascii="仿宋" w:hAnsi="仿宋" w:eastAsia="仿宋"/>
                <w:color w:val="000000" w:themeColor="text1"/>
                <w:sz w:val="30"/>
                <w:szCs w:val="30"/>
                <w:highlight w:val="none"/>
              </w:rPr>
            </w:pPr>
          </w:p>
        </w:tc>
        <w:tc>
          <w:tcPr>
            <w:tcW w:w="2047" w:type="dxa"/>
            <w:noWrap/>
            <w:vAlign w:val="center"/>
          </w:tcPr>
          <w:p>
            <w:pPr>
              <w:jc w:val="center"/>
              <w:rPr>
                <w:rFonts w:ascii="仿宋" w:hAnsi="仿宋" w:eastAsia="仿宋"/>
                <w:color w:val="000000" w:themeColor="text1"/>
                <w:sz w:val="30"/>
                <w:szCs w:val="30"/>
                <w:highlight w:val="none"/>
              </w:rPr>
            </w:pPr>
          </w:p>
        </w:tc>
        <w:tc>
          <w:tcPr>
            <w:tcW w:w="1260" w:type="dxa"/>
            <w:noWrap/>
            <w:vAlign w:val="center"/>
          </w:tcPr>
          <w:p>
            <w:pPr>
              <w:jc w:val="center"/>
              <w:rPr>
                <w:rFonts w:ascii="仿宋" w:hAnsi="仿宋" w:eastAsia="仿宋"/>
                <w:color w:val="000000" w:themeColor="text1"/>
                <w:sz w:val="30"/>
                <w:szCs w:val="30"/>
                <w:highlight w:val="none"/>
              </w:rPr>
            </w:pPr>
          </w:p>
        </w:tc>
        <w:tc>
          <w:tcPr>
            <w:tcW w:w="1440" w:type="dxa"/>
            <w:noWrap/>
            <w:vAlign w:val="center"/>
          </w:tcPr>
          <w:p>
            <w:pPr>
              <w:jc w:val="center"/>
              <w:rPr>
                <w:rFonts w:ascii="仿宋" w:hAnsi="仿宋" w:eastAsia="仿宋"/>
                <w:color w:val="000000" w:themeColor="text1"/>
                <w:sz w:val="30"/>
                <w:szCs w:val="30"/>
                <w:highlight w:val="none"/>
              </w:rPr>
            </w:pPr>
          </w:p>
        </w:tc>
        <w:tc>
          <w:tcPr>
            <w:tcW w:w="1959" w:type="dxa"/>
            <w:noWrap/>
            <w:vAlign w:val="center"/>
          </w:tcPr>
          <w:p>
            <w:pPr>
              <w:jc w:val="center"/>
              <w:rPr>
                <w:rFonts w:ascii="仿宋" w:hAnsi="仿宋" w:eastAsia="仿宋"/>
                <w:color w:val="000000" w:themeColor="text1"/>
                <w:sz w:val="30"/>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034" w:type="dxa"/>
            <w:noWrap/>
            <w:vAlign w:val="center"/>
          </w:tcPr>
          <w:p>
            <w:pPr>
              <w:rPr>
                <w:rFonts w:ascii="仿宋" w:hAnsi="仿宋" w:eastAsia="仿宋"/>
                <w:color w:val="000000" w:themeColor="text1"/>
                <w:sz w:val="30"/>
                <w:szCs w:val="30"/>
                <w:highlight w:val="none"/>
              </w:rPr>
            </w:pPr>
          </w:p>
        </w:tc>
        <w:tc>
          <w:tcPr>
            <w:tcW w:w="1800" w:type="dxa"/>
            <w:noWrap/>
            <w:vAlign w:val="center"/>
          </w:tcPr>
          <w:p>
            <w:pPr>
              <w:jc w:val="center"/>
              <w:rPr>
                <w:rFonts w:ascii="仿宋" w:hAnsi="仿宋" w:eastAsia="仿宋"/>
                <w:color w:val="000000" w:themeColor="text1"/>
                <w:sz w:val="30"/>
                <w:szCs w:val="30"/>
                <w:highlight w:val="none"/>
              </w:rPr>
            </w:pPr>
          </w:p>
        </w:tc>
        <w:tc>
          <w:tcPr>
            <w:tcW w:w="2047" w:type="dxa"/>
            <w:noWrap/>
            <w:vAlign w:val="center"/>
          </w:tcPr>
          <w:p>
            <w:pPr>
              <w:jc w:val="center"/>
              <w:rPr>
                <w:rFonts w:ascii="仿宋" w:hAnsi="仿宋" w:eastAsia="仿宋"/>
                <w:color w:val="000000" w:themeColor="text1"/>
                <w:sz w:val="30"/>
                <w:szCs w:val="30"/>
                <w:highlight w:val="none"/>
              </w:rPr>
            </w:pPr>
          </w:p>
        </w:tc>
        <w:tc>
          <w:tcPr>
            <w:tcW w:w="1260" w:type="dxa"/>
            <w:noWrap/>
            <w:vAlign w:val="center"/>
          </w:tcPr>
          <w:p>
            <w:pPr>
              <w:jc w:val="center"/>
              <w:rPr>
                <w:rFonts w:ascii="仿宋" w:hAnsi="仿宋" w:eastAsia="仿宋"/>
                <w:color w:val="000000" w:themeColor="text1"/>
                <w:sz w:val="30"/>
                <w:szCs w:val="30"/>
                <w:highlight w:val="none"/>
              </w:rPr>
            </w:pPr>
          </w:p>
        </w:tc>
        <w:tc>
          <w:tcPr>
            <w:tcW w:w="1440" w:type="dxa"/>
            <w:noWrap/>
            <w:vAlign w:val="center"/>
          </w:tcPr>
          <w:p>
            <w:pPr>
              <w:jc w:val="center"/>
              <w:rPr>
                <w:rFonts w:ascii="仿宋" w:hAnsi="仿宋" w:eastAsia="仿宋"/>
                <w:color w:val="000000" w:themeColor="text1"/>
                <w:sz w:val="30"/>
                <w:szCs w:val="30"/>
                <w:highlight w:val="none"/>
              </w:rPr>
            </w:pPr>
          </w:p>
        </w:tc>
        <w:tc>
          <w:tcPr>
            <w:tcW w:w="1959" w:type="dxa"/>
            <w:noWrap/>
            <w:vAlign w:val="center"/>
          </w:tcPr>
          <w:p>
            <w:pPr>
              <w:jc w:val="center"/>
              <w:rPr>
                <w:rFonts w:ascii="仿宋" w:hAnsi="仿宋" w:eastAsia="仿宋"/>
                <w:color w:val="000000" w:themeColor="text1"/>
                <w:sz w:val="30"/>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034" w:type="dxa"/>
            <w:noWrap/>
            <w:vAlign w:val="center"/>
          </w:tcPr>
          <w:p>
            <w:pPr>
              <w:rPr>
                <w:rFonts w:ascii="仿宋" w:hAnsi="仿宋" w:eastAsia="仿宋"/>
                <w:color w:val="000000" w:themeColor="text1"/>
                <w:sz w:val="30"/>
                <w:szCs w:val="30"/>
                <w:highlight w:val="none"/>
              </w:rPr>
            </w:pPr>
          </w:p>
        </w:tc>
        <w:tc>
          <w:tcPr>
            <w:tcW w:w="1800" w:type="dxa"/>
            <w:noWrap/>
            <w:vAlign w:val="center"/>
          </w:tcPr>
          <w:p>
            <w:pPr>
              <w:jc w:val="center"/>
              <w:rPr>
                <w:rFonts w:ascii="仿宋" w:hAnsi="仿宋" w:eastAsia="仿宋"/>
                <w:color w:val="000000" w:themeColor="text1"/>
                <w:sz w:val="30"/>
                <w:szCs w:val="30"/>
                <w:highlight w:val="none"/>
              </w:rPr>
            </w:pPr>
          </w:p>
        </w:tc>
        <w:tc>
          <w:tcPr>
            <w:tcW w:w="2047" w:type="dxa"/>
            <w:noWrap/>
            <w:vAlign w:val="center"/>
          </w:tcPr>
          <w:p>
            <w:pPr>
              <w:jc w:val="center"/>
              <w:rPr>
                <w:rFonts w:ascii="仿宋" w:hAnsi="仿宋" w:eastAsia="仿宋"/>
                <w:color w:val="000000" w:themeColor="text1"/>
                <w:sz w:val="30"/>
                <w:szCs w:val="30"/>
                <w:highlight w:val="none"/>
              </w:rPr>
            </w:pPr>
          </w:p>
        </w:tc>
        <w:tc>
          <w:tcPr>
            <w:tcW w:w="1260" w:type="dxa"/>
            <w:noWrap/>
            <w:vAlign w:val="center"/>
          </w:tcPr>
          <w:p>
            <w:pPr>
              <w:jc w:val="center"/>
              <w:rPr>
                <w:rFonts w:ascii="仿宋" w:hAnsi="仿宋" w:eastAsia="仿宋"/>
                <w:color w:val="000000" w:themeColor="text1"/>
                <w:sz w:val="30"/>
                <w:szCs w:val="30"/>
                <w:highlight w:val="none"/>
              </w:rPr>
            </w:pPr>
          </w:p>
        </w:tc>
        <w:tc>
          <w:tcPr>
            <w:tcW w:w="1440" w:type="dxa"/>
            <w:noWrap/>
            <w:vAlign w:val="center"/>
          </w:tcPr>
          <w:p>
            <w:pPr>
              <w:jc w:val="center"/>
              <w:rPr>
                <w:rFonts w:ascii="仿宋" w:hAnsi="仿宋" w:eastAsia="仿宋"/>
                <w:color w:val="000000" w:themeColor="text1"/>
                <w:sz w:val="30"/>
                <w:szCs w:val="30"/>
                <w:highlight w:val="none"/>
              </w:rPr>
            </w:pPr>
          </w:p>
        </w:tc>
        <w:tc>
          <w:tcPr>
            <w:tcW w:w="1959" w:type="dxa"/>
            <w:noWrap/>
            <w:vAlign w:val="center"/>
          </w:tcPr>
          <w:p>
            <w:pPr>
              <w:jc w:val="center"/>
              <w:rPr>
                <w:rFonts w:ascii="仿宋" w:hAnsi="仿宋" w:eastAsia="仿宋"/>
                <w:color w:val="000000" w:themeColor="text1"/>
                <w:sz w:val="30"/>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034" w:type="dxa"/>
            <w:noWrap/>
            <w:vAlign w:val="center"/>
          </w:tcPr>
          <w:p>
            <w:pPr>
              <w:rPr>
                <w:rFonts w:ascii="仿宋" w:hAnsi="仿宋" w:eastAsia="仿宋"/>
                <w:color w:val="000000" w:themeColor="text1"/>
                <w:sz w:val="30"/>
                <w:szCs w:val="30"/>
                <w:highlight w:val="none"/>
              </w:rPr>
            </w:pPr>
          </w:p>
        </w:tc>
        <w:tc>
          <w:tcPr>
            <w:tcW w:w="1800" w:type="dxa"/>
            <w:noWrap/>
            <w:vAlign w:val="center"/>
          </w:tcPr>
          <w:p>
            <w:pPr>
              <w:jc w:val="center"/>
              <w:rPr>
                <w:rFonts w:ascii="仿宋" w:hAnsi="仿宋" w:eastAsia="仿宋"/>
                <w:color w:val="000000" w:themeColor="text1"/>
                <w:sz w:val="30"/>
                <w:szCs w:val="30"/>
                <w:highlight w:val="none"/>
              </w:rPr>
            </w:pPr>
          </w:p>
        </w:tc>
        <w:tc>
          <w:tcPr>
            <w:tcW w:w="2047" w:type="dxa"/>
            <w:noWrap/>
            <w:vAlign w:val="center"/>
          </w:tcPr>
          <w:p>
            <w:pPr>
              <w:jc w:val="center"/>
              <w:rPr>
                <w:rFonts w:ascii="仿宋" w:hAnsi="仿宋" w:eastAsia="仿宋"/>
                <w:color w:val="000000" w:themeColor="text1"/>
                <w:sz w:val="30"/>
                <w:szCs w:val="30"/>
                <w:highlight w:val="none"/>
              </w:rPr>
            </w:pPr>
          </w:p>
        </w:tc>
        <w:tc>
          <w:tcPr>
            <w:tcW w:w="1260" w:type="dxa"/>
            <w:noWrap/>
            <w:vAlign w:val="center"/>
          </w:tcPr>
          <w:p>
            <w:pPr>
              <w:jc w:val="center"/>
              <w:rPr>
                <w:rFonts w:ascii="仿宋" w:hAnsi="仿宋" w:eastAsia="仿宋"/>
                <w:color w:val="000000" w:themeColor="text1"/>
                <w:sz w:val="30"/>
                <w:szCs w:val="30"/>
                <w:highlight w:val="none"/>
              </w:rPr>
            </w:pPr>
          </w:p>
        </w:tc>
        <w:tc>
          <w:tcPr>
            <w:tcW w:w="1440" w:type="dxa"/>
            <w:noWrap/>
            <w:vAlign w:val="center"/>
          </w:tcPr>
          <w:p>
            <w:pPr>
              <w:jc w:val="center"/>
              <w:rPr>
                <w:rFonts w:ascii="仿宋" w:hAnsi="仿宋" w:eastAsia="仿宋"/>
                <w:color w:val="000000" w:themeColor="text1"/>
                <w:sz w:val="30"/>
                <w:szCs w:val="30"/>
                <w:highlight w:val="none"/>
              </w:rPr>
            </w:pPr>
          </w:p>
        </w:tc>
        <w:tc>
          <w:tcPr>
            <w:tcW w:w="1959" w:type="dxa"/>
            <w:noWrap/>
            <w:vAlign w:val="center"/>
          </w:tcPr>
          <w:p>
            <w:pPr>
              <w:jc w:val="center"/>
              <w:rPr>
                <w:rFonts w:ascii="仿宋" w:hAnsi="仿宋" w:eastAsia="仿宋"/>
                <w:color w:val="000000" w:themeColor="text1"/>
                <w:sz w:val="30"/>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034" w:type="dxa"/>
            <w:noWrap/>
            <w:vAlign w:val="center"/>
          </w:tcPr>
          <w:p>
            <w:pPr>
              <w:rPr>
                <w:rFonts w:ascii="仿宋" w:hAnsi="仿宋" w:eastAsia="仿宋"/>
                <w:color w:val="000000" w:themeColor="text1"/>
                <w:sz w:val="30"/>
                <w:szCs w:val="30"/>
                <w:highlight w:val="none"/>
              </w:rPr>
            </w:pPr>
          </w:p>
        </w:tc>
        <w:tc>
          <w:tcPr>
            <w:tcW w:w="1800" w:type="dxa"/>
            <w:noWrap/>
            <w:vAlign w:val="center"/>
          </w:tcPr>
          <w:p>
            <w:pPr>
              <w:jc w:val="center"/>
              <w:rPr>
                <w:rFonts w:ascii="仿宋" w:hAnsi="仿宋" w:eastAsia="仿宋"/>
                <w:color w:val="000000" w:themeColor="text1"/>
                <w:sz w:val="30"/>
                <w:szCs w:val="30"/>
                <w:highlight w:val="none"/>
              </w:rPr>
            </w:pPr>
          </w:p>
        </w:tc>
        <w:tc>
          <w:tcPr>
            <w:tcW w:w="2047" w:type="dxa"/>
            <w:noWrap/>
            <w:vAlign w:val="center"/>
          </w:tcPr>
          <w:p>
            <w:pPr>
              <w:jc w:val="center"/>
              <w:rPr>
                <w:rFonts w:ascii="仿宋" w:hAnsi="仿宋" w:eastAsia="仿宋"/>
                <w:color w:val="000000" w:themeColor="text1"/>
                <w:sz w:val="30"/>
                <w:szCs w:val="30"/>
                <w:highlight w:val="none"/>
              </w:rPr>
            </w:pPr>
          </w:p>
        </w:tc>
        <w:tc>
          <w:tcPr>
            <w:tcW w:w="1260" w:type="dxa"/>
            <w:noWrap/>
            <w:vAlign w:val="center"/>
          </w:tcPr>
          <w:p>
            <w:pPr>
              <w:jc w:val="center"/>
              <w:rPr>
                <w:rFonts w:ascii="仿宋" w:hAnsi="仿宋" w:eastAsia="仿宋"/>
                <w:color w:val="000000" w:themeColor="text1"/>
                <w:sz w:val="30"/>
                <w:szCs w:val="30"/>
                <w:highlight w:val="none"/>
              </w:rPr>
            </w:pPr>
          </w:p>
        </w:tc>
        <w:tc>
          <w:tcPr>
            <w:tcW w:w="1440" w:type="dxa"/>
            <w:noWrap/>
            <w:vAlign w:val="center"/>
          </w:tcPr>
          <w:p>
            <w:pPr>
              <w:jc w:val="center"/>
              <w:rPr>
                <w:rFonts w:ascii="仿宋" w:hAnsi="仿宋" w:eastAsia="仿宋"/>
                <w:color w:val="000000" w:themeColor="text1"/>
                <w:sz w:val="30"/>
                <w:szCs w:val="30"/>
                <w:highlight w:val="none"/>
              </w:rPr>
            </w:pPr>
          </w:p>
        </w:tc>
        <w:tc>
          <w:tcPr>
            <w:tcW w:w="1959" w:type="dxa"/>
            <w:noWrap/>
            <w:vAlign w:val="center"/>
          </w:tcPr>
          <w:p>
            <w:pPr>
              <w:jc w:val="center"/>
              <w:rPr>
                <w:rFonts w:ascii="仿宋" w:hAnsi="仿宋" w:eastAsia="仿宋"/>
                <w:color w:val="000000" w:themeColor="text1"/>
                <w:sz w:val="30"/>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034" w:type="dxa"/>
            <w:noWrap/>
            <w:vAlign w:val="center"/>
          </w:tcPr>
          <w:p>
            <w:pPr>
              <w:rPr>
                <w:rFonts w:ascii="仿宋" w:hAnsi="仿宋" w:eastAsia="仿宋"/>
                <w:color w:val="000000" w:themeColor="text1"/>
                <w:sz w:val="30"/>
                <w:szCs w:val="30"/>
                <w:highlight w:val="none"/>
              </w:rPr>
            </w:pPr>
          </w:p>
        </w:tc>
        <w:tc>
          <w:tcPr>
            <w:tcW w:w="1800" w:type="dxa"/>
            <w:noWrap/>
            <w:vAlign w:val="center"/>
          </w:tcPr>
          <w:p>
            <w:pPr>
              <w:jc w:val="center"/>
              <w:rPr>
                <w:rFonts w:ascii="仿宋" w:hAnsi="仿宋" w:eastAsia="仿宋"/>
                <w:color w:val="000000" w:themeColor="text1"/>
                <w:sz w:val="30"/>
                <w:szCs w:val="30"/>
                <w:highlight w:val="none"/>
              </w:rPr>
            </w:pPr>
          </w:p>
        </w:tc>
        <w:tc>
          <w:tcPr>
            <w:tcW w:w="2047" w:type="dxa"/>
            <w:noWrap/>
            <w:vAlign w:val="center"/>
          </w:tcPr>
          <w:p>
            <w:pPr>
              <w:jc w:val="center"/>
              <w:rPr>
                <w:rFonts w:ascii="仿宋" w:hAnsi="仿宋" w:eastAsia="仿宋"/>
                <w:color w:val="000000" w:themeColor="text1"/>
                <w:sz w:val="30"/>
                <w:szCs w:val="30"/>
                <w:highlight w:val="none"/>
              </w:rPr>
            </w:pPr>
          </w:p>
        </w:tc>
        <w:tc>
          <w:tcPr>
            <w:tcW w:w="1260" w:type="dxa"/>
            <w:noWrap/>
            <w:vAlign w:val="center"/>
          </w:tcPr>
          <w:p>
            <w:pPr>
              <w:jc w:val="center"/>
              <w:rPr>
                <w:rFonts w:ascii="仿宋" w:hAnsi="仿宋" w:eastAsia="仿宋"/>
                <w:color w:val="000000" w:themeColor="text1"/>
                <w:sz w:val="30"/>
                <w:szCs w:val="30"/>
                <w:highlight w:val="none"/>
              </w:rPr>
            </w:pPr>
          </w:p>
        </w:tc>
        <w:tc>
          <w:tcPr>
            <w:tcW w:w="1440" w:type="dxa"/>
            <w:noWrap/>
            <w:vAlign w:val="center"/>
          </w:tcPr>
          <w:p>
            <w:pPr>
              <w:jc w:val="center"/>
              <w:rPr>
                <w:rFonts w:ascii="仿宋" w:hAnsi="仿宋" w:eastAsia="仿宋"/>
                <w:color w:val="000000" w:themeColor="text1"/>
                <w:sz w:val="30"/>
                <w:szCs w:val="30"/>
                <w:highlight w:val="none"/>
              </w:rPr>
            </w:pPr>
          </w:p>
        </w:tc>
        <w:tc>
          <w:tcPr>
            <w:tcW w:w="1959" w:type="dxa"/>
            <w:noWrap/>
            <w:vAlign w:val="center"/>
          </w:tcPr>
          <w:p>
            <w:pPr>
              <w:jc w:val="center"/>
              <w:rPr>
                <w:rFonts w:ascii="仿宋" w:hAnsi="仿宋" w:eastAsia="仿宋"/>
                <w:color w:val="000000" w:themeColor="text1"/>
                <w:sz w:val="30"/>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1034" w:type="dxa"/>
            <w:noWrap/>
            <w:vAlign w:val="center"/>
          </w:tcPr>
          <w:p>
            <w:pPr>
              <w:rPr>
                <w:rFonts w:ascii="仿宋" w:hAnsi="仿宋" w:eastAsia="仿宋"/>
                <w:color w:val="000000" w:themeColor="text1"/>
                <w:sz w:val="30"/>
                <w:szCs w:val="30"/>
                <w:highlight w:val="none"/>
              </w:rPr>
            </w:pPr>
          </w:p>
        </w:tc>
        <w:tc>
          <w:tcPr>
            <w:tcW w:w="1800" w:type="dxa"/>
            <w:noWrap/>
            <w:vAlign w:val="center"/>
          </w:tcPr>
          <w:p>
            <w:pPr>
              <w:jc w:val="center"/>
              <w:rPr>
                <w:rFonts w:ascii="仿宋" w:hAnsi="仿宋" w:eastAsia="仿宋"/>
                <w:color w:val="000000" w:themeColor="text1"/>
                <w:sz w:val="30"/>
                <w:szCs w:val="30"/>
                <w:highlight w:val="none"/>
              </w:rPr>
            </w:pPr>
          </w:p>
        </w:tc>
        <w:tc>
          <w:tcPr>
            <w:tcW w:w="2047" w:type="dxa"/>
            <w:noWrap/>
            <w:vAlign w:val="center"/>
          </w:tcPr>
          <w:p>
            <w:pPr>
              <w:jc w:val="center"/>
              <w:rPr>
                <w:rFonts w:ascii="仿宋" w:hAnsi="仿宋" w:eastAsia="仿宋"/>
                <w:color w:val="000000" w:themeColor="text1"/>
                <w:sz w:val="30"/>
                <w:szCs w:val="30"/>
                <w:highlight w:val="none"/>
              </w:rPr>
            </w:pPr>
          </w:p>
        </w:tc>
        <w:tc>
          <w:tcPr>
            <w:tcW w:w="1260" w:type="dxa"/>
            <w:noWrap/>
            <w:vAlign w:val="center"/>
          </w:tcPr>
          <w:p>
            <w:pPr>
              <w:jc w:val="center"/>
              <w:rPr>
                <w:rFonts w:ascii="仿宋" w:hAnsi="仿宋" w:eastAsia="仿宋"/>
                <w:color w:val="000000" w:themeColor="text1"/>
                <w:sz w:val="30"/>
                <w:szCs w:val="30"/>
                <w:highlight w:val="none"/>
              </w:rPr>
            </w:pPr>
          </w:p>
        </w:tc>
        <w:tc>
          <w:tcPr>
            <w:tcW w:w="1440" w:type="dxa"/>
            <w:noWrap/>
            <w:vAlign w:val="center"/>
          </w:tcPr>
          <w:p>
            <w:pPr>
              <w:jc w:val="center"/>
              <w:rPr>
                <w:rFonts w:ascii="仿宋" w:hAnsi="仿宋" w:eastAsia="仿宋"/>
                <w:color w:val="000000" w:themeColor="text1"/>
                <w:sz w:val="30"/>
                <w:szCs w:val="30"/>
                <w:highlight w:val="none"/>
              </w:rPr>
            </w:pPr>
          </w:p>
        </w:tc>
        <w:tc>
          <w:tcPr>
            <w:tcW w:w="1959" w:type="dxa"/>
            <w:noWrap/>
            <w:vAlign w:val="center"/>
          </w:tcPr>
          <w:p>
            <w:pPr>
              <w:jc w:val="center"/>
              <w:rPr>
                <w:rFonts w:ascii="仿宋" w:hAnsi="仿宋" w:eastAsia="仿宋"/>
                <w:color w:val="000000" w:themeColor="text1"/>
                <w:sz w:val="30"/>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2834" w:type="dxa"/>
            <w:gridSpan w:val="2"/>
            <w:noWrap/>
            <w:vAlign w:val="center"/>
          </w:tcPr>
          <w:p>
            <w:pPr>
              <w:jc w:val="center"/>
              <w:rPr>
                <w:rFonts w:ascii="仿宋" w:hAnsi="仿宋" w:eastAsia="仿宋"/>
                <w:color w:val="000000" w:themeColor="text1"/>
                <w:sz w:val="30"/>
                <w:szCs w:val="30"/>
                <w:highlight w:val="none"/>
              </w:rPr>
            </w:pPr>
            <w:r>
              <w:rPr>
                <w:rFonts w:hint="eastAsia" w:ascii="仿宋" w:hAnsi="仿宋" w:eastAsia="仿宋"/>
                <w:color w:val="000000" w:themeColor="text1"/>
                <w:sz w:val="30"/>
                <w:szCs w:val="30"/>
                <w:highlight w:val="none"/>
              </w:rPr>
              <w:t>合同金额合计</w:t>
            </w:r>
          </w:p>
        </w:tc>
        <w:tc>
          <w:tcPr>
            <w:tcW w:w="6706" w:type="dxa"/>
            <w:gridSpan w:val="4"/>
            <w:noWrap/>
            <w:vAlign w:val="center"/>
          </w:tcPr>
          <w:p>
            <w:pPr>
              <w:rPr>
                <w:rFonts w:ascii="仿宋" w:hAnsi="仿宋" w:eastAsia="仿宋"/>
                <w:color w:val="000000" w:themeColor="text1"/>
                <w:sz w:val="30"/>
                <w:szCs w:val="30"/>
                <w:highlight w:val="none"/>
              </w:rPr>
            </w:pPr>
          </w:p>
        </w:tc>
      </w:tr>
    </w:tbl>
    <w:p>
      <w:pPr>
        <w:rPr>
          <w:rFonts w:ascii="仿宋" w:hAnsi="仿宋" w:eastAsia="仿宋"/>
          <w:color w:val="000000" w:themeColor="text1"/>
          <w:sz w:val="30"/>
          <w:szCs w:val="30"/>
          <w:highlight w:val="none"/>
        </w:rPr>
      </w:pPr>
      <w:r>
        <w:rPr>
          <w:rFonts w:hint="eastAsia" w:ascii="仿宋" w:hAnsi="仿宋" w:eastAsia="仿宋"/>
          <w:color w:val="000000" w:themeColor="text1"/>
          <w:sz w:val="30"/>
          <w:szCs w:val="30"/>
          <w:highlight w:val="none"/>
        </w:rPr>
        <w:t>备注：此表应认真填写，不得提供虚假业绩，后附中标通知书及合同扫描件。</w:t>
      </w:r>
    </w:p>
    <w:p>
      <w:pPr>
        <w:ind w:firstLine="3900" w:firstLineChars="1300"/>
        <w:rPr>
          <w:rFonts w:ascii="仿宋" w:hAnsi="仿宋" w:eastAsia="仿宋"/>
          <w:color w:val="000000" w:themeColor="text1"/>
          <w:sz w:val="30"/>
          <w:szCs w:val="30"/>
          <w:highlight w:val="none"/>
        </w:rPr>
      </w:pPr>
    </w:p>
    <w:p>
      <w:pPr>
        <w:wordWrap w:val="0"/>
        <w:spacing w:line="560" w:lineRule="exact"/>
        <w:ind w:right="960" w:firstLine="4320" w:firstLineChars="1350"/>
        <w:rPr>
          <w:rFonts w:ascii="仿宋" w:hAnsi="仿宋" w:eastAsia="仿宋"/>
          <w:color w:val="000000" w:themeColor="text1"/>
          <w:sz w:val="32"/>
          <w:szCs w:val="32"/>
          <w:highlight w:val="none"/>
        </w:rPr>
      </w:pPr>
      <w:r>
        <w:rPr>
          <w:rFonts w:hint="eastAsia" w:ascii="仿宋" w:hAnsi="仿宋" w:eastAsia="仿宋"/>
          <w:color w:val="000000" w:themeColor="text1"/>
          <w:sz w:val="32"/>
          <w:szCs w:val="32"/>
          <w:highlight w:val="none"/>
        </w:rPr>
        <w:t xml:space="preserve">投标人单位（盖章）： </w:t>
      </w:r>
    </w:p>
    <w:p>
      <w:pPr>
        <w:jc w:val="right"/>
        <w:rPr>
          <w:rFonts w:ascii="仿宋" w:hAnsi="仿宋" w:eastAsia="仿宋"/>
          <w:color w:val="000000" w:themeColor="text1"/>
          <w:sz w:val="32"/>
          <w:szCs w:val="32"/>
          <w:highlight w:val="none"/>
        </w:rPr>
        <w:sectPr>
          <w:pgSz w:w="11906" w:h="16838"/>
          <w:pgMar w:top="1440" w:right="1080" w:bottom="1440" w:left="1080" w:header="851" w:footer="992" w:gutter="0"/>
          <w:cols w:space="425" w:num="1"/>
          <w:docGrid w:type="lines" w:linePitch="312" w:charSpace="0"/>
        </w:sectPr>
      </w:pPr>
      <w:r>
        <w:rPr>
          <w:rFonts w:hint="eastAsia" w:ascii="仿宋" w:hAnsi="仿宋" w:eastAsia="仿宋"/>
          <w:color w:val="000000" w:themeColor="text1"/>
          <w:sz w:val="32"/>
          <w:szCs w:val="32"/>
          <w:highlight w:val="none"/>
        </w:rPr>
        <w:t>法定代表人或被授权人（签字或盖章）</w:t>
      </w:r>
    </w:p>
    <w:p>
      <w:pPr>
        <w:pStyle w:val="24"/>
        <w:spacing w:line="520" w:lineRule="exact"/>
        <w:jc w:val="center"/>
        <w:rPr>
          <w:rFonts w:hAnsi="宋体"/>
          <w:b/>
          <w:bCs/>
          <w:color w:val="000000" w:themeColor="text1"/>
          <w:kern w:val="2"/>
          <w:sz w:val="44"/>
          <w:szCs w:val="44"/>
          <w:highlight w:val="none"/>
        </w:rPr>
      </w:pPr>
      <w:r>
        <w:rPr>
          <w:rFonts w:hint="eastAsia" w:hAnsi="宋体"/>
          <w:b/>
          <w:bCs/>
          <w:color w:val="000000" w:themeColor="text1"/>
          <w:kern w:val="2"/>
          <w:sz w:val="44"/>
          <w:szCs w:val="44"/>
          <w:highlight w:val="none"/>
        </w:rPr>
        <w:t>投标偏离表</w:t>
      </w:r>
    </w:p>
    <w:p>
      <w:pPr>
        <w:spacing w:line="360" w:lineRule="exact"/>
        <w:jc w:val="center"/>
        <w:rPr>
          <w:rFonts w:ascii="仿宋_GB2312" w:hAnsi="宋体" w:eastAsia="仿宋_GB2312"/>
          <w:b/>
          <w:bCs/>
          <w:color w:val="000000" w:themeColor="text1"/>
          <w:sz w:val="36"/>
          <w:szCs w:val="36"/>
          <w:highlight w:val="none"/>
        </w:rPr>
      </w:pPr>
    </w:p>
    <w:p>
      <w:pPr>
        <w:spacing w:line="360" w:lineRule="exact"/>
        <w:jc w:val="center"/>
        <w:rPr>
          <w:rFonts w:ascii="仿宋_GB2312" w:hAnsi="宋体" w:eastAsia="仿宋_GB2312"/>
          <w:bCs/>
          <w:color w:val="000000" w:themeColor="text1"/>
          <w:sz w:val="30"/>
          <w:szCs w:val="30"/>
          <w:highlight w:val="none"/>
        </w:rPr>
      </w:pPr>
      <w:r>
        <w:rPr>
          <w:rFonts w:hint="eastAsia" w:ascii="仿宋_GB2312" w:hAnsi="宋体" w:eastAsia="仿宋_GB2312"/>
          <w:bCs/>
          <w:color w:val="000000" w:themeColor="text1"/>
          <w:sz w:val="30"/>
          <w:szCs w:val="30"/>
          <w:highlight w:val="none"/>
        </w:rPr>
        <w:t>（包括技术规格、参数和商务条款偏离）</w:t>
      </w:r>
    </w:p>
    <w:p>
      <w:pPr>
        <w:spacing w:line="360" w:lineRule="exact"/>
        <w:jc w:val="center"/>
        <w:rPr>
          <w:rFonts w:ascii="仿宋_GB2312" w:hAnsi="宋体" w:eastAsia="仿宋_GB2312"/>
          <w:bCs/>
          <w:color w:val="000000" w:themeColor="text1"/>
          <w:sz w:val="22"/>
          <w:highlight w:val="none"/>
        </w:rPr>
      </w:pPr>
    </w:p>
    <w:tbl>
      <w:tblPr>
        <w:tblStyle w:val="47"/>
        <w:tblW w:w="97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
        <w:gridCol w:w="1236"/>
        <w:gridCol w:w="3465"/>
        <w:gridCol w:w="1236"/>
        <w:gridCol w:w="3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0" w:hRule="atLeast"/>
        </w:trPr>
        <w:tc>
          <w:tcPr>
            <w:tcW w:w="468" w:type="dxa"/>
            <w:vMerge w:val="restart"/>
          </w:tcPr>
          <w:p>
            <w:pPr>
              <w:pStyle w:val="24"/>
              <w:spacing w:line="400" w:lineRule="exact"/>
              <w:rPr>
                <w:rFonts w:ascii="仿宋_GB2312" w:hAnsi="宋体" w:eastAsia="仿宋_GB2312"/>
                <w:color w:val="000000" w:themeColor="text1"/>
                <w:sz w:val="24"/>
                <w:szCs w:val="24"/>
                <w:highlight w:val="none"/>
              </w:rPr>
            </w:pPr>
            <w:r>
              <w:rPr>
                <w:rFonts w:hint="eastAsia" w:ascii="仿宋_GB2312" w:hAnsi="宋体" w:eastAsia="仿宋_GB2312"/>
                <w:color w:val="000000" w:themeColor="text1"/>
                <w:sz w:val="24"/>
                <w:szCs w:val="24"/>
                <w:highlight w:val="none"/>
              </w:rPr>
              <w:t>序号</w:t>
            </w:r>
          </w:p>
        </w:tc>
        <w:tc>
          <w:tcPr>
            <w:tcW w:w="4701" w:type="dxa"/>
            <w:gridSpan w:val="2"/>
          </w:tcPr>
          <w:p>
            <w:pPr>
              <w:pStyle w:val="24"/>
              <w:spacing w:line="400" w:lineRule="exact"/>
              <w:rPr>
                <w:rFonts w:ascii="仿宋_GB2312" w:hAnsi="宋体" w:eastAsia="仿宋_GB2312"/>
                <w:color w:val="000000" w:themeColor="text1"/>
                <w:sz w:val="24"/>
                <w:szCs w:val="24"/>
                <w:highlight w:val="none"/>
              </w:rPr>
            </w:pPr>
            <w:r>
              <w:rPr>
                <w:rFonts w:hint="eastAsia" w:ascii="仿宋_GB2312" w:hAnsi="宋体" w:eastAsia="仿宋_GB2312"/>
                <w:color w:val="000000" w:themeColor="text1"/>
                <w:sz w:val="24"/>
                <w:szCs w:val="24"/>
                <w:highlight w:val="none"/>
              </w:rPr>
              <w:t xml:space="preserve">         招标文件条款</w:t>
            </w:r>
          </w:p>
        </w:tc>
        <w:tc>
          <w:tcPr>
            <w:tcW w:w="4596" w:type="dxa"/>
            <w:gridSpan w:val="2"/>
          </w:tcPr>
          <w:p>
            <w:pPr>
              <w:pStyle w:val="24"/>
              <w:spacing w:line="400" w:lineRule="exact"/>
              <w:rPr>
                <w:rFonts w:ascii="仿宋_GB2312" w:hAnsi="宋体" w:eastAsia="仿宋_GB2312"/>
                <w:color w:val="000000" w:themeColor="text1"/>
                <w:sz w:val="24"/>
                <w:szCs w:val="24"/>
                <w:highlight w:val="none"/>
              </w:rPr>
            </w:pPr>
            <w:r>
              <w:rPr>
                <w:rFonts w:hint="eastAsia" w:ascii="仿宋_GB2312" w:hAnsi="宋体" w:eastAsia="仿宋_GB2312"/>
                <w:color w:val="000000" w:themeColor="text1"/>
                <w:sz w:val="24"/>
                <w:szCs w:val="24"/>
                <w:highlight w:val="none"/>
              </w:rPr>
              <w:t xml:space="preserve">       投标文件条款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3" w:hRule="atLeast"/>
        </w:trPr>
        <w:tc>
          <w:tcPr>
            <w:tcW w:w="468" w:type="dxa"/>
            <w:vMerge w:val="continue"/>
          </w:tcPr>
          <w:p>
            <w:pPr>
              <w:pStyle w:val="24"/>
              <w:spacing w:line="400" w:lineRule="exact"/>
              <w:rPr>
                <w:rFonts w:ascii="仿宋_GB2312" w:hAnsi="宋体" w:eastAsia="仿宋_GB2312"/>
                <w:color w:val="000000" w:themeColor="text1"/>
                <w:sz w:val="24"/>
                <w:szCs w:val="24"/>
                <w:highlight w:val="none"/>
              </w:rPr>
            </w:pPr>
          </w:p>
        </w:tc>
        <w:tc>
          <w:tcPr>
            <w:tcW w:w="1236" w:type="dxa"/>
          </w:tcPr>
          <w:p>
            <w:pPr>
              <w:pStyle w:val="24"/>
              <w:spacing w:line="400" w:lineRule="exact"/>
              <w:jc w:val="center"/>
              <w:rPr>
                <w:rFonts w:ascii="仿宋_GB2312" w:hAnsi="宋体" w:eastAsia="仿宋_GB2312"/>
                <w:color w:val="000000" w:themeColor="text1"/>
                <w:sz w:val="24"/>
                <w:szCs w:val="24"/>
                <w:highlight w:val="none"/>
              </w:rPr>
            </w:pPr>
            <w:r>
              <w:rPr>
                <w:rFonts w:hint="eastAsia" w:ascii="仿宋_GB2312" w:hAnsi="宋体" w:eastAsia="仿宋_GB2312"/>
                <w:color w:val="000000" w:themeColor="text1"/>
                <w:sz w:val="24"/>
                <w:szCs w:val="24"/>
                <w:highlight w:val="none"/>
              </w:rPr>
              <w:t>条款号</w:t>
            </w:r>
          </w:p>
        </w:tc>
        <w:tc>
          <w:tcPr>
            <w:tcW w:w="3465" w:type="dxa"/>
          </w:tcPr>
          <w:p>
            <w:pPr>
              <w:pStyle w:val="24"/>
              <w:spacing w:line="400" w:lineRule="exact"/>
              <w:jc w:val="center"/>
              <w:rPr>
                <w:rFonts w:ascii="仿宋_GB2312" w:hAnsi="宋体" w:eastAsia="仿宋_GB2312"/>
                <w:color w:val="000000" w:themeColor="text1"/>
                <w:sz w:val="24"/>
                <w:szCs w:val="24"/>
                <w:highlight w:val="none"/>
              </w:rPr>
            </w:pPr>
            <w:r>
              <w:rPr>
                <w:rFonts w:hint="eastAsia" w:ascii="仿宋_GB2312" w:hAnsi="宋体" w:eastAsia="仿宋_GB2312"/>
                <w:color w:val="000000" w:themeColor="text1"/>
                <w:sz w:val="24"/>
                <w:szCs w:val="24"/>
                <w:highlight w:val="none"/>
              </w:rPr>
              <w:t>招标文件的内容</w:t>
            </w:r>
          </w:p>
        </w:tc>
        <w:tc>
          <w:tcPr>
            <w:tcW w:w="1236" w:type="dxa"/>
          </w:tcPr>
          <w:p>
            <w:pPr>
              <w:pStyle w:val="24"/>
              <w:spacing w:line="400" w:lineRule="exact"/>
              <w:jc w:val="center"/>
              <w:rPr>
                <w:rFonts w:ascii="仿宋_GB2312" w:hAnsi="宋体" w:eastAsia="仿宋_GB2312"/>
                <w:color w:val="000000" w:themeColor="text1"/>
                <w:sz w:val="24"/>
                <w:szCs w:val="24"/>
                <w:highlight w:val="none"/>
              </w:rPr>
            </w:pPr>
            <w:r>
              <w:rPr>
                <w:rFonts w:hint="eastAsia" w:ascii="仿宋_GB2312" w:hAnsi="宋体" w:eastAsia="仿宋_GB2312"/>
                <w:color w:val="000000" w:themeColor="text1"/>
                <w:sz w:val="24"/>
                <w:szCs w:val="24"/>
                <w:highlight w:val="none"/>
              </w:rPr>
              <w:t>条款号</w:t>
            </w:r>
          </w:p>
        </w:tc>
        <w:tc>
          <w:tcPr>
            <w:tcW w:w="3360" w:type="dxa"/>
          </w:tcPr>
          <w:p>
            <w:pPr>
              <w:pStyle w:val="24"/>
              <w:spacing w:line="400" w:lineRule="exact"/>
              <w:jc w:val="center"/>
              <w:rPr>
                <w:rFonts w:ascii="仿宋_GB2312" w:hAnsi="宋体" w:eastAsia="仿宋_GB2312"/>
                <w:color w:val="000000" w:themeColor="text1"/>
                <w:sz w:val="24"/>
                <w:szCs w:val="24"/>
                <w:highlight w:val="none"/>
              </w:rPr>
            </w:pPr>
            <w:r>
              <w:rPr>
                <w:rFonts w:hint="eastAsia" w:ascii="仿宋_GB2312" w:hAnsi="宋体" w:eastAsia="仿宋_GB2312"/>
                <w:color w:val="000000" w:themeColor="text1"/>
                <w:sz w:val="24"/>
                <w:szCs w:val="24"/>
                <w:highlight w:val="none"/>
              </w:rPr>
              <w:t>投标文件偏离内容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2" w:hRule="atLeast"/>
        </w:trPr>
        <w:tc>
          <w:tcPr>
            <w:tcW w:w="468" w:type="dxa"/>
          </w:tcPr>
          <w:p>
            <w:pPr>
              <w:pStyle w:val="24"/>
              <w:spacing w:line="400" w:lineRule="exact"/>
              <w:rPr>
                <w:rFonts w:ascii="仿宋_GB2312" w:hAnsi="宋体" w:eastAsia="仿宋_GB2312"/>
                <w:color w:val="000000" w:themeColor="text1"/>
                <w:sz w:val="28"/>
                <w:szCs w:val="24"/>
                <w:highlight w:val="none"/>
              </w:rPr>
            </w:pPr>
          </w:p>
        </w:tc>
        <w:tc>
          <w:tcPr>
            <w:tcW w:w="1236" w:type="dxa"/>
          </w:tcPr>
          <w:p>
            <w:pPr>
              <w:pStyle w:val="24"/>
              <w:spacing w:line="400" w:lineRule="exact"/>
              <w:rPr>
                <w:rFonts w:ascii="仿宋_GB2312" w:hAnsi="宋体" w:eastAsia="仿宋_GB2312"/>
                <w:color w:val="000000" w:themeColor="text1"/>
                <w:sz w:val="28"/>
                <w:szCs w:val="24"/>
                <w:highlight w:val="none"/>
              </w:rPr>
            </w:pPr>
          </w:p>
        </w:tc>
        <w:tc>
          <w:tcPr>
            <w:tcW w:w="3465" w:type="dxa"/>
          </w:tcPr>
          <w:p>
            <w:pPr>
              <w:pStyle w:val="24"/>
              <w:spacing w:line="400" w:lineRule="exact"/>
              <w:rPr>
                <w:rFonts w:ascii="仿宋_GB2312" w:hAnsi="宋体" w:eastAsia="仿宋_GB2312"/>
                <w:color w:val="000000" w:themeColor="text1"/>
                <w:sz w:val="28"/>
                <w:szCs w:val="24"/>
                <w:highlight w:val="none"/>
              </w:rPr>
            </w:pPr>
          </w:p>
        </w:tc>
        <w:tc>
          <w:tcPr>
            <w:tcW w:w="1236" w:type="dxa"/>
          </w:tcPr>
          <w:p>
            <w:pPr>
              <w:pStyle w:val="24"/>
              <w:spacing w:line="400" w:lineRule="exact"/>
              <w:rPr>
                <w:rFonts w:ascii="仿宋_GB2312" w:hAnsi="宋体" w:eastAsia="仿宋_GB2312"/>
                <w:color w:val="000000" w:themeColor="text1"/>
                <w:sz w:val="28"/>
                <w:szCs w:val="24"/>
                <w:highlight w:val="none"/>
              </w:rPr>
            </w:pPr>
          </w:p>
        </w:tc>
        <w:tc>
          <w:tcPr>
            <w:tcW w:w="3360" w:type="dxa"/>
          </w:tcPr>
          <w:p>
            <w:pPr>
              <w:pStyle w:val="24"/>
              <w:spacing w:line="400" w:lineRule="exact"/>
              <w:rPr>
                <w:rFonts w:ascii="仿宋_GB2312" w:hAnsi="宋体" w:eastAsia="仿宋_GB2312"/>
                <w:color w:val="000000" w:themeColor="text1"/>
                <w:sz w:val="28"/>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2" w:hRule="atLeast"/>
        </w:trPr>
        <w:tc>
          <w:tcPr>
            <w:tcW w:w="468" w:type="dxa"/>
          </w:tcPr>
          <w:p>
            <w:pPr>
              <w:pStyle w:val="24"/>
              <w:spacing w:line="400" w:lineRule="exact"/>
              <w:rPr>
                <w:rFonts w:ascii="仿宋_GB2312" w:hAnsi="宋体" w:eastAsia="仿宋_GB2312"/>
                <w:color w:val="000000" w:themeColor="text1"/>
                <w:sz w:val="28"/>
                <w:szCs w:val="24"/>
                <w:highlight w:val="none"/>
              </w:rPr>
            </w:pPr>
          </w:p>
        </w:tc>
        <w:tc>
          <w:tcPr>
            <w:tcW w:w="1236" w:type="dxa"/>
          </w:tcPr>
          <w:p>
            <w:pPr>
              <w:pStyle w:val="24"/>
              <w:spacing w:line="400" w:lineRule="exact"/>
              <w:rPr>
                <w:rFonts w:ascii="仿宋_GB2312" w:hAnsi="宋体" w:eastAsia="仿宋_GB2312"/>
                <w:color w:val="000000" w:themeColor="text1"/>
                <w:sz w:val="28"/>
                <w:szCs w:val="24"/>
                <w:highlight w:val="none"/>
              </w:rPr>
            </w:pPr>
          </w:p>
        </w:tc>
        <w:tc>
          <w:tcPr>
            <w:tcW w:w="3465" w:type="dxa"/>
          </w:tcPr>
          <w:p>
            <w:pPr>
              <w:pStyle w:val="24"/>
              <w:spacing w:line="400" w:lineRule="exact"/>
              <w:rPr>
                <w:rFonts w:ascii="仿宋_GB2312" w:hAnsi="宋体" w:eastAsia="仿宋_GB2312"/>
                <w:color w:val="000000" w:themeColor="text1"/>
                <w:sz w:val="28"/>
                <w:szCs w:val="24"/>
                <w:highlight w:val="none"/>
              </w:rPr>
            </w:pPr>
          </w:p>
        </w:tc>
        <w:tc>
          <w:tcPr>
            <w:tcW w:w="1236" w:type="dxa"/>
          </w:tcPr>
          <w:p>
            <w:pPr>
              <w:pStyle w:val="24"/>
              <w:spacing w:line="400" w:lineRule="exact"/>
              <w:rPr>
                <w:rFonts w:ascii="仿宋_GB2312" w:hAnsi="宋体" w:eastAsia="仿宋_GB2312"/>
                <w:color w:val="000000" w:themeColor="text1"/>
                <w:sz w:val="28"/>
                <w:szCs w:val="24"/>
                <w:highlight w:val="none"/>
              </w:rPr>
            </w:pPr>
          </w:p>
        </w:tc>
        <w:tc>
          <w:tcPr>
            <w:tcW w:w="3360" w:type="dxa"/>
          </w:tcPr>
          <w:p>
            <w:pPr>
              <w:pStyle w:val="24"/>
              <w:spacing w:line="400" w:lineRule="exact"/>
              <w:rPr>
                <w:rFonts w:ascii="仿宋_GB2312" w:hAnsi="宋体" w:eastAsia="仿宋_GB2312"/>
                <w:color w:val="000000" w:themeColor="text1"/>
                <w:sz w:val="28"/>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2" w:hRule="atLeast"/>
        </w:trPr>
        <w:tc>
          <w:tcPr>
            <w:tcW w:w="468" w:type="dxa"/>
          </w:tcPr>
          <w:p>
            <w:pPr>
              <w:pStyle w:val="24"/>
              <w:spacing w:line="400" w:lineRule="exact"/>
              <w:rPr>
                <w:rFonts w:ascii="仿宋_GB2312" w:hAnsi="宋体" w:eastAsia="仿宋_GB2312"/>
                <w:color w:val="000000" w:themeColor="text1"/>
                <w:sz w:val="28"/>
                <w:szCs w:val="24"/>
                <w:highlight w:val="none"/>
              </w:rPr>
            </w:pPr>
          </w:p>
        </w:tc>
        <w:tc>
          <w:tcPr>
            <w:tcW w:w="1236" w:type="dxa"/>
          </w:tcPr>
          <w:p>
            <w:pPr>
              <w:pStyle w:val="24"/>
              <w:spacing w:line="400" w:lineRule="exact"/>
              <w:rPr>
                <w:rFonts w:ascii="仿宋_GB2312" w:hAnsi="宋体" w:eastAsia="仿宋_GB2312"/>
                <w:color w:val="000000" w:themeColor="text1"/>
                <w:sz w:val="28"/>
                <w:szCs w:val="24"/>
                <w:highlight w:val="none"/>
              </w:rPr>
            </w:pPr>
          </w:p>
        </w:tc>
        <w:tc>
          <w:tcPr>
            <w:tcW w:w="3465" w:type="dxa"/>
          </w:tcPr>
          <w:p>
            <w:pPr>
              <w:pStyle w:val="24"/>
              <w:spacing w:line="400" w:lineRule="exact"/>
              <w:rPr>
                <w:rFonts w:ascii="仿宋_GB2312" w:hAnsi="宋体" w:eastAsia="仿宋_GB2312"/>
                <w:color w:val="000000" w:themeColor="text1"/>
                <w:sz w:val="28"/>
                <w:szCs w:val="24"/>
                <w:highlight w:val="none"/>
              </w:rPr>
            </w:pPr>
          </w:p>
        </w:tc>
        <w:tc>
          <w:tcPr>
            <w:tcW w:w="1236" w:type="dxa"/>
          </w:tcPr>
          <w:p>
            <w:pPr>
              <w:pStyle w:val="24"/>
              <w:spacing w:line="400" w:lineRule="exact"/>
              <w:rPr>
                <w:rFonts w:ascii="仿宋_GB2312" w:hAnsi="宋体" w:eastAsia="仿宋_GB2312"/>
                <w:color w:val="000000" w:themeColor="text1"/>
                <w:sz w:val="28"/>
                <w:szCs w:val="24"/>
                <w:highlight w:val="none"/>
              </w:rPr>
            </w:pPr>
          </w:p>
        </w:tc>
        <w:tc>
          <w:tcPr>
            <w:tcW w:w="3360" w:type="dxa"/>
          </w:tcPr>
          <w:p>
            <w:pPr>
              <w:pStyle w:val="24"/>
              <w:spacing w:line="400" w:lineRule="exact"/>
              <w:rPr>
                <w:rFonts w:ascii="仿宋_GB2312" w:hAnsi="宋体" w:eastAsia="仿宋_GB2312"/>
                <w:color w:val="000000" w:themeColor="text1"/>
                <w:sz w:val="28"/>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2" w:hRule="atLeast"/>
        </w:trPr>
        <w:tc>
          <w:tcPr>
            <w:tcW w:w="468" w:type="dxa"/>
          </w:tcPr>
          <w:p>
            <w:pPr>
              <w:pStyle w:val="24"/>
              <w:spacing w:line="400" w:lineRule="exact"/>
              <w:rPr>
                <w:rFonts w:ascii="仿宋_GB2312" w:hAnsi="宋体" w:eastAsia="仿宋_GB2312"/>
                <w:color w:val="000000" w:themeColor="text1"/>
                <w:sz w:val="28"/>
                <w:szCs w:val="24"/>
                <w:highlight w:val="none"/>
              </w:rPr>
            </w:pPr>
          </w:p>
        </w:tc>
        <w:tc>
          <w:tcPr>
            <w:tcW w:w="1236" w:type="dxa"/>
          </w:tcPr>
          <w:p>
            <w:pPr>
              <w:pStyle w:val="24"/>
              <w:spacing w:line="400" w:lineRule="exact"/>
              <w:rPr>
                <w:rFonts w:ascii="仿宋_GB2312" w:hAnsi="宋体" w:eastAsia="仿宋_GB2312"/>
                <w:color w:val="000000" w:themeColor="text1"/>
                <w:sz w:val="28"/>
                <w:szCs w:val="24"/>
                <w:highlight w:val="none"/>
              </w:rPr>
            </w:pPr>
          </w:p>
        </w:tc>
        <w:tc>
          <w:tcPr>
            <w:tcW w:w="3465" w:type="dxa"/>
          </w:tcPr>
          <w:p>
            <w:pPr>
              <w:pStyle w:val="24"/>
              <w:spacing w:line="400" w:lineRule="exact"/>
              <w:rPr>
                <w:rFonts w:ascii="仿宋_GB2312" w:hAnsi="宋体" w:eastAsia="仿宋_GB2312"/>
                <w:color w:val="000000" w:themeColor="text1"/>
                <w:sz w:val="28"/>
                <w:szCs w:val="24"/>
                <w:highlight w:val="none"/>
              </w:rPr>
            </w:pPr>
          </w:p>
        </w:tc>
        <w:tc>
          <w:tcPr>
            <w:tcW w:w="1236" w:type="dxa"/>
          </w:tcPr>
          <w:p>
            <w:pPr>
              <w:pStyle w:val="24"/>
              <w:spacing w:line="400" w:lineRule="exact"/>
              <w:rPr>
                <w:rFonts w:ascii="仿宋_GB2312" w:hAnsi="宋体" w:eastAsia="仿宋_GB2312"/>
                <w:color w:val="000000" w:themeColor="text1"/>
                <w:sz w:val="28"/>
                <w:szCs w:val="24"/>
                <w:highlight w:val="none"/>
              </w:rPr>
            </w:pPr>
          </w:p>
        </w:tc>
        <w:tc>
          <w:tcPr>
            <w:tcW w:w="3360" w:type="dxa"/>
          </w:tcPr>
          <w:p>
            <w:pPr>
              <w:pStyle w:val="24"/>
              <w:spacing w:line="400" w:lineRule="exact"/>
              <w:rPr>
                <w:rFonts w:ascii="仿宋_GB2312" w:hAnsi="宋体" w:eastAsia="仿宋_GB2312"/>
                <w:color w:val="000000" w:themeColor="text1"/>
                <w:sz w:val="28"/>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2" w:hRule="atLeast"/>
        </w:trPr>
        <w:tc>
          <w:tcPr>
            <w:tcW w:w="468" w:type="dxa"/>
          </w:tcPr>
          <w:p>
            <w:pPr>
              <w:pStyle w:val="24"/>
              <w:spacing w:line="400" w:lineRule="exact"/>
              <w:rPr>
                <w:rFonts w:ascii="仿宋_GB2312" w:hAnsi="宋体" w:eastAsia="仿宋_GB2312"/>
                <w:color w:val="000000" w:themeColor="text1"/>
                <w:sz w:val="28"/>
                <w:szCs w:val="24"/>
                <w:highlight w:val="none"/>
              </w:rPr>
            </w:pPr>
          </w:p>
        </w:tc>
        <w:tc>
          <w:tcPr>
            <w:tcW w:w="1236" w:type="dxa"/>
          </w:tcPr>
          <w:p>
            <w:pPr>
              <w:pStyle w:val="24"/>
              <w:spacing w:line="400" w:lineRule="exact"/>
              <w:rPr>
                <w:rFonts w:ascii="仿宋_GB2312" w:hAnsi="宋体" w:eastAsia="仿宋_GB2312"/>
                <w:color w:val="000000" w:themeColor="text1"/>
                <w:sz w:val="28"/>
                <w:szCs w:val="24"/>
                <w:highlight w:val="none"/>
              </w:rPr>
            </w:pPr>
          </w:p>
        </w:tc>
        <w:tc>
          <w:tcPr>
            <w:tcW w:w="3465" w:type="dxa"/>
          </w:tcPr>
          <w:p>
            <w:pPr>
              <w:pStyle w:val="24"/>
              <w:spacing w:line="400" w:lineRule="exact"/>
              <w:rPr>
                <w:rFonts w:ascii="仿宋_GB2312" w:hAnsi="宋体" w:eastAsia="仿宋_GB2312"/>
                <w:color w:val="000000" w:themeColor="text1"/>
                <w:sz w:val="28"/>
                <w:szCs w:val="24"/>
                <w:highlight w:val="none"/>
              </w:rPr>
            </w:pPr>
          </w:p>
        </w:tc>
        <w:tc>
          <w:tcPr>
            <w:tcW w:w="1236" w:type="dxa"/>
          </w:tcPr>
          <w:p>
            <w:pPr>
              <w:pStyle w:val="24"/>
              <w:spacing w:line="400" w:lineRule="exact"/>
              <w:rPr>
                <w:rFonts w:ascii="仿宋_GB2312" w:hAnsi="宋体" w:eastAsia="仿宋_GB2312"/>
                <w:color w:val="000000" w:themeColor="text1"/>
                <w:sz w:val="28"/>
                <w:szCs w:val="24"/>
                <w:highlight w:val="none"/>
              </w:rPr>
            </w:pPr>
          </w:p>
        </w:tc>
        <w:tc>
          <w:tcPr>
            <w:tcW w:w="3360" w:type="dxa"/>
          </w:tcPr>
          <w:p>
            <w:pPr>
              <w:pStyle w:val="24"/>
              <w:spacing w:line="400" w:lineRule="exact"/>
              <w:rPr>
                <w:rFonts w:ascii="仿宋_GB2312" w:hAnsi="宋体" w:eastAsia="仿宋_GB2312"/>
                <w:color w:val="000000" w:themeColor="text1"/>
                <w:sz w:val="28"/>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5" w:hRule="atLeast"/>
        </w:trPr>
        <w:tc>
          <w:tcPr>
            <w:tcW w:w="468" w:type="dxa"/>
          </w:tcPr>
          <w:p>
            <w:pPr>
              <w:pStyle w:val="24"/>
              <w:spacing w:line="400" w:lineRule="exact"/>
              <w:rPr>
                <w:rFonts w:ascii="仿宋_GB2312" w:hAnsi="宋体" w:eastAsia="仿宋_GB2312"/>
                <w:color w:val="000000" w:themeColor="text1"/>
                <w:sz w:val="28"/>
                <w:szCs w:val="24"/>
                <w:highlight w:val="none"/>
              </w:rPr>
            </w:pPr>
          </w:p>
        </w:tc>
        <w:tc>
          <w:tcPr>
            <w:tcW w:w="1236" w:type="dxa"/>
          </w:tcPr>
          <w:p>
            <w:pPr>
              <w:pStyle w:val="24"/>
              <w:spacing w:line="400" w:lineRule="exact"/>
              <w:rPr>
                <w:rFonts w:ascii="仿宋_GB2312" w:hAnsi="宋体" w:eastAsia="仿宋_GB2312"/>
                <w:color w:val="000000" w:themeColor="text1"/>
                <w:sz w:val="28"/>
                <w:szCs w:val="24"/>
                <w:highlight w:val="none"/>
              </w:rPr>
            </w:pPr>
          </w:p>
        </w:tc>
        <w:tc>
          <w:tcPr>
            <w:tcW w:w="3465" w:type="dxa"/>
          </w:tcPr>
          <w:p>
            <w:pPr>
              <w:pStyle w:val="24"/>
              <w:spacing w:line="400" w:lineRule="exact"/>
              <w:rPr>
                <w:rFonts w:ascii="仿宋_GB2312" w:hAnsi="宋体" w:eastAsia="仿宋_GB2312"/>
                <w:color w:val="000000" w:themeColor="text1"/>
                <w:sz w:val="28"/>
                <w:szCs w:val="24"/>
                <w:highlight w:val="none"/>
              </w:rPr>
            </w:pPr>
          </w:p>
        </w:tc>
        <w:tc>
          <w:tcPr>
            <w:tcW w:w="1236" w:type="dxa"/>
          </w:tcPr>
          <w:p>
            <w:pPr>
              <w:pStyle w:val="24"/>
              <w:spacing w:line="400" w:lineRule="exact"/>
              <w:rPr>
                <w:rFonts w:ascii="仿宋_GB2312" w:hAnsi="宋体" w:eastAsia="仿宋_GB2312"/>
                <w:color w:val="000000" w:themeColor="text1"/>
                <w:sz w:val="28"/>
                <w:szCs w:val="24"/>
                <w:highlight w:val="none"/>
              </w:rPr>
            </w:pPr>
          </w:p>
        </w:tc>
        <w:tc>
          <w:tcPr>
            <w:tcW w:w="3360" w:type="dxa"/>
          </w:tcPr>
          <w:p>
            <w:pPr>
              <w:pStyle w:val="24"/>
              <w:spacing w:line="400" w:lineRule="exact"/>
              <w:rPr>
                <w:rFonts w:ascii="仿宋_GB2312" w:hAnsi="宋体" w:eastAsia="仿宋_GB2312"/>
                <w:color w:val="000000" w:themeColor="text1"/>
                <w:sz w:val="28"/>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4" w:hRule="atLeast"/>
        </w:trPr>
        <w:tc>
          <w:tcPr>
            <w:tcW w:w="468" w:type="dxa"/>
          </w:tcPr>
          <w:p>
            <w:pPr>
              <w:pStyle w:val="24"/>
              <w:spacing w:line="400" w:lineRule="exact"/>
              <w:rPr>
                <w:rFonts w:ascii="仿宋_GB2312" w:hAnsi="宋体" w:eastAsia="仿宋_GB2312"/>
                <w:color w:val="000000" w:themeColor="text1"/>
                <w:sz w:val="28"/>
                <w:szCs w:val="24"/>
                <w:highlight w:val="none"/>
              </w:rPr>
            </w:pPr>
          </w:p>
        </w:tc>
        <w:tc>
          <w:tcPr>
            <w:tcW w:w="1236" w:type="dxa"/>
          </w:tcPr>
          <w:p>
            <w:pPr>
              <w:pStyle w:val="24"/>
              <w:spacing w:line="400" w:lineRule="exact"/>
              <w:rPr>
                <w:rFonts w:ascii="仿宋_GB2312" w:hAnsi="宋体" w:eastAsia="仿宋_GB2312"/>
                <w:color w:val="000000" w:themeColor="text1"/>
                <w:sz w:val="28"/>
                <w:szCs w:val="24"/>
                <w:highlight w:val="none"/>
              </w:rPr>
            </w:pPr>
          </w:p>
        </w:tc>
        <w:tc>
          <w:tcPr>
            <w:tcW w:w="3465" w:type="dxa"/>
          </w:tcPr>
          <w:p>
            <w:pPr>
              <w:pStyle w:val="24"/>
              <w:spacing w:line="400" w:lineRule="exact"/>
              <w:rPr>
                <w:rFonts w:ascii="仿宋_GB2312" w:hAnsi="宋体" w:eastAsia="仿宋_GB2312"/>
                <w:color w:val="000000" w:themeColor="text1"/>
                <w:sz w:val="28"/>
                <w:szCs w:val="24"/>
                <w:highlight w:val="none"/>
              </w:rPr>
            </w:pPr>
          </w:p>
        </w:tc>
        <w:tc>
          <w:tcPr>
            <w:tcW w:w="1236" w:type="dxa"/>
          </w:tcPr>
          <w:p>
            <w:pPr>
              <w:pStyle w:val="24"/>
              <w:spacing w:line="400" w:lineRule="exact"/>
              <w:rPr>
                <w:rFonts w:ascii="仿宋_GB2312" w:hAnsi="宋体" w:eastAsia="仿宋_GB2312"/>
                <w:color w:val="000000" w:themeColor="text1"/>
                <w:sz w:val="28"/>
                <w:szCs w:val="24"/>
                <w:highlight w:val="none"/>
              </w:rPr>
            </w:pPr>
          </w:p>
        </w:tc>
        <w:tc>
          <w:tcPr>
            <w:tcW w:w="3360" w:type="dxa"/>
          </w:tcPr>
          <w:p>
            <w:pPr>
              <w:pStyle w:val="24"/>
              <w:spacing w:line="400" w:lineRule="exact"/>
              <w:rPr>
                <w:rFonts w:ascii="仿宋_GB2312" w:hAnsi="宋体" w:eastAsia="仿宋_GB2312"/>
                <w:color w:val="000000" w:themeColor="text1"/>
                <w:sz w:val="28"/>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3" w:hRule="atLeast"/>
        </w:trPr>
        <w:tc>
          <w:tcPr>
            <w:tcW w:w="468" w:type="dxa"/>
          </w:tcPr>
          <w:p>
            <w:pPr>
              <w:pStyle w:val="24"/>
              <w:spacing w:line="400" w:lineRule="exact"/>
              <w:rPr>
                <w:rFonts w:ascii="仿宋_GB2312" w:hAnsi="宋体" w:eastAsia="仿宋_GB2312"/>
                <w:color w:val="000000" w:themeColor="text1"/>
                <w:sz w:val="28"/>
                <w:szCs w:val="24"/>
                <w:highlight w:val="none"/>
              </w:rPr>
            </w:pPr>
          </w:p>
        </w:tc>
        <w:tc>
          <w:tcPr>
            <w:tcW w:w="1236" w:type="dxa"/>
          </w:tcPr>
          <w:p>
            <w:pPr>
              <w:pStyle w:val="24"/>
              <w:spacing w:line="400" w:lineRule="exact"/>
              <w:rPr>
                <w:rFonts w:ascii="仿宋_GB2312" w:hAnsi="宋体" w:eastAsia="仿宋_GB2312"/>
                <w:color w:val="000000" w:themeColor="text1"/>
                <w:sz w:val="28"/>
                <w:szCs w:val="24"/>
                <w:highlight w:val="none"/>
              </w:rPr>
            </w:pPr>
          </w:p>
        </w:tc>
        <w:tc>
          <w:tcPr>
            <w:tcW w:w="3465" w:type="dxa"/>
          </w:tcPr>
          <w:p>
            <w:pPr>
              <w:pStyle w:val="24"/>
              <w:spacing w:line="400" w:lineRule="exact"/>
              <w:rPr>
                <w:rFonts w:ascii="仿宋_GB2312" w:hAnsi="宋体" w:eastAsia="仿宋_GB2312"/>
                <w:color w:val="000000" w:themeColor="text1"/>
                <w:sz w:val="28"/>
                <w:szCs w:val="24"/>
                <w:highlight w:val="none"/>
              </w:rPr>
            </w:pPr>
          </w:p>
        </w:tc>
        <w:tc>
          <w:tcPr>
            <w:tcW w:w="1236" w:type="dxa"/>
          </w:tcPr>
          <w:p>
            <w:pPr>
              <w:pStyle w:val="24"/>
              <w:spacing w:line="400" w:lineRule="exact"/>
              <w:rPr>
                <w:rFonts w:ascii="仿宋_GB2312" w:hAnsi="宋体" w:eastAsia="仿宋_GB2312"/>
                <w:color w:val="000000" w:themeColor="text1"/>
                <w:sz w:val="28"/>
                <w:szCs w:val="24"/>
                <w:highlight w:val="none"/>
              </w:rPr>
            </w:pPr>
          </w:p>
        </w:tc>
        <w:tc>
          <w:tcPr>
            <w:tcW w:w="3360" w:type="dxa"/>
          </w:tcPr>
          <w:p>
            <w:pPr>
              <w:pStyle w:val="24"/>
              <w:spacing w:line="400" w:lineRule="exact"/>
              <w:rPr>
                <w:rFonts w:ascii="仿宋_GB2312" w:hAnsi="宋体" w:eastAsia="仿宋_GB2312"/>
                <w:color w:val="000000" w:themeColor="text1"/>
                <w:sz w:val="28"/>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6" w:hRule="atLeast"/>
        </w:trPr>
        <w:tc>
          <w:tcPr>
            <w:tcW w:w="468" w:type="dxa"/>
          </w:tcPr>
          <w:p>
            <w:pPr>
              <w:pStyle w:val="24"/>
              <w:spacing w:line="400" w:lineRule="exact"/>
              <w:rPr>
                <w:rFonts w:ascii="仿宋_GB2312" w:hAnsi="宋体" w:eastAsia="仿宋_GB2312"/>
                <w:color w:val="000000" w:themeColor="text1"/>
                <w:sz w:val="28"/>
                <w:szCs w:val="24"/>
                <w:highlight w:val="none"/>
              </w:rPr>
            </w:pPr>
          </w:p>
          <w:p>
            <w:pPr>
              <w:pStyle w:val="24"/>
              <w:spacing w:line="400" w:lineRule="exact"/>
              <w:rPr>
                <w:rFonts w:ascii="仿宋_GB2312" w:hAnsi="宋体" w:eastAsia="仿宋_GB2312"/>
                <w:color w:val="000000" w:themeColor="text1"/>
                <w:sz w:val="28"/>
                <w:szCs w:val="24"/>
                <w:highlight w:val="none"/>
              </w:rPr>
            </w:pPr>
          </w:p>
        </w:tc>
        <w:tc>
          <w:tcPr>
            <w:tcW w:w="1236" w:type="dxa"/>
          </w:tcPr>
          <w:p>
            <w:pPr>
              <w:pStyle w:val="24"/>
              <w:spacing w:line="400" w:lineRule="exact"/>
              <w:rPr>
                <w:rFonts w:ascii="仿宋_GB2312" w:hAnsi="宋体" w:eastAsia="仿宋_GB2312"/>
                <w:color w:val="000000" w:themeColor="text1"/>
                <w:sz w:val="28"/>
                <w:szCs w:val="24"/>
                <w:highlight w:val="none"/>
              </w:rPr>
            </w:pPr>
          </w:p>
        </w:tc>
        <w:tc>
          <w:tcPr>
            <w:tcW w:w="3465" w:type="dxa"/>
          </w:tcPr>
          <w:p>
            <w:pPr>
              <w:pStyle w:val="24"/>
              <w:spacing w:line="400" w:lineRule="exact"/>
              <w:rPr>
                <w:rFonts w:ascii="仿宋_GB2312" w:hAnsi="宋体" w:eastAsia="仿宋_GB2312"/>
                <w:color w:val="000000" w:themeColor="text1"/>
                <w:sz w:val="28"/>
                <w:szCs w:val="24"/>
                <w:highlight w:val="none"/>
              </w:rPr>
            </w:pPr>
          </w:p>
        </w:tc>
        <w:tc>
          <w:tcPr>
            <w:tcW w:w="1236" w:type="dxa"/>
          </w:tcPr>
          <w:p>
            <w:pPr>
              <w:pStyle w:val="24"/>
              <w:spacing w:line="400" w:lineRule="exact"/>
              <w:rPr>
                <w:rFonts w:ascii="仿宋_GB2312" w:hAnsi="宋体" w:eastAsia="仿宋_GB2312"/>
                <w:color w:val="000000" w:themeColor="text1"/>
                <w:sz w:val="28"/>
                <w:szCs w:val="24"/>
                <w:highlight w:val="none"/>
              </w:rPr>
            </w:pPr>
          </w:p>
        </w:tc>
        <w:tc>
          <w:tcPr>
            <w:tcW w:w="3360" w:type="dxa"/>
          </w:tcPr>
          <w:p>
            <w:pPr>
              <w:pStyle w:val="24"/>
              <w:spacing w:line="400" w:lineRule="exact"/>
              <w:rPr>
                <w:rFonts w:ascii="仿宋_GB2312" w:hAnsi="宋体" w:eastAsia="仿宋_GB2312"/>
                <w:color w:val="000000" w:themeColor="text1"/>
                <w:sz w:val="28"/>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8" w:type="dxa"/>
          </w:tcPr>
          <w:p>
            <w:pPr>
              <w:pStyle w:val="24"/>
              <w:spacing w:line="400" w:lineRule="exact"/>
              <w:rPr>
                <w:rFonts w:ascii="仿宋_GB2312" w:hAnsi="宋体" w:eastAsia="仿宋_GB2312"/>
                <w:color w:val="000000" w:themeColor="text1"/>
                <w:sz w:val="28"/>
                <w:szCs w:val="24"/>
                <w:highlight w:val="none"/>
              </w:rPr>
            </w:pPr>
          </w:p>
          <w:p>
            <w:pPr>
              <w:pStyle w:val="24"/>
              <w:spacing w:line="400" w:lineRule="exact"/>
              <w:rPr>
                <w:rFonts w:ascii="仿宋_GB2312" w:hAnsi="宋体" w:eastAsia="仿宋_GB2312"/>
                <w:color w:val="000000" w:themeColor="text1"/>
                <w:sz w:val="28"/>
                <w:szCs w:val="24"/>
                <w:highlight w:val="none"/>
              </w:rPr>
            </w:pPr>
          </w:p>
        </w:tc>
        <w:tc>
          <w:tcPr>
            <w:tcW w:w="1236" w:type="dxa"/>
          </w:tcPr>
          <w:p>
            <w:pPr>
              <w:pStyle w:val="24"/>
              <w:spacing w:line="400" w:lineRule="exact"/>
              <w:rPr>
                <w:rFonts w:ascii="仿宋_GB2312" w:hAnsi="宋体" w:eastAsia="仿宋_GB2312"/>
                <w:color w:val="000000" w:themeColor="text1"/>
                <w:sz w:val="28"/>
                <w:szCs w:val="24"/>
                <w:highlight w:val="none"/>
              </w:rPr>
            </w:pPr>
          </w:p>
        </w:tc>
        <w:tc>
          <w:tcPr>
            <w:tcW w:w="3465" w:type="dxa"/>
          </w:tcPr>
          <w:p>
            <w:pPr>
              <w:pStyle w:val="24"/>
              <w:spacing w:line="400" w:lineRule="exact"/>
              <w:rPr>
                <w:rFonts w:ascii="仿宋_GB2312" w:hAnsi="宋体" w:eastAsia="仿宋_GB2312"/>
                <w:color w:val="000000" w:themeColor="text1"/>
                <w:sz w:val="28"/>
                <w:szCs w:val="24"/>
                <w:highlight w:val="none"/>
              </w:rPr>
            </w:pPr>
          </w:p>
        </w:tc>
        <w:tc>
          <w:tcPr>
            <w:tcW w:w="1236" w:type="dxa"/>
          </w:tcPr>
          <w:p>
            <w:pPr>
              <w:pStyle w:val="24"/>
              <w:spacing w:line="400" w:lineRule="exact"/>
              <w:rPr>
                <w:rFonts w:ascii="仿宋_GB2312" w:hAnsi="宋体" w:eastAsia="仿宋_GB2312"/>
                <w:color w:val="000000" w:themeColor="text1"/>
                <w:sz w:val="28"/>
                <w:szCs w:val="24"/>
                <w:highlight w:val="none"/>
              </w:rPr>
            </w:pPr>
          </w:p>
        </w:tc>
        <w:tc>
          <w:tcPr>
            <w:tcW w:w="3360" w:type="dxa"/>
          </w:tcPr>
          <w:p>
            <w:pPr>
              <w:pStyle w:val="24"/>
              <w:spacing w:line="400" w:lineRule="exact"/>
              <w:rPr>
                <w:rFonts w:ascii="仿宋_GB2312" w:hAnsi="宋体" w:eastAsia="仿宋_GB2312"/>
                <w:color w:val="000000" w:themeColor="text1"/>
                <w:sz w:val="28"/>
                <w:szCs w:val="24"/>
                <w:highlight w:val="none"/>
              </w:rPr>
            </w:pPr>
          </w:p>
        </w:tc>
      </w:tr>
    </w:tbl>
    <w:p>
      <w:pPr>
        <w:pStyle w:val="24"/>
        <w:spacing w:line="400" w:lineRule="exact"/>
        <w:rPr>
          <w:rFonts w:ascii="仿宋_GB2312" w:hAnsi="宋体" w:eastAsia="仿宋_GB2312"/>
          <w:color w:val="000000" w:themeColor="text1"/>
          <w:sz w:val="24"/>
          <w:highlight w:val="none"/>
        </w:rPr>
      </w:pPr>
      <w:r>
        <w:rPr>
          <w:rFonts w:hint="eastAsia" w:ascii="仿宋_GB2312" w:hAnsi="宋体" w:eastAsia="仿宋_GB2312"/>
          <w:color w:val="000000" w:themeColor="text1"/>
          <w:sz w:val="24"/>
          <w:highlight w:val="none"/>
        </w:rPr>
        <w:t>注：无偏离可填写“无”字，有偏离必须在本表列明，实际存在负偏离而在本表内没有列明的，或有虚假投标信息的，监管部门将其列入不诚信名单（或不诚信记录）。</w:t>
      </w:r>
    </w:p>
    <w:p>
      <w:pPr>
        <w:spacing w:line="360" w:lineRule="exact"/>
        <w:ind w:firstLine="4900" w:firstLineChars="1750"/>
        <w:rPr>
          <w:rFonts w:ascii="仿宋_GB2312" w:hAnsi="宋体" w:eastAsia="仿宋_GB2312"/>
          <w:color w:val="000000" w:themeColor="text1"/>
          <w:sz w:val="28"/>
          <w:highlight w:val="none"/>
        </w:rPr>
      </w:pPr>
    </w:p>
    <w:p>
      <w:pPr>
        <w:spacing w:line="360" w:lineRule="exact"/>
        <w:ind w:firstLine="4900" w:firstLineChars="1750"/>
        <w:rPr>
          <w:rFonts w:ascii="仿宋_GB2312" w:hAnsi="宋体" w:eastAsia="仿宋_GB2312"/>
          <w:color w:val="000000" w:themeColor="text1"/>
          <w:sz w:val="28"/>
          <w:highlight w:val="none"/>
        </w:rPr>
      </w:pPr>
    </w:p>
    <w:p>
      <w:pPr>
        <w:wordWrap w:val="0"/>
        <w:spacing w:line="560" w:lineRule="exact"/>
        <w:ind w:right="960" w:firstLine="4320" w:firstLineChars="1350"/>
        <w:rPr>
          <w:rFonts w:ascii="仿宋" w:hAnsi="仿宋" w:eastAsia="仿宋"/>
          <w:color w:val="000000" w:themeColor="text1"/>
          <w:sz w:val="32"/>
          <w:szCs w:val="32"/>
          <w:highlight w:val="none"/>
        </w:rPr>
      </w:pPr>
      <w:r>
        <w:rPr>
          <w:rFonts w:hint="eastAsia" w:ascii="仿宋" w:hAnsi="仿宋" w:eastAsia="仿宋"/>
          <w:color w:val="000000" w:themeColor="text1"/>
          <w:sz w:val="32"/>
          <w:szCs w:val="32"/>
          <w:highlight w:val="none"/>
        </w:rPr>
        <w:t xml:space="preserve">投标人单位（盖章）： </w:t>
      </w:r>
    </w:p>
    <w:p>
      <w:pPr>
        <w:jc w:val="right"/>
        <w:rPr>
          <w:rFonts w:ascii="仿宋" w:hAnsi="仿宋" w:eastAsia="仿宋"/>
          <w:color w:val="000000" w:themeColor="text1"/>
          <w:sz w:val="32"/>
          <w:szCs w:val="32"/>
          <w:highlight w:val="none"/>
        </w:rPr>
        <w:sectPr>
          <w:pgSz w:w="11906" w:h="16838"/>
          <w:pgMar w:top="1440" w:right="1080" w:bottom="1440" w:left="1080" w:header="851" w:footer="992" w:gutter="0"/>
          <w:cols w:space="425" w:num="1"/>
          <w:docGrid w:type="lines" w:linePitch="312" w:charSpace="0"/>
        </w:sectPr>
      </w:pPr>
      <w:r>
        <w:rPr>
          <w:rFonts w:hint="eastAsia" w:ascii="仿宋" w:hAnsi="仿宋" w:eastAsia="仿宋"/>
          <w:color w:val="000000" w:themeColor="text1"/>
          <w:sz w:val="32"/>
          <w:szCs w:val="32"/>
          <w:highlight w:val="none"/>
        </w:rPr>
        <w:t>法定代表人或被授权人（签字或盖章）</w:t>
      </w:r>
    </w:p>
    <w:p>
      <w:pPr>
        <w:jc w:val="center"/>
        <w:rPr>
          <w:rFonts w:ascii="宋体" w:hAnsi="宋体"/>
          <w:b/>
          <w:bCs/>
          <w:color w:val="000000" w:themeColor="text1"/>
          <w:sz w:val="44"/>
          <w:szCs w:val="44"/>
          <w:highlight w:val="none"/>
        </w:rPr>
      </w:pPr>
      <w:r>
        <w:rPr>
          <w:rFonts w:ascii="宋体" w:hAnsi="宋体"/>
          <w:b/>
          <w:bCs/>
          <w:color w:val="000000" w:themeColor="text1"/>
          <w:sz w:val="44"/>
          <w:szCs w:val="44"/>
          <w:highlight w:val="none"/>
        </w:rPr>
        <w:t>技术文件</w:t>
      </w:r>
    </w:p>
    <w:p>
      <w:pPr>
        <w:jc w:val="center"/>
        <w:rPr>
          <w:rFonts w:ascii="宋体" w:hAnsi="宋体"/>
          <w:b/>
          <w:bCs/>
          <w:color w:val="000000" w:themeColor="text1"/>
          <w:sz w:val="44"/>
          <w:szCs w:val="44"/>
          <w:highlight w:val="none"/>
        </w:rPr>
        <w:sectPr>
          <w:pgSz w:w="11906" w:h="16838"/>
          <w:pgMar w:top="1440" w:right="1080" w:bottom="1440" w:left="1080" w:header="851" w:footer="992" w:gutter="0"/>
          <w:cols w:space="425" w:num="1"/>
          <w:docGrid w:type="lines" w:linePitch="312" w:charSpace="0"/>
        </w:sectPr>
      </w:pPr>
      <w:r>
        <w:rPr>
          <w:rFonts w:hint="eastAsia" w:ascii="宋体" w:hAnsi="宋体"/>
          <w:b/>
          <w:bCs/>
          <w:color w:val="000000" w:themeColor="text1"/>
          <w:sz w:val="44"/>
          <w:szCs w:val="44"/>
          <w:highlight w:val="none"/>
        </w:rPr>
        <w:t>（由供应商自行编制）</w:t>
      </w:r>
    </w:p>
    <w:p>
      <w:pPr>
        <w:pStyle w:val="42"/>
        <w:spacing w:before="0" w:after="0" w:line="360" w:lineRule="auto"/>
        <w:ind w:firstLine="646" w:firstLineChars="201"/>
        <w:rPr>
          <w:rFonts w:ascii="宋体" w:hAnsi="宋体" w:cs="宋体"/>
          <w:color w:val="000000" w:themeColor="text1"/>
          <w:highlight w:val="none"/>
        </w:rPr>
        <w:sectPr>
          <w:pgSz w:w="11906" w:h="16838"/>
          <w:pgMar w:top="1440" w:right="1080" w:bottom="1440" w:left="1080" w:header="851" w:footer="992" w:gutter="0"/>
          <w:cols w:space="425" w:num="1"/>
          <w:docGrid w:type="lines" w:linePitch="312" w:charSpace="0"/>
        </w:sectPr>
      </w:pPr>
      <w:r>
        <w:rPr>
          <w:rFonts w:hint="eastAsia" w:ascii="宋体" w:hAnsi="宋体" w:cs="宋体"/>
          <w:color w:val="000000" w:themeColor="text1"/>
          <w:highlight w:val="none"/>
        </w:rPr>
        <w:t>第六章合同书格式</w:t>
      </w:r>
    </w:p>
    <w:p>
      <w:pPr>
        <w:pStyle w:val="24"/>
        <w:spacing w:line="360" w:lineRule="exact"/>
        <w:rPr>
          <w:rFonts w:ascii="仿宋" w:hAnsi="仿宋" w:eastAsia="仿宋"/>
          <w:color w:val="000000" w:themeColor="text1"/>
          <w:sz w:val="28"/>
          <w:szCs w:val="28"/>
          <w:highlight w:val="none"/>
        </w:rPr>
      </w:pPr>
    </w:p>
    <w:p>
      <w:pPr>
        <w:spacing w:line="360" w:lineRule="auto"/>
        <w:jc w:val="center"/>
        <w:outlineLvl w:val="0"/>
        <w:rPr>
          <w:rFonts w:ascii="仿宋" w:eastAsia="仿宋"/>
          <w:b/>
          <w:bCs/>
          <w:color w:val="000000" w:themeColor="text1"/>
          <w:sz w:val="52"/>
          <w:szCs w:val="52"/>
          <w:highlight w:val="none"/>
        </w:rPr>
      </w:pPr>
      <w:r>
        <w:rPr>
          <w:rFonts w:hint="eastAsia" w:ascii="仿宋" w:eastAsia="仿宋"/>
          <w:b/>
          <w:bCs/>
          <w:color w:val="000000" w:themeColor="text1"/>
          <w:sz w:val="52"/>
          <w:szCs w:val="52"/>
          <w:highlight w:val="none"/>
        </w:rPr>
        <w:t>威海市港城建设集团有限公司</w:t>
      </w:r>
    </w:p>
    <w:p>
      <w:pPr>
        <w:spacing w:line="360" w:lineRule="auto"/>
        <w:jc w:val="center"/>
        <w:outlineLvl w:val="0"/>
        <w:rPr>
          <w:rFonts w:ascii="仿宋" w:eastAsia="仿宋"/>
          <w:b/>
          <w:bCs/>
          <w:color w:val="000000" w:themeColor="text1"/>
          <w:sz w:val="52"/>
          <w:szCs w:val="52"/>
          <w:highlight w:val="none"/>
        </w:rPr>
      </w:pPr>
      <w:r>
        <w:rPr>
          <w:rFonts w:hint="eastAsia" w:ascii="仿宋" w:eastAsia="仿宋"/>
          <w:b/>
          <w:bCs/>
          <w:color w:val="000000" w:themeColor="text1"/>
          <w:sz w:val="52"/>
          <w:szCs w:val="52"/>
          <w:highlight w:val="none"/>
        </w:rPr>
        <w:t>荣成市第二十三中学特色教室及智慧文化建设采购合同</w:t>
      </w:r>
    </w:p>
    <w:p>
      <w:pPr>
        <w:spacing w:line="360" w:lineRule="auto"/>
        <w:jc w:val="center"/>
        <w:outlineLvl w:val="0"/>
        <w:rPr>
          <w:rFonts w:ascii="仿宋" w:eastAsia="仿宋"/>
          <w:bCs/>
          <w:color w:val="000000" w:themeColor="text1"/>
          <w:sz w:val="52"/>
          <w:szCs w:val="52"/>
          <w:highlight w:val="none"/>
        </w:rPr>
      </w:pPr>
    </w:p>
    <w:p>
      <w:pPr>
        <w:spacing w:line="360" w:lineRule="auto"/>
        <w:jc w:val="center"/>
        <w:rPr>
          <w:rFonts w:ascii="仿宋" w:eastAsia="仿宋"/>
          <w:b/>
          <w:color w:val="000000" w:themeColor="text1"/>
          <w:sz w:val="52"/>
          <w:szCs w:val="52"/>
          <w:highlight w:val="none"/>
        </w:rPr>
      </w:pPr>
    </w:p>
    <w:p>
      <w:pPr>
        <w:spacing w:line="360" w:lineRule="auto"/>
        <w:jc w:val="center"/>
        <w:rPr>
          <w:rFonts w:ascii="仿宋" w:eastAsia="仿宋"/>
          <w:b/>
          <w:color w:val="000000" w:themeColor="text1"/>
          <w:sz w:val="52"/>
          <w:szCs w:val="52"/>
          <w:highlight w:val="none"/>
        </w:rPr>
      </w:pPr>
    </w:p>
    <w:p>
      <w:pPr>
        <w:rPr>
          <w:rFonts w:ascii="仿宋" w:eastAsia="仿宋"/>
          <w:color w:val="000000" w:themeColor="text1"/>
          <w:sz w:val="32"/>
          <w:szCs w:val="20"/>
          <w:highlight w:val="none"/>
        </w:rPr>
      </w:pPr>
    </w:p>
    <w:p>
      <w:pPr>
        <w:rPr>
          <w:rFonts w:ascii="仿宋" w:eastAsia="仿宋"/>
          <w:color w:val="000000" w:themeColor="text1"/>
          <w:sz w:val="32"/>
          <w:szCs w:val="20"/>
          <w:highlight w:val="none"/>
        </w:rPr>
      </w:pPr>
      <w:r>
        <w:rPr>
          <w:rFonts w:hint="eastAsia" w:ascii="宋体" w:cs="宋体"/>
          <w:color w:val="000000" w:themeColor="text1"/>
          <w:highlight w:val="none"/>
        </w:rPr>
        <w:t> </w:t>
      </w:r>
    </w:p>
    <w:p>
      <w:pPr>
        <w:tabs>
          <w:tab w:val="right" w:pos="8312"/>
        </w:tabs>
        <w:spacing w:line="520" w:lineRule="exact"/>
        <w:ind w:firstLine="1911" w:firstLineChars="595"/>
        <w:rPr>
          <w:rFonts w:ascii="仿宋" w:eastAsia="仿宋"/>
          <w:b/>
          <w:color w:val="000000" w:themeColor="text1"/>
          <w:sz w:val="32"/>
          <w:szCs w:val="32"/>
          <w:highlight w:val="none"/>
        </w:rPr>
      </w:pPr>
    </w:p>
    <w:p>
      <w:pPr>
        <w:tabs>
          <w:tab w:val="right" w:pos="8312"/>
        </w:tabs>
        <w:spacing w:line="520" w:lineRule="exact"/>
        <w:ind w:firstLine="1911" w:firstLineChars="595"/>
        <w:rPr>
          <w:rFonts w:ascii="仿宋" w:eastAsia="仿宋"/>
          <w:b/>
          <w:color w:val="000000" w:themeColor="text1"/>
          <w:sz w:val="32"/>
          <w:szCs w:val="32"/>
          <w:highlight w:val="none"/>
        </w:rPr>
      </w:pPr>
    </w:p>
    <w:p>
      <w:pPr>
        <w:tabs>
          <w:tab w:val="right" w:pos="8312"/>
        </w:tabs>
        <w:spacing w:line="520" w:lineRule="exact"/>
        <w:ind w:firstLine="1911" w:firstLineChars="595"/>
        <w:rPr>
          <w:rFonts w:ascii="仿宋" w:eastAsia="仿宋"/>
          <w:b/>
          <w:color w:val="000000" w:themeColor="text1"/>
          <w:sz w:val="32"/>
          <w:szCs w:val="32"/>
          <w:highlight w:val="none"/>
        </w:rPr>
      </w:pPr>
    </w:p>
    <w:p>
      <w:pPr>
        <w:spacing w:line="520" w:lineRule="exact"/>
        <w:rPr>
          <w:rFonts w:ascii="仿宋" w:eastAsia="仿宋"/>
          <w:color w:val="000000" w:themeColor="text1"/>
          <w:sz w:val="32"/>
          <w:highlight w:val="none"/>
        </w:rPr>
      </w:pPr>
      <w:r>
        <w:rPr>
          <w:rFonts w:hint="eastAsia" w:ascii="宋体" w:cs="宋体"/>
          <w:color w:val="000000" w:themeColor="text1"/>
          <w:sz w:val="32"/>
          <w:highlight w:val="none"/>
        </w:rPr>
        <w:t> </w:t>
      </w:r>
    </w:p>
    <w:p>
      <w:pPr>
        <w:spacing w:line="276" w:lineRule="auto"/>
        <w:ind w:firstLine="1280" w:firstLineChars="400"/>
        <w:rPr>
          <w:rFonts w:ascii="仿宋" w:eastAsia="仿宋" w:cs="宋体"/>
          <w:color w:val="000000" w:themeColor="text1"/>
          <w:sz w:val="32"/>
          <w:szCs w:val="32"/>
          <w:highlight w:val="none"/>
        </w:rPr>
      </w:pPr>
      <w:r>
        <w:rPr>
          <w:rFonts w:hint="eastAsia" w:ascii="仿宋" w:eastAsia="仿宋" w:cs="宋体"/>
          <w:color w:val="000000" w:themeColor="text1"/>
          <w:sz w:val="32"/>
          <w:szCs w:val="32"/>
          <w:highlight w:val="none"/>
        </w:rPr>
        <w:t>采购人：威海市港城建设集团有限公司</w:t>
      </w:r>
    </w:p>
    <w:p>
      <w:pPr>
        <w:spacing w:line="276" w:lineRule="auto"/>
        <w:ind w:firstLine="1280" w:firstLineChars="400"/>
        <w:rPr>
          <w:rFonts w:ascii="仿宋" w:eastAsia="仿宋" w:cs="宋体"/>
          <w:color w:val="000000" w:themeColor="text1"/>
          <w:sz w:val="32"/>
          <w:szCs w:val="32"/>
          <w:highlight w:val="none"/>
        </w:rPr>
      </w:pPr>
      <w:r>
        <w:rPr>
          <w:rFonts w:hint="eastAsia" w:ascii="仿宋" w:eastAsia="仿宋" w:cs="宋体"/>
          <w:color w:val="000000" w:themeColor="text1"/>
          <w:sz w:val="32"/>
          <w:szCs w:val="32"/>
          <w:highlight w:val="none"/>
        </w:rPr>
        <w:t>成交单位：中标人</w:t>
      </w:r>
    </w:p>
    <w:p>
      <w:pPr>
        <w:pStyle w:val="24"/>
        <w:spacing w:line="520" w:lineRule="exact"/>
        <w:ind w:firstLine="1280" w:firstLineChars="400"/>
        <w:rPr>
          <w:rFonts w:hint="eastAsia" w:eastAsia="仿宋"/>
          <w:color w:val="000000" w:themeColor="text1"/>
          <w:sz w:val="32"/>
          <w:szCs w:val="32"/>
          <w:highlight w:val="none"/>
          <w:lang w:eastAsia="zh-CN"/>
        </w:rPr>
      </w:pPr>
      <w:r>
        <w:rPr>
          <w:rFonts w:hint="eastAsia" w:ascii="仿宋" w:eastAsia="仿宋"/>
          <w:color w:val="000000" w:themeColor="text1"/>
          <w:sz w:val="32"/>
          <w:szCs w:val="32"/>
          <w:highlight w:val="none"/>
        </w:rPr>
        <w:t>合同编号:</w:t>
      </w:r>
      <w:r>
        <w:rPr>
          <w:rFonts w:hint="eastAsia" w:ascii="仿宋" w:eastAsia="仿宋"/>
          <w:color w:val="000000" w:themeColor="text1"/>
          <w:sz w:val="32"/>
          <w:szCs w:val="32"/>
          <w:highlight w:val="none"/>
          <w:lang w:eastAsia="zh-CN"/>
        </w:rPr>
        <w:t>WHHGYSDGQ2026-16</w:t>
      </w:r>
    </w:p>
    <w:p>
      <w:pPr>
        <w:widowControl/>
        <w:spacing w:line="276" w:lineRule="auto"/>
        <w:jc w:val="left"/>
        <w:rPr>
          <w:rFonts w:ascii="仿宋" w:eastAsia="仿宋"/>
          <w:color w:val="000000" w:themeColor="text1"/>
          <w:sz w:val="32"/>
          <w:szCs w:val="32"/>
          <w:highlight w:val="none"/>
        </w:rPr>
      </w:pPr>
      <w:r>
        <w:rPr>
          <w:rFonts w:hint="eastAsia" w:ascii="仿宋" w:eastAsia="仿宋"/>
          <w:color w:val="000000" w:themeColor="text1"/>
          <w:sz w:val="32"/>
          <w:szCs w:val="32"/>
          <w:highlight w:val="none"/>
        </w:rPr>
        <w:t xml:space="preserve">        招标代理机构：山东志诚工程咨询管理有限公司</w:t>
      </w:r>
    </w:p>
    <w:p>
      <w:pPr>
        <w:spacing w:line="276" w:lineRule="auto"/>
        <w:ind w:firstLine="1280" w:firstLineChars="400"/>
        <w:rPr>
          <w:rFonts w:ascii="仿宋" w:eastAsia="仿宋" w:cs="宋体"/>
          <w:color w:val="000000" w:themeColor="text1"/>
          <w:sz w:val="32"/>
          <w:szCs w:val="32"/>
          <w:highlight w:val="none"/>
        </w:rPr>
      </w:pPr>
      <w:r>
        <w:rPr>
          <w:rFonts w:hint="eastAsia" w:ascii="仿宋" w:eastAsia="仿宋" w:cs="宋体"/>
          <w:color w:val="000000" w:themeColor="text1"/>
          <w:sz w:val="32"/>
          <w:szCs w:val="32"/>
          <w:highlight w:val="none"/>
        </w:rPr>
        <w:t>签订日期：2026年   月   日</w:t>
      </w:r>
      <w:r>
        <w:rPr>
          <w:rFonts w:hint="eastAsia" w:ascii="宋体" w:cs="宋体"/>
          <w:color w:val="000000" w:themeColor="text1"/>
          <w:sz w:val="32"/>
          <w:szCs w:val="32"/>
          <w:highlight w:val="none"/>
        </w:rPr>
        <w:t> </w:t>
      </w:r>
    </w:p>
    <w:p>
      <w:pPr>
        <w:wordWrap w:val="0"/>
        <w:spacing w:line="640" w:lineRule="exact"/>
        <w:ind w:right="560"/>
        <w:jc w:val="right"/>
        <w:rPr>
          <w:rFonts w:ascii="仿宋" w:eastAsia="仿宋"/>
          <w:color w:val="000000" w:themeColor="text1"/>
          <w:sz w:val="28"/>
          <w:szCs w:val="28"/>
          <w:highlight w:val="none"/>
        </w:rPr>
      </w:pPr>
    </w:p>
    <w:p>
      <w:pPr>
        <w:pStyle w:val="24"/>
        <w:spacing w:line="520" w:lineRule="exact"/>
        <w:jc w:val="center"/>
        <w:rPr>
          <w:rFonts w:ascii="仿宋" w:eastAsia="仿宋"/>
          <w:color w:val="000000" w:themeColor="text1"/>
          <w:sz w:val="28"/>
          <w:szCs w:val="28"/>
          <w:highlight w:val="none"/>
        </w:rPr>
      </w:pPr>
    </w:p>
    <w:p>
      <w:pPr>
        <w:pStyle w:val="105"/>
        <w:rPr>
          <w:rFonts w:cs="Times New Roman"/>
          <w:b/>
          <w:color w:val="000000" w:themeColor="text1"/>
          <w:kern w:val="2"/>
          <w:sz w:val="36"/>
          <w:szCs w:val="36"/>
          <w:highlight w:val="none"/>
        </w:rPr>
      </w:pPr>
    </w:p>
    <w:p>
      <w:pPr>
        <w:spacing w:line="600" w:lineRule="exact"/>
        <w:jc w:val="center"/>
        <w:rPr>
          <w:rFonts w:ascii="宋体" w:hAnsi="宋体"/>
          <w:color w:val="000000" w:themeColor="text1"/>
          <w:sz w:val="32"/>
          <w:szCs w:val="32"/>
          <w:highlight w:val="none"/>
        </w:rPr>
      </w:pPr>
      <w:r>
        <w:rPr>
          <w:rFonts w:ascii="宋体" w:hAnsi="宋体"/>
          <w:b/>
          <w:bCs/>
          <w:color w:val="000000" w:themeColor="text1"/>
          <w:sz w:val="44"/>
          <w:szCs w:val="44"/>
          <w:highlight w:val="none"/>
        </w:rPr>
        <w:br w:type="page"/>
      </w:r>
      <w:r>
        <w:rPr>
          <w:rFonts w:hint="eastAsia" w:ascii="宋体" w:hAnsi="宋体"/>
          <w:b/>
          <w:bCs/>
          <w:color w:val="000000" w:themeColor="text1"/>
          <w:sz w:val="32"/>
          <w:szCs w:val="32"/>
          <w:highlight w:val="none"/>
        </w:rPr>
        <w:t>合 同 书</w:t>
      </w:r>
    </w:p>
    <w:p>
      <w:pPr>
        <w:spacing w:line="600" w:lineRule="exact"/>
        <w:rPr>
          <w:rFonts w:ascii="仿宋_GB2312" w:hAnsi="宋体" w:eastAsia="仿宋_GB2312"/>
          <w:color w:val="000000" w:themeColor="text1"/>
          <w:sz w:val="28"/>
          <w:szCs w:val="28"/>
          <w:highlight w:val="none"/>
        </w:rPr>
      </w:pPr>
    </w:p>
    <w:p>
      <w:pPr>
        <w:pStyle w:val="404"/>
        <w:spacing w:line="520" w:lineRule="exact"/>
        <w:ind w:left="105" w:hanging="105"/>
        <w:rPr>
          <w:rStyle w:val="337"/>
          <w:rFonts w:ascii="仿宋" w:eastAsia="仿宋"/>
          <w:color w:val="000000" w:themeColor="text1"/>
          <w:sz w:val="28"/>
          <w:szCs w:val="28"/>
          <w:highlight w:val="none"/>
        </w:rPr>
      </w:pPr>
      <w:r>
        <w:rPr>
          <w:rStyle w:val="337"/>
          <w:rFonts w:ascii="仿宋" w:eastAsia="仿宋"/>
          <w:color w:val="000000" w:themeColor="text1"/>
          <w:sz w:val="28"/>
          <w:szCs w:val="28"/>
          <w:highlight w:val="none"/>
        </w:rPr>
        <w:t>甲方：</w:t>
      </w:r>
      <w:r>
        <w:rPr>
          <w:rFonts w:hint="eastAsia" w:ascii="仿宋" w:eastAsia="仿宋"/>
          <w:color w:val="000000" w:themeColor="text1"/>
          <w:sz w:val="28"/>
          <w:szCs w:val="28"/>
          <w:highlight w:val="none"/>
          <w:u w:val="single" w:color="000000"/>
        </w:rPr>
        <w:t>威海市港城建设集团有限公司</w:t>
      </w:r>
    </w:p>
    <w:p>
      <w:pPr>
        <w:pStyle w:val="404"/>
        <w:spacing w:line="520" w:lineRule="exact"/>
        <w:ind w:left="105" w:hanging="105"/>
        <w:rPr>
          <w:rStyle w:val="337"/>
          <w:rFonts w:ascii="仿宋" w:eastAsia="仿宋"/>
          <w:color w:val="000000" w:themeColor="text1"/>
          <w:sz w:val="28"/>
          <w:szCs w:val="28"/>
          <w:highlight w:val="none"/>
        </w:rPr>
      </w:pPr>
      <w:r>
        <w:rPr>
          <w:rStyle w:val="337"/>
          <w:rFonts w:ascii="仿宋" w:eastAsia="仿宋"/>
          <w:color w:val="000000" w:themeColor="text1"/>
          <w:sz w:val="28"/>
          <w:szCs w:val="28"/>
          <w:highlight w:val="none"/>
        </w:rPr>
        <w:t>乙方：</w:t>
      </w:r>
      <w:r>
        <w:rPr>
          <w:rStyle w:val="337"/>
          <w:rFonts w:hint="eastAsia" w:ascii="仿宋" w:eastAsia="仿宋"/>
          <w:color w:val="000000" w:themeColor="text1"/>
          <w:sz w:val="28"/>
          <w:szCs w:val="28"/>
          <w:highlight w:val="none"/>
          <w:u w:val="single" w:color="000000"/>
        </w:rPr>
        <w:t>中标人</w:t>
      </w:r>
      <w:r>
        <w:rPr>
          <w:rStyle w:val="337"/>
          <w:rFonts w:ascii="仿宋" w:eastAsia="仿宋"/>
          <w:color w:val="000000" w:themeColor="text1"/>
          <w:sz w:val="28"/>
          <w:szCs w:val="28"/>
          <w:highlight w:val="none"/>
          <w:u w:val="single" w:color="000000"/>
        </w:rPr>
        <w:t xml:space="preserve">                </w:t>
      </w:r>
    </w:p>
    <w:p>
      <w:pPr>
        <w:pStyle w:val="404"/>
        <w:spacing w:line="520" w:lineRule="exact"/>
        <w:ind w:firstLine="567"/>
        <w:rPr>
          <w:rStyle w:val="337"/>
          <w:rFonts w:ascii="仿宋" w:eastAsia="仿宋"/>
          <w:color w:val="000000" w:themeColor="text1"/>
          <w:sz w:val="28"/>
          <w:szCs w:val="28"/>
          <w:highlight w:val="none"/>
        </w:rPr>
      </w:pPr>
      <w:r>
        <w:rPr>
          <w:rStyle w:val="337"/>
          <w:rFonts w:ascii="仿宋" w:eastAsia="仿宋"/>
          <w:color w:val="000000" w:themeColor="text1"/>
          <w:sz w:val="28"/>
          <w:szCs w:val="28"/>
          <w:highlight w:val="none"/>
        </w:rPr>
        <w:t>本合同于202</w:t>
      </w:r>
      <w:r>
        <w:rPr>
          <w:rStyle w:val="337"/>
          <w:rFonts w:hint="eastAsia" w:ascii="仿宋" w:eastAsia="仿宋"/>
          <w:color w:val="000000" w:themeColor="text1"/>
          <w:sz w:val="28"/>
          <w:szCs w:val="28"/>
          <w:highlight w:val="none"/>
        </w:rPr>
        <w:t>6</w:t>
      </w:r>
      <w:r>
        <w:rPr>
          <w:rStyle w:val="337"/>
          <w:rFonts w:ascii="仿宋" w:eastAsia="仿宋"/>
          <w:color w:val="000000" w:themeColor="text1"/>
          <w:sz w:val="28"/>
          <w:szCs w:val="28"/>
          <w:highlight w:val="none"/>
        </w:rPr>
        <w:t>年  月  日，由甲、乙双方共同签订。甲方为</w:t>
      </w:r>
      <w:r>
        <w:rPr>
          <w:rStyle w:val="337"/>
          <w:rFonts w:hint="eastAsia" w:ascii="仿宋" w:eastAsia="仿宋"/>
          <w:color w:val="000000" w:themeColor="text1"/>
          <w:sz w:val="28"/>
          <w:szCs w:val="28"/>
          <w:highlight w:val="none"/>
        </w:rPr>
        <w:t>威海市港城建设集团有限公司</w:t>
      </w:r>
      <w:r>
        <w:rPr>
          <w:rStyle w:val="337"/>
          <w:rFonts w:ascii="仿宋" w:eastAsia="仿宋"/>
          <w:color w:val="000000" w:themeColor="text1"/>
          <w:sz w:val="28"/>
          <w:szCs w:val="28"/>
          <w:highlight w:val="none"/>
        </w:rPr>
        <w:t>、乙方为成交供应商。合同双方依据《中华人民共和国民法典》及相关法律法规的规定，就采购项目的相关事宜，协商一致，达成以下条款：</w:t>
      </w:r>
    </w:p>
    <w:p>
      <w:pPr>
        <w:pStyle w:val="404"/>
        <w:spacing w:line="520" w:lineRule="exact"/>
        <w:ind w:firstLine="551" w:firstLineChars="196"/>
        <w:rPr>
          <w:rStyle w:val="337"/>
          <w:rFonts w:ascii="仿宋" w:eastAsia="仿宋"/>
          <w:b/>
          <w:color w:val="000000" w:themeColor="text1"/>
          <w:sz w:val="28"/>
          <w:szCs w:val="28"/>
          <w:highlight w:val="none"/>
        </w:rPr>
      </w:pPr>
      <w:r>
        <w:rPr>
          <w:rStyle w:val="337"/>
          <w:rFonts w:ascii="仿宋" w:eastAsia="仿宋"/>
          <w:b/>
          <w:color w:val="000000" w:themeColor="text1"/>
          <w:sz w:val="28"/>
          <w:szCs w:val="28"/>
          <w:highlight w:val="none"/>
        </w:rPr>
        <w:t>一、合同的组成部分：</w:t>
      </w:r>
    </w:p>
    <w:p>
      <w:pPr>
        <w:spacing w:line="480" w:lineRule="exact"/>
        <w:ind w:firstLine="557" w:firstLineChars="199"/>
        <w:rPr>
          <w:rStyle w:val="337"/>
          <w:rFonts w:ascii="仿宋" w:eastAsia="仿宋"/>
          <w:color w:val="000000" w:themeColor="text1"/>
          <w:sz w:val="28"/>
          <w:szCs w:val="28"/>
          <w:highlight w:val="none"/>
        </w:rPr>
      </w:pPr>
      <w:r>
        <w:rPr>
          <w:rStyle w:val="337"/>
          <w:rFonts w:ascii="仿宋" w:eastAsia="仿宋"/>
          <w:color w:val="000000" w:themeColor="text1"/>
          <w:sz w:val="28"/>
          <w:szCs w:val="28"/>
          <w:highlight w:val="none"/>
        </w:rPr>
        <w:t>1.本合同书</w:t>
      </w:r>
    </w:p>
    <w:p>
      <w:pPr>
        <w:spacing w:line="480" w:lineRule="exact"/>
        <w:ind w:firstLine="557" w:firstLineChars="199"/>
        <w:rPr>
          <w:rStyle w:val="337"/>
          <w:rFonts w:ascii="仿宋" w:eastAsia="仿宋"/>
          <w:color w:val="000000" w:themeColor="text1"/>
          <w:sz w:val="28"/>
          <w:szCs w:val="28"/>
          <w:highlight w:val="none"/>
        </w:rPr>
      </w:pPr>
      <w:r>
        <w:rPr>
          <w:rStyle w:val="337"/>
          <w:rFonts w:ascii="仿宋" w:eastAsia="仿宋"/>
          <w:color w:val="000000" w:themeColor="text1"/>
          <w:sz w:val="28"/>
          <w:szCs w:val="28"/>
          <w:highlight w:val="none"/>
        </w:rPr>
        <w:t>2.</w:t>
      </w:r>
      <w:r>
        <w:rPr>
          <w:rStyle w:val="337"/>
          <w:rFonts w:hint="eastAsia" w:ascii="仿宋" w:eastAsia="仿宋"/>
          <w:color w:val="000000" w:themeColor="text1"/>
          <w:sz w:val="28"/>
          <w:szCs w:val="28"/>
          <w:highlight w:val="none"/>
        </w:rPr>
        <w:t>中标</w:t>
      </w:r>
      <w:r>
        <w:rPr>
          <w:rStyle w:val="337"/>
          <w:rFonts w:ascii="仿宋" w:eastAsia="仿宋"/>
          <w:color w:val="000000" w:themeColor="text1"/>
          <w:sz w:val="28"/>
          <w:szCs w:val="28"/>
          <w:highlight w:val="none"/>
        </w:rPr>
        <w:t>通知书</w:t>
      </w:r>
    </w:p>
    <w:p>
      <w:pPr>
        <w:spacing w:line="480" w:lineRule="exact"/>
        <w:ind w:firstLine="560" w:firstLineChars="200"/>
        <w:rPr>
          <w:rStyle w:val="337"/>
          <w:rFonts w:ascii="仿宋" w:eastAsia="仿宋"/>
          <w:color w:val="000000" w:themeColor="text1"/>
          <w:sz w:val="28"/>
          <w:szCs w:val="28"/>
          <w:highlight w:val="none"/>
        </w:rPr>
      </w:pPr>
      <w:r>
        <w:rPr>
          <w:rStyle w:val="337"/>
          <w:rFonts w:ascii="仿宋" w:eastAsia="仿宋"/>
          <w:color w:val="000000" w:themeColor="text1"/>
          <w:sz w:val="28"/>
          <w:szCs w:val="28"/>
          <w:highlight w:val="none"/>
        </w:rPr>
        <w:t>3.</w:t>
      </w:r>
      <w:r>
        <w:rPr>
          <w:rFonts w:hint="eastAsia" w:ascii="仿宋" w:eastAsia="仿宋"/>
          <w:color w:val="000000" w:themeColor="text1"/>
          <w:sz w:val="32"/>
          <w:szCs w:val="32"/>
          <w:highlight w:val="none"/>
        </w:rPr>
        <w:t xml:space="preserve"> </w:t>
      </w:r>
      <w:r>
        <w:rPr>
          <w:rFonts w:hint="eastAsia" w:ascii="仿宋" w:eastAsia="仿宋"/>
          <w:color w:val="000000" w:themeColor="text1"/>
          <w:sz w:val="28"/>
          <w:szCs w:val="28"/>
          <w:highlight w:val="none"/>
          <w:lang w:eastAsia="zh-CN"/>
        </w:rPr>
        <w:t>WHHGYSDGQ2026-16</w:t>
      </w:r>
      <w:r>
        <w:rPr>
          <w:rStyle w:val="337"/>
          <w:rFonts w:ascii="仿宋" w:eastAsia="仿宋"/>
          <w:color w:val="000000" w:themeColor="text1"/>
          <w:sz w:val="28"/>
          <w:szCs w:val="28"/>
          <w:highlight w:val="none"/>
        </w:rPr>
        <w:t>招标文件</w:t>
      </w:r>
    </w:p>
    <w:p>
      <w:pPr>
        <w:spacing w:line="480" w:lineRule="exact"/>
        <w:ind w:firstLine="560" w:firstLineChars="200"/>
        <w:rPr>
          <w:rStyle w:val="337"/>
          <w:rFonts w:ascii="仿宋" w:eastAsia="仿宋"/>
          <w:color w:val="000000" w:themeColor="text1"/>
          <w:sz w:val="28"/>
          <w:szCs w:val="28"/>
          <w:highlight w:val="none"/>
        </w:rPr>
      </w:pPr>
      <w:r>
        <w:rPr>
          <w:rStyle w:val="337"/>
          <w:rFonts w:ascii="仿宋" w:eastAsia="仿宋"/>
          <w:color w:val="000000" w:themeColor="text1"/>
          <w:sz w:val="28"/>
          <w:szCs w:val="28"/>
          <w:highlight w:val="none"/>
        </w:rPr>
        <w:t>4.乙方的投标文件</w:t>
      </w:r>
    </w:p>
    <w:p>
      <w:pPr>
        <w:spacing w:line="480" w:lineRule="exact"/>
        <w:ind w:firstLine="560" w:firstLineChars="200"/>
        <w:rPr>
          <w:rStyle w:val="337"/>
          <w:rFonts w:ascii="仿宋" w:eastAsia="仿宋"/>
          <w:color w:val="000000" w:themeColor="text1"/>
          <w:sz w:val="28"/>
          <w:szCs w:val="28"/>
          <w:highlight w:val="none"/>
        </w:rPr>
      </w:pPr>
      <w:r>
        <w:rPr>
          <w:rStyle w:val="337"/>
          <w:rFonts w:ascii="仿宋" w:eastAsia="仿宋"/>
          <w:color w:val="000000" w:themeColor="text1"/>
          <w:sz w:val="28"/>
          <w:szCs w:val="28"/>
          <w:highlight w:val="none"/>
        </w:rPr>
        <w:t>5.乙方在评审过程中澄清的文件</w:t>
      </w:r>
    </w:p>
    <w:p>
      <w:pPr>
        <w:spacing w:line="480" w:lineRule="exact"/>
        <w:ind w:firstLine="560" w:firstLineChars="200"/>
        <w:rPr>
          <w:rStyle w:val="337"/>
          <w:rFonts w:ascii="仿宋" w:eastAsia="仿宋"/>
          <w:color w:val="000000" w:themeColor="text1"/>
          <w:sz w:val="28"/>
          <w:szCs w:val="28"/>
          <w:highlight w:val="none"/>
        </w:rPr>
      </w:pPr>
      <w:r>
        <w:rPr>
          <w:rStyle w:val="337"/>
          <w:rFonts w:ascii="仿宋" w:eastAsia="仿宋"/>
          <w:color w:val="000000" w:themeColor="text1"/>
          <w:sz w:val="28"/>
          <w:szCs w:val="28"/>
          <w:highlight w:val="none"/>
        </w:rPr>
        <w:t>上述文件相互补充，合同双方必须予以遵守执行。若有不明确或不一致之处，以上列次序在先者为准。</w:t>
      </w:r>
    </w:p>
    <w:p>
      <w:pPr>
        <w:pStyle w:val="404"/>
        <w:tabs>
          <w:tab w:val="left" w:pos="900"/>
        </w:tabs>
        <w:spacing w:line="520" w:lineRule="exact"/>
        <w:ind w:firstLine="551" w:firstLineChars="196"/>
        <w:rPr>
          <w:rStyle w:val="337"/>
          <w:rFonts w:ascii="仿宋" w:eastAsia="仿宋"/>
          <w:b/>
          <w:color w:val="000000" w:themeColor="text1"/>
          <w:sz w:val="28"/>
          <w:szCs w:val="28"/>
          <w:highlight w:val="none"/>
        </w:rPr>
      </w:pPr>
      <w:r>
        <w:rPr>
          <w:rStyle w:val="337"/>
          <w:rFonts w:ascii="仿宋" w:eastAsia="仿宋"/>
          <w:b/>
          <w:color w:val="000000" w:themeColor="text1"/>
          <w:sz w:val="28"/>
          <w:szCs w:val="28"/>
          <w:highlight w:val="none"/>
        </w:rPr>
        <w:t>二、标的物及数量</w:t>
      </w:r>
    </w:p>
    <w:p>
      <w:pPr>
        <w:pStyle w:val="404"/>
        <w:tabs>
          <w:tab w:val="left" w:pos="900"/>
        </w:tabs>
        <w:spacing w:line="480" w:lineRule="exact"/>
        <w:ind w:firstLine="560" w:firstLineChars="200"/>
        <w:rPr>
          <w:rStyle w:val="337"/>
          <w:rFonts w:ascii="仿宋" w:eastAsia="仿宋"/>
          <w:color w:val="000000" w:themeColor="text1"/>
          <w:sz w:val="28"/>
          <w:szCs w:val="28"/>
          <w:highlight w:val="none"/>
        </w:rPr>
      </w:pPr>
      <w:r>
        <w:rPr>
          <w:rStyle w:val="337"/>
          <w:rFonts w:ascii="仿宋" w:eastAsia="仿宋"/>
          <w:color w:val="000000" w:themeColor="text1"/>
          <w:sz w:val="28"/>
          <w:szCs w:val="28"/>
          <w:highlight w:val="none"/>
        </w:rPr>
        <w:t>本合同标的物为</w:t>
      </w:r>
      <w:r>
        <w:rPr>
          <w:rStyle w:val="337"/>
          <w:rFonts w:ascii="仿宋" w:eastAsia="仿宋"/>
          <w:color w:val="000000" w:themeColor="text1"/>
          <w:sz w:val="28"/>
          <w:szCs w:val="28"/>
          <w:highlight w:val="none"/>
          <w:u w:val="single" w:color="000000"/>
        </w:rPr>
        <w:t xml:space="preserve">         采购项目</w:t>
      </w:r>
      <w:r>
        <w:rPr>
          <w:rStyle w:val="337"/>
          <w:rFonts w:ascii="仿宋" w:eastAsia="仿宋"/>
          <w:color w:val="000000" w:themeColor="text1"/>
          <w:sz w:val="28"/>
          <w:szCs w:val="28"/>
          <w:highlight w:val="none"/>
        </w:rPr>
        <w:t>。型号、规格、数量、技术参数等详见《》。</w:t>
      </w:r>
    </w:p>
    <w:p>
      <w:pPr>
        <w:pStyle w:val="404"/>
        <w:tabs>
          <w:tab w:val="left" w:pos="60"/>
        </w:tabs>
        <w:spacing w:line="520" w:lineRule="exact"/>
        <w:ind w:firstLine="565" w:firstLineChars="201"/>
        <w:rPr>
          <w:rStyle w:val="337"/>
          <w:rFonts w:ascii="仿宋" w:eastAsia="仿宋"/>
          <w:b/>
          <w:color w:val="000000" w:themeColor="text1"/>
          <w:sz w:val="28"/>
          <w:szCs w:val="28"/>
          <w:highlight w:val="none"/>
        </w:rPr>
      </w:pPr>
      <w:r>
        <w:rPr>
          <w:rStyle w:val="337"/>
          <w:rFonts w:ascii="仿宋" w:eastAsia="仿宋"/>
          <w:b/>
          <w:color w:val="000000" w:themeColor="text1"/>
          <w:sz w:val="28"/>
          <w:szCs w:val="28"/>
          <w:highlight w:val="none"/>
        </w:rPr>
        <w:t>三、价款</w:t>
      </w:r>
    </w:p>
    <w:p>
      <w:pPr>
        <w:pStyle w:val="404"/>
        <w:tabs>
          <w:tab w:val="left" w:pos="900"/>
        </w:tabs>
        <w:spacing w:line="480" w:lineRule="exact"/>
        <w:ind w:firstLine="560" w:firstLineChars="200"/>
        <w:rPr>
          <w:rStyle w:val="337"/>
          <w:rFonts w:ascii="仿宋" w:eastAsia="仿宋"/>
          <w:color w:val="000000" w:themeColor="text1"/>
          <w:sz w:val="28"/>
          <w:szCs w:val="28"/>
          <w:highlight w:val="none"/>
        </w:rPr>
      </w:pPr>
      <w:r>
        <w:rPr>
          <w:rStyle w:val="337"/>
          <w:rFonts w:ascii="仿宋" w:eastAsia="仿宋"/>
          <w:color w:val="000000" w:themeColor="text1"/>
          <w:sz w:val="28"/>
          <w:szCs w:val="28"/>
          <w:highlight w:val="none"/>
        </w:rPr>
        <w:t>本合同总价款为人民币</w:t>
      </w:r>
      <w:r>
        <w:rPr>
          <w:rStyle w:val="337"/>
          <w:rFonts w:ascii="仿宋" w:eastAsia="仿宋"/>
          <w:color w:val="000000" w:themeColor="text1"/>
          <w:sz w:val="28"/>
          <w:szCs w:val="28"/>
          <w:highlight w:val="none"/>
          <w:u w:val="single" w:color="000000"/>
        </w:rPr>
        <w:t xml:space="preserve">   拾  万   仟佰  元  角  分</w:t>
      </w:r>
      <w:r>
        <w:rPr>
          <w:rStyle w:val="337"/>
          <w:rFonts w:ascii="仿宋" w:eastAsia="仿宋"/>
          <w:color w:val="000000" w:themeColor="text1"/>
          <w:sz w:val="28"/>
          <w:szCs w:val="28"/>
          <w:highlight w:val="none"/>
        </w:rPr>
        <w:t>（￥元）。单价或价格构成情况详见《》。</w:t>
      </w:r>
    </w:p>
    <w:p>
      <w:pPr>
        <w:pStyle w:val="404"/>
        <w:tabs>
          <w:tab w:val="left" w:pos="900"/>
        </w:tabs>
        <w:spacing w:line="520" w:lineRule="exact"/>
        <w:ind w:firstLine="567"/>
        <w:rPr>
          <w:rStyle w:val="337"/>
          <w:rFonts w:ascii="仿宋" w:eastAsia="仿宋"/>
          <w:b/>
          <w:bCs/>
          <w:color w:val="000000" w:themeColor="text1"/>
          <w:sz w:val="28"/>
          <w:szCs w:val="28"/>
          <w:highlight w:val="none"/>
        </w:rPr>
      </w:pPr>
      <w:r>
        <w:rPr>
          <w:rStyle w:val="337"/>
          <w:rFonts w:ascii="仿宋" w:eastAsia="仿宋"/>
          <w:b/>
          <w:bCs/>
          <w:color w:val="000000" w:themeColor="text1"/>
          <w:sz w:val="28"/>
          <w:szCs w:val="28"/>
          <w:highlight w:val="none"/>
        </w:rPr>
        <w:t>四、质量及专利权：</w:t>
      </w:r>
    </w:p>
    <w:p>
      <w:pPr>
        <w:pStyle w:val="404"/>
        <w:spacing w:line="500" w:lineRule="exact"/>
        <w:ind w:firstLine="560" w:firstLineChars="200"/>
        <w:rPr>
          <w:rStyle w:val="337"/>
          <w:rFonts w:ascii="仿宋" w:eastAsia="仿宋"/>
          <w:color w:val="000000" w:themeColor="text1"/>
          <w:sz w:val="28"/>
          <w:szCs w:val="28"/>
          <w:highlight w:val="none"/>
        </w:rPr>
      </w:pPr>
      <w:r>
        <w:rPr>
          <w:rStyle w:val="337"/>
          <w:rFonts w:ascii="仿宋" w:eastAsia="仿宋"/>
          <w:color w:val="000000" w:themeColor="text1"/>
          <w:sz w:val="28"/>
          <w:szCs w:val="28"/>
          <w:highlight w:val="none"/>
        </w:rPr>
        <w:t>1.乙方所报产品技术参数或质量指标必须符合</w:t>
      </w:r>
      <w:r>
        <w:rPr>
          <w:rFonts w:hint="eastAsia" w:ascii="仿宋" w:eastAsia="仿宋"/>
          <w:color w:val="000000" w:themeColor="text1"/>
          <w:sz w:val="28"/>
          <w:szCs w:val="28"/>
          <w:highlight w:val="none"/>
          <w:lang w:eastAsia="zh-CN"/>
        </w:rPr>
        <w:t>WHHGYSDGQ2026-16</w:t>
      </w:r>
      <w:r>
        <w:rPr>
          <w:rStyle w:val="337"/>
          <w:rFonts w:ascii="仿宋" w:eastAsia="仿宋"/>
          <w:color w:val="000000" w:themeColor="text1"/>
          <w:sz w:val="28"/>
          <w:szCs w:val="28"/>
          <w:highlight w:val="none"/>
        </w:rPr>
        <w:t>招标文件的要求及乙方投标文件的承诺。</w:t>
      </w:r>
    </w:p>
    <w:p>
      <w:pPr>
        <w:pStyle w:val="404"/>
        <w:spacing w:line="520" w:lineRule="exact"/>
        <w:ind w:firstLine="560" w:firstLineChars="200"/>
        <w:rPr>
          <w:rStyle w:val="337"/>
          <w:rFonts w:ascii="仿宋" w:eastAsia="仿宋"/>
          <w:color w:val="000000" w:themeColor="text1"/>
          <w:sz w:val="28"/>
          <w:szCs w:val="28"/>
          <w:highlight w:val="none"/>
        </w:rPr>
      </w:pPr>
      <w:r>
        <w:rPr>
          <w:rStyle w:val="337"/>
          <w:rFonts w:ascii="仿宋" w:eastAsia="仿宋"/>
          <w:color w:val="000000" w:themeColor="text1"/>
          <w:sz w:val="28"/>
          <w:szCs w:val="28"/>
          <w:highlight w:val="none"/>
        </w:rPr>
        <w:t>2.乙方不但应保证甲方在中华人民共和国境内使用其提供的标的物或标的物的任何一部分，免受第三方提起的侵犯其专利权、商标权、著作权或其他产权纠纷，乙方还应当保证对其所供货物享有合法完整的产权（包括但不限于专利权、商标权、著作权等在内的相关权利），否则由乙方承担一切法律责任。</w:t>
      </w:r>
    </w:p>
    <w:p>
      <w:pPr>
        <w:spacing w:line="520" w:lineRule="exact"/>
        <w:ind w:firstLine="567"/>
        <w:rPr>
          <w:rStyle w:val="337"/>
          <w:rFonts w:ascii="仿宋" w:eastAsia="仿宋"/>
          <w:b/>
          <w:color w:val="000000" w:themeColor="text1"/>
          <w:sz w:val="28"/>
          <w:szCs w:val="28"/>
          <w:highlight w:val="none"/>
        </w:rPr>
      </w:pPr>
      <w:r>
        <w:rPr>
          <w:rStyle w:val="337"/>
          <w:rFonts w:ascii="仿宋" w:eastAsia="仿宋"/>
          <w:b/>
          <w:color w:val="000000" w:themeColor="text1"/>
          <w:sz w:val="28"/>
          <w:szCs w:val="28"/>
          <w:highlight w:val="none"/>
        </w:rPr>
        <w:t>五、</w:t>
      </w:r>
      <w:r>
        <w:rPr>
          <w:rStyle w:val="337"/>
          <w:rFonts w:hint="eastAsia" w:ascii="仿宋" w:eastAsia="仿宋"/>
          <w:b/>
          <w:bCs/>
          <w:color w:val="000000" w:themeColor="text1"/>
          <w:sz w:val="28"/>
          <w:szCs w:val="28"/>
          <w:highlight w:val="none"/>
        </w:rPr>
        <w:t>交付</w:t>
      </w:r>
      <w:r>
        <w:rPr>
          <w:rStyle w:val="337"/>
          <w:rFonts w:ascii="仿宋" w:eastAsia="仿宋"/>
          <w:b/>
          <w:bCs/>
          <w:color w:val="000000" w:themeColor="text1"/>
          <w:sz w:val="28"/>
          <w:szCs w:val="28"/>
          <w:highlight w:val="none"/>
        </w:rPr>
        <w:t>地点及联系方式</w:t>
      </w:r>
      <w:r>
        <w:rPr>
          <w:rStyle w:val="337"/>
          <w:rFonts w:ascii="仿宋" w:eastAsia="仿宋"/>
          <w:b/>
          <w:color w:val="000000" w:themeColor="text1"/>
          <w:sz w:val="28"/>
          <w:szCs w:val="28"/>
          <w:highlight w:val="none"/>
        </w:rPr>
        <w:t>：</w:t>
      </w:r>
    </w:p>
    <w:p>
      <w:pPr>
        <w:spacing w:line="520" w:lineRule="exact"/>
        <w:ind w:firstLine="560" w:firstLineChars="200"/>
        <w:rPr>
          <w:rStyle w:val="337"/>
          <w:rFonts w:ascii="仿宋" w:eastAsia="仿宋"/>
          <w:color w:val="000000" w:themeColor="text1"/>
          <w:sz w:val="28"/>
          <w:szCs w:val="28"/>
          <w:highlight w:val="none"/>
        </w:rPr>
      </w:pPr>
      <w:r>
        <w:rPr>
          <w:rStyle w:val="337"/>
          <w:rFonts w:hint="eastAsia" w:ascii="仿宋" w:eastAsia="仿宋"/>
          <w:color w:val="000000" w:themeColor="text1"/>
          <w:sz w:val="28"/>
          <w:szCs w:val="28"/>
          <w:highlight w:val="none"/>
        </w:rPr>
        <w:t>甲方</w:t>
      </w:r>
      <w:r>
        <w:rPr>
          <w:rStyle w:val="337"/>
          <w:rFonts w:ascii="仿宋" w:eastAsia="仿宋"/>
          <w:color w:val="000000" w:themeColor="text1"/>
          <w:sz w:val="28"/>
          <w:szCs w:val="28"/>
          <w:highlight w:val="none"/>
        </w:rPr>
        <w:t>地点（根据实际情况列明）：</w:t>
      </w:r>
      <w:r>
        <w:rPr>
          <w:rStyle w:val="337"/>
          <w:rFonts w:ascii="仿宋" w:eastAsia="仿宋"/>
          <w:color w:val="000000" w:themeColor="text1"/>
          <w:kern w:val="0"/>
          <w:sz w:val="28"/>
          <w:szCs w:val="28"/>
          <w:highlight w:val="none"/>
        </w:rPr>
        <w:t>或甲方指定地点</w:t>
      </w:r>
      <w:r>
        <w:rPr>
          <w:rStyle w:val="337"/>
          <w:rFonts w:ascii="仿宋" w:eastAsia="仿宋"/>
          <w:color w:val="000000" w:themeColor="text1"/>
          <w:sz w:val="28"/>
          <w:szCs w:val="28"/>
          <w:highlight w:val="none"/>
        </w:rPr>
        <w:t>。</w:t>
      </w:r>
    </w:p>
    <w:p>
      <w:pPr>
        <w:spacing w:line="520" w:lineRule="exact"/>
        <w:ind w:firstLine="560" w:firstLineChars="200"/>
        <w:rPr>
          <w:rStyle w:val="337"/>
          <w:rFonts w:ascii="仿宋" w:eastAsia="仿宋"/>
          <w:color w:val="000000" w:themeColor="text1"/>
          <w:sz w:val="28"/>
          <w:szCs w:val="28"/>
          <w:highlight w:val="none"/>
        </w:rPr>
      </w:pPr>
      <w:r>
        <w:rPr>
          <w:rStyle w:val="337"/>
          <w:rFonts w:ascii="仿宋" w:eastAsia="仿宋"/>
          <w:color w:val="000000" w:themeColor="text1"/>
          <w:sz w:val="28"/>
          <w:szCs w:val="28"/>
          <w:highlight w:val="none"/>
        </w:rPr>
        <w:t>甲方指定联系人：</w:t>
      </w:r>
      <w:r>
        <w:rPr>
          <w:rStyle w:val="337"/>
          <w:rFonts w:ascii="仿宋" w:eastAsia="仿宋"/>
          <w:color w:val="000000" w:themeColor="text1"/>
          <w:sz w:val="28"/>
          <w:szCs w:val="28"/>
          <w:highlight w:val="none"/>
          <w:u w:val="single" w:color="000000"/>
        </w:rPr>
        <w:t>　　　　</w:t>
      </w:r>
      <w:r>
        <w:rPr>
          <w:rStyle w:val="337"/>
          <w:rFonts w:ascii="仿宋" w:eastAsia="仿宋"/>
          <w:color w:val="000000" w:themeColor="text1"/>
          <w:sz w:val="28"/>
          <w:szCs w:val="28"/>
          <w:highlight w:val="none"/>
        </w:rPr>
        <w:t>；联系电话：</w:t>
      </w:r>
      <w:r>
        <w:rPr>
          <w:rStyle w:val="337"/>
          <w:rFonts w:ascii="仿宋" w:eastAsia="仿宋"/>
          <w:color w:val="000000" w:themeColor="text1"/>
          <w:sz w:val="28"/>
          <w:szCs w:val="28"/>
          <w:highlight w:val="none"/>
          <w:u w:val="single" w:color="000000"/>
        </w:rPr>
        <w:t>　　　　　</w:t>
      </w:r>
      <w:r>
        <w:rPr>
          <w:rStyle w:val="337"/>
          <w:rFonts w:ascii="仿宋" w:eastAsia="仿宋"/>
          <w:color w:val="000000" w:themeColor="text1"/>
          <w:sz w:val="28"/>
          <w:szCs w:val="28"/>
          <w:highlight w:val="none"/>
        </w:rPr>
        <w:t>。</w:t>
      </w:r>
    </w:p>
    <w:p>
      <w:pPr>
        <w:spacing w:line="520" w:lineRule="exact"/>
        <w:ind w:firstLine="560" w:firstLineChars="200"/>
        <w:rPr>
          <w:rStyle w:val="337"/>
          <w:rFonts w:ascii="仿宋" w:eastAsia="仿宋"/>
          <w:color w:val="000000" w:themeColor="text1"/>
          <w:sz w:val="28"/>
          <w:szCs w:val="28"/>
          <w:highlight w:val="none"/>
        </w:rPr>
      </w:pPr>
      <w:r>
        <w:rPr>
          <w:rStyle w:val="337"/>
          <w:rFonts w:ascii="仿宋" w:eastAsia="仿宋"/>
          <w:color w:val="000000" w:themeColor="text1"/>
          <w:sz w:val="28"/>
          <w:szCs w:val="28"/>
          <w:highlight w:val="none"/>
        </w:rPr>
        <w:t>乙方指定联系人：</w:t>
      </w:r>
      <w:r>
        <w:rPr>
          <w:rStyle w:val="337"/>
          <w:rFonts w:ascii="仿宋" w:eastAsia="仿宋"/>
          <w:color w:val="000000" w:themeColor="text1"/>
          <w:sz w:val="28"/>
          <w:szCs w:val="28"/>
          <w:highlight w:val="none"/>
          <w:u w:val="single" w:color="000000"/>
        </w:rPr>
        <w:t>　　　　</w:t>
      </w:r>
      <w:r>
        <w:rPr>
          <w:rStyle w:val="337"/>
          <w:rFonts w:ascii="仿宋" w:eastAsia="仿宋"/>
          <w:color w:val="000000" w:themeColor="text1"/>
          <w:sz w:val="28"/>
          <w:szCs w:val="28"/>
          <w:highlight w:val="none"/>
        </w:rPr>
        <w:t>；联系电话：</w:t>
      </w:r>
      <w:r>
        <w:rPr>
          <w:rStyle w:val="337"/>
          <w:rFonts w:ascii="仿宋" w:eastAsia="仿宋"/>
          <w:color w:val="000000" w:themeColor="text1"/>
          <w:sz w:val="28"/>
          <w:szCs w:val="28"/>
          <w:highlight w:val="none"/>
          <w:u w:val="single" w:color="000000"/>
        </w:rPr>
        <w:t>　　　　　</w:t>
      </w:r>
      <w:r>
        <w:rPr>
          <w:rStyle w:val="337"/>
          <w:rFonts w:ascii="仿宋" w:eastAsia="仿宋"/>
          <w:color w:val="000000" w:themeColor="text1"/>
          <w:sz w:val="28"/>
          <w:szCs w:val="28"/>
          <w:highlight w:val="none"/>
        </w:rPr>
        <w:t>。</w:t>
      </w:r>
    </w:p>
    <w:p>
      <w:pPr>
        <w:spacing w:line="520" w:lineRule="exact"/>
        <w:ind w:firstLine="567"/>
        <w:rPr>
          <w:rStyle w:val="337"/>
          <w:rFonts w:ascii="仿宋" w:eastAsia="仿宋"/>
          <w:b/>
          <w:color w:val="000000" w:themeColor="text1"/>
          <w:sz w:val="28"/>
          <w:szCs w:val="28"/>
          <w:highlight w:val="none"/>
        </w:rPr>
      </w:pPr>
      <w:r>
        <w:rPr>
          <w:rStyle w:val="337"/>
          <w:rFonts w:ascii="仿宋" w:eastAsia="仿宋"/>
          <w:b/>
          <w:color w:val="000000" w:themeColor="text1"/>
          <w:sz w:val="28"/>
          <w:szCs w:val="28"/>
          <w:highlight w:val="none"/>
        </w:rPr>
        <w:t>六、</w:t>
      </w:r>
      <w:r>
        <w:rPr>
          <w:rStyle w:val="337"/>
          <w:rFonts w:hint="eastAsia" w:ascii="仿宋" w:eastAsia="仿宋"/>
          <w:b/>
          <w:color w:val="000000" w:themeColor="text1"/>
          <w:sz w:val="28"/>
          <w:szCs w:val="28"/>
          <w:highlight w:val="none"/>
        </w:rPr>
        <w:t>交付期及质保期</w:t>
      </w:r>
      <w:r>
        <w:rPr>
          <w:rStyle w:val="337"/>
          <w:rFonts w:ascii="仿宋" w:eastAsia="仿宋"/>
          <w:b/>
          <w:color w:val="000000" w:themeColor="text1"/>
          <w:sz w:val="28"/>
          <w:szCs w:val="28"/>
          <w:highlight w:val="none"/>
        </w:rPr>
        <w:t>：</w:t>
      </w:r>
    </w:p>
    <w:p>
      <w:pPr>
        <w:spacing w:line="520" w:lineRule="exact"/>
        <w:ind w:firstLine="980" w:firstLineChars="350"/>
        <w:rPr>
          <w:rStyle w:val="337"/>
          <w:rFonts w:ascii="仿宋" w:eastAsia="仿宋"/>
          <w:color w:val="000000" w:themeColor="text1"/>
          <w:sz w:val="28"/>
          <w:szCs w:val="28"/>
          <w:highlight w:val="none"/>
        </w:rPr>
      </w:pPr>
      <w:r>
        <w:rPr>
          <w:rStyle w:val="337"/>
          <w:rFonts w:ascii="仿宋" w:eastAsia="仿宋"/>
          <w:color w:val="000000" w:themeColor="text1"/>
          <w:sz w:val="28"/>
          <w:szCs w:val="28"/>
          <w:highlight w:val="none"/>
        </w:rPr>
        <w:t>。</w:t>
      </w:r>
    </w:p>
    <w:p>
      <w:pPr>
        <w:pStyle w:val="404"/>
        <w:tabs>
          <w:tab w:val="left" w:pos="720"/>
          <w:tab w:val="left" w:pos="1080"/>
        </w:tabs>
        <w:spacing w:line="520" w:lineRule="exact"/>
        <w:ind w:firstLine="567"/>
        <w:rPr>
          <w:rStyle w:val="337"/>
          <w:rFonts w:ascii="仿宋" w:eastAsia="仿宋"/>
          <w:b/>
          <w:color w:val="000000" w:themeColor="text1"/>
          <w:sz w:val="28"/>
          <w:szCs w:val="28"/>
          <w:highlight w:val="none"/>
        </w:rPr>
      </w:pPr>
      <w:r>
        <w:rPr>
          <w:rStyle w:val="337"/>
          <w:rFonts w:hint="eastAsia" w:ascii="仿宋" w:eastAsia="仿宋"/>
          <w:b/>
          <w:color w:val="000000" w:themeColor="text1"/>
          <w:sz w:val="28"/>
          <w:szCs w:val="28"/>
          <w:highlight w:val="none"/>
        </w:rPr>
        <w:t>七</w:t>
      </w:r>
      <w:r>
        <w:rPr>
          <w:rStyle w:val="337"/>
          <w:rFonts w:ascii="仿宋" w:eastAsia="仿宋"/>
          <w:b/>
          <w:color w:val="000000" w:themeColor="text1"/>
          <w:sz w:val="28"/>
          <w:szCs w:val="28"/>
          <w:highlight w:val="none"/>
        </w:rPr>
        <w:t>、《验收报告》的签署及送达：</w:t>
      </w:r>
    </w:p>
    <w:p>
      <w:pPr>
        <w:spacing w:line="460" w:lineRule="exact"/>
        <w:ind w:firstLine="560" w:firstLineChars="200"/>
        <w:rPr>
          <w:rStyle w:val="337"/>
          <w:rFonts w:ascii="仿宋" w:eastAsia="仿宋"/>
          <w:color w:val="000000" w:themeColor="text1"/>
          <w:sz w:val="28"/>
          <w:szCs w:val="28"/>
          <w:highlight w:val="none"/>
        </w:rPr>
      </w:pPr>
      <w:r>
        <w:rPr>
          <w:rStyle w:val="337"/>
          <w:rFonts w:ascii="仿宋" w:eastAsia="仿宋"/>
          <w:color w:val="000000" w:themeColor="text1"/>
          <w:sz w:val="28"/>
          <w:szCs w:val="28"/>
          <w:highlight w:val="none"/>
        </w:rPr>
        <w:t>1.项目验收合格，甲方应及时、完整、真实地签署《荣成市国有企业货物服务采购验收报告》（以下简称《验收报告》）。</w:t>
      </w:r>
    </w:p>
    <w:p>
      <w:pPr>
        <w:spacing w:line="520" w:lineRule="exact"/>
        <w:ind w:firstLine="560" w:firstLineChars="200"/>
        <w:rPr>
          <w:rStyle w:val="337"/>
          <w:rFonts w:ascii="仿宋" w:eastAsia="仿宋"/>
          <w:color w:val="000000" w:themeColor="text1"/>
          <w:sz w:val="28"/>
          <w:szCs w:val="28"/>
          <w:highlight w:val="none"/>
        </w:rPr>
      </w:pPr>
      <w:r>
        <w:rPr>
          <w:rStyle w:val="337"/>
          <w:rFonts w:ascii="仿宋" w:eastAsia="仿宋"/>
          <w:color w:val="000000" w:themeColor="text1"/>
          <w:sz w:val="28"/>
          <w:szCs w:val="28"/>
          <w:highlight w:val="none"/>
        </w:rPr>
        <w:t>2.</w:t>
      </w:r>
      <w:r>
        <w:rPr>
          <w:rStyle w:val="337"/>
          <w:rFonts w:ascii="仿宋" w:eastAsia="仿宋"/>
          <w:bCs/>
          <w:color w:val="000000" w:themeColor="text1"/>
          <w:sz w:val="28"/>
          <w:szCs w:val="28"/>
          <w:highlight w:val="none"/>
        </w:rPr>
        <w:t>合同履行达到验收条件时，</w:t>
      </w:r>
      <w:r>
        <w:rPr>
          <w:rStyle w:val="337"/>
          <w:rFonts w:ascii="仿宋" w:eastAsia="仿宋"/>
          <w:color w:val="000000" w:themeColor="text1"/>
          <w:sz w:val="28"/>
          <w:szCs w:val="28"/>
          <w:highlight w:val="none"/>
        </w:rPr>
        <w:t>乙方应当向甲方发出验收建议，及时通知甲方进行验收，并提供同项目验收相关的生产、技术、服务、数量、质量、安全等资料。甲方应当自收到验收建议之日起七个工作日内启动项目验收，乙方应当予以全面配合。</w:t>
      </w:r>
    </w:p>
    <w:p>
      <w:pPr>
        <w:spacing w:line="520" w:lineRule="exact"/>
        <w:ind w:firstLine="560" w:firstLineChars="200"/>
        <w:rPr>
          <w:rStyle w:val="337"/>
          <w:rFonts w:ascii="仿宋" w:eastAsia="仿宋"/>
          <w:color w:val="000000" w:themeColor="text1"/>
          <w:sz w:val="28"/>
          <w:szCs w:val="28"/>
          <w:highlight w:val="none"/>
        </w:rPr>
      </w:pPr>
      <w:r>
        <w:rPr>
          <w:rStyle w:val="337"/>
          <w:rFonts w:ascii="仿宋" w:eastAsia="仿宋"/>
          <w:color w:val="000000" w:themeColor="text1"/>
          <w:sz w:val="28"/>
          <w:szCs w:val="28"/>
          <w:highlight w:val="none"/>
        </w:rPr>
        <w:t>3.项目验收不合格，乙方应当立即进行整改或采取修理、更换、重作、退货、减少价款等补救措施。在甲方规定的时间内整改或采取补救措施后仍不合格的，甲方有权解除合同。解除合同的相关事项按《中华人民共和国民典法》等法律法规的规定处理。乙方在规定时间内整改或采取补救措施后能达到合格标准的，甲方为其签署验收合格报告，但因此而延误项目交付或交货时间的，乙方应当按本合同的约定支付违约金并赔偿损失。</w:t>
      </w:r>
    </w:p>
    <w:p>
      <w:pPr>
        <w:spacing w:line="520" w:lineRule="exact"/>
        <w:ind w:firstLine="560" w:firstLineChars="200"/>
        <w:rPr>
          <w:rStyle w:val="337"/>
          <w:rFonts w:ascii="仿宋" w:eastAsia="仿宋"/>
          <w:color w:val="000000" w:themeColor="text1"/>
          <w:sz w:val="28"/>
          <w:szCs w:val="28"/>
          <w:highlight w:val="none"/>
        </w:rPr>
      </w:pPr>
      <w:r>
        <w:rPr>
          <w:rStyle w:val="337"/>
          <w:rFonts w:ascii="仿宋" w:eastAsia="仿宋"/>
          <w:color w:val="000000" w:themeColor="text1"/>
          <w:sz w:val="28"/>
          <w:szCs w:val="28"/>
          <w:highlight w:val="none"/>
        </w:rPr>
        <w:t>4.对项目验收发生的检测（检验）费、劳务报酬等费用支出，采购合同有约定的按照约定执行；无约定的，由采购人承担。因供应商问题导致重新组织项目验收的，由供应商负担验收费用。</w:t>
      </w:r>
    </w:p>
    <w:p>
      <w:pPr>
        <w:spacing w:line="520" w:lineRule="exact"/>
        <w:ind w:firstLine="560" w:firstLineChars="200"/>
        <w:rPr>
          <w:rStyle w:val="337"/>
          <w:rFonts w:ascii="仿宋" w:eastAsia="仿宋"/>
          <w:color w:val="000000" w:themeColor="text1"/>
          <w:sz w:val="28"/>
          <w:szCs w:val="28"/>
          <w:highlight w:val="none"/>
        </w:rPr>
      </w:pPr>
      <w:r>
        <w:rPr>
          <w:rStyle w:val="337"/>
          <w:rFonts w:ascii="仿宋" w:eastAsia="仿宋"/>
          <w:color w:val="000000" w:themeColor="text1"/>
          <w:sz w:val="28"/>
          <w:szCs w:val="28"/>
          <w:highlight w:val="none"/>
        </w:rPr>
        <w:t>5.即使甲方未及时进行验收或者虽经验收但未发现问题的，并不免除乙方的任何质量义务。</w:t>
      </w:r>
    </w:p>
    <w:p>
      <w:pPr>
        <w:pStyle w:val="404"/>
        <w:tabs>
          <w:tab w:val="left" w:pos="720"/>
          <w:tab w:val="left" w:pos="900"/>
        </w:tabs>
        <w:spacing w:line="520" w:lineRule="exact"/>
        <w:ind w:left="50" w:leftChars="24" w:firstLine="551" w:firstLineChars="196"/>
        <w:rPr>
          <w:rStyle w:val="337"/>
          <w:rFonts w:ascii="仿宋" w:eastAsia="仿宋"/>
          <w:b/>
          <w:color w:val="000000" w:themeColor="text1"/>
          <w:sz w:val="28"/>
          <w:szCs w:val="28"/>
          <w:highlight w:val="none"/>
        </w:rPr>
      </w:pPr>
      <w:r>
        <w:rPr>
          <w:rStyle w:val="337"/>
          <w:rFonts w:ascii="仿宋" w:eastAsia="仿宋"/>
          <w:b/>
          <w:color w:val="000000" w:themeColor="text1"/>
          <w:sz w:val="28"/>
          <w:szCs w:val="28"/>
          <w:highlight w:val="none"/>
        </w:rPr>
        <w:t>八、付款</w:t>
      </w:r>
    </w:p>
    <w:p>
      <w:pPr>
        <w:spacing w:line="520" w:lineRule="exact"/>
        <w:ind w:firstLine="560" w:firstLineChars="200"/>
        <w:rPr>
          <w:rStyle w:val="337"/>
          <w:rFonts w:ascii="仿宋" w:eastAsia="仿宋"/>
          <w:bCs/>
          <w:color w:val="000000" w:themeColor="text1"/>
          <w:sz w:val="28"/>
          <w:szCs w:val="28"/>
          <w:highlight w:val="none"/>
        </w:rPr>
      </w:pPr>
      <w:r>
        <w:rPr>
          <w:rStyle w:val="337"/>
          <w:rFonts w:ascii="仿宋" w:eastAsia="仿宋"/>
          <w:bCs/>
          <w:color w:val="000000" w:themeColor="text1"/>
          <w:sz w:val="28"/>
          <w:szCs w:val="28"/>
          <w:highlight w:val="none"/>
        </w:rPr>
        <w:t>1.项目验收合格为本合同价款支付的必备条件。验收不合格的，不予支付价款。涉及分段验收付款的项目，应具备符合合同约定内容的阶段性验收报告。</w:t>
      </w:r>
    </w:p>
    <w:p>
      <w:pPr>
        <w:spacing w:line="520" w:lineRule="exact"/>
        <w:ind w:firstLine="560" w:firstLineChars="200"/>
        <w:rPr>
          <w:rStyle w:val="337"/>
          <w:rFonts w:ascii="仿宋" w:eastAsia="仿宋"/>
          <w:color w:val="000000" w:themeColor="text1"/>
          <w:sz w:val="28"/>
          <w:szCs w:val="28"/>
          <w:highlight w:val="none"/>
        </w:rPr>
      </w:pPr>
      <w:r>
        <w:rPr>
          <w:rStyle w:val="337"/>
          <w:rFonts w:ascii="仿宋" w:eastAsia="仿宋"/>
          <w:color w:val="000000" w:themeColor="text1"/>
          <w:sz w:val="28"/>
          <w:szCs w:val="28"/>
          <w:highlight w:val="none"/>
        </w:rPr>
        <w:t>2.本合同以人民币付款。</w:t>
      </w:r>
    </w:p>
    <w:p>
      <w:pPr>
        <w:pStyle w:val="404"/>
        <w:tabs>
          <w:tab w:val="left" w:pos="1040"/>
        </w:tabs>
        <w:spacing w:line="520" w:lineRule="exact"/>
        <w:ind w:firstLine="560" w:firstLineChars="200"/>
        <w:jc w:val="left"/>
        <w:rPr>
          <w:rFonts w:ascii="仿宋_GB2312" w:hAnsi="宋体" w:eastAsia="仿宋_GB2312"/>
          <w:color w:val="000000" w:themeColor="text1"/>
          <w:sz w:val="28"/>
          <w:szCs w:val="28"/>
          <w:highlight w:val="none"/>
        </w:rPr>
      </w:pPr>
      <w:r>
        <w:rPr>
          <w:rStyle w:val="337"/>
          <w:rFonts w:ascii="仿宋" w:eastAsia="仿宋"/>
          <w:color w:val="000000" w:themeColor="text1"/>
          <w:sz w:val="28"/>
          <w:szCs w:val="28"/>
          <w:highlight w:val="none"/>
        </w:rPr>
        <w:t>3.付款方式：</w:t>
      </w:r>
      <w:r>
        <w:rPr>
          <w:rStyle w:val="337"/>
          <w:rFonts w:hint="eastAsia" w:ascii="仿宋" w:eastAsia="仿宋"/>
          <w:color w:val="000000" w:themeColor="text1"/>
          <w:sz w:val="28"/>
          <w:szCs w:val="28"/>
          <w:highlight w:val="none"/>
        </w:rPr>
        <w:t>项目完工验收合格且评审定案后，第一年支付定案价格的40%，第二年付定案价格的30%，第三年支付定案价格的20%，剩余10%第四年付清。该项目由威海（荣成）海洋高新技术产业园管理委员会社会工作部委托威海市港城建设集团有限公司进行代建，结算时由中标单位向荣成市第二十三中学开具发票，由区社会工作部进行付款</w:t>
      </w:r>
      <w:r>
        <w:rPr>
          <w:rFonts w:hint="eastAsia" w:ascii="仿宋_GB2312" w:hAnsi="宋体" w:eastAsia="仿宋_GB2312"/>
          <w:color w:val="000000" w:themeColor="text1"/>
          <w:sz w:val="28"/>
          <w:szCs w:val="28"/>
          <w:highlight w:val="none"/>
        </w:rPr>
        <w:t>。</w:t>
      </w:r>
    </w:p>
    <w:p>
      <w:pPr>
        <w:pStyle w:val="404"/>
        <w:tabs>
          <w:tab w:val="left" w:pos="1040"/>
        </w:tabs>
        <w:spacing w:line="520" w:lineRule="exact"/>
        <w:ind w:firstLine="560" w:firstLineChars="200"/>
        <w:jc w:val="left"/>
        <w:rPr>
          <w:rStyle w:val="337"/>
          <w:rFonts w:ascii="仿宋" w:eastAsia="仿宋"/>
          <w:color w:val="000000" w:themeColor="text1"/>
          <w:sz w:val="28"/>
          <w:szCs w:val="28"/>
          <w:highlight w:val="none"/>
        </w:rPr>
      </w:pPr>
      <w:r>
        <w:rPr>
          <w:rStyle w:val="337"/>
          <w:rFonts w:ascii="仿宋" w:eastAsia="仿宋"/>
          <w:color w:val="000000" w:themeColor="text1"/>
          <w:sz w:val="28"/>
          <w:szCs w:val="28"/>
          <w:highlight w:val="none"/>
        </w:rPr>
        <w:t>4.付款信息</w:t>
      </w:r>
      <w:r>
        <w:rPr>
          <w:rStyle w:val="337"/>
          <w:rFonts w:hint="eastAsia" w:ascii="仿宋" w:eastAsia="仿宋"/>
          <w:color w:val="000000" w:themeColor="text1"/>
          <w:sz w:val="28"/>
          <w:szCs w:val="28"/>
          <w:highlight w:val="none"/>
        </w:rPr>
        <w:t>如下：</w:t>
      </w:r>
    </w:p>
    <w:p>
      <w:pPr>
        <w:pStyle w:val="404"/>
        <w:tabs>
          <w:tab w:val="left" w:pos="1040"/>
        </w:tabs>
        <w:spacing w:line="520" w:lineRule="exact"/>
        <w:ind w:firstLine="980" w:firstLineChars="350"/>
        <w:jc w:val="left"/>
        <w:rPr>
          <w:rStyle w:val="337"/>
          <w:rFonts w:ascii="仿宋" w:eastAsia="仿宋"/>
          <w:color w:val="000000" w:themeColor="text1"/>
          <w:sz w:val="28"/>
          <w:szCs w:val="28"/>
          <w:highlight w:val="none"/>
        </w:rPr>
      </w:pPr>
      <w:r>
        <w:rPr>
          <w:rStyle w:val="337"/>
          <w:rFonts w:ascii="仿宋" w:eastAsia="仿宋"/>
          <w:color w:val="000000" w:themeColor="text1"/>
          <w:sz w:val="28"/>
          <w:szCs w:val="28"/>
          <w:highlight w:val="none"/>
        </w:rPr>
        <w:t xml:space="preserve">收 款 人：           </w:t>
      </w:r>
    </w:p>
    <w:p>
      <w:pPr>
        <w:pStyle w:val="404"/>
        <w:tabs>
          <w:tab w:val="left" w:pos="1040"/>
        </w:tabs>
        <w:spacing w:line="520" w:lineRule="exact"/>
        <w:ind w:firstLine="980" w:firstLineChars="350"/>
        <w:jc w:val="left"/>
        <w:rPr>
          <w:rStyle w:val="337"/>
          <w:rFonts w:ascii="仿宋" w:eastAsia="仿宋"/>
          <w:color w:val="000000" w:themeColor="text1"/>
          <w:sz w:val="28"/>
          <w:szCs w:val="28"/>
          <w:highlight w:val="none"/>
        </w:rPr>
      </w:pPr>
      <w:r>
        <w:rPr>
          <w:rStyle w:val="337"/>
          <w:rFonts w:ascii="仿宋" w:eastAsia="仿宋"/>
          <w:color w:val="000000" w:themeColor="text1"/>
          <w:sz w:val="28"/>
          <w:szCs w:val="28"/>
          <w:highlight w:val="none"/>
        </w:rPr>
        <w:t xml:space="preserve">开户银行：        </w:t>
      </w:r>
    </w:p>
    <w:p>
      <w:pPr>
        <w:pStyle w:val="404"/>
        <w:tabs>
          <w:tab w:val="left" w:pos="1040"/>
        </w:tabs>
        <w:spacing w:line="520" w:lineRule="exact"/>
        <w:ind w:firstLine="980" w:firstLineChars="350"/>
        <w:jc w:val="left"/>
        <w:rPr>
          <w:rStyle w:val="337"/>
          <w:rFonts w:ascii="仿宋" w:eastAsia="仿宋"/>
          <w:color w:val="000000" w:themeColor="text1"/>
          <w:sz w:val="28"/>
          <w:szCs w:val="28"/>
          <w:highlight w:val="none"/>
        </w:rPr>
      </w:pPr>
      <w:r>
        <w:rPr>
          <w:rStyle w:val="337"/>
          <w:rFonts w:ascii="仿宋" w:eastAsia="仿宋"/>
          <w:color w:val="000000" w:themeColor="text1"/>
          <w:sz w:val="28"/>
          <w:szCs w:val="28"/>
          <w:highlight w:val="none"/>
        </w:rPr>
        <w:t>银行账号：</w:t>
      </w:r>
    </w:p>
    <w:p>
      <w:pPr>
        <w:pStyle w:val="404"/>
        <w:tabs>
          <w:tab w:val="left" w:pos="1040"/>
        </w:tabs>
        <w:spacing w:line="520" w:lineRule="exact"/>
        <w:ind w:firstLine="980" w:firstLineChars="350"/>
        <w:jc w:val="left"/>
        <w:rPr>
          <w:rStyle w:val="337"/>
          <w:rFonts w:ascii="仿宋" w:eastAsia="仿宋"/>
          <w:color w:val="000000" w:themeColor="text1"/>
          <w:sz w:val="28"/>
          <w:szCs w:val="28"/>
          <w:highlight w:val="none"/>
        </w:rPr>
      </w:pPr>
      <w:r>
        <w:rPr>
          <w:rStyle w:val="337"/>
          <w:rFonts w:ascii="仿宋" w:eastAsia="仿宋"/>
          <w:color w:val="000000" w:themeColor="text1"/>
          <w:sz w:val="28"/>
          <w:szCs w:val="28"/>
          <w:highlight w:val="none"/>
        </w:rPr>
        <w:t xml:space="preserve">联 系 人：           </w:t>
      </w:r>
    </w:p>
    <w:p>
      <w:pPr>
        <w:pStyle w:val="404"/>
        <w:tabs>
          <w:tab w:val="left" w:pos="1040"/>
        </w:tabs>
        <w:spacing w:line="520" w:lineRule="exact"/>
        <w:ind w:firstLine="980" w:firstLineChars="350"/>
        <w:jc w:val="left"/>
        <w:rPr>
          <w:rStyle w:val="337"/>
          <w:rFonts w:ascii="仿宋" w:eastAsia="仿宋"/>
          <w:color w:val="000000" w:themeColor="text1"/>
          <w:sz w:val="28"/>
          <w:szCs w:val="28"/>
          <w:highlight w:val="none"/>
        </w:rPr>
      </w:pPr>
      <w:r>
        <w:rPr>
          <w:rStyle w:val="337"/>
          <w:rFonts w:ascii="仿宋" w:eastAsia="仿宋"/>
          <w:color w:val="000000" w:themeColor="text1"/>
          <w:sz w:val="28"/>
          <w:szCs w:val="28"/>
          <w:highlight w:val="none"/>
        </w:rPr>
        <w:t>联系电话：</w:t>
      </w:r>
    </w:p>
    <w:p>
      <w:pPr>
        <w:pStyle w:val="404"/>
        <w:tabs>
          <w:tab w:val="left" w:pos="1040"/>
        </w:tabs>
        <w:spacing w:line="520" w:lineRule="exact"/>
        <w:ind w:firstLine="551" w:firstLineChars="196"/>
        <w:jc w:val="left"/>
        <w:rPr>
          <w:rStyle w:val="337"/>
          <w:rFonts w:ascii="仿宋" w:eastAsia="仿宋"/>
          <w:b/>
          <w:color w:val="000000" w:themeColor="text1"/>
          <w:sz w:val="28"/>
          <w:szCs w:val="28"/>
          <w:highlight w:val="none"/>
        </w:rPr>
      </w:pPr>
      <w:r>
        <w:rPr>
          <w:rStyle w:val="337"/>
          <w:rFonts w:hint="eastAsia" w:ascii="仿宋" w:eastAsia="仿宋"/>
          <w:b/>
          <w:color w:val="000000" w:themeColor="text1"/>
          <w:sz w:val="28"/>
          <w:szCs w:val="28"/>
          <w:highlight w:val="none"/>
        </w:rPr>
        <w:t>九</w:t>
      </w:r>
      <w:r>
        <w:rPr>
          <w:rStyle w:val="337"/>
          <w:rFonts w:ascii="仿宋" w:eastAsia="仿宋"/>
          <w:b/>
          <w:color w:val="000000" w:themeColor="text1"/>
          <w:sz w:val="28"/>
          <w:szCs w:val="28"/>
          <w:highlight w:val="none"/>
        </w:rPr>
        <w:t>、售后服务</w:t>
      </w:r>
    </w:p>
    <w:p>
      <w:pPr>
        <w:spacing w:line="520" w:lineRule="exact"/>
        <w:ind w:firstLine="560" w:firstLineChars="200"/>
        <w:rPr>
          <w:rFonts w:ascii="仿宋" w:hAnsi="Courier New" w:eastAsia="仿宋"/>
          <w:color w:val="000000" w:themeColor="text1"/>
          <w:kern w:val="0"/>
          <w:sz w:val="28"/>
          <w:szCs w:val="28"/>
          <w:highlight w:val="none"/>
        </w:rPr>
      </w:pPr>
      <w:r>
        <w:rPr>
          <w:rFonts w:hint="eastAsia" w:ascii="仿宋" w:hAnsi="Courier New" w:eastAsia="仿宋"/>
          <w:color w:val="000000" w:themeColor="text1"/>
          <w:kern w:val="0"/>
          <w:sz w:val="28"/>
          <w:szCs w:val="28"/>
          <w:highlight w:val="none"/>
        </w:rPr>
        <w:t>乙方应按公开采购文件、投标（响应）文件及乙方在响应过程中做出的书面说明或承诺提供及时、快速、优质的售后服务。</w:t>
      </w:r>
    </w:p>
    <w:p>
      <w:pPr>
        <w:spacing w:line="520" w:lineRule="exact"/>
        <w:ind w:firstLine="560" w:firstLineChars="200"/>
        <w:rPr>
          <w:rStyle w:val="337"/>
          <w:rFonts w:ascii="仿宋" w:hAnsi="Courier New" w:eastAsia="仿宋"/>
          <w:color w:val="000000" w:themeColor="text1"/>
          <w:kern w:val="0"/>
          <w:sz w:val="28"/>
          <w:szCs w:val="28"/>
          <w:highlight w:val="none"/>
        </w:rPr>
      </w:pPr>
      <w:r>
        <w:rPr>
          <w:rFonts w:hint="eastAsia" w:ascii="仿宋" w:hAnsi="Courier New" w:eastAsia="仿宋"/>
          <w:color w:val="000000" w:themeColor="text1"/>
          <w:kern w:val="0"/>
          <w:sz w:val="28"/>
          <w:szCs w:val="28"/>
          <w:highlight w:val="none"/>
        </w:rPr>
        <w:t>见附件：乙方响应文件售后服务承诺材料。</w:t>
      </w:r>
    </w:p>
    <w:p>
      <w:pPr>
        <w:spacing w:line="520" w:lineRule="exact"/>
        <w:ind w:firstLine="567"/>
        <w:rPr>
          <w:rStyle w:val="337"/>
          <w:rFonts w:ascii="仿宋" w:eastAsia="仿宋"/>
          <w:b/>
          <w:color w:val="000000" w:themeColor="text1"/>
          <w:sz w:val="28"/>
          <w:szCs w:val="28"/>
          <w:highlight w:val="none"/>
        </w:rPr>
      </w:pPr>
      <w:r>
        <w:rPr>
          <w:rStyle w:val="337"/>
          <w:rFonts w:ascii="仿宋" w:eastAsia="仿宋"/>
          <w:b/>
          <w:color w:val="000000" w:themeColor="text1"/>
          <w:sz w:val="28"/>
          <w:szCs w:val="28"/>
          <w:highlight w:val="none"/>
        </w:rPr>
        <w:t>十、变更、修改和转让</w:t>
      </w:r>
    </w:p>
    <w:p>
      <w:pPr>
        <w:pStyle w:val="404"/>
        <w:spacing w:line="520" w:lineRule="exact"/>
        <w:ind w:firstLine="567"/>
        <w:rPr>
          <w:rStyle w:val="337"/>
          <w:rFonts w:ascii="仿宋" w:eastAsia="仿宋"/>
          <w:b/>
          <w:color w:val="000000" w:themeColor="text1"/>
          <w:sz w:val="28"/>
          <w:szCs w:val="28"/>
          <w:highlight w:val="none"/>
        </w:rPr>
      </w:pPr>
      <w:r>
        <w:rPr>
          <w:rStyle w:val="337"/>
          <w:rFonts w:ascii="仿宋" w:eastAsia="仿宋"/>
          <w:color w:val="000000" w:themeColor="text1"/>
          <w:sz w:val="28"/>
          <w:szCs w:val="28"/>
          <w:highlight w:val="none"/>
        </w:rPr>
        <w:t>乙方应严格按合同要求</w:t>
      </w:r>
      <w:r>
        <w:rPr>
          <w:rStyle w:val="337"/>
          <w:rFonts w:hint="eastAsia" w:ascii="仿宋" w:eastAsia="仿宋"/>
          <w:color w:val="000000" w:themeColor="text1"/>
          <w:sz w:val="28"/>
          <w:szCs w:val="28"/>
          <w:highlight w:val="none"/>
        </w:rPr>
        <w:t>提供</w:t>
      </w:r>
      <w:r>
        <w:rPr>
          <w:rStyle w:val="337"/>
          <w:rFonts w:ascii="仿宋" w:eastAsia="仿宋"/>
          <w:color w:val="000000" w:themeColor="text1"/>
          <w:sz w:val="28"/>
          <w:szCs w:val="28"/>
          <w:highlight w:val="none"/>
        </w:rPr>
        <w:t>服务，未经甲方书面同意，乙方不得擅自就合同标的的数量、质量、</w:t>
      </w:r>
      <w:r>
        <w:rPr>
          <w:rStyle w:val="337"/>
          <w:rFonts w:hint="eastAsia" w:ascii="仿宋" w:eastAsia="仿宋"/>
          <w:color w:val="000000" w:themeColor="text1"/>
          <w:sz w:val="28"/>
          <w:szCs w:val="28"/>
          <w:highlight w:val="none"/>
        </w:rPr>
        <w:t>交付期及质保期</w:t>
      </w:r>
      <w:r>
        <w:rPr>
          <w:rStyle w:val="337"/>
          <w:rFonts w:ascii="仿宋" w:eastAsia="仿宋"/>
          <w:color w:val="000000" w:themeColor="text1"/>
          <w:sz w:val="28"/>
          <w:szCs w:val="28"/>
          <w:highlight w:val="none"/>
        </w:rPr>
        <w:t>、技术规格以及其他的合同条款进行变更、修改；不得部分或者全部转让其应履行的合同义务。</w:t>
      </w:r>
    </w:p>
    <w:p>
      <w:pPr>
        <w:spacing w:line="520" w:lineRule="exact"/>
        <w:ind w:firstLine="562" w:firstLineChars="200"/>
        <w:rPr>
          <w:rStyle w:val="337"/>
          <w:rFonts w:ascii="仿宋" w:eastAsia="仿宋"/>
          <w:color w:val="000000" w:themeColor="text1"/>
          <w:sz w:val="28"/>
          <w:szCs w:val="28"/>
          <w:highlight w:val="none"/>
        </w:rPr>
      </w:pPr>
      <w:r>
        <w:rPr>
          <w:rStyle w:val="337"/>
          <w:rFonts w:ascii="仿宋" w:eastAsia="仿宋"/>
          <w:b/>
          <w:bCs/>
          <w:color w:val="000000" w:themeColor="text1"/>
          <w:sz w:val="28"/>
          <w:szCs w:val="28"/>
          <w:highlight w:val="none"/>
        </w:rPr>
        <w:t>十</w:t>
      </w:r>
      <w:r>
        <w:rPr>
          <w:rStyle w:val="337"/>
          <w:rFonts w:hint="eastAsia" w:ascii="仿宋" w:eastAsia="仿宋"/>
          <w:b/>
          <w:bCs/>
          <w:color w:val="000000" w:themeColor="text1"/>
          <w:sz w:val="28"/>
          <w:szCs w:val="28"/>
          <w:highlight w:val="none"/>
        </w:rPr>
        <w:t>一</w:t>
      </w:r>
      <w:r>
        <w:rPr>
          <w:rStyle w:val="337"/>
          <w:rFonts w:ascii="仿宋" w:eastAsia="仿宋"/>
          <w:b/>
          <w:bCs/>
          <w:color w:val="000000" w:themeColor="text1"/>
          <w:sz w:val="28"/>
          <w:szCs w:val="28"/>
          <w:highlight w:val="none"/>
        </w:rPr>
        <w:t>、合同解除</w:t>
      </w:r>
    </w:p>
    <w:p>
      <w:pPr>
        <w:spacing w:line="520" w:lineRule="exact"/>
        <w:ind w:firstLine="560" w:firstLineChars="200"/>
        <w:jc w:val="left"/>
        <w:rPr>
          <w:rStyle w:val="337"/>
          <w:rFonts w:ascii="仿宋" w:eastAsia="仿宋"/>
          <w:color w:val="000000" w:themeColor="text1"/>
          <w:kern w:val="0"/>
          <w:sz w:val="28"/>
          <w:szCs w:val="28"/>
          <w:highlight w:val="none"/>
        </w:rPr>
      </w:pPr>
      <w:r>
        <w:rPr>
          <w:rStyle w:val="337"/>
          <w:rFonts w:ascii="仿宋" w:eastAsia="仿宋"/>
          <w:color w:val="000000" w:themeColor="text1"/>
          <w:kern w:val="0"/>
          <w:sz w:val="28"/>
          <w:szCs w:val="28"/>
          <w:highlight w:val="none"/>
        </w:rPr>
        <w:t>1.出现下列情况之一的，甲方或乙方提出申请，招标代理机构将向违约方发出书面通知，解除本合同，解约方有权要求违约方按合同总金额20%支付违约金，并赔偿损失。</w:t>
      </w:r>
    </w:p>
    <w:p>
      <w:pPr>
        <w:spacing w:line="520" w:lineRule="exact"/>
        <w:ind w:firstLine="567"/>
        <w:jc w:val="left"/>
        <w:rPr>
          <w:rStyle w:val="337"/>
          <w:rFonts w:ascii="仿宋" w:eastAsia="仿宋"/>
          <w:color w:val="000000" w:themeColor="text1"/>
          <w:kern w:val="0"/>
          <w:sz w:val="28"/>
          <w:szCs w:val="28"/>
          <w:highlight w:val="none"/>
        </w:rPr>
      </w:pPr>
      <w:r>
        <w:rPr>
          <w:rStyle w:val="337"/>
          <w:rFonts w:ascii="仿宋" w:eastAsia="仿宋"/>
          <w:color w:val="000000" w:themeColor="text1"/>
          <w:kern w:val="0"/>
          <w:sz w:val="28"/>
          <w:szCs w:val="28"/>
          <w:highlight w:val="none"/>
        </w:rPr>
        <w:t>（1）乙方拒绝履行合同或以自己的行为表明不履行合同的；</w:t>
      </w:r>
    </w:p>
    <w:p>
      <w:pPr>
        <w:spacing w:line="520" w:lineRule="exact"/>
        <w:ind w:firstLine="567"/>
        <w:jc w:val="left"/>
        <w:rPr>
          <w:rStyle w:val="337"/>
          <w:rFonts w:ascii="仿宋" w:eastAsia="仿宋"/>
          <w:color w:val="000000" w:themeColor="text1"/>
          <w:kern w:val="0"/>
          <w:sz w:val="28"/>
          <w:szCs w:val="28"/>
          <w:highlight w:val="none"/>
        </w:rPr>
      </w:pPr>
      <w:r>
        <w:rPr>
          <w:rStyle w:val="337"/>
          <w:rFonts w:ascii="仿宋" w:eastAsia="仿宋"/>
          <w:color w:val="000000" w:themeColor="text1"/>
          <w:kern w:val="0"/>
          <w:sz w:val="28"/>
          <w:szCs w:val="28"/>
          <w:highlight w:val="none"/>
        </w:rPr>
        <w:t>（2）乙方延迟履行合同义务，经催告后仍不履行的；</w:t>
      </w:r>
    </w:p>
    <w:p>
      <w:pPr>
        <w:spacing w:line="520" w:lineRule="exact"/>
        <w:ind w:firstLine="567"/>
        <w:jc w:val="left"/>
        <w:rPr>
          <w:rStyle w:val="337"/>
          <w:rFonts w:ascii="仿宋" w:eastAsia="仿宋"/>
          <w:color w:val="000000" w:themeColor="text1"/>
          <w:kern w:val="0"/>
          <w:sz w:val="28"/>
          <w:szCs w:val="28"/>
          <w:highlight w:val="none"/>
        </w:rPr>
      </w:pPr>
      <w:r>
        <w:rPr>
          <w:rStyle w:val="337"/>
          <w:rFonts w:ascii="仿宋" w:eastAsia="仿宋"/>
          <w:color w:val="000000" w:themeColor="text1"/>
          <w:kern w:val="0"/>
          <w:sz w:val="28"/>
          <w:szCs w:val="28"/>
          <w:highlight w:val="none"/>
        </w:rPr>
        <w:t>（3）乙方履行合同义务不符合约定致使不能实现合同目的的；</w:t>
      </w:r>
    </w:p>
    <w:p>
      <w:pPr>
        <w:spacing w:line="520" w:lineRule="exact"/>
        <w:ind w:firstLine="567"/>
        <w:jc w:val="left"/>
        <w:rPr>
          <w:rStyle w:val="337"/>
          <w:rFonts w:ascii="仿宋" w:eastAsia="仿宋"/>
          <w:color w:val="000000" w:themeColor="text1"/>
          <w:kern w:val="0"/>
          <w:sz w:val="28"/>
          <w:szCs w:val="28"/>
          <w:highlight w:val="none"/>
        </w:rPr>
      </w:pPr>
      <w:r>
        <w:rPr>
          <w:rStyle w:val="337"/>
          <w:rFonts w:ascii="仿宋" w:eastAsia="仿宋"/>
          <w:color w:val="000000" w:themeColor="text1"/>
          <w:kern w:val="0"/>
          <w:sz w:val="28"/>
          <w:szCs w:val="28"/>
          <w:highlight w:val="none"/>
        </w:rPr>
        <w:t>（4）乙方履行合同义务不符合约定拒绝整改，或经整改后仍不合格的；</w:t>
      </w:r>
    </w:p>
    <w:p>
      <w:pPr>
        <w:spacing w:line="520" w:lineRule="exact"/>
        <w:ind w:firstLine="567"/>
        <w:jc w:val="left"/>
        <w:rPr>
          <w:rStyle w:val="337"/>
          <w:rFonts w:ascii="仿宋" w:eastAsia="仿宋"/>
          <w:color w:val="000000" w:themeColor="text1"/>
          <w:kern w:val="0"/>
          <w:sz w:val="28"/>
          <w:szCs w:val="28"/>
          <w:highlight w:val="none"/>
        </w:rPr>
      </w:pPr>
      <w:r>
        <w:rPr>
          <w:rStyle w:val="337"/>
          <w:rFonts w:ascii="仿宋" w:eastAsia="仿宋"/>
          <w:color w:val="000000" w:themeColor="text1"/>
          <w:kern w:val="0"/>
          <w:sz w:val="28"/>
          <w:szCs w:val="28"/>
          <w:highlight w:val="none"/>
        </w:rPr>
        <w:t>（5）乙方有其他严重违约情形的；</w:t>
      </w:r>
    </w:p>
    <w:p>
      <w:pPr>
        <w:spacing w:line="520" w:lineRule="exact"/>
        <w:ind w:firstLine="567"/>
        <w:jc w:val="left"/>
        <w:rPr>
          <w:rStyle w:val="337"/>
          <w:rFonts w:ascii="仿宋" w:eastAsia="仿宋"/>
          <w:color w:val="000000" w:themeColor="text1"/>
          <w:kern w:val="0"/>
          <w:sz w:val="28"/>
          <w:szCs w:val="28"/>
          <w:highlight w:val="none"/>
        </w:rPr>
      </w:pPr>
      <w:r>
        <w:rPr>
          <w:rStyle w:val="337"/>
          <w:rFonts w:ascii="仿宋" w:eastAsia="仿宋"/>
          <w:color w:val="000000" w:themeColor="text1"/>
          <w:kern w:val="0"/>
          <w:sz w:val="28"/>
          <w:szCs w:val="28"/>
          <w:highlight w:val="none"/>
        </w:rPr>
        <w:t>（6）甲方应当提供而未向乙方提供履约条件的。</w:t>
      </w:r>
    </w:p>
    <w:p>
      <w:pPr>
        <w:spacing w:line="520" w:lineRule="exact"/>
        <w:ind w:firstLine="567"/>
        <w:jc w:val="left"/>
        <w:rPr>
          <w:rStyle w:val="337"/>
          <w:rFonts w:ascii="仿宋" w:eastAsia="仿宋"/>
          <w:color w:val="000000" w:themeColor="text1"/>
          <w:kern w:val="0"/>
          <w:sz w:val="28"/>
          <w:szCs w:val="28"/>
          <w:highlight w:val="none"/>
        </w:rPr>
      </w:pPr>
      <w:r>
        <w:rPr>
          <w:rStyle w:val="337"/>
          <w:rFonts w:ascii="仿宋" w:eastAsia="仿宋"/>
          <w:color w:val="000000" w:themeColor="text1"/>
          <w:kern w:val="0"/>
          <w:sz w:val="28"/>
          <w:szCs w:val="28"/>
          <w:highlight w:val="none"/>
        </w:rPr>
        <w:t>2.</w:t>
      </w:r>
      <w:r>
        <w:rPr>
          <w:rStyle w:val="337"/>
          <w:rFonts w:ascii="仿宋" w:eastAsia="仿宋"/>
          <w:color w:val="000000" w:themeColor="text1"/>
          <w:sz w:val="28"/>
          <w:szCs w:val="28"/>
          <w:highlight w:val="none"/>
        </w:rPr>
        <w:t>被解除方对解除合同有异议的，应当在收到解除通知之日起15日内向荣成市人民法院起诉。</w:t>
      </w:r>
    </w:p>
    <w:p>
      <w:pPr>
        <w:spacing w:line="520" w:lineRule="exact"/>
        <w:ind w:firstLine="562" w:firstLineChars="200"/>
        <w:rPr>
          <w:rStyle w:val="337"/>
          <w:rFonts w:ascii="仿宋" w:eastAsia="仿宋"/>
          <w:b/>
          <w:bCs/>
          <w:color w:val="000000" w:themeColor="text1"/>
          <w:sz w:val="28"/>
          <w:szCs w:val="28"/>
          <w:highlight w:val="none"/>
        </w:rPr>
      </w:pPr>
      <w:r>
        <w:rPr>
          <w:rStyle w:val="337"/>
          <w:rFonts w:ascii="仿宋" w:eastAsia="仿宋"/>
          <w:b/>
          <w:bCs/>
          <w:color w:val="000000" w:themeColor="text1"/>
          <w:sz w:val="28"/>
          <w:szCs w:val="28"/>
          <w:highlight w:val="none"/>
        </w:rPr>
        <w:t>十</w:t>
      </w:r>
      <w:r>
        <w:rPr>
          <w:rStyle w:val="337"/>
          <w:rFonts w:hint="eastAsia" w:ascii="仿宋" w:eastAsia="仿宋"/>
          <w:b/>
          <w:bCs/>
          <w:color w:val="000000" w:themeColor="text1"/>
          <w:sz w:val="28"/>
          <w:szCs w:val="28"/>
          <w:highlight w:val="none"/>
        </w:rPr>
        <w:t>二</w:t>
      </w:r>
      <w:r>
        <w:rPr>
          <w:rStyle w:val="337"/>
          <w:rFonts w:ascii="仿宋" w:eastAsia="仿宋"/>
          <w:b/>
          <w:bCs/>
          <w:color w:val="000000" w:themeColor="text1"/>
          <w:sz w:val="28"/>
          <w:szCs w:val="28"/>
          <w:highlight w:val="none"/>
        </w:rPr>
        <w:t>、违约赔偿</w:t>
      </w:r>
    </w:p>
    <w:p>
      <w:pPr>
        <w:spacing w:line="520" w:lineRule="exact"/>
        <w:ind w:firstLine="560" w:firstLineChars="200"/>
        <w:rPr>
          <w:rStyle w:val="337"/>
          <w:rFonts w:ascii="仿宋" w:eastAsia="仿宋"/>
          <w:color w:val="000000" w:themeColor="text1"/>
          <w:sz w:val="28"/>
          <w:szCs w:val="28"/>
          <w:highlight w:val="none"/>
        </w:rPr>
      </w:pPr>
      <w:r>
        <w:rPr>
          <w:rStyle w:val="337"/>
          <w:rFonts w:ascii="仿宋" w:eastAsia="仿宋"/>
          <w:color w:val="000000" w:themeColor="text1"/>
          <w:sz w:val="28"/>
          <w:szCs w:val="28"/>
          <w:highlight w:val="none"/>
        </w:rPr>
        <w:t>1. 乙方违反第四条质量及专利权第一款的约定而降低标准及违反第十条变更、修改和转让的约定，甲方将责令其限期更换或者纠正，由此而造成延期，按本条第二款的规定支付违约赔偿；</w:t>
      </w:r>
      <w:r>
        <w:rPr>
          <w:rStyle w:val="405"/>
          <w:rFonts w:ascii="仿宋" w:eastAsia="仿宋"/>
          <w:color w:val="000000" w:themeColor="text1"/>
          <w:sz w:val="28"/>
          <w:szCs w:val="28"/>
          <w:highlight w:val="none"/>
        </w:rPr>
        <w:t>如违反</w:t>
      </w:r>
      <w:r>
        <w:rPr>
          <w:rStyle w:val="337"/>
          <w:rFonts w:ascii="仿宋" w:eastAsia="仿宋"/>
          <w:color w:val="000000" w:themeColor="text1"/>
          <w:sz w:val="28"/>
          <w:szCs w:val="28"/>
          <w:highlight w:val="none"/>
        </w:rPr>
        <w:t>第四条质量及专利权第一款</w:t>
      </w:r>
      <w:r>
        <w:rPr>
          <w:rStyle w:val="405"/>
          <w:rFonts w:ascii="仿宋" w:eastAsia="仿宋"/>
          <w:color w:val="000000" w:themeColor="text1"/>
          <w:sz w:val="28"/>
          <w:szCs w:val="28"/>
          <w:highlight w:val="none"/>
        </w:rPr>
        <w:t>约定，造成甲方无法继续使用标的物及对第三方承担赔偿责任的，乙方应当承担对甲方造成的一切损失（包括但不限于甲方的采购款、利息、维权费用等）</w:t>
      </w:r>
      <w:r>
        <w:rPr>
          <w:rStyle w:val="337"/>
          <w:rFonts w:ascii="仿宋" w:eastAsia="仿宋"/>
          <w:color w:val="000000" w:themeColor="text1"/>
          <w:sz w:val="28"/>
          <w:szCs w:val="28"/>
          <w:highlight w:val="none"/>
        </w:rPr>
        <w:t>。</w:t>
      </w:r>
    </w:p>
    <w:p>
      <w:pPr>
        <w:spacing w:line="520" w:lineRule="exact"/>
        <w:ind w:firstLine="529" w:firstLineChars="189"/>
        <w:rPr>
          <w:rStyle w:val="337"/>
          <w:rFonts w:ascii="仿宋" w:eastAsia="仿宋"/>
          <w:color w:val="000000" w:themeColor="text1"/>
          <w:sz w:val="28"/>
          <w:szCs w:val="28"/>
          <w:highlight w:val="none"/>
        </w:rPr>
      </w:pPr>
      <w:r>
        <w:rPr>
          <w:rStyle w:val="337"/>
          <w:rFonts w:ascii="仿宋" w:eastAsia="仿宋"/>
          <w:color w:val="000000" w:themeColor="text1"/>
          <w:sz w:val="28"/>
          <w:szCs w:val="28"/>
          <w:highlight w:val="none"/>
        </w:rPr>
        <w:t>2.乙方违反第六条关于</w:t>
      </w:r>
      <w:r>
        <w:rPr>
          <w:rStyle w:val="337"/>
          <w:rFonts w:hint="eastAsia" w:ascii="仿宋" w:eastAsia="仿宋"/>
          <w:color w:val="000000" w:themeColor="text1"/>
          <w:sz w:val="28"/>
          <w:szCs w:val="28"/>
          <w:highlight w:val="none"/>
        </w:rPr>
        <w:t>交付期及质保期</w:t>
      </w:r>
      <w:r>
        <w:rPr>
          <w:rStyle w:val="337"/>
          <w:rFonts w:ascii="仿宋" w:eastAsia="仿宋"/>
          <w:color w:val="000000" w:themeColor="text1"/>
          <w:sz w:val="28"/>
          <w:szCs w:val="28"/>
          <w:highlight w:val="none"/>
        </w:rPr>
        <w:t>的约定，逾期交货、逾期交付验收或者经验收不合格而重新供货、交付验收，每逾期一日按照逾期部分合同价款的3‰向甲方支付违约金，直至到货，不足一日，按一日计算（下同），甲方有权要求乙方赔偿因此造成的全部经济损失。</w:t>
      </w:r>
    </w:p>
    <w:p>
      <w:pPr>
        <w:spacing w:line="520" w:lineRule="exact"/>
        <w:ind w:firstLine="529" w:firstLineChars="189"/>
        <w:rPr>
          <w:rStyle w:val="337"/>
          <w:rFonts w:ascii="仿宋" w:eastAsia="仿宋"/>
          <w:color w:val="000000" w:themeColor="text1"/>
          <w:sz w:val="28"/>
          <w:szCs w:val="28"/>
          <w:highlight w:val="none"/>
        </w:rPr>
      </w:pPr>
      <w:r>
        <w:rPr>
          <w:rStyle w:val="337"/>
          <w:rFonts w:ascii="仿宋" w:eastAsia="仿宋"/>
          <w:color w:val="000000" w:themeColor="text1"/>
          <w:sz w:val="28"/>
          <w:szCs w:val="28"/>
          <w:highlight w:val="none"/>
        </w:rPr>
        <w:t>3.因乙方违约致使合同被解除的，如果在解除前甲方已经实际使用了乙方的产品而解除后需要退货的，则对使用期间的损耗或折旧甲方不负责补偿。</w:t>
      </w:r>
    </w:p>
    <w:p>
      <w:pPr>
        <w:spacing w:line="520" w:lineRule="exact"/>
        <w:ind w:firstLine="529" w:firstLineChars="189"/>
        <w:rPr>
          <w:rStyle w:val="337"/>
          <w:rFonts w:ascii="仿宋" w:eastAsia="仿宋"/>
          <w:color w:val="000000" w:themeColor="text1"/>
          <w:sz w:val="28"/>
          <w:szCs w:val="28"/>
          <w:highlight w:val="none"/>
        </w:rPr>
      </w:pPr>
      <w:r>
        <w:rPr>
          <w:rStyle w:val="337"/>
          <w:rFonts w:ascii="仿宋" w:eastAsia="仿宋"/>
          <w:color w:val="000000" w:themeColor="text1"/>
          <w:sz w:val="28"/>
          <w:szCs w:val="28"/>
          <w:highlight w:val="none"/>
        </w:rPr>
        <w:t>4.项目验收不合格执行本合同第</w:t>
      </w:r>
      <w:r>
        <w:rPr>
          <w:rStyle w:val="337"/>
          <w:rFonts w:hint="eastAsia" w:ascii="仿宋" w:eastAsia="仿宋"/>
          <w:color w:val="000000" w:themeColor="text1"/>
          <w:sz w:val="28"/>
          <w:szCs w:val="28"/>
          <w:highlight w:val="none"/>
        </w:rPr>
        <w:t>七</w:t>
      </w:r>
      <w:r>
        <w:rPr>
          <w:rStyle w:val="337"/>
          <w:rFonts w:ascii="仿宋" w:eastAsia="仿宋"/>
          <w:color w:val="000000" w:themeColor="text1"/>
          <w:sz w:val="28"/>
          <w:szCs w:val="28"/>
          <w:highlight w:val="none"/>
        </w:rPr>
        <w:t>条第三款。</w:t>
      </w:r>
    </w:p>
    <w:p>
      <w:pPr>
        <w:spacing w:line="520" w:lineRule="exact"/>
        <w:ind w:firstLine="529" w:firstLineChars="189"/>
        <w:rPr>
          <w:rStyle w:val="337"/>
          <w:rFonts w:ascii="仿宋" w:eastAsia="仿宋"/>
          <w:bCs/>
          <w:color w:val="000000" w:themeColor="text1"/>
          <w:sz w:val="28"/>
          <w:szCs w:val="28"/>
          <w:highlight w:val="none"/>
        </w:rPr>
      </w:pPr>
      <w:r>
        <w:rPr>
          <w:rStyle w:val="337"/>
          <w:rFonts w:ascii="仿宋" w:eastAsia="仿宋"/>
          <w:color w:val="000000" w:themeColor="text1"/>
          <w:sz w:val="28"/>
          <w:szCs w:val="28"/>
          <w:highlight w:val="none"/>
        </w:rPr>
        <w:t>5.</w:t>
      </w:r>
      <w:r>
        <w:rPr>
          <w:rStyle w:val="337"/>
          <w:rFonts w:ascii="仿宋" w:eastAsia="仿宋"/>
          <w:bCs/>
          <w:color w:val="000000" w:themeColor="text1"/>
          <w:sz w:val="28"/>
          <w:szCs w:val="28"/>
          <w:highlight w:val="none"/>
        </w:rPr>
        <w:t>乙方无正当理由不履行本合同的，乙方应按本合同的约定承担违约责任。乙方履行合同不符合约定导致甲方解除合同的，乙方应按本合同的约定承担违约责任。乙方履行合同不符合约定但经采取补救措施后达到合同约定标准的，甲方有权在应向乙方支付的合同价款中扣除乙方承担的违约金和赔偿的损失。</w:t>
      </w:r>
    </w:p>
    <w:p>
      <w:pPr>
        <w:spacing w:line="520" w:lineRule="exact"/>
        <w:ind w:firstLine="529" w:firstLineChars="189"/>
        <w:rPr>
          <w:rStyle w:val="337"/>
          <w:rFonts w:ascii="仿宋" w:eastAsia="仿宋"/>
          <w:color w:val="000000" w:themeColor="text1"/>
          <w:sz w:val="28"/>
          <w:szCs w:val="28"/>
          <w:highlight w:val="none"/>
        </w:rPr>
      </w:pPr>
      <w:r>
        <w:rPr>
          <w:rStyle w:val="337"/>
          <w:rFonts w:ascii="仿宋" w:eastAsia="仿宋"/>
          <w:color w:val="000000" w:themeColor="text1"/>
          <w:sz w:val="28"/>
          <w:szCs w:val="28"/>
          <w:highlight w:val="none"/>
        </w:rPr>
        <w:t>6.一方因不可抗力导致合同不能履行的，不承担违约责任。但应当及时通知对方，以减轻可能给对方造成的损失，并应当在合理期限内提供证明。“不可抗力”是指不能预见、不能避免并不能克服的客观情况，如：战争、严重火灾、洪水、台风、地震等事件。</w:t>
      </w:r>
    </w:p>
    <w:p>
      <w:pPr>
        <w:spacing w:line="520" w:lineRule="exact"/>
        <w:ind w:firstLine="529" w:firstLineChars="189"/>
        <w:rPr>
          <w:rStyle w:val="337"/>
          <w:rFonts w:ascii="仿宋" w:eastAsia="仿宋"/>
          <w:color w:val="000000" w:themeColor="text1"/>
          <w:sz w:val="28"/>
          <w:szCs w:val="28"/>
          <w:highlight w:val="none"/>
        </w:rPr>
      </w:pPr>
      <w:r>
        <w:rPr>
          <w:rStyle w:val="337"/>
          <w:rFonts w:ascii="仿宋" w:eastAsia="仿宋"/>
          <w:color w:val="000000" w:themeColor="text1"/>
          <w:sz w:val="28"/>
          <w:szCs w:val="28"/>
          <w:highlight w:val="none"/>
        </w:rPr>
        <w:t>7.乙方存在下列行为的，纳入</w:t>
      </w:r>
      <w:r>
        <w:rPr>
          <w:rStyle w:val="337"/>
          <w:rFonts w:ascii="仿宋" w:eastAsia="仿宋"/>
          <w:color w:val="000000" w:themeColor="text1"/>
          <w:kern w:val="0"/>
          <w:sz w:val="28"/>
          <w:szCs w:val="28"/>
          <w:highlight w:val="none"/>
        </w:rPr>
        <w:t>招标代理机构的</w:t>
      </w:r>
      <w:r>
        <w:rPr>
          <w:rStyle w:val="337"/>
          <w:rFonts w:ascii="仿宋" w:eastAsia="仿宋"/>
          <w:color w:val="000000" w:themeColor="text1"/>
          <w:sz w:val="28"/>
          <w:szCs w:val="28"/>
          <w:highlight w:val="none"/>
        </w:rPr>
        <w:t>诚信记录：</w:t>
      </w:r>
    </w:p>
    <w:p>
      <w:pPr>
        <w:spacing w:line="520" w:lineRule="exact"/>
        <w:ind w:firstLine="529" w:firstLineChars="189"/>
        <w:rPr>
          <w:rStyle w:val="337"/>
          <w:rFonts w:ascii="仿宋" w:eastAsia="仿宋"/>
          <w:color w:val="000000" w:themeColor="text1"/>
          <w:sz w:val="28"/>
          <w:szCs w:val="28"/>
          <w:highlight w:val="none"/>
        </w:rPr>
      </w:pPr>
      <w:r>
        <w:rPr>
          <w:rStyle w:val="337"/>
          <w:rFonts w:ascii="仿宋" w:eastAsia="仿宋"/>
          <w:color w:val="000000" w:themeColor="text1"/>
          <w:sz w:val="28"/>
          <w:szCs w:val="28"/>
          <w:highlight w:val="none"/>
        </w:rPr>
        <w:t>（1）无正当理由放弃采购合同履约的；</w:t>
      </w:r>
    </w:p>
    <w:p>
      <w:pPr>
        <w:spacing w:line="520" w:lineRule="exact"/>
        <w:ind w:firstLine="531" w:firstLineChars="189"/>
        <w:rPr>
          <w:rStyle w:val="337"/>
          <w:rFonts w:ascii="仿宋" w:eastAsia="仿宋" w:cs="仿宋_GB2312"/>
          <w:b/>
          <w:bCs/>
          <w:color w:val="000000" w:themeColor="text1"/>
          <w:sz w:val="28"/>
          <w:szCs w:val="28"/>
          <w:highlight w:val="none"/>
        </w:rPr>
      </w:pPr>
      <w:r>
        <w:rPr>
          <w:rStyle w:val="337"/>
          <w:rFonts w:ascii="仿宋" w:eastAsia="仿宋"/>
          <w:b/>
          <w:color w:val="000000" w:themeColor="text1"/>
          <w:sz w:val="28"/>
          <w:szCs w:val="28"/>
          <w:highlight w:val="none"/>
        </w:rPr>
        <w:t>（2）</w:t>
      </w:r>
      <w:r>
        <w:rPr>
          <w:rStyle w:val="337"/>
          <w:rFonts w:ascii="仿宋" w:eastAsia="仿宋" w:cs="仿宋_GB2312"/>
          <w:b/>
          <w:bCs/>
          <w:color w:val="000000" w:themeColor="text1"/>
          <w:sz w:val="28"/>
          <w:szCs w:val="28"/>
          <w:highlight w:val="none"/>
        </w:rPr>
        <w:t>不履行合同义务，情节严重的；</w:t>
      </w:r>
    </w:p>
    <w:p>
      <w:pPr>
        <w:spacing w:line="520" w:lineRule="exact"/>
        <w:ind w:firstLine="529" w:firstLineChars="189"/>
        <w:rPr>
          <w:rStyle w:val="337"/>
          <w:rFonts w:ascii="仿宋" w:eastAsia="仿宋"/>
          <w:color w:val="000000" w:themeColor="text1"/>
          <w:sz w:val="28"/>
          <w:szCs w:val="28"/>
          <w:highlight w:val="none"/>
        </w:rPr>
      </w:pPr>
      <w:r>
        <w:rPr>
          <w:rStyle w:val="337"/>
          <w:rFonts w:ascii="仿宋" w:eastAsia="仿宋" w:cs="仿宋_GB2312"/>
          <w:bCs/>
          <w:color w:val="000000" w:themeColor="text1"/>
          <w:sz w:val="28"/>
          <w:szCs w:val="28"/>
          <w:highlight w:val="none"/>
        </w:rPr>
        <w:t>（3）</w:t>
      </w:r>
      <w:r>
        <w:rPr>
          <w:rStyle w:val="337"/>
          <w:rFonts w:ascii="仿宋" w:eastAsia="仿宋"/>
          <w:color w:val="000000" w:themeColor="text1"/>
          <w:sz w:val="28"/>
          <w:szCs w:val="28"/>
          <w:highlight w:val="none"/>
        </w:rPr>
        <w:t>在数量、质量、技术、服务、安全、标准、功能、工艺等方面不符合采购合同约定，给采购人造成较大损失或者影响的；</w:t>
      </w:r>
    </w:p>
    <w:p>
      <w:pPr>
        <w:spacing w:line="520" w:lineRule="exact"/>
        <w:ind w:firstLine="529" w:firstLineChars="189"/>
        <w:rPr>
          <w:rStyle w:val="337"/>
          <w:rFonts w:ascii="仿宋" w:eastAsia="仿宋"/>
          <w:color w:val="000000" w:themeColor="text1"/>
          <w:sz w:val="28"/>
          <w:szCs w:val="28"/>
          <w:highlight w:val="none"/>
        </w:rPr>
      </w:pPr>
      <w:r>
        <w:rPr>
          <w:rStyle w:val="337"/>
          <w:rFonts w:ascii="仿宋" w:eastAsia="仿宋"/>
          <w:color w:val="000000" w:themeColor="text1"/>
          <w:sz w:val="28"/>
          <w:szCs w:val="28"/>
          <w:highlight w:val="none"/>
        </w:rPr>
        <w:t>（4）因履约问题影响采购项目功能实现又拒不纠正的；</w:t>
      </w:r>
    </w:p>
    <w:p>
      <w:pPr>
        <w:spacing w:line="520" w:lineRule="exact"/>
        <w:ind w:firstLine="529" w:firstLineChars="189"/>
        <w:rPr>
          <w:rStyle w:val="337"/>
          <w:rFonts w:ascii="仿宋" w:eastAsia="仿宋"/>
          <w:color w:val="000000" w:themeColor="text1"/>
          <w:sz w:val="28"/>
          <w:szCs w:val="28"/>
          <w:highlight w:val="none"/>
        </w:rPr>
      </w:pPr>
      <w:r>
        <w:rPr>
          <w:rStyle w:val="337"/>
          <w:rFonts w:ascii="仿宋" w:eastAsia="仿宋"/>
          <w:color w:val="000000" w:themeColor="text1"/>
          <w:sz w:val="28"/>
          <w:szCs w:val="28"/>
          <w:highlight w:val="none"/>
        </w:rPr>
        <w:t>（5）与甲方工作人员或者验收小组成员串通，实施虚假履约验收的；</w:t>
      </w:r>
    </w:p>
    <w:p>
      <w:pPr>
        <w:spacing w:line="520" w:lineRule="exact"/>
        <w:ind w:firstLine="529" w:firstLineChars="189"/>
        <w:rPr>
          <w:rStyle w:val="337"/>
          <w:rFonts w:ascii="仿宋" w:eastAsia="仿宋"/>
          <w:color w:val="000000" w:themeColor="text1"/>
          <w:sz w:val="28"/>
          <w:szCs w:val="28"/>
          <w:highlight w:val="none"/>
        </w:rPr>
      </w:pPr>
      <w:r>
        <w:rPr>
          <w:rStyle w:val="337"/>
          <w:rFonts w:ascii="仿宋" w:eastAsia="仿宋"/>
          <w:color w:val="000000" w:themeColor="text1"/>
          <w:sz w:val="28"/>
          <w:szCs w:val="28"/>
          <w:highlight w:val="none"/>
        </w:rPr>
        <w:t>（6）其他损害公共利益、采购人利益、第三方权益且情节较重的。</w:t>
      </w:r>
    </w:p>
    <w:p>
      <w:pPr>
        <w:spacing w:line="520" w:lineRule="exact"/>
        <w:ind w:firstLine="529" w:firstLineChars="189"/>
        <w:rPr>
          <w:rStyle w:val="337"/>
          <w:rFonts w:ascii="仿宋" w:eastAsia="仿宋"/>
          <w:color w:val="000000" w:themeColor="text1"/>
          <w:sz w:val="28"/>
          <w:szCs w:val="28"/>
          <w:highlight w:val="none"/>
        </w:rPr>
      </w:pPr>
      <w:r>
        <w:rPr>
          <w:rStyle w:val="337"/>
          <w:rFonts w:ascii="仿宋" w:eastAsia="仿宋"/>
          <w:color w:val="000000" w:themeColor="text1"/>
          <w:sz w:val="28"/>
          <w:szCs w:val="28"/>
          <w:highlight w:val="none"/>
        </w:rPr>
        <w:t>8.由违约方承担因违约给对方造成的诉讼费、保全费、保全保险费、律师代理费、差旅费等因处理纠纷产生的所有费用。</w:t>
      </w:r>
    </w:p>
    <w:p>
      <w:pPr>
        <w:spacing w:line="520" w:lineRule="exact"/>
        <w:ind w:firstLine="562" w:firstLineChars="200"/>
        <w:rPr>
          <w:rStyle w:val="337"/>
          <w:rFonts w:ascii="仿宋" w:eastAsia="仿宋"/>
          <w:b/>
          <w:bCs/>
          <w:color w:val="000000" w:themeColor="text1"/>
          <w:sz w:val="28"/>
          <w:szCs w:val="28"/>
          <w:highlight w:val="none"/>
        </w:rPr>
      </w:pPr>
      <w:r>
        <w:rPr>
          <w:rStyle w:val="337"/>
          <w:rFonts w:ascii="仿宋" w:eastAsia="仿宋"/>
          <w:b/>
          <w:bCs/>
          <w:color w:val="000000" w:themeColor="text1"/>
          <w:sz w:val="28"/>
          <w:szCs w:val="28"/>
          <w:highlight w:val="none"/>
        </w:rPr>
        <w:t>十</w:t>
      </w:r>
      <w:r>
        <w:rPr>
          <w:rStyle w:val="337"/>
          <w:rFonts w:hint="eastAsia" w:ascii="仿宋" w:eastAsia="仿宋"/>
          <w:b/>
          <w:bCs/>
          <w:color w:val="000000" w:themeColor="text1"/>
          <w:sz w:val="28"/>
          <w:szCs w:val="28"/>
          <w:highlight w:val="none"/>
        </w:rPr>
        <w:t>三</w:t>
      </w:r>
      <w:r>
        <w:rPr>
          <w:rStyle w:val="337"/>
          <w:rFonts w:ascii="仿宋" w:eastAsia="仿宋"/>
          <w:b/>
          <w:bCs/>
          <w:color w:val="000000" w:themeColor="text1"/>
          <w:sz w:val="28"/>
          <w:szCs w:val="28"/>
          <w:highlight w:val="none"/>
        </w:rPr>
        <w:t>、争议解决</w:t>
      </w:r>
    </w:p>
    <w:p>
      <w:pPr>
        <w:spacing w:line="520" w:lineRule="exact"/>
        <w:ind w:firstLine="560" w:firstLineChars="200"/>
        <w:rPr>
          <w:rStyle w:val="337"/>
          <w:rFonts w:ascii="仿宋" w:eastAsia="仿宋"/>
          <w:color w:val="000000" w:themeColor="text1"/>
          <w:sz w:val="28"/>
          <w:szCs w:val="28"/>
          <w:highlight w:val="none"/>
        </w:rPr>
      </w:pPr>
      <w:r>
        <w:rPr>
          <w:rStyle w:val="337"/>
          <w:rFonts w:ascii="仿宋" w:eastAsia="仿宋"/>
          <w:color w:val="000000" w:themeColor="text1"/>
          <w:sz w:val="28"/>
          <w:szCs w:val="28"/>
          <w:highlight w:val="none"/>
        </w:rPr>
        <w:t>1.合同执行期内，甲、乙双方均不得随意变更或解除合同。合同如有未尽事宜，须经双方共同协商，作出补充协议，补充协议与本合同具有同等效力。</w:t>
      </w:r>
    </w:p>
    <w:p>
      <w:pPr>
        <w:spacing w:line="520" w:lineRule="exact"/>
        <w:ind w:firstLine="560" w:firstLineChars="200"/>
        <w:rPr>
          <w:rStyle w:val="337"/>
          <w:rFonts w:ascii="仿宋" w:eastAsia="仿宋"/>
          <w:color w:val="000000" w:themeColor="text1"/>
          <w:sz w:val="28"/>
          <w:szCs w:val="28"/>
          <w:highlight w:val="none"/>
        </w:rPr>
      </w:pPr>
      <w:r>
        <w:rPr>
          <w:rStyle w:val="337"/>
          <w:rFonts w:ascii="仿宋" w:eastAsia="仿宋"/>
          <w:color w:val="000000" w:themeColor="text1"/>
          <w:sz w:val="28"/>
          <w:szCs w:val="28"/>
          <w:highlight w:val="none"/>
        </w:rPr>
        <w:t>2.合同各方应通过友好协商，解决执行本合同中所发生的或与本合同有关的一切争议，如协商不成，甲、乙双方可向荣成市人民法院提起诉讼。</w:t>
      </w:r>
    </w:p>
    <w:p>
      <w:pPr>
        <w:spacing w:line="520" w:lineRule="exact"/>
        <w:ind w:firstLine="560" w:firstLineChars="200"/>
        <w:rPr>
          <w:rStyle w:val="337"/>
          <w:rFonts w:ascii="仿宋" w:eastAsia="仿宋"/>
          <w:color w:val="000000" w:themeColor="text1"/>
          <w:sz w:val="28"/>
          <w:szCs w:val="28"/>
          <w:highlight w:val="none"/>
        </w:rPr>
      </w:pPr>
      <w:r>
        <w:rPr>
          <w:rStyle w:val="337"/>
          <w:rFonts w:ascii="仿宋" w:eastAsia="仿宋"/>
          <w:color w:val="000000" w:themeColor="text1"/>
          <w:sz w:val="28"/>
          <w:szCs w:val="28"/>
          <w:highlight w:val="none"/>
        </w:rPr>
        <w:t>3.在诉讼期间，本合同无争议的部分应继续履行。</w:t>
      </w:r>
    </w:p>
    <w:p>
      <w:pPr>
        <w:spacing w:line="520" w:lineRule="exact"/>
        <w:ind w:firstLine="562" w:firstLineChars="200"/>
        <w:rPr>
          <w:rStyle w:val="337"/>
          <w:rFonts w:ascii="仿宋" w:eastAsia="仿宋"/>
          <w:b/>
          <w:bCs/>
          <w:color w:val="000000" w:themeColor="text1"/>
          <w:sz w:val="28"/>
          <w:szCs w:val="28"/>
          <w:highlight w:val="none"/>
        </w:rPr>
      </w:pPr>
      <w:r>
        <w:rPr>
          <w:rStyle w:val="337"/>
          <w:rFonts w:ascii="仿宋" w:eastAsia="仿宋"/>
          <w:b/>
          <w:bCs/>
          <w:color w:val="000000" w:themeColor="text1"/>
          <w:sz w:val="28"/>
          <w:szCs w:val="28"/>
          <w:highlight w:val="none"/>
        </w:rPr>
        <w:t>十</w:t>
      </w:r>
      <w:r>
        <w:rPr>
          <w:rStyle w:val="337"/>
          <w:rFonts w:hint="eastAsia" w:ascii="仿宋" w:eastAsia="仿宋"/>
          <w:b/>
          <w:bCs/>
          <w:color w:val="000000" w:themeColor="text1"/>
          <w:sz w:val="28"/>
          <w:szCs w:val="28"/>
          <w:highlight w:val="none"/>
        </w:rPr>
        <w:t>四</w:t>
      </w:r>
      <w:r>
        <w:rPr>
          <w:rStyle w:val="337"/>
          <w:rFonts w:ascii="仿宋" w:eastAsia="仿宋"/>
          <w:b/>
          <w:bCs/>
          <w:color w:val="000000" w:themeColor="text1"/>
          <w:sz w:val="28"/>
          <w:szCs w:val="28"/>
          <w:highlight w:val="none"/>
        </w:rPr>
        <w:t>、合同生效</w:t>
      </w:r>
    </w:p>
    <w:p>
      <w:pPr>
        <w:pStyle w:val="404"/>
        <w:spacing w:line="520" w:lineRule="exact"/>
        <w:ind w:firstLine="567"/>
        <w:rPr>
          <w:rStyle w:val="337"/>
          <w:rFonts w:ascii="仿宋" w:eastAsia="仿宋"/>
          <w:color w:val="000000" w:themeColor="text1"/>
          <w:sz w:val="28"/>
          <w:szCs w:val="28"/>
          <w:highlight w:val="none"/>
          <w:shd w:val="pct10" w:color="auto" w:fill="FFFFFF"/>
        </w:rPr>
      </w:pPr>
      <w:r>
        <w:rPr>
          <w:rStyle w:val="337"/>
          <w:rFonts w:ascii="仿宋" w:eastAsia="仿宋"/>
          <w:color w:val="000000" w:themeColor="text1"/>
          <w:sz w:val="28"/>
          <w:szCs w:val="28"/>
          <w:highlight w:val="none"/>
        </w:rPr>
        <w:t>本合同由各方代表签字并加盖各方公章或合同章及骑缝章后生效。。</w:t>
      </w:r>
    </w:p>
    <w:p>
      <w:pPr>
        <w:spacing w:line="520" w:lineRule="exact"/>
        <w:ind w:firstLine="562" w:firstLineChars="200"/>
        <w:rPr>
          <w:rStyle w:val="337"/>
          <w:rFonts w:ascii="仿宋" w:eastAsia="仿宋"/>
          <w:color w:val="000000" w:themeColor="text1"/>
          <w:sz w:val="28"/>
          <w:szCs w:val="28"/>
          <w:highlight w:val="none"/>
        </w:rPr>
      </w:pPr>
      <w:r>
        <w:rPr>
          <w:rStyle w:val="337"/>
          <w:rFonts w:ascii="仿宋" w:eastAsia="仿宋"/>
          <w:b/>
          <w:color w:val="000000" w:themeColor="text1"/>
          <w:sz w:val="28"/>
          <w:szCs w:val="28"/>
          <w:highlight w:val="none"/>
        </w:rPr>
        <w:t>十</w:t>
      </w:r>
      <w:r>
        <w:rPr>
          <w:rStyle w:val="337"/>
          <w:rFonts w:hint="eastAsia" w:ascii="仿宋" w:eastAsia="仿宋"/>
          <w:b/>
          <w:color w:val="000000" w:themeColor="text1"/>
          <w:sz w:val="28"/>
          <w:szCs w:val="28"/>
          <w:highlight w:val="none"/>
        </w:rPr>
        <w:t>五</w:t>
      </w:r>
      <w:r>
        <w:rPr>
          <w:rStyle w:val="337"/>
          <w:rFonts w:ascii="仿宋" w:eastAsia="仿宋"/>
          <w:b/>
          <w:color w:val="000000" w:themeColor="text1"/>
          <w:sz w:val="28"/>
          <w:szCs w:val="28"/>
          <w:highlight w:val="none"/>
        </w:rPr>
        <w:t>、签约地点：</w:t>
      </w:r>
      <w:r>
        <w:rPr>
          <w:rStyle w:val="337"/>
          <w:rFonts w:ascii="仿宋" w:eastAsia="仿宋"/>
          <w:color w:val="000000" w:themeColor="text1"/>
          <w:sz w:val="28"/>
          <w:szCs w:val="28"/>
          <w:highlight w:val="none"/>
        </w:rPr>
        <w:t>山东省荣成市。</w:t>
      </w:r>
    </w:p>
    <w:p>
      <w:pPr>
        <w:spacing w:line="360" w:lineRule="exact"/>
        <w:ind w:firstLine="700" w:firstLineChars="250"/>
        <w:rPr>
          <w:rStyle w:val="337"/>
          <w:rFonts w:ascii="仿宋" w:eastAsia="仿宋"/>
          <w:color w:val="000000" w:themeColor="text1"/>
          <w:sz w:val="28"/>
          <w:szCs w:val="28"/>
          <w:highlight w:val="none"/>
        </w:rPr>
      </w:pPr>
    </w:p>
    <w:p>
      <w:pPr>
        <w:spacing w:line="360" w:lineRule="exact"/>
        <w:rPr>
          <w:rStyle w:val="337"/>
          <w:rFonts w:ascii="仿宋" w:eastAsia="仿宋"/>
          <w:color w:val="000000" w:themeColor="text1"/>
          <w:sz w:val="28"/>
          <w:szCs w:val="28"/>
          <w:highlight w:val="none"/>
        </w:rPr>
      </w:pPr>
    </w:p>
    <w:p>
      <w:pPr>
        <w:spacing w:line="360" w:lineRule="exact"/>
        <w:ind w:firstLine="700" w:firstLineChars="250"/>
        <w:rPr>
          <w:rStyle w:val="337"/>
          <w:rFonts w:ascii="仿宋" w:eastAsia="仿宋"/>
          <w:color w:val="000000" w:themeColor="text1"/>
          <w:sz w:val="28"/>
          <w:szCs w:val="28"/>
          <w:highlight w:val="none"/>
        </w:rPr>
      </w:pPr>
    </w:p>
    <w:p>
      <w:pPr>
        <w:spacing w:line="360" w:lineRule="exact"/>
        <w:rPr>
          <w:rStyle w:val="337"/>
          <w:rFonts w:ascii="仿宋" w:eastAsia="仿宋"/>
          <w:color w:val="000000" w:themeColor="text1"/>
          <w:sz w:val="28"/>
          <w:szCs w:val="28"/>
          <w:highlight w:val="none"/>
        </w:rPr>
      </w:pPr>
      <w:r>
        <w:rPr>
          <w:rStyle w:val="337"/>
          <w:rFonts w:ascii="仿宋" w:eastAsia="仿宋"/>
          <w:color w:val="000000" w:themeColor="text1"/>
          <w:sz w:val="28"/>
          <w:szCs w:val="28"/>
          <w:highlight w:val="none"/>
        </w:rPr>
        <w:t>甲    方：</w:t>
      </w:r>
      <w:r>
        <w:rPr>
          <w:rFonts w:hint="eastAsia" w:ascii="仿宋" w:eastAsia="仿宋"/>
          <w:color w:val="000000" w:themeColor="text1"/>
          <w:sz w:val="28"/>
          <w:szCs w:val="28"/>
          <w:highlight w:val="none"/>
        </w:rPr>
        <w:t>威海市港城建设集团有限公司</w:t>
      </w:r>
    </w:p>
    <w:p>
      <w:pPr>
        <w:spacing w:line="360" w:lineRule="exact"/>
        <w:rPr>
          <w:rStyle w:val="337"/>
          <w:rFonts w:ascii="仿宋" w:eastAsia="仿宋"/>
          <w:color w:val="000000" w:themeColor="text1"/>
          <w:sz w:val="28"/>
          <w:szCs w:val="28"/>
          <w:highlight w:val="none"/>
        </w:rPr>
      </w:pPr>
    </w:p>
    <w:p>
      <w:pPr>
        <w:spacing w:line="360" w:lineRule="exact"/>
        <w:rPr>
          <w:rStyle w:val="337"/>
          <w:rFonts w:ascii="仿宋" w:eastAsia="仿宋"/>
          <w:color w:val="000000" w:themeColor="text1"/>
          <w:sz w:val="28"/>
          <w:szCs w:val="28"/>
          <w:highlight w:val="none"/>
        </w:rPr>
      </w:pPr>
      <w:r>
        <w:rPr>
          <w:rStyle w:val="337"/>
          <w:rFonts w:ascii="仿宋" w:eastAsia="仿宋"/>
          <w:color w:val="000000" w:themeColor="text1"/>
          <w:sz w:val="28"/>
          <w:szCs w:val="28"/>
          <w:highlight w:val="none"/>
        </w:rPr>
        <w:t>单位盖章：</w:t>
      </w:r>
    </w:p>
    <w:p>
      <w:pPr>
        <w:spacing w:line="360" w:lineRule="exact"/>
        <w:rPr>
          <w:rStyle w:val="337"/>
          <w:rFonts w:ascii="仿宋" w:eastAsia="仿宋"/>
          <w:color w:val="000000" w:themeColor="text1"/>
          <w:sz w:val="28"/>
          <w:szCs w:val="28"/>
          <w:highlight w:val="none"/>
        </w:rPr>
      </w:pPr>
    </w:p>
    <w:p>
      <w:pPr>
        <w:spacing w:line="360" w:lineRule="exact"/>
        <w:rPr>
          <w:rStyle w:val="337"/>
          <w:rFonts w:ascii="仿宋" w:eastAsia="仿宋"/>
          <w:color w:val="000000" w:themeColor="text1"/>
          <w:sz w:val="28"/>
          <w:szCs w:val="28"/>
          <w:highlight w:val="none"/>
        </w:rPr>
      </w:pPr>
      <w:r>
        <w:rPr>
          <w:rStyle w:val="337"/>
          <w:rFonts w:ascii="仿宋" w:eastAsia="仿宋"/>
          <w:color w:val="000000" w:themeColor="text1"/>
          <w:sz w:val="28"/>
          <w:szCs w:val="28"/>
          <w:highlight w:val="none"/>
        </w:rPr>
        <w:t>代表签字：</w:t>
      </w:r>
    </w:p>
    <w:p>
      <w:pPr>
        <w:spacing w:line="360" w:lineRule="exact"/>
        <w:rPr>
          <w:rStyle w:val="337"/>
          <w:rFonts w:ascii="仿宋" w:eastAsia="仿宋"/>
          <w:color w:val="000000" w:themeColor="text1"/>
          <w:sz w:val="28"/>
          <w:szCs w:val="28"/>
          <w:highlight w:val="none"/>
        </w:rPr>
      </w:pPr>
    </w:p>
    <w:p>
      <w:pPr>
        <w:spacing w:line="360" w:lineRule="exact"/>
        <w:rPr>
          <w:rStyle w:val="337"/>
          <w:rFonts w:ascii="仿宋" w:eastAsia="仿宋"/>
          <w:color w:val="000000" w:themeColor="text1"/>
          <w:sz w:val="28"/>
          <w:szCs w:val="28"/>
          <w:highlight w:val="none"/>
        </w:rPr>
      </w:pPr>
    </w:p>
    <w:p>
      <w:pPr>
        <w:spacing w:line="360" w:lineRule="exact"/>
        <w:rPr>
          <w:rStyle w:val="337"/>
          <w:rFonts w:ascii="仿宋" w:eastAsia="仿宋"/>
          <w:b/>
          <w:bCs/>
          <w:color w:val="000000" w:themeColor="text1"/>
          <w:sz w:val="28"/>
          <w:szCs w:val="28"/>
          <w:highlight w:val="none"/>
          <w:shd w:val="pct10" w:color="auto" w:fill="FFFFFF"/>
        </w:rPr>
      </w:pPr>
      <w:r>
        <w:rPr>
          <w:rStyle w:val="337"/>
          <w:rFonts w:ascii="仿宋" w:eastAsia="仿宋"/>
          <w:color w:val="000000" w:themeColor="text1"/>
          <w:sz w:val="28"/>
          <w:szCs w:val="28"/>
          <w:highlight w:val="none"/>
        </w:rPr>
        <w:t>乙    方：</w:t>
      </w:r>
      <w:r>
        <w:rPr>
          <w:rStyle w:val="337"/>
          <w:rFonts w:hint="eastAsia" w:ascii="仿宋" w:eastAsia="仿宋"/>
          <w:color w:val="000000" w:themeColor="text1"/>
          <w:sz w:val="28"/>
          <w:szCs w:val="28"/>
          <w:highlight w:val="none"/>
        </w:rPr>
        <w:t>中标人</w:t>
      </w:r>
    </w:p>
    <w:p>
      <w:pPr>
        <w:pStyle w:val="404"/>
        <w:spacing w:line="360" w:lineRule="exact"/>
        <w:rPr>
          <w:rStyle w:val="337"/>
          <w:rFonts w:ascii="仿宋" w:eastAsia="仿宋"/>
          <w:color w:val="000000" w:themeColor="text1"/>
          <w:sz w:val="28"/>
          <w:szCs w:val="28"/>
          <w:highlight w:val="none"/>
        </w:rPr>
      </w:pPr>
    </w:p>
    <w:p>
      <w:pPr>
        <w:pStyle w:val="404"/>
        <w:spacing w:line="360" w:lineRule="exact"/>
        <w:rPr>
          <w:rStyle w:val="337"/>
          <w:rFonts w:ascii="仿宋" w:eastAsia="仿宋"/>
          <w:color w:val="000000" w:themeColor="text1"/>
          <w:sz w:val="28"/>
          <w:szCs w:val="28"/>
          <w:highlight w:val="none"/>
        </w:rPr>
      </w:pPr>
      <w:r>
        <w:rPr>
          <w:rStyle w:val="337"/>
          <w:rFonts w:ascii="仿宋" w:eastAsia="仿宋"/>
          <w:color w:val="000000" w:themeColor="text1"/>
          <w:sz w:val="28"/>
          <w:szCs w:val="28"/>
          <w:highlight w:val="none"/>
        </w:rPr>
        <w:t xml:space="preserve">单位盖章: </w:t>
      </w:r>
    </w:p>
    <w:p>
      <w:pPr>
        <w:pStyle w:val="404"/>
        <w:spacing w:line="360" w:lineRule="exact"/>
        <w:rPr>
          <w:rStyle w:val="337"/>
          <w:rFonts w:ascii="仿宋" w:eastAsia="仿宋"/>
          <w:color w:val="000000" w:themeColor="text1"/>
          <w:sz w:val="28"/>
          <w:szCs w:val="28"/>
          <w:highlight w:val="none"/>
        </w:rPr>
      </w:pPr>
    </w:p>
    <w:p>
      <w:pPr>
        <w:pStyle w:val="13"/>
        <w:ind w:firstLine="0"/>
        <w:rPr>
          <w:rFonts w:ascii="仿宋" w:hAnsi="仿宋" w:eastAsia="仿宋"/>
          <w:color w:val="000000" w:themeColor="text1"/>
          <w:highlight w:val="none"/>
        </w:rPr>
      </w:pPr>
      <w:r>
        <w:rPr>
          <w:rStyle w:val="337"/>
          <w:rFonts w:ascii="仿宋" w:eastAsia="仿宋"/>
          <w:color w:val="000000" w:themeColor="text1"/>
          <w:sz w:val="28"/>
          <w:szCs w:val="28"/>
          <w:highlight w:val="none"/>
        </w:rPr>
        <w:t>代表签字:</w:t>
      </w:r>
    </w:p>
    <w:p>
      <w:pPr>
        <w:pStyle w:val="13"/>
        <w:rPr>
          <w:rFonts w:ascii="仿宋" w:hAnsi="仿宋" w:eastAsia="仿宋"/>
          <w:color w:val="000000" w:themeColor="text1"/>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创艺繁楷体">
    <w:altName w:val="宋体"/>
    <w:panose1 w:val="00000000000000000000"/>
    <w:charset w:val="86"/>
    <w:family w:val="auto"/>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方正楷体简体">
    <w:altName w:val="宋体"/>
    <w:panose1 w:val="00000000000000000000"/>
    <w:charset w:val="86"/>
    <w:family w:val="script"/>
    <w:pitch w:val="default"/>
    <w:sig w:usb0="00000000" w:usb1="00000000" w:usb2="00000012" w:usb3="00000000" w:csb0="00040001" w:csb1="00000000"/>
  </w:font>
  <w:font w:name="等线 Light">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Arial Unicode MS">
    <w:panose1 w:val="020B0604020202020204"/>
    <w:charset w:val="86"/>
    <w:family w:val="roman"/>
    <w:pitch w:val="default"/>
    <w:sig w:usb0="FFFFFFFF" w:usb1="E9FFFFFF" w:usb2="0000003F" w:usb3="00000000" w:csb0="603F01FF" w:csb1="FFFF0000"/>
  </w:font>
  <w:font w:name="华文细黑">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ˎ̥">
    <w:altName w:val="Times New Roman"/>
    <w:panose1 w:val="00000000000000000000"/>
    <w:charset w:val="00"/>
    <w:family w:val="roman"/>
    <w:pitch w:val="default"/>
    <w:sig w:usb0="00000000" w:usb1="00000000" w:usb2="00000000" w:usb3="00000000" w:csb0="00040001" w:csb1="00000000"/>
  </w:font>
  <w:font w:name="华文中宋">
    <w:panose1 w:val="02010600040101010101"/>
    <w:charset w:val="86"/>
    <w:family w:val="auto"/>
    <w:pitch w:val="default"/>
    <w:sig w:usb0="00000287" w:usb1="080F0000" w:usb2="00000000" w:usb3="00000000" w:csb0="0004009F" w:csb1="DFD70000"/>
  </w:font>
  <w:font w:name="Arial Narrow">
    <w:panose1 w:val="020B0606020202030204"/>
    <w:charset w:val="00"/>
    <w:family w:val="swiss"/>
    <w:pitch w:val="default"/>
    <w:sig w:usb0="00000287" w:usb1="00000800" w:usb2="00000000" w:usb3="00000000" w:csb0="2000009F" w:csb1="DFD70000"/>
  </w:font>
  <w:font w:name="MetaPlusLF">
    <w:altName w:val="Georgia"/>
    <w:panose1 w:val="00000000000000000000"/>
    <w:charset w:val="00"/>
    <w:family w:val="auto"/>
    <w:pitch w:val="default"/>
    <w:sig w:usb0="00000000" w:usb1="0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 w:name="Helvetica">
    <w:panose1 w:val="020B0504020202030204"/>
    <w:charset w:val="00"/>
    <w:family w:val="swiss"/>
    <w:pitch w:val="default"/>
    <w:sig w:usb0="00000007" w:usb1="00000000" w:usb2="00000000" w:usb3="00000000" w:csb0="00000093" w:csb1="00000000"/>
  </w:font>
  <w:font w:name="Consolas">
    <w:panose1 w:val="020B0609020204030204"/>
    <w:charset w:val="00"/>
    <w:family w:val="modern"/>
    <w:pitch w:val="default"/>
    <w:sig w:usb0="E00006FF" w:usb1="0000FCFF" w:usb2="00000001" w:usb3="00000000" w:csb0="6000019F" w:csb1="DFD70000"/>
  </w:font>
  <w:font w:name="方正中等线简体">
    <w:altName w:val="宋体"/>
    <w:panose1 w:val="00000000000000000000"/>
    <w:charset w:val="86"/>
    <w:family w:val="auto"/>
    <w:pitch w:val="default"/>
    <w:sig w:usb0="00000000" w:usb1="00000000" w:usb2="00000000" w:usb3="00000000" w:csb0="00040000" w:csb1="00000000"/>
  </w:font>
  <w:font w:name="MingLiU">
    <w:altName w:val="PMingLiU-ExtB"/>
    <w:panose1 w:val="02010609000101010101"/>
    <w:charset w:val="88"/>
    <w:family w:val="modern"/>
    <w:pitch w:val="default"/>
    <w:sig w:usb0="00000000" w:usb1="00000000" w:usb2="00000010" w:usb3="00000000" w:csb0="0010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589814"/>
    </w:sdtPr>
    <w:sdtContent>
      <w:p>
        <w:pPr>
          <w:pStyle w:val="29"/>
          <w:jc w:val="center"/>
        </w:pPr>
        <w:r>
          <w:fldChar w:fldCharType="begin"/>
        </w:r>
        <w:r>
          <w:instrText xml:space="preserve"> PAGE   \* MERGEFORMAT </w:instrText>
        </w:r>
        <w:r>
          <w:fldChar w:fldCharType="separate"/>
        </w:r>
        <w:r>
          <w:rPr>
            <w:lang w:val="zh-CN"/>
          </w:rPr>
          <w:t>2</w:t>
        </w:r>
        <w:r>
          <w:rPr>
            <w:lang w:val="zh-CN"/>
          </w:rPr>
          <w:fldChar w:fldCharType="end"/>
        </w:r>
      </w:p>
    </w:sdtContent>
  </w:sdt>
  <w:p>
    <w:pPr>
      <w:pStyle w:val="29"/>
      <w:pBdr>
        <w:top w:val="single" w:color="auto" w:sz="4" w:space="1"/>
      </w:pBdr>
      <w:spacing w:beforeLines="50"/>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fldChar w:fldCharType="begin"/>
    </w:r>
    <w:r>
      <w:instrText xml:space="preserve"> PAGE   \* MERGEFORMAT </w:instrText>
    </w:r>
    <w:r>
      <w:fldChar w:fldCharType="separate"/>
    </w:r>
    <w:r>
      <w:t>8</w:t>
    </w:r>
    <w:r>
      <w:rPr>
        <w:lang w:val="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fldChar w:fldCharType="begin"/>
    </w:r>
    <w:r>
      <w:instrText xml:space="preserve"> PAGE   \* MERGEFORMAT </w:instrText>
    </w:r>
    <w:r>
      <w:fldChar w:fldCharType="separate"/>
    </w:r>
    <w:r>
      <w:t>12</w:t>
    </w:r>
    <w:r>
      <w:rPr>
        <w:lang w:val="zh-CN"/>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ascii="宋体" w:hAnsi="宋体"/>
        <w:b/>
        <w:bCs/>
      </w:rPr>
    </w:pPr>
    <w:r>
      <w:rPr>
        <w:rFonts w:hint="eastAsia" w:ascii="宋体" w:hAnsi="宋体"/>
        <w:bCs/>
      </w:rPr>
      <w:t>湖北省政府采购中心编制</w:t>
    </w:r>
    <w:r>
      <w:rPr>
        <w:rFonts w:ascii="宋体" w:hAnsi="宋体"/>
        <w:bCs/>
      </w:rPr>
      <w:t>V3.0.2017.0930</w:t>
    </w:r>
  </w:p>
  <w:p>
    <w:pPr>
      <w:jc w:val="center"/>
      <w:rPr>
        <w:rFonts w:ascii="宋体" w:hAnsi="宋体"/>
      </w:rPr>
    </w:pPr>
    <w:r>
      <w:rPr>
        <w:rFonts w:ascii="宋体" w:hAnsi="宋体"/>
        <w:b/>
        <w:bCs/>
      </w:rPr>
      <w:fldChar w:fldCharType="begin"/>
    </w:r>
    <w:r>
      <w:rPr>
        <w:rFonts w:ascii="宋体" w:hAnsi="宋体"/>
        <w:b/>
        <w:bCs/>
      </w:rPr>
      <w:instrText xml:space="preserve">PAGE</w:instrText>
    </w:r>
    <w:r>
      <w:rPr>
        <w:rFonts w:ascii="宋体" w:hAnsi="宋体"/>
        <w:b/>
        <w:bCs/>
      </w:rPr>
      <w:fldChar w:fldCharType="separate"/>
    </w:r>
    <w:r>
      <w:rPr>
        <w:rFonts w:ascii="宋体" w:hAnsi="宋体"/>
        <w:b/>
        <w:bCs/>
      </w:rPr>
      <w:t>22</w:t>
    </w:r>
    <w:r>
      <w:rPr>
        <w:rFonts w:ascii="宋体" w:hAnsi="宋体"/>
        <w:b/>
        <w:bCs/>
      </w:rPr>
      <w:fldChar w:fldCharType="end"/>
    </w:r>
    <w:r>
      <w:rPr>
        <w:rFonts w:ascii="宋体" w:hAnsi="宋体"/>
        <w:b/>
        <w:lang w:val="zh-CN"/>
      </w:rPr>
      <w:t xml:space="preserve">/ </w:t>
    </w:r>
    <w:r>
      <w:rPr>
        <w:rFonts w:ascii="宋体" w:hAnsi="宋体"/>
        <w:b/>
        <w:bCs/>
      </w:rPr>
      <w:fldChar w:fldCharType="begin"/>
    </w:r>
    <w:r>
      <w:rPr>
        <w:rFonts w:ascii="宋体" w:hAnsi="宋体"/>
        <w:b/>
        <w:bCs/>
      </w:rPr>
      <w:instrText xml:space="preserve">NUMPAGES</w:instrText>
    </w:r>
    <w:r>
      <w:rPr>
        <w:rFonts w:ascii="宋体" w:hAnsi="宋体"/>
        <w:b/>
        <w:bCs/>
      </w:rPr>
      <w:fldChar w:fldCharType="separate"/>
    </w:r>
    <w:r>
      <w:rPr>
        <w:rFonts w:ascii="宋体" w:hAnsi="宋体"/>
        <w:b/>
        <w:bCs/>
      </w:rPr>
      <w:t>60</w:t>
    </w:r>
    <w:r>
      <w:rPr>
        <w:rFonts w:ascii="宋体" w:hAnsi="宋体"/>
        <w:b/>
        <w:bCs/>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r>
      <w:fldChar w:fldCharType="begin"/>
    </w:r>
    <w:r>
      <w:instrText xml:space="preserve">PAGE   \* MERGEFORMAT</w:instrText>
    </w:r>
    <w:r>
      <w:fldChar w:fldCharType="separate"/>
    </w:r>
    <w:r>
      <w:t>89</w:t>
    </w:r>
    <w:r>
      <w:rPr>
        <w:lang w:val="zh-CN"/>
      </w:rPr>
      <w:fldChar w:fldCharType="end"/>
    </w:r>
  </w:p>
  <w:p>
    <w:pPr>
      <w:pStyle w:val="18"/>
      <w:spacing w:line="14" w:lineRule="auto"/>
      <w:jc w:val="center"/>
      <w:rPr>
        <w:sz w:val="20"/>
        <w:szCs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fldChar w:fldCharType="begin"/>
    </w:r>
    <w:r>
      <w:instrText xml:space="preserve"> PAGE   \* MERGEFORMAT </w:instrText>
    </w:r>
    <w:r>
      <w:fldChar w:fldCharType="separate"/>
    </w:r>
    <w:r>
      <w:t>90</w:t>
    </w:r>
    <w:r>
      <w:rPr>
        <w:lang w:val="zh-CN"/>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framePr w:wrap="around" w:vAnchor="text" w:hAnchor="margin" w:xAlign="center" w:y="1"/>
      <w:rPr>
        <w:rStyle w:val="51"/>
      </w:rPr>
    </w:pPr>
    <w:r>
      <w:fldChar w:fldCharType="begin"/>
    </w:r>
    <w:r>
      <w:rPr>
        <w:rStyle w:val="51"/>
      </w:rPr>
      <w:instrText xml:space="preserve">PAGE  </w:instrText>
    </w:r>
    <w:r>
      <w:fldChar w:fldCharType="separate"/>
    </w:r>
    <w:r>
      <w:rPr>
        <w:rStyle w:val="51"/>
      </w:rPr>
      <w:t>94</w:t>
    </w:r>
    <w:r>
      <w:fldChar w:fldCharType="end"/>
    </w:r>
  </w:p>
  <w:p>
    <w:pPr>
      <w:pStyle w:val="29"/>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c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c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left"/>
      <w:rPr>
        <w:rFonts w:ascii="宋体" w:hAnsi="宋体"/>
        <w:b/>
      </w:rPr>
    </w:pPr>
    <w:r>
      <w:rPr>
        <w:rFonts w:hint="eastAsia" w:ascii="宋体" w:hAnsi="宋体"/>
        <w:b/>
      </w:rPr>
      <w:t>项目名称：XXXXXXXXXXXX项目</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c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tentative="0">
      <w:start w:val="1"/>
      <w:numFmt w:val="bullet"/>
      <w:pStyle w:val="323"/>
      <w:lvlText w:val=""/>
      <w:lvlJc w:val="left"/>
      <w:pPr>
        <w:tabs>
          <w:tab w:val="left" w:pos="840"/>
        </w:tabs>
        <w:ind w:left="840" w:hanging="420"/>
      </w:pPr>
      <w:rPr>
        <w:rFonts w:hint="default" w:ascii="Wingdings" w:hAnsi="Wingdings" w:cs="Wingdings"/>
        <w:color w:val="auto"/>
      </w:rPr>
    </w:lvl>
    <w:lvl w:ilvl="1" w:tentative="0">
      <w:start w:val="1"/>
      <w:numFmt w:val="bullet"/>
      <w:lvlText w:val=""/>
      <w:lvlJc w:val="left"/>
      <w:pPr>
        <w:tabs>
          <w:tab w:val="left" w:pos="1260"/>
        </w:tabs>
        <w:ind w:left="1260" w:hanging="420"/>
      </w:pPr>
      <w:rPr>
        <w:rFonts w:hint="default" w:ascii="Wingdings" w:hAnsi="Wingdings" w:cs="Wingdings"/>
      </w:rPr>
    </w:lvl>
    <w:lvl w:ilvl="2" w:tentative="0">
      <w:start w:val="1"/>
      <w:numFmt w:val="bullet"/>
      <w:lvlText w:val=""/>
      <w:lvlJc w:val="left"/>
      <w:pPr>
        <w:tabs>
          <w:tab w:val="left" w:pos="1680"/>
        </w:tabs>
        <w:ind w:left="1680" w:hanging="420"/>
      </w:pPr>
      <w:rPr>
        <w:rFonts w:hint="default" w:ascii="Wingdings" w:hAnsi="Wingdings" w:cs="Wingdings"/>
      </w:rPr>
    </w:lvl>
    <w:lvl w:ilvl="3" w:tentative="0">
      <w:start w:val="1"/>
      <w:numFmt w:val="bullet"/>
      <w:lvlText w:val=""/>
      <w:lvlJc w:val="left"/>
      <w:pPr>
        <w:tabs>
          <w:tab w:val="left" w:pos="2100"/>
        </w:tabs>
        <w:ind w:left="2100" w:hanging="420"/>
      </w:pPr>
      <w:rPr>
        <w:rFonts w:hint="default" w:ascii="Wingdings" w:hAnsi="Wingdings" w:cs="Wingdings"/>
      </w:rPr>
    </w:lvl>
    <w:lvl w:ilvl="4" w:tentative="0">
      <w:start w:val="1"/>
      <w:numFmt w:val="bullet"/>
      <w:lvlText w:val=""/>
      <w:lvlJc w:val="left"/>
      <w:pPr>
        <w:tabs>
          <w:tab w:val="left" w:pos="2520"/>
        </w:tabs>
        <w:ind w:left="2520" w:hanging="420"/>
      </w:pPr>
      <w:rPr>
        <w:rFonts w:hint="default" w:ascii="Wingdings" w:hAnsi="Wingdings" w:cs="Wingdings"/>
      </w:rPr>
    </w:lvl>
    <w:lvl w:ilvl="5" w:tentative="0">
      <w:start w:val="1"/>
      <w:numFmt w:val="bullet"/>
      <w:lvlText w:val=""/>
      <w:lvlJc w:val="left"/>
      <w:pPr>
        <w:tabs>
          <w:tab w:val="left" w:pos="2940"/>
        </w:tabs>
        <w:ind w:left="2940" w:hanging="420"/>
      </w:pPr>
      <w:rPr>
        <w:rFonts w:hint="default" w:ascii="Wingdings" w:hAnsi="Wingdings" w:cs="Wingdings"/>
      </w:rPr>
    </w:lvl>
    <w:lvl w:ilvl="6" w:tentative="0">
      <w:start w:val="1"/>
      <w:numFmt w:val="bullet"/>
      <w:lvlText w:val=""/>
      <w:lvlJc w:val="left"/>
      <w:pPr>
        <w:tabs>
          <w:tab w:val="left" w:pos="3360"/>
        </w:tabs>
        <w:ind w:left="3360" w:hanging="420"/>
      </w:pPr>
      <w:rPr>
        <w:rFonts w:hint="default" w:ascii="Wingdings" w:hAnsi="Wingdings" w:cs="Wingdings"/>
      </w:rPr>
    </w:lvl>
    <w:lvl w:ilvl="7" w:tentative="0">
      <w:start w:val="1"/>
      <w:numFmt w:val="bullet"/>
      <w:lvlText w:val=""/>
      <w:lvlJc w:val="left"/>
      <w:pPr>
        <w:tabs>
          <w:tab w:val="left" w:pos="3780"/>
        </w:tabs>
        <w:ind w:left="3780" w:hanging="420"/>
      </w:pPr>
      <w:rPr>
        <w:rFonts w:hint="default" w:ascii="Wingdings" w:hAnsi="Wingdings" w:cs="Wingdings"/>
      </w:rPr>
    </w:lvl>
    <w:lvl w:ilvl="8" w:tentative="0">
      <w:start w:val="1"/>
      <w:numFmt w:val="bullet"/>
      <w:lvlText w:val=""/>
      <w:lvlJc w:val="left"/>
      <w:pPr>
        <w:tabs>
          <w:tab w:val="left" w:pos="4200"/>
        </w:tabs>
        <w:ind w:left="4200" w:hanging="420"/>
      </w:pPr>
      <w:rPr>
        <w:rFonts w:hint="default" w:ascii="Wingdings" w:hAnsi="Wingdings" w:cs="Wingdings"/>
      </w:rPr>
    </w:lvl>
  </w:abstractNum>
  <w:abstractNum w:abstractNumId="1">
    <w:nsid w:val="204A74A4"/>
    <w:multiLevelType w:val="multilevel"/>
    <w:tmpl w:val="204A74A4"/>
    <w:lvl w:ilvl="0" w:tentative="0">
      <w:start w:val="1"/>
      <w:numFmt w:val="decimal"/>
      <w:pStyle w:val="341"/>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2">
    <w:nsid w:val="5602973F"/>
    <w:multiLevelType w:val="singleLevel"/>
    <w:tmpl w:val="5602973F"/>
    <w:lvl w:ilvl="0" w:tentative="0">
      <w:start w:val="11"/>
      <w:numFmt w:val="decimal"/>
      <w:pStyle w:val="237"/>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hideSpellingErrors/>
  <w:documentProtection w:enforcement="0"/>
  <w:defaultTabStop w:val="420"/>
  <w:drawingGridHorizontalSpacing w:val="105"/>
  <w:drawingGridVerticalSpacing w:val="26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2VmNTM2N2UzNzUwNTk3NGIyNTc4ZGRkNjFlNjI4NjkifQ=="/>
  </w:docVars>
  <w:rsids>
    <w:rsidRoot w:val="00E729D8"/>
    <w:rsid w:val="00003B04"/>
    <w:rsid w:val="000048B3"/>
    <w:rsid w:val="00004F29"/>
    <w:rsid w:val="00006295"/>
    <w:rsid w:val="0000633F"/>
    <w:rsid w:val="00006983"/>
    <w:rsid w:val="00007BF4"/>
    <w:rsid w:val="000103AD"/>
    <w:rsid w:val="000115A9"/>
    <w:rsid w:val="0001417A"/>
    <w:rsid w:val="00015421"/>
    <w:rsid w:val="000206C9"/>
    <w:rsid w:val="000224AA"/>
    <w:rsid w:val="0002262D"/>
    <w:rsid w:val="00025447"/>
    <w:rsid w:val="0002563B"/>
    <w:rsid w:val="000260B3"/>
    <w:rsid w:val="00027998"/>
    <w:rsid w:val="00030295"/>
    <w:rsid w:val="00030B07"/>
    <w:rsid w:val="00030F8C"/>
    <w:rsid w:val="000316F2"/>
    <w:rsid w:val="00031983"/>
    <w:rsid w:val="0003228E"/>
    <w:rsid w:val="00032582"/>
    <w:rsid w:val="000337A9"/>
    <w:rsid w:val="0003495B"/>
    <w:rsid w:val="00042274"/>
    <w:rsid w:val="0004428F"/>
    <w:rsid w:val="000461D8"/>
    <w:rsid w:val="000463F0"/>
    <w:rsid w:val="00050873"/>
    <w:rsid w:val="00050C5F"/>
    <w:rsid w:val="00052A50"/>
    <w:rsid w:val="00052DA4"/>
    <w:rsid w:val="0005771C"/>
    <w:rsid w:val="000618DA"/>
    <w:rsid w:val="000656E8"/>
    <w:rsid w:val="0006771B"/>
    <w:rsid w:val="00070AE6"/>
    <w:rsid w:val="000712D9"/>
    <w:rsid w:val="000756A0"/>
    <w:rsid w:val="00076F62"/>
    <w:rsid w:val="00080AEE"/>
    <w:rsid w:val="00080E3C"/>
    <w:rsid w:val="00081B46"/>
    <w:rsid w:val="00082AAE"/>
    <w:rsid w:val="0008368A"/>
    <w:rsid w:val="00083892"/>
    <w:rsid w:val="00083BC0"/>
    <w:rsid w:val="00086B8A"/>
    <w:rsid w:val="00086D95"/>
    <w:rsid w:val="000924BE"/>
    <w:rsid w:val="00092C93"/>
    <w:rsid w:val="00095534"/>
    <w:rsid w:val="00095AEC"/>
    <w:rsid w:val="00095DD4"/>
    <w:rsid w:val="00096240"/>
    <w:rsid w:val="00096A0F"/>
    <w:rsid w:val="000A093B"/>
    <w:rsid w:val="000A0F92"/>
    <w:rsid w:val="000A198D"/>
    <w:rsid w:val="000A1AFB"/>
    <w:rsid w:val="000A3C2B"/>
    <w:rsid w:val="000A60EC"/>
    <w:rsid w:val="000A6447"/>
    <w:rsid w:val="000A7720"/>
    <w:rsid w:val="000B1B7B"/>
    <w:rsid w:val="000B2D5C"/>
    <w:rsid w:val="000B4896"/>
    <w:rsid w:val="000B65FB"/>
    <w:rsid w:val="000B6F61"/>
    <w:rsid w:val="000C0E24"/>
    <w:rsid w:val="000C10AD"/>
    <w:rsid w:val="000C1B27"/>
    <w:rsid w:val="000C329D"/>
    <w:rsid w:val="000C4891"/>
    <w:rsid w:val="000C4CB0"/>
    <w:rsid w:val="000C4D4D"/>
    <w:rsid w:val="000C508F"/>
    <w:rsid w:val="000C5F52"/>
    <w:rsid w:val="000C62AF"/>
    <w:rsid w:val="000C6407"/>
    <w:rsid w:val="000C6BAE"/>
    <w:rsid w:val="000C72C4"/>
    <w:rsid w:val="000C7C85"/>
    <w:rsid w:val="000D0129"/>
    <w:rsid w:val="000D09BC"/>
    <w:rsid w:val="000D1AFE"/>
    <w:rsid w:val="000D27B5"/>
    <w:rsid w:val="000D2849"/>
    <w:rsid w:val="000D4349"/>
    <w:rsid w:val="000D4CCC"/>
    <w:rsid w:val="000D7C1D"/>
    <w:rsid w:val="000E14BC"/>
    <w:rsid w:val="000E14D7"/>
    <w:rsid w:val="000E3B19"/>
    <w:rsid w:val="000E3E45"/>
    <w:rsid w:val="000E3EDC"/>
    <w:rsid w:val="000E428E"/>
    <w:rsid w:val="000E473D"/>
    <w:rsid w:val="000E5C1C"/>
    <w:rsid w:val="000E5EE5"/>
    <w:rsid w:val="000E6EE0"/>
    <w:rsid w:val="000F002B"/>
    <w:rsid w:val="000F01A3"/>
    <w:rsid w:val="000F2BB3"/>
    <w:rsid w:val="000F41B9"/>
    <w:rsid w:val="000F5361"/>
    <w:rsid w:val="000F581D"/>
    <w:rsid w:val="000F6D10"/>
    <w:rsid w:val="00100081"/>
    <w:rsid w:val="00102A25"/>
    <w:rsid w:val="00103135"/>
    <w:rsid w:val="001036DE"/>
    <w:rsid w:val="00104F04"/>
    <w:rsid w:val="001058AF"/>
    <w:rsid w:val="00105F5E"/>
    <w:rsid w:val="0010784B"/>
    <w:rsid w:val="001129E9"/>
    <w:rsid w:val="00116FB6"/>
    <w:rsid w:val="0012295D"/>
    <w:rsid w:val="001260A4"/>
    <w:rsid w:val="00126C2F"/>
    <w:rsid w:val="00127474"/>
    <w:rsid w:val="00131196"/>
    <w:rsid w:val="00132D84"/>
    <w:rsid w:val="00133712"/>
    <w:rsid w:val="00133F79"/>
    <w:rsid w:val="00134C3A"/>
    <w:rsid w:val="001366ED"/>
    <w:rsid w:val="00137650"/>
    <w:rsid w:val="001413E4"/>
    <w:rsid w:val="001420A1"/>
    <w:rsid w:val="00142795"/>
    <w:rsid w:val="0014339B"/>
    <w:rsid w:val="0014495C"/>
    <w:rsid w:val="0014541D"/>
    <w:rsid w:val="00145A47"/>
    <w:rsid w:val="001519FC"/>
    <w:rsid w:val="001521F9"/>
    <w:rsid w:val="00153C4E"/>
    <w:rsid w:val="001562B8"/>
    <w:rsid w:val="001603BB"/>
    <w:rsid w:val="00162599"/>
    <w:rsid w:val="001632B9"/>
    <w:rsid w:val="00165CD4"/>
    <w:rsid w:val="00171F0C"/>
    <w:rsid w:val="001724C4"/>
    <w:rsid w:val="0017275F"/>
    <w:rsid w:val="00173826"/>
    <w:rsid w:val="001811B9"/>
    <w:rsid w:val="00181EBA"/>
    <w:rsid w:val="00182683"/>
    <w:rsid w:val="00183278"/>
    <w:rsid w:val="00185F39"/>
    <w:rsid w:val="00192825"/>
    <w:rsid w:val="00192E49"/>
    <w:rsid w:val="0019481B"/>
    <w:rsid w:val="00195CCE"/>
    <w:rsid w:val="001A1B90"/>
    <w:rsid w:val="001A43C1"/>
    <w:rsid w:val="001B3EE1"/>
    <w:rsid w:val="001B3EE7"/>
    <w:rsid w:val="001B796F"/>
    <w:rsid w:val="001C086B"/>
    <w:rsid w:val="001C2721"/>
    <w:rsid w:val="001C4496"/>
    <w:rsid w:val="001C4ADB"/>
    <w:rsid w:val="001C5FAD"/>
    <w:rsid w:val="001C77B5"/>
    <w:rsid w:val="001D114C"/>
    <w:rsid w:val="001D2425"/>
    <w:rsid w:val="001D29C0"/>
    <w:rsid w:val="001D4B99"/>
    <w:rsid w:val="001D4FC3"/>
    <w:rsid w:val="001D51AC"/>
    <w:rsid w:val="001D6913"/>
    <w:rsid w:val="001D6AE4"/>
    <w:rsid w:val="001E1230"/>
    <w:rsid w:val="001E21BF"/>
    <w:rsid w:val="001E318E"/>
    <w:rsid w:val="001E3260"/>
    <w:rsid w:val="001E4D1B"/>
    <w:rsid w:val="001F352E"/>
    <w:rsid w:val="001F44E7"/>
    <w:rsid w:val="001F4559"/>
    <w:rsid w:val="0020199A"/>
    <w:rsid w:val="002028A6"/>
    <w:rsid w:val="00202914"/>
    <w:rsid w:val="00203165"/>
    <w:rsid w:val="00204AE8"/>
    <w:rsid w:val="00204D06"/>
    <w:rsid w:val="00205DD7"/>
    <w:rsid w:val="00206D82"/>
    <w:rsid w:val="002075B0"/>
    <w:rsid w:val="00212E00"/>
    <w:rsid w:val="00214222"/>
    <w:rsid w:val="00214B46"/>
    <w:rsid w:val="0021657E"/>
    <w:rsid w:val="00221D00"/>
    <w:rsid w:val="00222F7D"/>
    <w:rsid w:val="002237B9"/>
    <w:rsid w:val="00224DFB"/>
    <w:rsid w:val="002250D5"/>
    <w:rsid w:val="0022562C"/>
    <w:rsid w:val="00226E77"/>
    <w:rsid w:val="00227CD8"/>
    <w:rsid w:val="00231CB3"/>
    <w:rsid w:val="00232037"/>
    <w:rsid w:val="002325F9"/>
    <w:rsid w:val="0023291D"/>
    <w:rsid w:val="00233943"/>
    <w:rsid w:val="002347C2"/>
    <w:rsid w:val="0023588A"/>
    <w:rsid w:val="00241A5E"/>
    <w:rsid w:val="00242933"/>
    <w:rsid w:val="002472F7"/>
    <w:rsid w:val="00247C24"/>
    <w:rsid w:val="00247D73"/>
    <w:rsid w:val="0025057A"/>
    <w:rsid w:val="0025135C"/>
    <w:rsid w:val="002515E7"/>
    <w:rsid w:val="0025354A"/>
    <w:rsid w:val="002554F6"/>
    <w:rsid w:val="00255A67"/>
    <w:rsid w:val="002562F0"/>
    <w:rsid w:val="00257021"/>
    <w:rsid w:val="0025766A"/>
    <w:rsid w:val="0025795E"/>
    <w:rsid w:val="00261E49"/>
    <w:rsid w:val="00262282"/>
    <w:rsid w:val="00263262"/>
    <w:rsid w:val="0026370A"/>
    <w:rsid w:val="00263A31"/>
    <w:rsid w:val="00267879"/>
    <w:rsid w:val="00272E3E"/>
    <w:rsid w:val="002730AA"/>
    <w:rsid w:val="00273E6F"/>
    <w:rsid w:val="002765A3"/>
    <w:rsid w:val="0027756F"/>
    <w:rsid w:val="00282E2F"/>
    <w:rsid w:val="0028316F"/>
    <w:rsid w:val="002849BD"/>
    <w:rsid w:val="00287900"/>
    <w:rsid w:val="00287F38"/>
    <w:rsid w:val="002918D6"/>
    <w:rsid w:val="00293463"/>
    <w:rsid w:val="00293822"/>
    <w:rsid w:val="0029410F"/>
    <w:rsid w:val="00294740"/>
    <w:rsid w:val="002951D1"/>
    <w:rsid w:val="0029645E"/>
    <w:rsid w:val="00296C32"/>
    <w:rsid w:val="00297B49"/>
    <w:rsid w:val="002A0B14"/>
    <w:rsid w:val="002A167A"/>
    <w:rsid w:val="002A26FD"/>
    <w:rsid w:val="002A4F2D"/>
    <w:rsid w:val="002A51A4"/>
    <w:rsid w:val="002A548D"/>
    <w:rsid w:val="002A54DE"/>
    <w:rsid w:val="002A6A05"/>
    <w:rsid w:val="002A7CF9"/>
    <w:rsid w:val="002B09C5"/>
    <w:rsid w:val="002B0A47"/>
    <w:rsid w:val="002B1D21"/>
    <w:rsid w:val="002B2BF0"/>
    <w:rsid w:val="002B2DA9"/>
    <w:rsid w:val="002B31AD"/>
    <w:rsid w:val="002B3EF4"/>
    <w:rsid w:val="002B480D"/>
    <w:rsid w:val="002B5187"/>
    <w:rsid w:val="002B6E0A"/>
    <w:rsid w:val="002B7B17"/>
    <w:rsid w:val="002D188A"/>
    <w:rsid w:val="002D2697"/>
    <w:rsid w:val="002D37E3"/>
    <w:rsid w:val="002D3F71"/>
    <w:rsid w:val="002D4B5E"/>
    <w:rsid w:val="002D5FF6"/>
    <w:rsid w:val="002D6A18"/>
    <w:rsid w:val="002D772A"/>
    <w:rsid w:val="002D7F41"/>
    <w:rsid w:val="002E10FF"/>
    <w:rsid w:val="002E201D"/>
    <w:rsid w:val="002F015B"/>
    <w:rsid w:val="002F0221"/>
    <w:rsid w:val="002F10EC"/>
    <w:rsid w:val="002F27D3"/>
    <w:rsid w:val="002F3B4C"/>
    <w:rsid w:val="002F40CC"/>
    <w:rsid w:val="002F4571"/>
    <w:rsid w:val="002F5E0F"/>
    <w:rsid w:val="002F5FCC"/>
    <w:rsid w:val="002F7DA0"/>
    <w:rsid w:val="003006EF"/>
    <w:rsid w:val="0030124D"/>
    <w:rsid w:val="003025BA"/>
    <w:rsid w:val="00302995"/>
    <w:rsid w:val="00302A95"/>
    <w:rsid w:val="00303EAE"/>
    <w:rsid w:val="00304109"/>
    <w:rsid w:val="003044E5"/>
    <w:rsid w:val="003061E9"/>
    <w:rsid w:val="00306655"/>
    <w:rsid w:val="00306B58"/>
    <w:rsid w:val="003120C5"/>
    <w:rsid w:val="00312FB9"/>
    <w:rsid w:val="0031326D"/>
    <w:rsid w:val="00313351"/>
    <w:rsid w:val="00314D1E"/>
    <w:rsid w:val="00316553"/>
    <w:rsid w:val="00316ECB"/>
    <w:rsid w:val="00322E47"/>
    <w:rsid w:val="00322F68"/>
    <w:rsid w:val="00322FE0"/>
    <w:rsid w:val="00323437"/>
    <w:rsid w:val="003266BD"/>
    <w:rsid w:val="003309B7"/>
    <w:rsid w:val="00330AFD"/>
    <w:rsid w:val="0033203E"/>
    <w:rsid w:val="00333D89"/>
    <w:rsid w:val="003341B2"/>
    <w:rsid w:val="00335A46"/>
    <w:rsid w:val="003403D9"/>
    <w:rsid w:val="003409CA"/>
    <w:rsid w:val="00341BDB"/>
    <w:rsid w:val="00346566"/>
    <w:rsid w:val="00350109"/>
    <w:rsid w:val="00350DD7"/>
    <w:rsid w:val="00351FCA"/>
    <w:rsid w:val="00354D6F"/>
    <w:rsid w:val="00354E87"/>
    <w:rsid w:val="003552F0"/>
    <w:rsid w:val="00355C0D"/>
    <w:rsid w:val="00355F38"/>
    <w:rsid w:val="00355FCD"/>
    <w:rsid w:val="003565C3"/>
    <w:rsid w:val="00360EC2"/>
    <w:rsid w:val="00361482"/>
    <w:rsid w:val="00361CA7"/>
    <w:rsid w:val="0036279E"/>
    <w:rsid w:val="00362DCA"/>
    <w:rsid w:val="0036333E"/>
    <w:rsid w:val="00363CAD"/>
    <w:rsid w:val="00366245"/>
    <w:rsid w:val="003666FE"/>
    <w:rsid w:val="00370012"/>
    <w:rsid w:val="003715AC"/>
    <w:rsid w:val="00371AC5"/>
    <w:rsid w:val="00371D8D"/>
    <w:rsid w:val="003734F4"/>
    <w:rsid w:val="003745D5"/>
    <w:rsid w:val="00375CC8"/>
    <w:rsid w:val="003763FE"/>
    <w:rsid w:val="003767A5"/>
    <w:rsid w:val="0038088A"/>
    <w:rsid w:val="00383193"/>
    <w:rsid w:val="00383974"/>
    <w:rsid w:val="0039110E"/>
    <w:rsid w:val="003915F0"/>
    <w:rsid w:val="003919F2"/>
    <w:rsid w:val="00392732"/>
    <w:rsid w:val="003932D4"/>
    <w:rsid w:val="003943C1"/>
    <w:rsid w:val="003A1F6C"/>
    <w:rsid w:val="003A31B2"/>
    <w:rsid w:val="003A4062"/>
    <w:rsid w:val="003A49C8"/>
    <w:rsid w:val="003A57FD"/>
    <w:rsid w:val="003A7605"/>
    <w:rsid w:val="003A7A87"/>
    <w:rsid w:val="003B03D9"/>
    <w:rsid w:val="003B3D61"/>
    <w:rsid w:val="003B485F"/>
    <w:rsid w:val="003B5711"/>
    <w:rsid w:val="003C0B4D"/>
    <w:rsid w:val="003C5D35"/>
    <w:rsid w:val="003C62D2"/>
    <w:rsid w:val="003C6BF9"/>
    <w:rsid w:val="003C7563"/>
    <w:rsid w:val="003D0986"/>
    <w:rsid w:val="003D0EA1"/>
    <w:rsid w:val="003D21BB"/>
    <w:rsid w:val="003D58B1"/>
    <w:rsid w:val="003D673D"/>
    <w:rsid w:val="003D6D01"/>
    <w:rsid w:val="003E04E4"/>
    <w:rsid w:val="003E0EBA"/>
    <w:rsid w:val="003E22DE"/>
    <w:rsid w:val="003E2503"/>
    <w:rsid w:val="003E3C7B"/>
    <w:rsid w:val="003E4150"/>
    <w:rsid w:val="003E77FA"/>
    <w:rsid w:val="003F3A85"/>
    <w:rsid w:val="00400BCB"/>
    <w:rsid w:val="00401046"/>
    <w:rsid w:val="00401659"/>
    <w:rsid w:val="004059FF"/>
    <w:rsid w:val="004070F4"/>
    <w:rsid w:val="004103D5"/>
    <w:rsid w:val="00411370"/>
    <w:rsid w:val="004116BF"/>
    <w:rsid w:val="00412813"/>
    <w:rsid w:val="004146EB"/>
    <w:rsid w:val="00415953"/>
    <w:rsid w:val="00415E9E"/>
    <w:rsid w:val="00416391"/>
    <w:rsid w:val="00417D82"/>
    <w:rsid w:val="00421028"/>
    <w:rsid w:val="0042115B"/>
    <w:rsid w:val="00422364"/>
    <w:rsid w:val="00424559"/>
    <w:rsid w:val="00430117"/>
    <w:rsid w:val="004318A6"/>
    <w:rsid w:val="0043338A"/>
    <w:rsid w:val="0043638B"/>
    <w:rsid w:val="004372EA"/>
    <w:rsid w:val="00440970"/>
    <w:rsid w:val="00441B51"/>
    <w:rsid w:val="00443859"/>
    <w:rsid w:val="00446374"/>
    <w:rsid w:val="00446551"/>
    <w:rsid w:val="0044704F"/>
    <w:rsid w:val="004521C6"/>
    <w:rsid w:val="004544D1"/>
    <w:rsid w:val="004558FC"/>
    <w:rsid w:val="00462397"/>
    <w:rsid w:val="004646D8"/>
    <w:rsid w:val="00464E11"/>
    <w:rsid w:val="004656ED"/>
    <w:rsid w:val="004668A1"/>
    <w:rsid w:val="00470302"/>
    <w:rsid w:val="00471F24"/>
    <w:rsid w:val="00472369"/>
    <w:rsid w:val="00472976"/>
    <w:rsid w:val="00472AA4"/>
    <w:rsid w:val="00473753"/>
    <w:rsid w:val="004739C8"/>
    <w:rsid w:val="0047400E"/>
    <w:rsid w:val="00475D91"/>
    <w:rsid w:val="0047709E"/>
    <w:rsid w:val="004778DC"/>
    <w:rsid w:val="00481337"/>
    <w:rsid w:val="004837BD"/>
    <w:rsid w:val="00484A38"/>
    <w:rsid w:val="0049097F"/>
    <w:rsid w:val="00491D41"/>
    <w:rsid w:val="00492833"/>
    <w:rsid w:val="00494BFA"/>
    <w:rsid w:val="00495856"/>
    <w:rsid w:val="00496896"/>
    <w:rsid w:val="004A2235"/>
    <w:rsid w:val="004A3153"/>
    <w:rsid w:val="004A3950"/>
    <w:rsid w:val="004A4841"/>
    <w:rsid w:val="004A6CBD"/>
    <w:rsid w:val="004B016C"/>
    <w:rsid w:val="004B1930"/>
    <w:rsid w:val="004B30D8"/>
    <w:rsid w:val="004B3668"/>
    <w:rsid w:val="004B4434"/>
    <w:rsid w:val="004B497B"/>
    <w:rsid w:val="004B6C77"/>
    <w:rsid w:val="004B7AE5"/>
    <w:rsid w:val="004B7CDD"/>
    <w:rsid w:val="004C14C0"/>
    <w:rsid w:val="004C4873"/>
    <w:rsid w:val="004C5FC6"/>
    <w:rsid w:val="004C6EAD"/>
    <w:rsid w:val="004D13C5"/>
    <w:rsid w:val="004D1C72"/>
    <w:rsid w:val="004D1D1B"/>
    <w:rsid w:val="004D36D9"/>
    <w:rsid w:val="004D51AC"/>
    <w:rsid w:val="004D5EEE"/>
    <w:rsid w:val="004D61F3"/>
    <w:rsid w:val="004D6F8A"/>
    <w:rsid w:val="004E031D"/>
    <w:rsid w:val="004E0886"/>
    <w:rsid w:val="004E0C18"/>
    <w:rsid w:val="004E0F67"/>
    <w:rsid w:val="004E1D64"/>
    <w:rsid w:val="004E2AD0"/>
    <w:rsid w:val="004E2E7C"/>
    <w:rsid w:val="004E332C"/>
    <w:rsid w:val="004E4452"/>
    <w:rsid w:val="004E776E"/>
    <w:rsid w:val="004F22B5"/>
    <w:rsid w:val="004F3C91"/>
    <w:rsid w:val="004F5039"/>
    <w:rsid w:val="004F53A1"/>
    <w:rsid w:val="004F57A5"/>
    <w:rsid w:val="004F607F"/>
    <w:rsid w:val="004F7661"/>
    <w:rsid w:val="004F76BE"/>
    <w:rsid w:val="005029F3"/>
    <w:rsid w:val="00502F4C"/>
    <w:rsid w:val="00502FEE"/>
    <w:rsid w:val="00503C71"/>
    <w:rsid w:val="0050432D"/>
    <w:rsid w:val="00505DB4"/>
    <w:rsid w:val="00505F2E"/>
    <w:rsid w:val="00506702"/>
    <w:rsid w:val="00510221"/>
    <w:rsid w:val="00512231"/>
    <w:rsid w:val="00512E9B"/>
    <w:rsid w:val="00513190"/>
    <w:rsid w:val="00513BA0"/>
    <w:rsid w:val="00515DA9"/>
    <w:rsid w:val="00517237"/>
    <w:rsid w:val="005179E1"/>
    <w:rsid w:val="00517D4E"/>
    <w:rsid w:val="00522773"/>
    <w:rsid w:val="005248BB"/>
    <w:rsid w:val="005279DF"/>
    <w:rsid w:val="00527C93"/>
    <w:rsid w:val="0053114B"/>
    <w:rsid w:val="0053135D"/>
    <w:rsid w:val="0053164E"/>
    <w:rsid w:val="00531AEF"/>
    <w:rsid w:val="00537146"/>
    <w:rsid w:val="0054083F"/>
    <w:rsid w:val="005415CF"/>
    <w:rsid w:val="00541B36"/>
    <w:rsid w:val="005437ED"/>
    <w:rsid w:val="0055084B"/>
    <w:rsid w:val="005547F9"/>
    <w:rsid w:val="005554B1"/>
    <w:rsid w:val="00556E35"/>
    <w:rsid w:val="00557A16"/>
    <w:rsid w:val="00560714"/>
    <w:rsid w:val="00561388"/>
    <w:rsid w:val="00561F91"/>
    <w:rsid w:val="005631B3"/>
    <w:rsid w:val="00567661"/>
    <w:rsid w:val="00570032"/>
    <w:rsid w:val="00570334"/>
    <w:rsid w:val="00570FF7"/>
    <w:rsid w:val="0057155F"/>
    <w:rsid w:val="005715D7"/>
    <w:rsid w:val="00572C6B"/>
    <w:rsid w:val="005746A6"/>
    <w:rsid w:val="005771C3"/>
    <w:rsid w:val="0057778A"/>
    <w:rsid w:val="00580EC5"/>
    <w:rsid w:val="005833D9"/>
    <w:rsid w:val="00583FA5"/>
    <w:rsid w:val="005848BB"/>
    <w:rsid w:val="00584AE9"/>
    <w:rsid w:val="0058569C"/>
    <w:rsid w:val="00586F04"/>
    <w:rsid w:val="0059021A"/>
    <w:rsid w:val="0059049D"/>
    <w:rsid w:val="00590FC5"/>
    <w:rsid w:val="005921B2"/>
    <w:rsid w:val="005929F6"/>
    <w:rsid w:val="005941B8"/>
    <w:rsid w:val="00594B12"/>
    <w:rsid w:val="00594F86"/>
    <w:rsid w:val="00596086"/>
    <w:rsid w:val="0059660E"/>
    <w:rsid w:val="005A070E"/>
    <w:rsid w:val="005A2CD6"/>
    <w:rsid w:val="005A6BCE"/>
    <w:rsid w:val="005B1354"/>
    <w:rsid w:val="005B23B2"/>
    <w:rsid w:val="005B4981"/>
    <w:rsid w:val="005B52A5"/>
    <w:rsid w:val="005C34AD"/>
    <w:rsid w:val="005C4E42"/>
    <w:rsid w:val="005C79F4"/>
    <w:rsid w:val="005D0216"/>
    <w:rsid w:val="005D0B77"/>
    <w:rsid w:val="005D0D0D"/>
    <w:rsid w:val="005D2303"/>
    <w:rsid w:val="005D537B"/>
    <w:rsid w:val="005D5D92"/>
    <w:rsid w:val="005D6A60"/>
    <w:rsid w:val="005D7EC3"/>
    <w:rsid w:val="005E2C33"/>
    <w:rsid w:val="005E4610"/>
    <w:rsid w:val="005E7D1E"/>
    <w:rsid w:val="005F196D"/>
    <w:rsid w:val="005F1EB8"/>
    <w:rsid w:val="005F6CA3"/>
    <w:rsid w:val="00602A7B"/>
    <w:rsid w:val="006030D6"/>
    <w:rsid w:val="006042CC"/>
    <w:rsid w:val="006052F0"/>
    <w:rsid w:val="006074C3"/>
    <w:rsid w:val="00607A2B"/>
    <w:rsid w:val="006126D3"/>
    <w:rsid w:val="00612862"/>
    <w:rsid w:val="00614255"/>
    <w:rsid w:val="006159C2"/>
    <w:rsid w:val="00616E2F"/>
    <w:rsid w:val="006170BC"/>
    <w:rsid w:val="00617EB4"/>
    <w:rsid w:val="00622FB2"/>
    <w:rsid w:val="0062388B"/>
    <w:rsid w:val="00623EC5"/>
    <w:rsid w:val="0062527C"/>
    <w:rsid w:val="006254BD"/>
    <w:rsid w:val="00626CD4"/>
    <w:rsid w:val="00634B01"/>
    <w:rsid w:val="00634EB1"/>
    <w:rsid w:val="00635614"/>
    <w:rsid w:val="006372DA"/>
    <w:rsid w:val="00640C75"/>
    <w:rsid w:val="00641B58"/>
    <w:rsid w:val="00642FD4"/>
    <w:rsid w:val="006447B9"/>
    <w:rsid w:val="00645A45"/>
    <w:rsid w:val="00645ABF"/>
    <w:rsid w:val="00645E68"/>
    <w:rsid w:val="00650DB8"/>
    <w:rsid w:val="00653EFA"/>
    <w:rsid w:val="00655252"/>
    <w:rsid w:val="00655336"/>
    <w:rsid w:val="006556C3"/>
    <w:rsid w:val="0065725A"/>
    <w:rsid w:val="00657AC1"/>
    <w:rsid w:val="00663867"/>
    <w:rsid w:val="00663EEB"/>
    <w:rsid w:val="00664551"/>
    <w:rsid w:val="00667414"/>
    <w:rsid w:val="00667AA0"/>
    <w:rsid w:val="00667E86"/>
    <w:rsid w:val="006700F7"/>
    <w:rsid w:val="00684516"/>
    <w:rsid w:val="0068466C"/>
    <w:rsid w:val="00684A9A"/>
    <w:rsid w:val="00685953"/>
    <w:rsid w:val="006869FB"/>
    <w:rsid w:val="0068764E"/>
    <w:rsid w:val="00690ABD"/>
    <w:rsid w:val="00690B5C"/>
    <w:rsid w:val="006951F6"/>
    <w:rsid w:val="00696331"/>
    <w:rsid w:val="00697206"/>
    <w:rsid w:val="006A1A3C"/>
    <w:rsid w:val="006A3824"/>
    <w:rsid w:val="006A4778"/>
    <w:rsid w:val="006A4E17"/>
    <w:rsid w:val="006A650B"/>
    <w:rsid w:val="006B27B9"/>
    <w:rsid w:val="006B3BCA"/>
    <w:rsid w:val="006B72EE"/>
    <w:rsid w:val="006B737C"/>
    <w:rsid w:val="006B7B2B"/>
    <w:rsid w:val="006C10A5"/>
    <w:rsid w:val="006C4109"/>
    <w:rsid w:val="006C5D7A"/>
    <w:rsid w:val="006C74A3"/>
    <w:rsid w:val="006C7681"/>
    <w:rsid w:val="006D0B5A"/>
    <w:rsid w:val="006D0E2B"/>
    <w:rsid w:val="006D22D9"/>
    <w:rsid w:val="006D2ED9"/>
    <w:rsid w:val="006D3E74"/>
    <w:rsid w:val="006D517F"/>
    <w:rsid w:val="006D798F"/>
    <w:rsid w:val="006E22CA"/>
    <w:rsid w:val="006E3033"/>
    <w:rsid w:val="006E440F"/>
    <w:rsid w:val="006E7479"/>
    <w:rsid w:val="006E7AB6"/>
    <w:rsid w:val="006F077E"/>
    <w:rsid w:val="006F2328"/>
    <w:rsid w:val="006F555C"/>
    <w:rsid w:val="006F5CF4"/>
    <w:rsid w:val="006F5EB1"/>
    <w:rsid w:val="006F6C59"/>
    <w:rsid w:val="00702503"/>
    <w:rsid w:val="0070530B"/>
    <w:rsid w:val="00706767"/>
    <w:rsid w:val="00707235"/>
    <w:rsid w:val="00707F6C"/>
    <w:rsid w:val="00712207"/>
    <w:rsid w:val="0071277B"/>
    <w:rsid w:val="007127FA"/>
    <w:rsid w:val="0071335F"/>
    <w:rsid w:val="00713C6C"/>
    <w:rsid w:val="00713E98"/>
    <w:rsid w:val="007146CD"/>
    <w:rsid w:val="00716A1D"/>
    <w:rsid w:val="00717D64"/>
    <w:rsid w:val="007225A8"/>
    <w:rsid w:val="00722A9E"/>
    <w:rsid w:val="007237BE"/>
    <w:rsid w:val="007245EA"/>
    <w:rsid w:val="00727507"/>
    <w:rsid w:val="00727992"/>
    <w:rsid w:val="00727EFB"/>
    <w:rsid w:val="00727EFC"/>
    <w:rsid w:val="00730CE5"/>
    <w:rsid w:val="00730F6B"/>
    <w:rsid w:val="00731700"/>
    <w:rsid w:val="00731FD5"/>
    <w:rsid w:val="0073404A"/>
    <w:rsid w:val="00735A3F"/>
    <w:rsid w:val="00735A4C"/>
    <w:rsid w:val="00735FD3"/>
    <w:rsid w:val="00740710"/>
    <w:rsid w:val="007408E4"/>
    <w:rsid w:val="00742560"/>
    <w:rsid w:val="00744148"/>
    <w:rsid w:val="00744EDB"/>
    <w:rsid w:val="00745AAE"/>
    <w:rsid w:val="007467A6"/>
    <w:rsid w:val="00746899"/>
    <w:rsid w:val="007533F0"/>
    <w:rsid w:val="00756456"/>
    <w:rsid w:val="0075690B"/>
    <w:rsid w:val="00761D41"/>
    <w:rsid w:val="00763483"/>
    <w:rsid w:val="007654F0"/>
    <w:rsid w:val="00765885"/>
    <w:rsid w:val="00766340"/>
    <w:rsid w:val="0077017C"/>
    <w:rsid w:val="007703F0"/>
    <w:rsid w:val="00770EE4"/>
    <w:rsid w:val="00772BB0"/>
    <w:rsid w:val="00774A35"/>
    <w:rsid w:val="007768D9"/>
    <w:rsid w:val="00780F8F"/>
    <w:rsid w:val="0078104B"/>
    <w:rsid w:val="007821D5"/>
    <w:rsid w:val="0078388D"/>
    <w:rsid w:val="0078408C"/>
    <w:rsid w:val="00785039"/>
    <w:rsid w:val="00785ED3"/>
    <w:rsid w:val="00791053"/>
    <w:rsid w:val="00791455"/>
    <w:rsid w:val="00793F89"/>
    <w:rsid w:val="00794EB0"/>
    <w:rsid w:val="0079559D"/>
    <w:rsid w:val="007972E9"/>
    <w:rsid w:val="007A04FF"/>
    <w:rsid w:val="007A22FF"/>
    <w:rsid w:val="007A3F45"/>
    <w:rsid w:val="007A5C4B"/>
    <w:rsid w:val="007A7B81"/>
    <w:rsid w:val="007B01F2"/>
    <w:rsid w:val="007B0350"/>
    <w:rsid w:val="007B103B"/>
    <w:rsid w:val="007B1040"/>
    <w:rsid w:val="007B7C67"/>
    <w:rsid w:val="007C00DF"/>
    <w:rsid w:val="007C280E"/>
    <w:rsid w:val="007C2A52"/>
    <w:rsid w:val="007C319C"/>
    <w:rsid w:val="007C3E31"/>
    <w:rsid w:val="007C5B71"/>
    <w:rsid w:val="007C5BDC"/>
    <w:rsid w:val="007C7A5F"/>
    <w:rsid w:val="007D2629"/>
    <w:rsid w:val="007D2971"/>
    <w:rsid w:val="007D3206"/>
    <w:rsid w:val="007D339C"/>
    <w:rsid w:val="007D464D"/>
    <w:rsid w:val="007D586F"/>
    <w:rsid w:val="007D74F5"/>
    <w:rsid w:val="007E0B39"/>
    <w:rsid w:val="007E17C4"/>
    <w:rsid w:val="007E2BEE"/>
    <w:rsid w:val="007E39B8"/>
    <w:rsid w:val="007E3C56"/>
    <w:rsid w:val="007E3D53"/>
    <w:rsid w:val="007E452D"/>
    <w:rsid w:val="007E6852"/>
    <w:rsid w:val="007E780D"/>
    <w:rsid w:val="007F0D58"/>
    <w:rsid w:val="007F0E0E"/>
    <w:rsid w:val="007F1F2B"/>
    <w:rsid w:val="007F312A"/>
    <w:rsid w:val="007F51D3"/>
    <w:rsid w:val="007F5FDE"/>
    <w:rsid w:val="007F678F"/>
    <w:rsid w:val="008003D4"/>
    <w:rsid w:val="00800D67"/>
    <w:rsid w:val="00804863"/>
    <w:rsid w:val="00805F86"/>
    <w:rsid w:val="0080753F"/>
    <w:rsid w:val="00810AF3"/>
    <w:rsid w:val="00810FE8"/>
    <w:rsid w:val="00811871"/>
    <w:rsid w:val="0081652A"/>
    <w:rsid w:val="00816F04"/>
    <w:rsid w:val="00820EE8"/>
    <w:rsid w:val="00821E24"/>
    <w:rsid w:val="008236A2"/>
    <w:rsid w:val="00823955"/>
    <w:rsid w:val="00823E18"/>
    <w:rsid w:val="00824684"/>
    <w:rsid w:val="00825FB9"/>
    <w:rsid w:val="00826CA2"/>
    <w:rsid w:val="00831F86"/>
    <w:rsid w:val="00835120"/>
    <w:rsid w:val="0083524C"/>
    <w:rsid w:val="0083553B"/>
    <w:rsid w:val="00836873"/>
    <w:rsid w:val="00840872"/>
    <w:rsid w:val="0084175F"/>
    <w:rsid w:val="00842169"/>
    <w:rsid w:val="008430BF"/>
    <w:rsid w:val="0084512A"/>
    <w:rsid w:val="008461BB"/>
    <w:rsid w:val="00846FBB"/>
    <w:rsid w:val="008475FB"/>
    <w:rsid w:val="00851741"/>
    <w:rsid w:val="00852C94"/>
    <w:rsid w:val="00856DA8"/>
    <w:rsid w:val="0085798F"/>
    <w:rsid w:val="00860155"/>
    <w:rsid w:val="0086086D"/>
    <w:rsid w:val="0087076E"/>
    <w:rsid w:val="00870BDA"/>
    <w:rsid w:val="0087168C"/>
    <w:rsid w:val="00871991"/>
    <w:rsid w:val="00873E10"/>
    <w:rsid w:val="0087689B"/>
    <w:rsid w:val="00876F21"/>
    <w:rsid w:val="008776BD"/>
    <w:rsid w:val="00877D38"/>
    <w:rsid w:val="008825B9"/>
    <w:rsid w:val="00883798"/>
    <w:rsid w:val="0088691F"/>
    <w:rsid w:val="00886FDE"/>
    <w:rsid w:val="00893148"/>
    <w:rsid w:val="00894EF5"/>
    <w:rsid w:val="008955B4"/>
    <w:rsid w:val="008974CF"/>
    <w:rsid w:val="008977B6"/>
    <w:rsid w:val="008A0F7E"/>
    <w:rsid w:val="008A2A02"/>
    <w:rsid w:val="008A4F1B"/>
    <w:rsid w:val="008A58AA"/>
    <w:rsid w:val="008A6177"/>
    <w:rsid w:val="008A658E"/>
    <w:rsid w:val="008A666A"/>
    <w:rsid w:val="008A6E45"/>
    <w:rsid w:val="008A711A"/>
    <w:rsid w:val="008A7BAD"/>
    <w:rsid w:val="008A7CEE"/>
    <w:rsid w:val="008A7FE8"/>
    <w:rsid w:val="008B00A5"/>
    <w:rsid w:val="008B0B29"/>
    <w:rsid w:val="008B1D53"/>
    <w:rsid w:val="008B2C61"/>
    <w:rsid w:val="008B4E0F"/>
    <w:rsid w:val="008B60DC"/>
    <w:rsid w:val="008B629E"/>
    <w:rsid w:val="008B6407"/>
    <w:rsid w:val="008B6561"/>
    <w:rsid w:val="008B6677"/>
    <w:rsid w:val="008C0EA8"/>
    <w:rsid w:val="008C1F1B"/>
    <w:rsid w:val="008C20DE"/>
    <w:rsid w:val="008C2952"/>
    <w:rsid w:val="008C31A6"/>
    <w:rsid w:val="008C5357"/>
    <w:rsid w:val="008C5C3A"/>
    <w:rsid w:val="008C63D2"/>
    <w:rsid w:val="008C7B52"/>
    <w:rsid w:val="008D097E"/>
    <w:rsid w:val="008D1B06"/>
    <w:rsid w:val="008D36AD"/>
    <w:rsid w:val="008D3A4F"/>
    <w:rsid w:val="008D3CA2"/>
    <w:rsid w:val="008D63C1"/>
    <w:rsid w:val="008E01E6"/>
    <w:rsid w:val="008E1FAC"/>
    <w:rsid w:val="008E26AA"/>
    <w:rsid w:val="008E344E"/>
    <w:rsid w:val="008E3A74"/>
    <w:rsid w:val="008E3E0C"/>
    <w:rsid w:val="008E56FA"/>
    <w:rsid w:val="008E7782"/>
    <w:rsid w:val="008E7961"/>
    <w:rsid w:val="008F114B"/>
    <w:rsid w:val="008F1225"/>
    <w:rsid w:val="008F25FA"/>
    <w:rsid w:val="008F2AFA"/>
    <w:rsid w:val="008F2E34"/>
    <w:rsid w:val="008F5AA6"/>
    <w:rsid w:val="008F63B6"/>
    <w:rsid w:val="008F6C2A"/>
    <w:rsid w:val="00904FB6"/>
    <w:rsid w:val="00907FDE"/>
    <w:rsid w:val="009121EE"/>
    <w:rsid w:val="00912846"/>
    <w:rsid w:val="00912FA3"/>
    <w:rsid w:val="009150EC"/>
    <w:rsid w:val="00917116"/>
    <w:rsid w:val="00917919"/>
    <w:rsid w:val="0092157A"/>
    <w:rsid w:val="0092188A"/>
    <w:rsid w:val="00923263"/>
    <w:rsid w:val="00925301"/>
    <w:rsid w:val="0092570D"/>
    <w:rsid w:val="009301A8"/>
    <w:rsid w:val="00930527"/>
    <w:rsid w:val="00930584"/>
    <w:rsid w:val="009309A5"/>
    <w:rsid w:val="0093190F"/>
    <w:rsid w:val="00932DCC"/>
    <w:rsid w:val="0093320D"/>
    <w:rsid w:val="009349C3"/>
    <w:rsid w:val="00934EDF"/>
    <w:rsid w:val="00935C43"/>
    <w:rsid w:val="00936417"/>
    <w:rsid w:val="00936781"/>
    <w:rsid w:val="00941003"/>
    <w:rsid w:val="00943043"/>
    <w:rsid w:val="00946626"/>
    <w:rsid w:val="0095004F"/>
    <w:rsid w:val="009525ED"/>
    <w:rsid w:val="00953EDF"/>
    <w:rsid w:val="00954CE1"/>
    <w:rsid w:val="00954F5F"/>
    <w:rsid w:val="00955A32"/>
    <w:rsid w:val="00955C41"/>
    <w:rsid w:val="0095724B"/>
    <w:rsid w:val="00957E73"/>
    <w:rsid w:val="00960478"/>
    <w:rsid w:val="00960C67"/>
    <w:rsid w:val="0096120D"/>
    <w:rsid w:val="0096153F"/>
    <w:rsid w:val="00962773"/>
    <w:rsid w:val="00962EF1"/>
    <w:rsid w:val="00964731"/>
    <w:rsid w:val="009650E9"/>
    <w:rsid w:val="00967951"/>
    <w:rsid w:val="0097005A"/>
    <w:rsid w:val="00972DB7"/>
    <w:rsid w:val="009745F1"/>
    <w:rsid w:val="00980033"/>
    <w:rsid w:val="00980BEC"/>
    <w:rsid w:val="00981010"/>
    <w:rsid w:val="0098321F"/>
    <w:rsid w:val="00992190"/>
    <w:rsid w:val="00992B25"/>
    <w:rsid w:val="009A1CF4"/>
    <w:rsid w:val="009A400D"/>
    <w:rsid w:val="009A4166"/>
    <w:rsid w:val="009A4E3F"/>
    <w:rsid w:val="009A6E85"/>
    <w:rsid w:val="009A7ABA"/>
    <w:rsid w:val="009B013C"/>
    <w:rsid w:val="009B133B"/>
    <w:rsid w:val="009B191F"/>
    <w:rsid w:val="009B2915"/>
    <w:rsid w:val="009B35C8"/>
    <w:rsid w:val="009B527B"/>
    <w:rsid w:val="009B71C2"/>
    <w:rsid w:val="009C0C68"/>
    <w:rsid w:val="009C23D2"/>
    <w:rsid w:val="009C47C5"/>
    <w:rsid w:val="009C68E2"/>
    <w:rsid w:val="009C6D61"/>
    <w:rsid w:val="009D16D2"/>
    <w:rsid w:val="009D1720"/>
    <w:rsid w:val="009D2F33"/>
    <w:rsid w:val="009D4A16"/>
    <w:rsid w:val="009D4A50"/>
    <w:rsid w:val="009D62EA"/>
    <w:rsid w:val="009D7294"/>
    <w:rsid w:val="009E2400"/>
    <w:rsid w:val="009E2E12"/>
    <w:rsid w:val="009E7D7A"/>
    <w:rsid w:val="009F0DA6"/>
    <w:rsid w:val="009F34A5"/>
    <w:rsid w:val="009F4AB5"/>
    <w:rsid w:val="009F62A1"/>
    <w:rsid w:val="00A001A0"/>
    <w:rsid w:val="00A0174D"/>
    <w:rsid w:val="00A021DB"/>
    <w:rsid w:val="00A028E9"/>
    <w:rsid w:val="00A03871"/>
    <w:rsid w:val="00A05E29"/>
    <w:rsid w:val="00A11101"/>
    <w:rsid w:val="00A11676"/>
    <w:rsid w:val="00A15CDC"/>
    <w:rsid w:val="00A16FFF"/>
    <w:rsid w:val="00A220F8"/>
    <w:rsid w:val="00A26B8F"/>
    <w:rsid w:val="00A273C1"/>
    <w:rsid w:val="00A2771D"/>
    <w:rsid w:val="00A27A7E"/>
    <w:rsid w:val="00A335CC"/>
    <w:rsid w:val="00A33D60"/>
    <w:rsid w:val="00A33ECB"/>
    <w:rsid w:val="00A34A71"/>
    <w:rsid w:val="00A3576D"/>
    <w:rsid w:val="00A35F8F"/>
    <w:rsid w:val="00A36BC4"/>
    <w:rsid w:val="00A37A1F"/>
    <w:rsid w:val="00A37E8E"/>
    <w:rsid w:val="00A407E6"/>
    <w:rsid w:val="00A4157B"/>
    <w:rsid w:val="00A41779"/>
    <w:rsid w:val="00A422B6"/>
    <w:rsid w:val="00A42F75"/>
    <w:rsid w:val="00A43423"/>
    <w:rsid w:val="00A43D34"/>
    <w:rsid w:val="00A44D5F"/>
    <w:rsid w:val="00A44EA9"/>
    <w:rsid w:val="00A45DE9"/>
    <w:rsid w:val="00A4749A"/>
    <w:rsid w:val="00A50085"/>
    <w:rsid w:val="00A5070F"/>
    <w:rsid w:val="00A511F0"/>
    <w:rsid w:val="00A5706F"/>
    <w:rsid w:val="00A57123"/>
    <w:rsid w:val="00A57800"/>
    <w:rsid w:val="00A60A49"/>
    <w:rsid w:val="00A64FBB"/>
    <w:rsid w:val="00A65B8F"/>
    <w:rsid w:val="00A66091"/>
    <w:rsid w:val="00A71329"/>
    <w:rsid w:val="00A71383"/>
    <w:rsid w:val="00A72A37"/>
    <w:rsid w:val="00A7407B"/>
    <w:rsid w:val="00A76184"/>
    <w:rsid w:val="00A7782E"/>
    <w:rsid w:val="00A77B1F"/>
    <w:rsid w:val="00A816C4"/>
    <w:rsid w:val="00A82C68"/>
    <w:rsid w:val="00A831B2"/>
    <w:rsid w:val="00A8451E"/>
    <w:rsid w:val="00A84548"/>
    <w:rsid w:val="00A85688"/>
    <w:rsid w:val="00A857F5"/>
    <w:rsid w:val="00A868AE"/>
    <w:rsid w:val="00A86A54"/>
    <w:rsid w:val="00A8721B"/>
    <w:rsid w:val="00A91287"/>
    <w:rsid w:val="00A917C2"/>
    <w:rsid w:val="00A94D76"/>
    <w:rsid w:val="00A96DE7"/>
    <w:rsid w:val="00A96FB3"/>
    <w:rsid w:val="00AA0BFB"/>
    <w:rsid w:val="00AA1C16"/>
    <w:rsid w:val="00AA1D69"/>
    <w:rsid w:val="00AA27F6"/>
    <w:rsid w:val="00AA34D7"/>
    <w:rsid w:val="00AA368A"/>
    <w:rsid w:val="00AA499E"/>
    <w:rsid w:val="00AA639D"/>
    <w:rsid w:val="00AA643A"/>
    <w:rsid w:val="00AA6D58"/>
    <w:rsid w:val="00AA6D6A"/>
    <w:rsid w:val="00AA6DB7"/>
    <w:rsid w:val="00AB51F5"/>
    <w:rsid w:val="00AB6488"/>
    <w:rsid w:val="00AC13D4"/>
    <w:rsid w:val="00AC15CC"/>
    <w:rsid w:val="00AC53C8"/>
    <w:rsid w:val="00AC6A8C"/>
    <w:rsid w:val="00AD08BB"/>
    <w:rsid w:val="00AD10B0"/>
    <w:rsid w:val="00AD2176"/>
    <w:rsid w:val="00AD2D6E"/>
    <w:rsid w:val="00AD3BB8"/>
    <w:rsid w:val="00AD6199"/>
    <w:rsid w:val="00AD6874"/>
    <w:rsid w:val="00AD6A09"/>
    <w:rsid w:val="00AD742E"/>
    <w:rsid w:val="00AE38B4"/>
    <w:rsid w:val="00AE3986"/>
    <w:rsid w:val="00AE6762"/>
    <w:rsid w:val="00AF263D"/>
    <w:rsid w:val="00AF31A2"/>
    <w:rsid w:val="00AF77EB"/>
    <w:rsid w:val="00B02695"/>
    <w:rsid w:val="00B0609E"/>
    <w:rsid w:val="00B06246"/>
    <w:rsid w:val="00B07E4E"/>
    <w:rsid w:val="00B11656"/>
    <w:rsid w:val="00B12A5A"/>
    <w:rsid w:val="00B13E5F"/>
    <w:rsid w:val="00B172A6"/>
    <w:rsid w:val="00B178F5"/>
    <w:rsid w:val="00B17C65"/>
    <w:rsid w:val="00B226D9"/>
    <w:rsid w:val="00B24367"/>
    <w:rsid w:val="00B2534E"/>
    <w:rsid w:val="00B30059"/>
    <w:rsid w:val="00B30FDD"/>
    <w:rsid w:val="00B3368D"/>
    <w:rsid w:val="00B350D3"/>
    <w:rsid w:val="00B35D68"/>
    <w:rsid w:val="00B370B8"/>
    <w:rsid w:val="00B376EA"/>
    <w:rsid w:val="00B408F7"/>
    <w:rsid w:val="00B40F08"/>
    <w:rsid w:val="00B458A0"/>
    <w:rsid w:val="00B47726"/>
    <w:rsid w:val="00B507C5"/>
    <w:rsid w:val="00B5147E"/>
    <w:rsid w:val="00B53364"/>
    <w:rsid w:val="00B56134"/>
    <w:rsid w:val="00B63974"/>
    <w:rsid w:val="00B63B93"/>
    <w:rsid w:val="00B63FAC"/>
    <w:rsid w:val="00B677F5"/>
    <w:rsid w:val="00B71A06"/>
    <w:rsid w:val="00B71E9D"/>
    <w:rsid w:val="00B7206C"/>
    <w:rsid w:val="00B7483A"/>
    <w:rsid w:val="00B751B2"/>
    <w:rsid w:val="00B75657"/>
    <w:rsid w:val="00B75F70"/>
    <w:rsid w:val="00B778D5"/>
    <w:rsid w:val="00B77A4D"/>
    <w:rsid w:val="00B808B5"/>
    <w:rsid w:val="00B81657"/>
    <w:rsid w:val="00B84B99"/>
    <w:rsid w:val="00B87350"/>
    <w:rsid w:val="00B902CC"/>
    <w:rsid w:val="00B94404"/>
    <w:rsid w:val="00B947C1"/>
    <w:rsid w:val="00B94DD5"/>
    <w:rsid w:val="00B96F99"/>
    <w:rsid w:val="00BA1016"/>
    <w:rsid w:val="00BA190B"/>
    <w:rsid w:val="00BA2F46"/>
    <w:rsid w:val="00BA300B"/>
    <w:rsid w:val="00BA4C1A"/>
    <w:rsid w:val="00BA65B8"/>
    <w:rsid w:val="00BB1F06"/>
    <w:rsid w:val="00BB346E"/>
    <w:rsid w:val="00BB3628"/>
    <w:rsid w:val="00BB4E8C"/>
    <w:rsid w:val="00BB557F"/>
    <w:rsid w:val="00BB60B5"/>
    <w:rsid w:val="00BB6DBD"/>
    <w:rsid w:val="00BB780E"/>
    <w:rsid w:val="00BB7976"/>
    <w:rsid w:val="00BB7D07"/>
    <w:rsid w:val="00BC0C76"/>
    <w:rsid w:val="00BC101E"/>
    <w:rsid w:val="00BC1FE5"/>
    <w:rsid w:val="00BC38B9"/>
    <w:rsid w:val="00BC4579"/>
    <w:rsid w:val="00BC55AD"/>
    <w:rsid w:val="00BC584F"/>
    <w:rsid w:val="00BC5C38"/>
    <w:rsid w:val="00BC7DB7"/>
    <w:rsid w:val="00BD1D0F"/>
    <w:rsid w:val="00BD3D3B"/>
    <w:rsid w:val="00BD608E"/>
    <w:rsid w:val="00BD765F"/>
    <w:rsid w:val="00BD7870"/>
    <w:rsid w:val="00BE0CA5"/>
    <w:rsid w:val="00BE2450"/>
    <w:rsid w:val="00BE2A5E"/>
    <w:rsid w:val="00BE3497"/>
    <w:rsid w:val="00BE5DA5"/>
    <w:rsid w:val="00BE65D3"/>
    <w:rsid w:val="00BE6A13"/>
    <w:rsid w:val="00BF4591"/>
    <w:rsid w:val="00BF5E9C"/>
    <w:rsid w:val="00C00CC4"/>
    <w:rsid w:val="00C01736"/>
    <w:rsid w:val="00C019B3"/>
    <w:rsid w:val="00C02097"/>
    <w:rsid w:val="00C0299C"/>
    <w:rsid w:val="00C0410C"/>
    <w:rsid w:val="00C07FD3"/>
    <w:rsid w:val="00C10596"/>
    <w:rsid w:val="00C11EAE"/>
    <w:rsid w:val="00C12098"/>
    <w:rsid w:val="00C149DF"/>
    <w:rsid w:val="00C2263B"/>
    <w:rsid w:val="00C232CD"/>
    <w:rsid w:val="00C2333B"/>
    <w:rsid w:val="00C2418F"/>
    <w:rsid w:val="00C24C51"/>
    <w:rsid w:val="00C2718E"/>
    <w:rsid w:val="00C302E6"/>
    <w:rsid w:val="00C3072E"/>
    <w:rsid w:val="00C30A8D"/>
    <w:rsid w:val="00C3184A"/>
    <w:rsid w:val="00C33EB4"/>
    <w:rsid w:val="00C3405E"/>
    <w:rsid w:val="00C34233"/>
    <w:rsid w:val="00C369A7"/>
    <w:rsid w:val="00C3738B"/>
    <w:rsid w:val="00C40AB7"/>
    <w:rsid w:val="00C40FE5"/>
    <w:rsid w:val="00C44843"/>
    <w:rsid w:val="00C451E8"/>
    <w:rsid w:val="00C46F20"/>
    <w:rsid w:val="00C51199"/>
    <w:rsid w:val="00C51E5B"/>
    <w:rsid w:val="00C5290E"/>
    <w:rsid w:val="00C54A4C"/>
    <w:rsid w:val="00C56B56"/>
    <w:rsid w:val="00C574D6"/>
    <w:rsid w:val="00C577DA"/>
    <w:rsid w:val="00C57D7E"/>
    <w:rsid w:val="00C604EC"/>
    <w:rsid w:val="00C60BD4"/>
    <w:rsid w:val="00C60C11"/>
    <w:rsid w:val="00C60CCE"/>
    <w:rsid w:val="00C62405"/>
    <w:rsid w:val="00C63C57"/>
    <w:rsid w:val="00C65370"/>
    <w:rsid w:val="00C65742"/>
    <w:rsid w:val="00C66DA4"/>
    <w:rsid w:val="00C704F8"/>
    <w:rsid w:val="00C72569"/>
    <w:rsid w:val="00C72652"/>
    <w:rsid w:val="00C7267D"/>
    <w:rsid w:val="00C7387E"/>
    <w:rsid w:val="00C74BD9"/>
    <w:rsid w:val="00C77852"/>
    <w:rsid w:val="00C81826"/>
    <w:rsid w:val="00C83730"/>
    <w:rsid w:val="00C83AFA"/>
    <w:rsid w:val="00C83ECB"/>
    <w:rsid w:val="00C84113"/>
    <w:rsid w:val="00C84CA8"/>
    <w:rsid w:val="00C85B1D"/>
    <w:rsid w:val="00C87E1A"/>
    <w:rsid w:val="00C91A3F"/>
    <w:rsid w:val="00C92CB2"/>
    <w:rsid w:val="00C93C49"/>
    <w:rsid w:val="00C94D5B"/>
    <w:rsid w:val="00C95590"/>
    <w:rsid w:val="00C96329"/>
    <w:rsid w:val="00C963BB"/>
    <w:rsid w:val="00C97CFA"/>
    <w:rsid w:val="00CA1961"/>
    <w:rsid w:val="00CA2016"/>
    <w:rsid w:val="00CA213A"/>
    <w:rsid w:val="00CA259D"/>
    <w:rsid w:val="00CA499E"/>
    <w:rsid w:val="00CA5269"/>
    <w:rsid w:val="00CA6DD9"/>
    <w:rsid w:val="00CB01E1"/>
    <w:rsid w:val="00CB17C6"/>
    <w:rsid w:val="00CB1BA8"/>
    <w:rsid w:val="00CB40A9"/>
    <w:rsid w:val="00CB4F80"/>
    <w:rsid w:val="00CB5531"/>
    <w:rsid w:val="00CB7F99"/>
    <w:rsid w:val="00CC019A"/>
    <w:rsid w:val="00CC1691"/>
    <w:rsid w:val="00CC1FF0"/>
    <w:rsid w:val="00CC2A6A"/>
    <w:rsid w:val="00CC3788"/>
    <w:rsid w:val="00CC3944"/>
    <w:rsid w:val="00CC4D5D"/>
    <w:rsid w:val="00CD17E7"/>
    <w:rsid w:val="00CD1EAD"/>
    <w:rsid w:val="00CD365E"/>
    <w:rsid w:val="00CD3A1B"/>
    <w:rsid w:val="00CD4023"/>
    <w:rsid w:val="00CD5E47"/>
    <w:rsid w:val="00CD64DC"/>
    <w:rsid w:val="00CD72FC"/>
    <w:rsid w:val="00CE10AB"/>
    <w:rsid w:val="00CE1BFC"/>
    <w:rsid w:val="00CE2191"/>
    <w:rsid w:val="00CE41A0"/>
    <w:rsid w:val="00CE7E98"/>
    <w:rsid w:val="00CF04E4"/>
    <w:rsid w:val="00CF05AA"/>
    <w:rsid w:val="00CF0F67"/>
    <w:rsid w:val="00CF38E3"/>
    <w:rsid w:val="00CF4670"/>
    <w:rsid w:val="00CF556F"/>
    <w:rsid w:val="00D03E96"/>
    <w:rsid w:val="00D06C64"/>
    <w:rsid w:val="00D06DD2"/>
    <w:rsid w:val="00D12F39"/>
    <w:rsid w:val="00D1473C"/>
    <w:rsid w:val="00D14985"/>
    <w:rsid w:val="00D149F3"/>
    <w:rsid w:val="00D157A2"/>
    <w:rsid w:val="00D1621D"/>
    <w:rsid w:val="00D167FB"/>
    <w:rsid w:val="00D1690F"/>
    <w:rsid w:val="00D1700C"/>
    <w:rsid w:val="00D170E1"/>
    <w:rsid w:val="00D21FFD"/>
    <w:rsid w:val="00D22D6E"/>
    <w:rsid w:val="00D2471F"/>
    <w:rsid w:val="00D25DA2"/>
    <w:rsid w:val="00D3540D"/>
    <w:rsid w:val="00D375EC"/>
    <w:rsid w:val="00D41004"/>
    <w:rsid w:val="00D426CF"/>
    <w:rsid w:val="00D43737"/>
    <w:rsid w:val="00D444FB"/>
    <w:rsid w:val="00D53497"/>
    <w:rsid w:val="00D55553"/>
    <w:rsid w:val="00D56348"/>
    <w:rsid w:val="00D56859"/>
    <w:rsid w:val="00D57160"/>
    <w:rsid w:val="00D579DB"/>
    <w:rsid w:val="00D6005E"/>
    <w:rsid w:val="00D607A9"/>
    <w:rsid w:val="00D60DFB"/>
    <w:rsid w:val="00D61BE1"/>
    <w:rsid w:val="00D638ED"/>
    <w:rsid w:val="00D64F5E"/>
    <w:rsid w:val="00D668D4"/>
    <w:rsid w:val="00D66C48"/>
    <w:rsid w:val="00D67C99"/>
    <w:rsid w:val="00D731C0"/>
    <w:rsid w:val="00D732F9"/>
    <w:rsid w:val="00D738E4"/>
    <w:rsid w:val="00D7547C"/>
    <w:rsid w:val="00D76DB0"/>
    <w:rsid w:val="00D80912"/>
    <w:rsid w:val="00D8103A"/>
    <w:rsid w:val="00D82004"/>
    <w:rsid w:val="00D822E3"/>
    <w:rsid w:val="00D82BB0"/>
    <w:rsid w:val="00D82CC3"/>
    <w:rsid w:val="00D82E97"/>
    <w:rsid w:val="00D83B49"/>
    <w:rsid w:val="00D84879"/>
    <w:rsid w:val="00D85475"/>
    <w:rsid w:val="00D85FA5"/>
    <w:rsid w:val="00D8615A"/>
    <w:rsid w:val="00D86A1A"/>
    <w:rsid w:val="00D86B38"/>
    <w:rsid w:val="00D86EB0"/>
    <w:rsid w:val="00D906BB"/>
    <w:rsid w:val="00D90A7C"/>
    <w:rsid w:val="00D91214"/>
    <w:rsid w:val="00D93448"/>
    <w:rsid w:val="00D93943"/>
    <w:rsid w:val="00D94F1B"/>
    <w:rsid w:val="00DA3F55"/>
    <w:rsid w:val="00DA4178"/>
    <w:rsid w:val="00DA4AEE"/>
    <w:rsid w:val="00DA5263"/>
    <w:rsid w:val="00DA54D8"/>
    <w:rsid w:val="00DA6020"/>
    <w:rsid w:val="00DA6398"/>
    <w:rsid w:val="00DB050A"/>
    <w:rsid w:val="00DB2E38"/>
    <w:rsid w:val="00DB3856"/>
    <w:rsid w:val="00DB428A"/>
    <w:rsid w:val="00DB6056"/>
    <w:rsid w:val="00DB7550"/>
    <w:rsid w:val="00DB7ACE"/>
    <w:rsid w:val="00DB7C17"/>
    <w:rsid w:val="00DC03B3"/>
    <w:rsid w:val="00DC0740"/>
    <w:rsid w:val="00DC115B"/>
    <w:rsid w:val="00DC1C83"/>
    <w:rsid w:val="00DC2097"/>
    <w:rsid w:val="00DC3843"/>
    <w:rsid w:val="00DC422F"/>
    <w:rsid w:val="00DC64F6"/>
    <w:rsid w:val="00DC689F"/>
    <w:rsid w:val="00DC70A2"/>
    <w:rsid w:val="00DC7868"/>
    <w:rsid w:val="00DD2C3D"/>
    <w:rsid w:val="00DD3743"/>
    <w:rsid w:val="00DD5E8A"/>
    <w:rsid w:val="00DD6785"/>
    <w:rsid w:val="00DD67D8"/>
    <w:rsid w:val="00DE0860"/>
    <w:rsid w:val="00DE23C4"/>
    <w:rsid w:val="00DE3B98"/>
    <w:rsid w:val="00DE46BB"/>
    <w:rsid w:val="00DE68F3"/>
    <w:rsid w:val="00DE6BF2"/>
    <w:rsid w:val="00DE7974"/>
    <w:rsid w:val="00DF03F7"/>
    <w:rsid w:val="00DF0D3B"/>
    <w:rsid w:val="00DF10C6"/>
    <w:rsid w:val="00DF13BB"/>
    <w:rsid w:val="00DF2C7D"/>
    <w:rsid w:val="00DF2DA4"/>
    <w:rsid w:val="00DF6615"/>
    <w:rsid w:val="00E00778"/>
    <w:rsid w:val="00E0167F"/>
    <w:rsid w:val="00E0673D"/>
    <w:rsid w:val="00E07D05"/>
    <w:rsid w:val="00E101ED"/>
    <w:rsid w:val="00E11EDF"/>
    <w:rsid w:val="00E12A3F"/>
    <w:rsid w:val="00E139E9"/>
    <w:rsid w:val="00E14757"/>
    <w:rsid w:val="00E16F11"/>
    <w:rsid w:val="00E2046D"/>
    <w:rsid w:val="00E219F6"/>
    <w:rsid w:val="00E2215F"/>
    <w:rsid w:val="00E2278E"/>
    <w:rsid w:val="00E24C33"/>
    <w:rsid w:val="00E31DC9"/>
    <w:rsid w:val="00E33DD2"/>
    <w:rsid w:val="00E34F6D"/>
    <w:rsid w:val="00E36076"/>
    <w:rsid w:val="00E364D4"/>
    <w:rsid w:val="00E402BB"/>
    <w:rsid w:val="00E429F8"/>
    <w:rsid w:val="00E439F0"/>
    <w:rsid w:val="00E44787"/>
    <w:rsid w:val="00E51520"/>
    <w:rsid w:val="00E52CE9"/>
    <w:rsid w:val="00E52F68"/>
    <w:rsid w:val="00E55E00"/>
    <w:rsid w:val="00E5602B"/>
    <w:rsid w:val="00E5638C"/>
    <w:rsid w:val="00E57352"/>
    <w:rsid w:val="00E60088"/>
    <w:rsid w:val="00E608A1"/>
    <w:rsid w:val="00E610D4"/>
    <w:rsid w:val="00E620E3"/>
    <w:rsid w:val="00E62646"/>
    <w:rsid w:val="00E6334F"/>
    <w:rsid w:val="00E64B01"/>
    <w:rsid w:val="00E65DDD"/>
    <w:rsid w:val="00E66DDB"/>
    <w:rsid w:val="00E6709A"/>
    <w:rsid w:val="00E67E17"/>
    <w:rsid w:val="00E729D8"/>
    <w:rsid w:val="00E730BD"/>
    <w:rsid w:val="00E7348E"/>
    <w:rsid w:val="00E7452D"/>
    <w:rsid w:val="00E80671"/>
    <w:rsid w:val="00E81D42"/>
    <w:rsid w:val="00E82C50"/>
    <w:rsid w:val="00E840FA"/>
    <w:rsid w:val="00E84254"/>
    <w:rsid w:val="00E8489F"/>
    <w:rsid w:val="00E867DB"/>
    <w:rsid w:val="00E86A19"/>
    <w:rsid w:val="00E87F1C"/>
    <w:rsid w:val="00E90209"/>
    <w:rsid w:val="00E90A30"/>
    <w:rsid w:val="00E910DB"/>
    <w:rsid w:val="00E9144A"/>
    <w:rsid w:val="00E91DF0"/>
    <w:rsid w:val="00E9455C"/>
    <w:rsid w:val="00E95E08"/>
    <w:rsid w:val="00E96124"/>
    <w:rsid w:val="00EA106D"/>
    <w:rsid w:val="00EA1862"/>
    <w:rsid w:val="00EA1F6F"/>
    <w:rsid w:val="00EA3086"/>
    <w:rsid w:val="00EA34EB"/>
    <w:rsid w:val="00EA3677"/>
    <w:rsid w:val="00EA3F10"/>
    <w:rsid w:val="00EA4188"/>
    <w:rsid w:val="00EA41C3"/>
    <w:rsid w:val="00EA57EF"/>
    <w:rsid w:val="00EA593E"/>
    <w:rsid w:val="00EA6BB5"/>
    <w:rsid w:val="00EA6C2D"/>
    <w:rsid w:val="00EA6DB0"/>
    <w:rsid w:val="00EB2163"/>
    <w:rsid w:val="00EB30FD"/>
    <w:rsid w:val="00EB3DBE"/>
    <w:rsid w:val="00EB3E8C"/>
    <w:rsid w:val="00EB4B86"/>
    <w:rsid w:val="00EB5977"/>
    <w:rsid w:val="00EC05E4"/>
    <w:rsid w:val="00EC1B03"/>
    <w:rsid w:val="00EC3914"/>
    <w:rsid w:val="00EC649E"/>
    <w:rsid w:val="00EC6FE5"/>
    <w:rsid w:val="00ED52F6"/>
    <w:rsid w:val="00ED5D25"/>
    <w:rsid w:val="00ED6628"/>
    <w:rsid w:val="00ED7570"/>
    <w:rsid w:val="00EE3149"/>
    <w:rsid w:val="00EE50A7"/>
    <w:rsid w:val="00EE63A4"/>
    <w:rsid w:val="00EF0D7D"/>
    <w:rsid w:val="00EF0F5A"/>
    <w:rsid w:val="00EF10C1"/>
    <w:rsid w:val="00EF3178"/>
    <w:rsid w:val="00EF5850"/>
    <w:rsid w:val="00F00498"/>
    <w:rsid w:val="00F00BA4"/>
    <w:rsid w:val="00F01FF5"/>
    <w:rsid w:val="00F030C2"/>
    <w:rsid w:val="00F06343"/>
    <w:rsid w:val="00F06A2D"/>
    <w:rsid w:val="00F0733E"/>
    <w:rsid w:val="00F11931"/>
    <w:rsid w:val="00F13441"/>
    <w:rsid w:val="00F143A8"/>
    <w:rsid w:val="00F14F39"/>
    <w:rsid w:val="00F1531B"/>
    <w:rsid w:val="00F16D8F"/>
    <w:rsid w:val="00F17004"/>
    <w:rsid w:val="00F219DB"/>
    <w:rsid w:val="00F21F26"/>
    <w:rsid w:val="00F2450D"/>
    <w:rsid w:val="00F24FF6"/>
    <w:rsid w:val="00F266EC"/>
    <w:rsid w:val="00F26B48"/>
    <w:rsid w:val="00F31007"/>
    <w:rsid w:val="00F315C7"/>
    <w:rsid w:val="00F324DB"/>
    <w:rsid w:val="00F3282E"/>
    <w:rsid w:val="00F329CE"/>
    <w:rsid w:val="00F32A3E"/>
    <w:rsid w:val="00F3407E"/>
    <w:rsid w:val="00F35C4C"/>
    <w:rsid w:val="00F366C4"/>
    <w:rsid w:val="00F4068C"/>
    <w:rsid w:val="00F40B44"/>
    <w:rsid w:val="00F416EE"/>
    <w:rsid w:val="00F44707"/>
    <w:rsid w:val="00F45748"/>
    <w:rsid w:val="00F46315"/>
    <w:rsid w:val="00F46BB4"/>
    <w:rsid w:val="00F46C94"/>
    <w:rsid w:val="00F50B64"/>
    <w:rsid w:val="00F51788"/>
    <w:rsid w:val="00F52A99"/>
    <w:rsid w:val="00F53AEE"/>
    <w:rsid w:val="00F53CAF"/>
    <w:rsid w:val="00F56143"/>
    <w:rsid w:val="00F61E11"/>
    <w:rsid w:val="00F62849"/>
    <w:rsid w:val="00F63595"/>
    <w:rsid w:val="00F63787"/>
    <w:rsid w:val="00F6439B"/>
    <w:rsid w:val="00F6557B"/>
    <w:rsid w:val="00F6590B"/>
    <w:rsid w:val="00F71B6D"/>
    <w:rsid w:val="00F71DE5"/>
    <w:rsid w:val="00F72B66"/>
    <w:rsid w:val="00F739DE"/>
    <w:rsid w:val="00F74865"/>
    <w:rsid w:val="00F765DE"/>
    <w:rsid w:val="00F7675B"/>
    <w:rsid w:val="00F80BE3"/>
    <w:rsid w:val="00F810ED"/>
    <w:rsid w:val="00F82E30"/>
    <w:rsid w:val="00F836E4"/>
    <w:rsid w:val="00F8449E"/>
    <w:rsid w:val="00F8587B"/>
    <w:rsid w:val="00F85D4C"/>
    <w:rsid w:val="00F86B43"/>
    <w:rsid w:val="00F8728B"/>
    <w:rsid w:val="00F91AE1"/>
    <w:rsid w:val="00F93656"/>
    <w:rsid w:val="00F93A28"/>
    <w:rsid w:val="00F93A5D"/>
    <w:rsid w:val="00F95275"/>
    <w:rsid w:val="00F967B8"/>
    <w:rsid w:val="00F96A38"/>
    <w:rsid w:val="00F971A1"/>
    <w:rsid w:val="00FA196A"/>
    <w:rsid w:val="00FA2B3E"/>
    <w:rsid w:val="00FA48F2"/>
    <w:rsid w:val="00FA781B"/>
    <w:rsid w:val="00FA7FD0"/>
    <w:rsid w:val="00FB026B"/>
    <w:rsid w:val="00FB0F80"/>
    <w:rsid w:val="00FB3532"/>
    <w:rsid w:val="00FB38D8"/>
    <w:rsid w:val="00FB4967"/>
    <w:rsid w:val="00FC09AB"/>
    <w:rsid w:val="00FC1D39"/>
    <w:rsid w:val="00FD0FAF"/>
    <w:rsid w:val="00FD1E5B"/>
    <w:rsid w:val="00FD269E"/>
    <w:rsid w:val="00FD28D1"/>
    <w:rsid w:val="00FD39B3"/>
    <w:rsid w:val="00FD5945"/>
    <w:rsid w:val="00FD60B7"/>
    <w:rsid w:val="00FE062A"/>
    <w:rsid w:val="00FE0D74"/>
    <w:rsid w:val="00FE1FEA"/>
    <w:rsid w:val="00FE3B5D"/>
    <w:rsid w:val="00FE3B89"/>
    <w:rsid w:val="00FE6A8F"/>
    <w:rsid w:val="00FE7F44"/>
    <w:rsid w:val="00FF0A7D"/>
    <w:rsid w:val="00FF1F6E"/>
    <w:rsid w:val="00FF235B"/>
    <w:rsid w:val="00FF27A4"/>
    <w:rsid w:val="00FF377B"/>
    <w:rsid w:val="00FF55C8"/>
    <w:rsid w:val="014D24E0"/>
    <w:rsid w:val="02520836"/>
    <w:rsid w:val="05BB4897"/>
    <w:rsid w:val="06A436FB"/>
    <w:rsid w:val="08292EF0"/>
    <w:rsid w:val="08702488"/>
    <w:rsid w:val="08D521F0"/>
    <w:rsid w:val="0A4C6703"/>
    <w:rsid w:val="0B2B18D0"/>
    <w:rsid w:val="0C010665"/>
    <w:rsid w:val="0C7B5742"/>
    <w:rsid w:val="0DD9007E"/>
    <w:rsid w:val="10CD0B16"/>
    <w:rsid w:val="133121DF"/>
    <w:rsid w:val="15613E91"/>
    <w:rsid w:val="16E129C7"/>
    <w:rsid w:val="16FC53DE"/>
    <w:rsid w:val="189B78DE"/>
    <w:rsid w:val="18DD7817"/>
    <w:rsid w:val="1A7E2606"/>
    <w:rsid w:val="1B19090B"/>
    <w:rsid w:val="1DB4038D"/>
    <w:rsid w:val="1F9017C1"/>
    <w:rsid w:val="20486FB7"/>
    <w:rsid w:val="23072D77"/>
    <w:rsid w:val="27BC1BC5"/>
    <w:rsid w:val="28994707"/>
    <w:rsid w:val="2A396119"/>
    <w:rsid w:val="2A6D3B32"/>
    <w:rsid w:val="2CB32B2E"/>
    <w:rsid w:val="2D9D1C2B"/>
    <w:rsid w:val="2F0922B4"/>
    <w:rsid w:val="2FB83131"/>
    <w:rsid w:val="2FBC7F5F"/>
    <w:rsid w:val="2FD40E75"/>
    <w:rsid w:val="306653E6"/>
    <w:rsid w:val="31597D59"/>
    <w:rsid w:val="331A5596"/>
    <w:rsid w:val="33914519"/>
    <w:rsid w:val="36B41C7C"/>
    <w:rsid w:val="37D840A9"/>
    <w:rsid w:val="3806660C"/>
    <w:rsid w:val="396E311B"/>
    <w:rsid w:val="397268D4"/>
    <w:rsid w:val="40B04C94"/>
    <w:rsid w:val="42FF5D83"/>
    <w:rsid w:val="46C91F85"/>
    <w:rsid w:val="46CC1CEE"/>
    <w:rsid w:val="47F279E3"/>
    <w:rsid w:val="48B044F6"/>
    <w:rsid w:val="48DD1FC7"/>
    <w:rsid w:val="49E739C6"/>
    <w:rsid w:val="4A6F3E14"/>
    <w:rsid w:val="4D7102B1"/>
    <w:rsid w:val="51181EB3"/>
    <w:rsid w:val="511A4DB4"/>
    <w:rsid w:val="51AD73BF"/>
    <w:rsid w:val="51C128DC"/>
    <w:rsid w:val="528D3EA0"/>
    <w:rsid w:val="547A3510"/>
    <w:rsid w:val="54E52040"/>
    <w:rsid w:val="556502F8"/>
    <w:rsid w:val="58353226"/>
    <w:rsid w:val="5C87366D"/>
    <w:rsid w:val="5DD22B07"/>
    <w:rsid w:val="5DFE22BA"/>
    <w:rsid w:val="5E6D3EF4"/>
    <w:rsid w:val="5FB25D7E"/>
    <w:rsid w:val="60142654"/>
    <w:rsid w:val="632414F2"/>
    <w:rsid w:val="636101AA"/>
    <w:rsid w:val="64874569"/>
    <w:rsid w:val="676634E7"/>
    <w:rsid w:val="6A8D22AF"/>
    <w:rsid w:val="6E6A2B17"/>
    <w:rsid w:val="6F000C4B"/>
    <w:rsid w:val="6F0E33B0"/>
    <w:rsid w:val="70EF6D4C"/>
    <w:rsid w:val="71705F87"/>
    <w:rsid w:val="7211280E"/>
    <w:rsid w:val="740A0B66"/>
    <w:rsid w:val="76DD0CC0"/>
    <w:rsid w:val="76E901AD"/>
    <w:rsid w:val="77D8692B"/>
    <w:rsid w:val="78C07423"/>
    <w:rsid w:val="7CB62EA9"/>
    <w:rsid w:val="7DB44302"/>
    <w:rsid w:val="7E46162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0" w:semiHidden="0" w:name="toc 2"/>
    <w:lsdException w:qFormat="1" w:uiPriority="0" w:semiHidden="0" w:name="toc 3"/>
    <w:lsdException w:qFormat="1" w:uiPriority="0" w:semiHidden="0" w:name="toc 4"/>
    <w:lsdException w:qFormat="1" w:uiPriority="0" w:semiHidden="0" w:name="toc 5"/>
    <w:lsdException w:qFormat="1" w:uiPriority="0" w:semiHidden="0" w:name="toc 6"/>
    <w:lsdException w:qFormat="1" w:uiPriority="0" w:semiHidden="0" w:name="toc 7"/>
    <w:lsdException w:qFormat="1" w:uiPriority="0" w:semiHidden="0" w:name="toc 8"/>
    <w:lsdException w:qFormat="1" w:uiPriority="0" w:semiHidden="0" w:name="toc 9"/>
    <w:lsdException w:qFormat="1" w:unhideWhenUsed="0" w:uiPriority="0" w:semiHidden="0" w:name="Normal Indent"/>
    <w:lsdException w:uiPriority="99" w:name="footnote text"/>
    <w:lsdException w:qFormat="1" w:unhideWhenUsed="0"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qFormat="1" w:unhideWhenUsed="0" w:uiPriority="0" w:semiHidden="0" w:name="List 2"/>
    <w:lsdException w:qFormat="1"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0"/>
    <w:qFormat/>
    <w:uiPriority w:val="0"/>
    <w:pPr>
      <w:keepNext/>
      <w:keepLines/>
      <w:spacing w:before="340" w:after="330" w:line="576" w:lineRule="auto"/>
      <w:outlineLvl w:val="0"/>
    </w:pPr>
    <w:rPr>
      <w:rFonts w:ascii="宋体" w:hAnsi="Courier New"/>
      <w:b/>
      <w:bCs/>
      <w:kern w:val="44"/>
      <w:sz w:val="44"/>
      <w:szCs w:val="44"/>
    </w:rPr>
  </w:style>
  <w:style w:type="paragraph" w:styleId="3">
    <w:name w:val="heading 2"/>
    <w:basedOn w:val="1"/>
    <w:next w:val="1"/>
    <w:link w:val="69"/>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link w:val="183"/>
    <w:qFormat/>
    <w:uiPriority w:val="0"/>
    <w:pPr>
      <w:keepNext/>
      <w:keepLines/>
      <w:spacing w:before="260" w:after="260" w:line="415" w:lineRule="auto"/>
      <w:outlineLvl w:val="2"/>
    </w:pPr>
    <w:rPr>
      <w:b/>
      <w:sz w:val="32"/>
      <w:szCs w:val="20"/>
    </w:rPr>
  </w:style>
  <w:style w:type="paragraph" w:styleId="5">
    <w:name w:val="heading 4"/>
    <w:basedOn w:val="1"/>
    <w:next w:val="1"/>
    <w:link w:val="211"/>
    <w:qFormat/>
    <w:uiPriority w:val="9"/>
    <w:pPr>
      <w:keepNext/>
      <w:keepLines/>
      <w:spacing w:before="280" w:after="290" w:line="374" w:lineRule="auto"/>
      <w:outlineLvl w:val="3"/>
    </w:pPr>
    <w:rPr>
      <w:rFonts w:ascii="Arial" w:hAnsi="Arial" w:eastAsia="黑体"/>
      <w:b/>
      <w:sz w:val="28"/>
      <w:szCs w:val="20"/>
    </w:rPr>
  </w:style>
  <w:style w:type="paragraph" w:styleId="6">
    <w:name w:val="heading 5"/>
    <w:basedOn w:val="1"/>
    <w:next w:val="1"/>
    <w:link w:val="221"/>
    <w:qFormat/>
    <w:uiPriority w:val="0"/>
    <w:pPr>
      <w:tabs>
        <w:tab w:val="left" w:pos="992"/>
        <w:tab w:val="left" w:pos="1134"/>
      </w:tabs>
      <w:spacing w:before="280" w:after="290" w:line="360" w:lineRule="auto"/>
      <w:ind w:left="992" w:hanging="992"/>
      <w:outlineLvl w:val="4"/>
    </w:pPr>
    <w:rPr>
      <w:b/>
      <w:bCs/>
      <w:kern w:val="0"/>
      <w:sz w:val="28"/>
      <w:szCs w:val="28"/>
    </w:rPr>
  </w:style>
  <w:style w:type="paragraph" w:styleId="7">
    <w:name w:val="heading 6"/>
    <w:basedOn w:val="1"/>
    <w:next w:val="1"/>
    <w:link w:val="219"/>
    <w:qFormat/>
    <w:uiPriority w:val="0"/>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8">
    <w:name w:val="heading 7"/>
    <w:basedOn w:val="1"/>
    <w:next w:val="1"/>
    <w:link w:val="224"/>
    <w:qFormat/>
    <w:uiPriority w:val="0"/>
    <w:pPr>
      <w:keepNext/>
      <w:keepLines/>
      <w:spacing w:before="240" w:after="64" w:line="320" w:lineRule="auto"/>
      <w:outlineLvl w:val="6"/>
    </w:pPr>
    <w:rPr>
      <w:b/>
      <w:bCs/>
      <w:kern w:val="0"/>
      <w:sz w:val="24"/>
    </w:rPr>
  </w:style>
  <w:style w:type="paragraph" w:styleId="9">
    <w:name w:val="heading 8"/>
    <w:basedOn w:val="1"/>
    <w:next w:val="1"/>
    <w:link w:val="193"/>
    <w:qFormat/>
    <w:uiPriority w:val="0"/>
    <w:pPr>
      <w:keepNext/>
      <w:keepLines/>
      <w:spacing w:before="240" w:after="64" w:line="320" w:lineRule="auto"/>
      <w:outlineLvl w:val="7"/>
    </w:pPr>
    <w:rPr>
      <w:rFonts w:ascii="Cambria" w:hAnsi="Cambria"/>
      <w:kern w:val="0"/>
      <w:sz w:val="24"/>
    </w:rPr>
  </w:style>
  <w:style w:type="character" w:default="1" w:styleId="49">
    <w:name w:val="Default Paragraph Font"/>
    <w:semiHidden/>
    <w:unhideWhenUsed/>
    <w:qFormat/>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styleId="10">
    <w:name w:val="List 3"/>
    <w:basedOn w:val="1"/>
    <w:semiHidden/>
    <w:unhideWhenUsed/>
    <w:qFormat/>
    <w:uiPriority w:val="99"/>
    <w:pPr>
      <w:ind w:left="100" w:leftChars="400" w:hanging="200" w:hangingChars="200"/>
      <w:contextualSpacing/>
    </w:pPr>
  </w:style>
  <w:style w:type="paragraph" w:styleId="11">
    <w:name w:val="toc 7"/>
    <w:basedOn w:val="1"/>
    <w:next w:val="1"/>
    <w:unhideWhenUsed/>
    <w:qFormat/>
    <w:uiPriority w:val="0"/>
    <w:pPr>
      <w:ind w:left="2520" w:leftChars="1200"/>
    </w:pPr>
    <w:rPr>
      <w:szCs w:val="20"/>
    </w:rPr>
  </w:style>
  <w:style w:type="paragraph" w:styleId="12">
    <w:name w:val="List Number 2"/>
    <w:basedOn w:val="1"/>
    <w:qFormat/>
    <w:uiPriority w:val="0"/>
    <w:pPr>
      <w:tabs>
        <w:tab w:val="left" w:pos="780"/>
      </w:tabs>
      <w:ind w:left="840" w:hanging="360"/>
    </w:pPr>
    <w:rPr>
      <w:szCs w:val="20"/>
    </w:rPr>
  </w:style>
  <w:style w:type="paragraph" w:styleId="13">
    <w:name w:val="Normal Indent"/>
    <w:basedOn w:val="1"/>
    <w:link w:val="171"/>
    <w:qFormat/>
    <w:uiPriority w:val="0"/>
    <w:pPr>
      <w:ind w:firstLine="420"/>
    </w:pPr>
    <w:rPr>
      <w:rFonts w:ascii="等线" w:hAnsi="等线" w:eastAsia="等线"/>
      <w:szCs w:val="22"/>
    </w:rPr>
  </w:style>
  <w:style w:type="paragraph" w:styleId="14">
    <w:name w:val="Document Map"/>
    <w:basedOn w:val="1"/>
    <w:link w:val="128"/>
    <w:qFormat/>
    <w:uiPriority w:val="0"/>
    <w:pPr>
      <w:shd w:val="clear" w:color="auto" w:fill="000080"/>
    </w:pPr>
    <w:rPr>
      <w:rFonts w:ascii="等线" w:hAnsi="等线" w:eastAsia="等线"/>
    </w:rPr>
  </w:style>
  <w:style w:type="paragraph" w:styleId="15">
    <w:name w:val="toa heading"/>
    <w:basedOn w:val="1"/>
    <w:next w:val="1"/>
    <w:qFormat/>
    <w:uiPriority w:val="0"/>
    <w:pPr>
      <w:spacing w:before="120"/>
    </w:pPr>
    <w:rPr>
      <w:rFonts w:ascii="Arial" w:hAnsi="Arial" w:cs="Arial"/>
      <w:sz w:val="24"/>
    </w:rPr>
  </w:style>
  <w:style w:type="paragraph" w:styleId="16">
    <w:name w:val="annotation text"/>
    <w:basedOn w:val="1"/>
    <w:link w:val="74"/>
    <w:qFormat/>
    <w:uiPriority w:val="0"/>
    <w:pPr>
      <w:jc w:val="left"/>
    </w:pPr>
    <w:rPr>
      <w:rFonts w:ascii="Calibri" w:hAnsi="Calibri"/>
    </w:rPr>
  </w:style>
  <w:style w:type="paragraph" w:styleId="17">
    <w:name w:val="Body Text 3"/>
    <w:basedOn w:val="1"/>
    <w:link w:val="310"/>
    <w:qFormat/>
    <w:uiPriority w:val="0"/>
    <w:pPr>
      <w:spacing w:after="120"/>
    </w:pPr>
    <w:rPr>
      <w:sz w:val="16"/>
      <w:szCs w:val="16"/>
    </w:rPr>
  </w:style>
  <w:style w:type="paragraph" w:styleId="18">
    <w:name w:val="Body Text"/>
    <w:basedOn w:val="1"/>
    <w:link w:val="78"/>
    <w:qFormat/>
    <w:uiPriority w:val="0"/>
    <w:pPr>
      <w:spacing w:line="420" w:lineRule="auto"/>
    </w:pPr>
    <w:rPr>
      <w:kern w:val="0"/>
      <w:sz w:val="24"/>
    </w:rPr>
  </w:style>
  <w:style w:type="paragraph" w:styleId="19">
    <w:name w:val="Body Text Indent"/>
    <w:basedOn w:val="1"/>
    <w:link w:val="80"/>
    <w:qFormat/>
    <w:uiPriority w:val="0"/>
    <w:pPr>
      <w:spacing w:line="440" w:lineRule="exact"/>
      <w:ind w:firstLine="630"/>
    </w:pPr>
    <w:rPr>
      <w:rFonts w:ascii="宋体" w:hAnsi="宋体" w:eastAsia="等线"/>
      <w:sz w:val="28"/>
    </w:rPr>
  </w:style>
  <w:style w:type="paragraph" w:styleId="20">
    <w:name w:val="List 2"/>
    <w:basedOn w:val="1"/>
    <w:qFormat/>
    <w:uiPriority w:val="0"/>
    <w:pPr>
      <w:ind w:left="100" w:leftChars="200" w:hanging="200" w:hangingChars="200"/>
      <w:contextualSpacing/>
    </w:pPr>
  </w:style>
  <w:style w:type="paragraph" w:styleId="21">
    <w:name w:val="Block Text"/>
    <w:basedOn w:val="1"/>
    <w:qFormat/>
    <w:uiPriority w:val="99"/>
    <w:pPr>
      <w:widowControl/>
      <w:tabs>
        <w:tab w:val="left" w:pos="284"/>
      </w:tabs>
      <w:ind w:left="788" w:right="-594"/>
    </w:pPr>
    <w:rPr>
      <w:rFonts w:ascii="创艺繁楷体" w:hAnsi="Calibri" w:eastAsia="创艺繁楷体"/>
      <w:szCs w:val="22"/>
    </w:rPr>
  </w:style>
  <w:style w:type="paragraph" w:styleId="22">
    <w:name w:val="toc 5"/>
    <w:basedOn w:val="1"/>
    <w:next w:val="1"/>
    <w:unhideWhenUsed/>
    <w:qFormat/>
    <w:uiPriority w:val="0"/>
    <w:pPr>
      <w:ind w:left="1680" w:leftChars="800"/>
    </w:pPr>
    <w:rPr>
      <w:szCs w:val="20"/>
    </w:rPr>
  </w:style>
  <w:style w:type="paragraph" w:styleId="23">
    <w:name w:val="toc 3"/>
    <w:basedOn w:val="1"/>
    <w:next w:val="1"/>
    <w:unhideWhenUsed/>
    <w:qFormat/>
    <w:uiPriority w:val="0"/>
    <w:pPr>
      <w:ind w:left="840" w:leftChars="400"/>
    </w:pPr>
    <w:rPr>
      <w:szCs w:val="21"/>
    </w:rPr>
  </w:style>
  <w:style w:type="paragraph" w:styleId="24">
    <w:name w:val="Plain Text"/>
    <w:basedOn w:val="1"/>
    <w:link w:val="173"/>
    <w:qFormat/>
    <w:uiPriority w:val="0"/>
    <w:rPr>
      <w:rFonts w:ascii="宋体" w:hAnsi="Courier New"/>
      <w:kern w:val="0"/>
      <w:szCs w:val="21"/>
    </w:rPr>
  </w:style>
  <w:style w:type="paragraph" w:styleId="25">
    <w:name w:val="toc 8"/>
    <w:basedOn w:val="1"/>
    <w:next w:val="1"/>
    <w:unhideWhenUsed/>
    <w:qFormat/>
    <w:uiPriority w:val="0"/>
    <w:pPr>
      <w:ind w:left="2940" w:leftChars="1400"/>
    </w:pPr>
    <w:rPr>
      <w:szCs w:val="20"/>
    </w:rPr>
  </w:style>
  <w:style w:type="paragraph" w:styleId="26">
    <w:name w:val="Date"/>
    <w:basedOn w:val="1"/>
    <w:next w:val="1"/>
    <w:link w:val="83"/>
    <w:qFormat/>
    <w:uiPriority w:val="0"/>
    <w:rPr>
      <w:rFonts w:ascii="宋体" w:hAnsi="Courier New" w:eastAsia="楷体_GB2312"/>
      <w:sz w:val="32"/>
      <w:szCs w:val="20"/>
    </w:rPr>
  </w:style>
  <w:style w:type="paragraph" w:styleId="27">
    <w:name w:val="Body Text Indent 2"/>
    <w:basedOn w:val="1"/>
    <w:link w:val="181"/>
    <w:qFormat/>
    <w:uiPriority w:val="0"/>
    <w:pPr>
      <w:tabs>
        <w:tab w:val="left" w:pos="540"/>
      </w:tabs>
      <w:ind w:firstLine="538" w:firstLineChars="192"/>
    </w:pPr>
    <w:rPr>
      <w:rFonts w:ascii="等线" w:hAnsi="等线" w:eastAsia="等线"/>
      <w:sz w:val="28"/>
    </w:rPr>
  </w:style>
  <w:style w:type="paragraph" w:styleId="28">
    <w:name w:val="Balloon Text"/>
    <w:basedOn w:val="1"/>
    <w:link w:val="88"/>
    <w:qFormat/>
    <w:uiPriority w:val="0"/>
    <w:rPr>
      <w:sz w:val="18"/>
      <w:szCs w:val="18"/>
    </w:rPr>
  </w:style>
  <w:style w:type="paragraph" w:styleId="29">
    <w:name w:val="footer"/>
    <w:basedOn w:val="1"/>
    <w:link w:val="57"/>
    <w:unhideWhenUsed/>
    <w:qFormat/>
    <w:uiPriority w:val="99"/>
    <w:pPr>
      <w:tabs>
        <w:tab w:val="center" w:pos="4153"/>
        <w:tab w:val="right" w:pos="8306"/>
      </w:tabs>
      <w:snapToGrid w:val="0"/>
      <w:jc w:val="left"/>
    </w:pPr>
    <w:rPr>
      <w:sz w:val="18"/>
      <w:szCs w:val="18"/>
    </w:rPr>
  </w:style>
  <w:style w:type="paragraph" w:styleId="30">
    <w:name w:val="header"/>
    <w:basedOn w:val="1"/>
    <w:link w:val="56"/>
    <w:unhideWhenUsed/>
    <w:qFormat/>
    <w:uiPriority w:val="0"/>
    <w:pPr>
      <w:pBdr>
        <w:bottom w:val="single" w:color="auto" w:sz="6" w:space="1"/>
      </w:pBdr>
      <w:tabs>
        <w:tab w:val="center" w:pos="4153"/>
        <w:tab w:val="right" w:pos="8306"/>
      </w:tabs>
      <w:snapToGrid w:val="0"/>
      <w:jc w:val="center"/>
    </w:pPr>
    <w:rPr>
      <w:sz w:val="18"/>
      <w:szCs w:val="18"/>
    </w:rPr>
  </w:style>
  <w:style w:type="paragraph" w:styleId="31">
    <w:name w:val="toc 1"/>
    <w:basedOn w:val="1"/>
    <w:next w:val="1"/>
    <w:link w:val="212"/>
    <w:qFormat/>
    <w:uiPriority w:val="39"/>
    <w:pPr>
      <w:tabs>
        <w:tab w:val="right" w:leader="dot" w:pos="8834"/>
      </w:tabs>
      <w:spacing w:before="120" w:after="120"/>
      <w:jc w:val="left"/>
    </w:pPr>
    <w:rPr>
      <w:b/>
      <w:bCs/>
      <w:caps/>
      <w:sz w:val="28"/>
      <w:szCs w:val="28"/>
    </w:rPr>
  </w:style>
  <w:style w:type="paragraph" w:styleId="32">
    <w:name w:val="toc 4"/>
    <w:basedOn w:val="1"/>
    <w:next w:val="1"/>
    <w:unhideWhenUsed/>
    <w:qFormat/>
    <w:uiPriority w:val="0"/>
    <w:pPr>
      <w:ind w:left="1260" w:leftChars="600"/>
    </w:pPr>
    <w:rPr>
      <w:szCs w:val="20"/>
    </w:rPr>
  </w:style>
  <w:style w:type="paragraph" w:styleId="33">
    <w:name w:val="Subtitle"/>
    <w:basedOn w:val="1"/>
    <w:next w:val="1"/>
    <w:link w:val="89"/>
    <w:qFormat/>
    <w:uiPriority w:val="0"/>
    <w:pPr>
      <w:spacing w:before="240" w:after="60" w:line="312" w:lineRule="auto"/>
      <w:jc w:val="center"/>
      <w:outlineLvl w:val="1"/>
    </w:pPr>
    <w:rPr>
      <w:rFonts w:ascii="Cambria" w:hAnsi="Cambria" w:eastAsia="方正楷体简体"/>
      <w:kern w:val="28"/>
      <w:sz w:val="32"/>
      <w:szCs w:val="32"/>
    </w:rPr>
  </w:style>
  <w:style w:type="paragraph" w:styleId="34">
    <w:name w:val="toc 6"/>
    <w:basedOn w:val="1"/>
    <w:next w:val="1"/>
    <w:unhideWhenUsed/>
    <w:qFormat/>
    <w:uiPriority w:val="0"/>
    <w:pPr>
      <w:ind w:left="2100" w:leftChars="1000"/>
    </w:pPr>
    <w:rPr>
      <w:szCs w:val="20"/>
    </w:rPr>
  </w:style>
  <w:style w:type="paragraph" w:styleId="35">
    <w:name w:val="Body Text Indent 3"/>
    <w:basedOn w:val="1"/>
    <w:link w:val="178"/>
    <w:qFormat/>
    <w:uiPriority w:val="0"/>
    <w:pPr>
      <w:ind w:firstLine="420" w:firstLineChars="150"/>
    </w:pPr>
    <w:rPr>
      <w:rFonts w:ascii="等线" w:hAnsi="等线" w:eastAsia="等线"/>
      <w:sz w:val="28"/>
    </w:rPr>
  </w:style>
  <w:style w:type="paragraph" w:styleId="36">
    <w:name w:val="toc 2"/>
    <w:basedOn w:val="1"/>
    <w:next w:val="1"/>
    <w:qFormat/>
    <w:uiPriority w:val="0"/>
    <w:pPr>
      <w:ind w:left="420" w:leftChars="200"/>
    </w:pPr>
    <w:rPr>
      <w:szCs w:val="21"/>
    </w:rPr>
  </w:style>
  <w:style w:type="paragraph" w:styleId="37">
    <w:name w:val="toc 9"/>
    <w:basedOn w:val="1"/>
    <w:next w:val="1"/>
    <w:unhideWhenUsed/>
    <w:qFormat/>
    <w:uiPriority w:val="0"/>
    <w:pPr>
      <w:ind w:left="3360" w:leftChars="1600"/>
    </w:pPr>
    <w:rPr>
      <w:szCs w:val="20"/>
    </w:rPr>
  </w:style>
  <w:style w:type="paragraph" w:styleId="38">
    <w:name w:val="Body Text 2"/>
    <w:basedOn w:val="1"/>
    <w:link w:val="242"/>
    <w:qFormat/>
    <w:uiPriority w:val="0"/>
    <w:pPr>
      <w:spacing w:line="200" w:lineRule="exact"/>
      <w:jc w:val="center"/>
    </w:pPr>
    <w:rPr>
      <w:rFonts w:ascii="宋体" w:hAnsi="宋体"/>
      <w:color w:val="000000"/>
      <w:sz w:val="18"/>
      <w:szCs w:val="18"/>
    </w:rPr>
  </w:style>
  <w:style w:type="paragraph" w:styleId="39">
    <w:name w:val="HTML Preformatted"/>
    <w:basedOn w:val="1"/>
    <w:link w:val="24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0">
    <w:name w:val="Normal (Web)"/>
    <w:basedOn w:val="1"/>
    <w:qFormat/>
    <w:uiPriority w:val="0"/>
    <w:pPr>
      <w:widowControl/>
      <w:spacing w:before="240" w:after="240"/>
      <w:jc w:val="left"/>
    </w:pPr>
    <w:rPr>
      <w:rFonts w:ascii="宋体" w:hAnsi="宋体" w:cs="宋体"/>
      <w:kern w:val="0"/>
      <w:sz w:val="24"/>
    </w:rPr>
  </w:style>
  <w:style w:type="paragraph" w:styleId="41">
    <w:name w:val="index 1"/>
    <w:basedOn w:val="1"/>
    <w:next w:val="1"/>
    <w:qFormat/>
    <w:uiPriority w:val="0"/>
    <w:pPr>
      <w:widowControl/>
      <w:jc w:val="left"/>
    </w:pPr>
    <w:rPr>
      <w:rFonts w:ascii="Arial" w:hAnsi="Arial" w:cs="Arial"/>
      <w:b/>
      <w:bCs/>
      <w:kern w:val="0"/>
      <w:sz w:val="17"/>
      <w:szCs w:val="20"/>
      <w:lang w:eastAsia="en-US"/>
    </w:rPr>
  </w:style>
  <w:style w:type="paragraph" w:styleId="42">
    <w:name w:val="Title"/>
    <w:basedOn w:val="1"/>
    <w:next w:val="1"/>
    <w:link w:val="92"/>
    <w:qFormat/>
    <w:uiPriority w:val="0"/>
    <w:pPr>
      <w:spacing w:before="240" w:after="60"/>
      <w:jc w:val="center"/>
      <w:outlineLvl w:val="0"/>
    </w:pPr>
    <w:rPr>
      <w:rFonts w:ascii="Cambria" w:hAnsi="Cambria"/>
      <w:b/>
      <w:bCs/>
      <w:sz w:val="32"/>
      <w:szCs w:val="32"/>
    </w:rPr>
  </w:style>
  <w:style w:type="paragraph" w:styleId="43">
    <w:name w:val="annotation subject"/>
    <w:basedOn w:val="19"/>
    <w:next w:val="19"/>
    <w:link w:val="76"/>
    <w:qFormat/>
    <w:uiPriority w:val="0"/>
    <w:rPr>
      <w:rFonts w:ascii="等线" w:hAnsi="等线"/>
      <w:b/>
      <w:bCs/>
    </w:rPr>
  </w:style>
  <w:style w:type="paragraph" w:styleId="44">
    <w:name w:val="Body Text First Indent"/>
    <w:basedOn w:val="45"/>
    <w:link w:val="347"/>
    <w:qFormat/>
    <w:uiPriority w:val="0"/>
    <w:pPr>
      <w:tabs>
        <w:tab w:val="left" w:pos="420"/>
      </w:tabs>
      <w:spacing w:after="120" w:line="240" w:lineRule="auto"/>
      <w:ind w:firstLine="420" w:firstLineChars="100"/>
    </w:pPr>
  </w:style>
  <w:style w:type="paragraph" w:customStyle="1" w:styleId="45">
    <w:name w:val="正文要点"/>
    <w:basedOn w:val="1"/>
    <w:next w:val="46"/>
    <w:link w:val="99"/>
    <w:qFormat/>
    <w:uiPriority w:val="0"/>
    <w:pPr>
      <w:tabs>
        <w:tab w:val="left" w:pos="420"/>
      </w:tabs>
      <w:spacing w:line="360" w:lineRule="auto"/>
      <w:ind w:left="840" w:hanging="420"/>
    </w:pPr>
    <w:rPr>
      <w:szCs w:val="21"/>
    </w:rPr>
  </w:style>
  <w:style w:type="paragraph" w:customStyle="1" w:styleId="46">
    <w:name w:val="正文要点内容"/>
    <w:basedOn w:val="45"/>
    <w:link w:val="98"/>
    <w:qFormat/>
    <w:uiPriority w:val="0"/>
    <w:pPr>
      <w:tabs>
        <w:tab w:val="left" w:pos="840"/>
        <w:tab w:val="clear" w:pos="420"/>
      </w:tabs>
      <w:ind w:left="400" w:leftChars="400" w:firstLine="200" w:firstLineChars="200"/>
    </w:pPr>
  </w:style>
  <w:style w:type="table" w:styleId="48">
    <w:name w:val="Table Grid"/>
    <w:qFormat/>
    <w:uiPriority w:val="0"/>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style>
  <w:style w:type="character" w:styleId="50">
    <w:name w:val="Strong"/>
    <w:qFormat/>
    <w:uiPriority w:val="0"/>
    <w:rPr>
      <w:b/>
      <w:bCs/>
    </w:rPr>
  </w:style>
  <w:style w:type="character" w:styleId="51">
    <w:name w:val="page number"/>
    <w:qFormat/>
    <w:uiPriority w:val="0"/>
    <w:rPr>
      <w:rFonts w:cs="Times New Roman"/>
    </w:rPr>
  </w:style>
  <w:style w:type="character" w:styleId="52">
    <w:name w:val="FollowedHyperlink"/>
    <w:qFormat/>
    <w:uiPriority w:val="99"/>
    <w:rPr>
      <w:color w:val="954F72"/>
      <w:u w:val="single"/>
    </w:rPr>
  </w:style>
  <w:style w:type="character" w:styleId="53">
    <w:name w:val="Emphasis"/>
    <w:qFormat/>
    <w:uiPriority w:val="0"/>
    <w:rPr>
      <w:i/>
    </w:rPr>
  </w:style>
  <w:style w:type="character" w:styleId="54">
    <w:name w:val="Hyperlink"/>
    <w:qFormat/>
    <w:uiPriority w:val="99"/>
    <w:rPr>
      <w:color w:val="0000FF"/>
      <w:u w:val="single"/>
    </w:rPr>
  </w:style>
  <w:style w:type="character" w:styleId="55">
    <w:name w:val="annotation reference"/>
    <w:qFormat/>
    <w:uiPriority w:val="0"/>
    <w:rPr>
      <w:sz w:val="21"/>
      <w:szCs w:val="21"/>
    </w:rPr>
  </w:style>
  <w:style w:type="character" w:customStyle="1" w:styleId="56">
    <w:name w:val="页眉 Char1"/>
    <w:basedOn w:val="49"/>
    <w:link w:val="30"/>
    <w:qFormat/>
    <w:uiPriority w:val="99"/>
    <w:rPr>
      <w:sz w:val="18"/>
      <w:szCs w:val="18"/>
    </w:rPr>
  </w:style>
  <w:style w:type="character" w:customStyle="1" w:styleId="57">
    <w:name w:val="页脚 Char1"/>
    <w:basedOn w:val="49"/>
    <w:link w:val="29"/>
    <w:qFormat/>
    <w:uiPriority w:val="99"/>
    <w:rPr>
      <w:sz w:val="18"/>
      <w:szCs w:val="18"/>
    </w:rPr>
  </w:style>
  <w:style w:type="character" w:customStyle="1" w:styleId="58">
    <w:name w:val="标题 1 字符"/>
    <w:basedOn w:val="49"/>
    <w:qFormat/>
    <w:uiPriority w:val="0"/>
    <w:rPr>
      <w:rFonts w:ascii="Times New Roman" w:hAnsi="Times New Roman" w:eastAsia="宋体" w:cs="Times New Roman"/>
      <w:b/>
      <w:bCs/>
      <w:kern w:val="44"/>
      <w:sz w:val="44"/>
      <w:szCs w:val="44"/>
    </w:rPr>
  </w:style>
  <w:style w:type="character" w:customStyle="1" w:styleId="59">
    <w:name w:val="标题 2 字符"/>
    <w:basedOn w:val="49"/>
    <w:qFormat/>
    <w:uiPriority w:val="0"/>
    <w:rPr>
      <w:rFonts w:asciiTheme="majorHAnsi" w:hAnsiTheme="majorHAnsi" w:eastAsiaTheme="majorEastAsia" w:cstheme="majorBidi"/>
      <w:b/>
      <w:bCs/>
      <w:sz w:val="32"/>
      <w:szCs w:val="32"/>
    </w:rPr>
  </w:style>
  <w:style w:type="character" w:customStyle="1" w:styleId="60">
    <w:name w:val="标题 3 字符"/>
    <w:basedOn w:val="49"/>
    <w:qFormat/>
    <w:uiPriority w:val="0"/>
    <w:rPr>
      <w:rFonts w:ascii="Times New Roman" w:hAnsi="Times New Roman" w:eastAsia="宋体" w:cs="Times New Roman"/>
      <w:b/>
      <w:bCs/>
      <w:sz w:val="32"/>
      <w:szCs w:val="32"/>
    </w:rPr>
  </w:style>
  <w:style w:type="character" w:customStyle="1" w:styleId="61">
    <w:name w:val="标题 4 字符"/>
    <w:basedOn w:val="49"/>
    <w:qFormat/>
    <w:uiPriority w:val="9"/>
    <w:rPr>
      <w:rFonts w:asciiTheme="majorHAnsi" w:hAnsiTheme="majorHAnsi" w:eastAsiaTheme="majorEastAsia" w:cstheme="majorBidi"/>
      <w:b/>
      <w:bCs/>
      <w:sz w:val="28"/>
      <w:szCs w:val="28"/>
    </w:rPr>
  </w:style>
  <w:style w:type="character" w:customStyle="1" w:styleId="62">
    <w:name w:val="标题 5 字符"/>
    <w:basedOn w:val="49"/>
    <w:qFormat/>
    <w:uiPriority w:val="0"/>
    <w:rPr>
      <w:rFonts w:ascii="Times New Roman" w:hAnsi="Times New Roman" w:eastAsia="宋体" w:cs="Times New Roman"/>
      <w:b/>
      <w:bCs/>
      <w:sz w:val="28"/>
      <w:szCs w:val="28"/>
    </w:rPr>
  </w:style>
  <w:style w:type="character" w:customStyle="1" w:styleId="63">
    <w:name w:val="标题 6 字符"/>
    <w:basedOn w:val="49"/>
    <w:qFormat/>
    <w:uiPriority w:val="0"/>
    <w:rPr>
      <w:rFonts w:asciiTheme="majorHAnsi" w:hAnsiTheme="majorHAnsi" w:eastAsiaTheme="majorEastAsia" w:cstheme="majorBidi"/>
      <w:b/>
      <w:bCs/>
      <w:sz w:val="24"/>
      <w:szCs w:val="24"/>
    </w:rPr>
  </w:style>
  <w:style w:type="character" w:customStyle="1" w:styleId="64">
    <w:name w:val="标题 7 字符"/>
    <w:basedOn w:val="49"/>
    <w:qFormat/>
    <w:uiPriority w:val="0"/>
    <w:rPr>
      <w:rFonts w:ascii="Times New Roman" w:hAnsi="Times New Roman" w:eastAsia="宋体" w:cs="Times New Roman"/>
      <w:b/>
      <w:bCs/>
      <w:sz w:val="24"/>
      <w:szCs w:val="24"/>
    </w:rPr>
  </w:style>
  <w:style w:type="character" w:customStyle="1" w:styleId="65">
    <w:name w:val="标题 8 字符"/>
    <w:basedOn w:val="49"/>
    <w:qFormat/>
    <w:uiPriority w:val="0"/>
    <w:rPr>
      <w:rFonts w:asciiTheme="majorHAnsi" w:hAnsiTheme="majorHAnsi" w:eastAsiaTheme="majorEastAsia" w:cstheme="majorBidi"/>
      <w:sz w:val="24"/>
      <w:szCs w:val="24"/>
    </w:rPr>
  </w:style>
  <w:style w:type="character" w:customStyle="1" w:styleId="66">
    <w:name w:val="页眉 字符1"/>
    <w:basedOn w:val="49"/>
    <w:qFormat/>
    <w:uiPriority w:val="0"/>
    <w:rPr>
      <w:kern w:val="2"/>
      <w:sz w:val="18"/>
      <w:szCs w:val="18"/>
    </w:rPr>
  </w:style>
  <w:style w:type="character" w:customStyle="1" w:styleId="67">
    <w:name w:val="页脚 字符1"/>
    <w:basedOn w:val="49"/>
    <w:qFormat/>
    <w:uiPriority w:val="0"/>
    <w:rPr>
      <w:kern w:val="2"/>
      <w:sz w:val="18"/>
      <w:szCs w:val="18"/>
    </w:rPr>
  </w:style>
  <w:style w:type="character" w:customStyle="1" w:styleId="68">
    <w:name w:val="文档结构图 字符"/>
    <w:basedOn w:val="49"/>
    <w:qFormat/>
    <w:uiPriority w:val="0"/>
    <w:rPr>
      <w:rFonts w:ascii="Microsoft YaHei UI" w:hAnsi="Times New Roman" w:eastAsia="Microsoft YaHei UI" w:cs="Times New Roman"/>
      <w:sz w:val="18"/>
      <w:szCs w:val="18"/>
    </w:rPr>
  </w:style>
  <w:style w:type="character" w:customStyle="1" w:styleId="69">
    <w:name w:val="标题 2 Char"/>
    <w:basedOn w:val="49"/>
    <w:link w:val="3"/>
    <w:qFormat/>
    <w:uiPriority w:val="0"/>
    <w:rPr>
      <w:rFonts w:ascii="Arial" w:hAnsi="Arial" w:eastAsia="黑体" w:cs="Times New Roman"/>
      <w:b/>
      <w:bCs/>
      <w:sz w:val="32"/>
      <w:szCs w:val="32"/>
    </w:rPr>
  </w:style>
  <w:style w:type="character" w:customStyle="1" w:styleId="70">
    <w:name w:val="标题 1 Char"/>
    <w:basedOn w:val="49"/>
    <w:link w:val="2"/>
    <w:qFormat/>
    <w:uiPriority w:val="0"/>
    <w:rPr>
      <w:rFonts w:ascii="宋体" w:hAnsi="Courier New" w:eastAsia="宋体" w:cs="Times New Roman"/>
      <w:b/>
      <w:bCs/>
      <w:kern w:val="44"/>
      <w:sz w:val="44"/>
      <w:szCs w:val="44"/>
    </w:rPr>
  </w:style>
  <w:style w:type="character" w:customStyle="1" w:styleId="71">
    <w:name w:val="标题 3 Char"/>
    <w:basedOn w:val="49"/>
    <w:qFormat/>
    <w:uiPriority w:val="0"/>
    <w:rPr>
      <w:b/>
      <w:bCs/>
      <w:kern w:val="2"/>
      <w:sz w:val="32"/>
      <w:szCs w:val="32"/>
    </w:rPr>
  </w:style>
  <w:style w:type="character" w:customStyle="1" w:styleId="72">
    <w:name w:val="标题 4 Char"/>
    <w:basedOn w:val="49"/>
    <w:qFormat/>
    <w:uiPriority w:val="0"/>
    <w:rPr>
      <w:rFonts w:ascii="仿宋_GB2312" w:eastAsia="仿宋_GB2312" w:cs="仿宋_GB2312"/>
      <w:kern w:val="2"/>
      <w:sz w:val="28"/>
      <w:szCs w:val="28"/>
    </w:rPr>
  </w:style>
  <w:style w:type="character" w:customStyle="1" w:styleId="73">
    <w:name w:val="批注文字 字符"/>
    <w:basedOn w:val="49"/>
    <w:qFormat/>
    <w:uiPriority w:val="0"/>
    <w:rPr>
      <w:rFonts w:ascii="Times New Roman" w:hAnsi="Times New Roman" w:eastAsia="宋体" w:cs="Times New Roman"/>
      <w:szCs w:val="24"/>
    </w:rPr>
  </w:style>
  <w:style w:type="character" w:customStyle="1" w:styleId="74">
    <w:name w:val="批注文字 Char1"/>
    <w:basedOn w:val="49"/>
    <w:link w:val="16"/>
    <w:qFormat/>
    <w:uiPriority w:val="99"/>
    <w:rPr>
      <w:rFonts w:ascii="Calibri" w:hAnsi="Calibri" w:eastAsia="宋体" w:cs="Times New Roman"/>
      <w:szCs w:val="24"/>
    </w:rPr>
  </w:style>
  <w:style w:type="character" w:customStyle="1" w:styleId="75">
    <w:name w:val="批注主题 字符"/>
    <w:basedOn w:val="73"/>
    <w:qFormat/>
    <w:uiPriority w:val="0"/>
    <w:rPr>
      <w:rFonts w:ascii="Times New Roman" w:hAnsi="Times New Roman" w:eastAsia="宋体" w:cs="Times New Roman"/>
      <w:b/>
      <w:bCs/>
      <w:szCs w:val="24"/>
    </w:rPr>
  </w:style>
  <w:style w:type="character" w:customStyle="1" w:styleId="76">
    <w:name w:val="批注主题 Char"/>
    <w:basedOn w:val="74"/>
    <w:link w:val="43"/>
    <w:qFormat/>
    <w:uiPriority w:val="0"/>
    <w:rPr>
      <w:rFonts w:ascii="等线" w:hAnsi="等线" w:eastAsia="等线" w:cs="Times New Roman"/>
      <w:b/>
      <w:bCs/>
      <w:sz w:val="28"/>
      <w:szCs w:val="24"/>
    </w:rPr>
  </w:style>
  <w:style w:type="character" w:customStyle="1" w:styleId="77">
    <w:name w:val="正文文本 字符"/>
    <w:basedOn w:val="49"/>
    <w:qFormat/>
    <w:uiPriority w:val="0"/>
    <w:rPr>
      <w:rFonts w:ascii="Times New Roman" w:hAnsi="Times New Roman" w:eastAsia="宋体" w:cs="Times New Roman"/>
      <w:szCs w:val="24"/>
    </w:rPr>
  </w:style>
  <w:style w:type="character" w:customStyle="1" w:styleId="78">
    <w:name w:val="正文文本 Char"/>
    <w:basedOn w:val="49"/>
    <w:link w:val="18"/>
    <w:qFormat/>
    <w:uiPriority w:val="0"/>
    <w:rPr>
      <w:rFonts w:ascii="Times New Roman" w:hAnsi="Times New Roman" w:eastAsia="宋体" w:cs="Times New Roman"/>
      <w:kern w:val="0"/>
      <w:sz w:val="24"/>
      <w:szCs w:val="24"/>
    </w:rPr>
  </w:style>
  <w:style w:type="character" w:customStyle="1" w:styleId="79">
    <w:name w:val="正文文本缩进 字符"/>
    <w:basedOn w:val="49"/>
    <w:qFormat/>
    <w:uiPriority w:val="0"/>
    <w:rPr>
      <w:rFonts w:ascii="Times New Roman" w:hAnsi="Times New Roman" w:eastAsia="宋体" w:cs="Times New Roman"/>
      <w:szCs w:val="24"/>
    </w:rPr>
  </w:style>
  <w:style w:type="character" w:customStyle="1" w:styleId="80">
    <w:name w:val="正文文本缩进 Char"/>
    <w:basedOn w:val="49"/>
    <w:link w:val="19"/>
    <w:qFormat/>
    <w:uiPriority w:val="0"/>
    <w:rPr>
      <w:rFonts w:ascii="宋体" w:hAnsi="宋体" w:eastAsia="等线" w:cs="Times New Roman"/>
      <w:sz w:val="28"/>
      <w:szCs w:val="24"/>
    </w:rPr>
  </w:style>
  <w:style w:type="character" w:customStyle="1" w:styleId="81">
    <w:name w:val="纯文本 字符"/>
    <w:basedOn w:val="49"/>
    <w:qFormat/>
    <w:uiPriority w:val="99"/>
    <w:rPr>
      <w:rFonts w:hAnsi="Courier New" w:cs="Courier New" w:asciiTheme="minorEastAsia"/>
      <w:szCs w:val="24"/>
    </w:rPr>
  </w:style>
  <w:style w:type="character" w:customStyle="1" w:styleId="82">
    <w:name w:val="纯文本 Char"/>
    <w:basedOn w:val="49"/>
    <w:qFormat/>
    <w:uiPriority w:val="0"/>
    <w:rPr>
      <w:rFonts w:ascii="宋体" w:hAnsi="Courier New"/>
      <w:sz w:val="21"/>
      <w:szCs w:val="21"/>
    </w:rPr>
  </w:style>
  <w:style w:type="character" w:customStyle="1" w:styleId="83">
    <w:name w:val="日期 Char1"/>
    <w:basedOn w:val="49"/>
    <w:link w:val="26"/>
    <w:qFormat/>
    <w:uiPriority w:val="0"/>
    <w:rPr>
      <w:rFonts w:ascii="宋体" w:hAnsi="Courier New" w:eastAsia="楷体_GB2312" w:cs="Times New Roman"/>
      <w:sz w:val="32"/>
      <w:szCs w:val="20"/>
    </w:rPr>
  </w:style>
  <w:style w:type="character" w:customStyle="1" w:styleId="84">
    <w:name w:val="日期 Char"/>
    <w:basedOn w:val="49"/>
    <w:qFormat/>
    <w:uiPriority w:val="0"/>
    <w:rPr>
      <w:rFonts w:ascii="宋体" w:hAnsi="Courier New"/>
      <w:sz w:val="21"/>
      <w:szCs w:val="21"/>
    </w:rPr>
  </w:style>
  <w:style w:type="character" w:customStyle="1" w:styleId="85">
    <w:name w:val="正文文本缩进 2 字符"/>
    <w:basedOn w:val="49"/>
    <w:qFormat/>
    <w:uiPriority w:val="0"/>
    <w:rPr>
      <w:rFonts w:ascii="Times New Roman" w:hAnsi="Times New Roman" w:eastAsia="宋体" w:cs="Times New Roman"/>
      <w:szCs w:val="24"/>
    </w:rPr>
  </w:style>
  <w:style w:type="character" w:customStyle="1" w:styleId="86">
    <w:name w:val="正文文本缩进 2 Char"/>
    <w:basedOn w:val="49"/>
    <w:qFormat/>
    <w:uiPriority w:val="0"/>
    <w:rPr>
      <w:sz w:val="24"/>
      <w:szCs w:val="24"/>
    </w:rPr>
  </w:style>
  <w:style w:type="character" w:customStyle="1" w:styleId="87">
    <w:name w:val="批注框文本 字符"/>
    <w:basedOn w:val="49"/>
    <w:qFormat/>
    <w:uiPriority w:val="0"/>
    <w:rPr>
      <w:rFonts w:ascii="Times New Roman" w:hAnsi="Times New Roman" w:eastAsia="宋体" w:cs="Times New Roman"/>
      <w:sz w:val="18"/>
      <w:szCs w:val="18"/>
    </w:rPr>
  </w:style>
  <w:style w:type="character" w:customStyle="1" w:styleId="88">
    <w:name w:val="批注框文本 Char"/>
    <w:basedOn w:val="49"/>
    <w:link w:val="28"/>
    <w:qFormat/>
    <w:uiPriority w:val="0"/>
    <w:rPr>
      <w:rFonts w:ascii="Times New Roman" w:hAnsi="Times New Roman" w:eastAsia="宋体" w:cs="Times New Roman"/>
      <w:sz w:val="18"/>
      <w:szCs w:val="18"/>
    </w:rPr>
  </w:style>
  <w:style w:type="character" w:customStyle="1" w:styleId="89">
    <w:name w:val="副标题 Char"/>
    <w:basedOn w:val="49"/>
    <w:link w:val="33"/>
    <w:qFormat/>
    <w:uiPriority w:val="0"/>
    <w:rPr>
      <w:rFonts w:ascii="Cambria" w:hAnsi="Cambria" w:eastAsia="方正楷体简体" w:cs="Times New Roman"/>
      <w:kern w:val="28"/>
      <w:sz w:val="32"/>
      <w:szCs w:val="32"/>
    </w:rPr>
  </w:style>
  <w:style w:type="character" w:customStyle="1" w:styleId="90">
    <w:name w:val="正文文本缩进 3 字符"/>
    <w:basedOn w:val="49"/>
    <w:qFormat/>
    <w:uiPriority w:val="0"/>
    <w:rPr>
      <w:rFonts w:ascii="Times New Roman" w:hAnsi="Times New Roman" w:eastAsia="宋体" w:cs="Times New Roman"/>
      <w:sz w:val="16"/>
      <w:szCs w:val="16"/>
    </w:rPr>
  </w:style>
  <w:style w:type="character" w:customStyle="1" w:styleId="91">
    <w:name w:val="正文文本缩进 3 Char"/>
    <w:basedOn w:val="49"/>
    <w:qFormat/>
    <w:uiPriority w:val="0"/>
    <w:rPr>
      <w:sz w:val="16"/>
      <w:szCs w:val="16"/>
    </w:rPr>
  </w:style>
  <w:style w:type="character" w:customStyle="1" w:styleId="92">
    <w:name w:val="标题 Char1"/>
    <w:basedOn w:val="49"/>
    <w:link w:val="42"/>
    <w:qFormat/>
    <w:uiPriority w:val="0"/>
    <w:rPr>
      <w:rFonts w:ascii="Cambria" w:hAnsi="Cambria" w:eastAsia="宋体" w:cs="Times New Roman"/>
      <w:b/>
      <w:bCs/>
      <w:sz w:val="32"/>
      <w:szCs w:val="32"/>
    </w:rPr>
  </w:style>
  <w:style w:type="character" w:customStyle="1" w:styleId="93">
    <w:name w:val="标题 Char"/>
    <w:basedOn w:val="49"/>
    <w:qFormat/>
    <w:uiPriority w:val="0"/>
    <w:rPr>
      <w:rFonts w:ascii="Cambria" w:hAnsi="Cambria" w:eastAsia="方正小标宋简体"/>
      <w:b/>
      <w:bCs/>
      <w:kern w:val="2"/>
      <w:sz w:val="32"/>
      <w:szCs w:val="32"/>
    </w:rPr>
  </w:style>
  <w:style w:type="paragraph" w:customStyle="1" w:styleId="94">
    <w:name w:val="Char"/>
    <w:basedOn w:val="1"/>
    <w:qFormat/>
    <w:uiPriority w:val="0"/>
    <w:rPr>
      <w:szCs w:val="21"/>
    </w:rPr>
  </w:style>
  <w:style w:type="paragraph" w:customStyle="1" w:styleId="95">
    <w:name w:val="样式1"/>
    <w:basedOn w:val="1"/>
    <w:qFormat/>
    <w:uiPriority w:val="0"/>
    <w:pPr>
      <w:tabs>
        <w:tab w:val="left" w:pos="1674"/>
      </w:tabs>
      <w:adjustRightInd w:val="0"/>
      <w:ind w:left="1674" w:hanging="1125"/>
      <w:textAlignment w:val="baseline"/>
    </w:pPr>
    <w:rPr>
      <w:rFonts w:ascii="宋体" w:hAnsi="宋体" w:cs="宋体"/>
      <w:kern w:val="0"/>
      <w:szCs w:val="21"/>
    </w:rPr>
  </w:style>
  <w:style w:type="paragraph" w:customStyle="1" w:styleId="96">
    <w:name w:val="TOC 标题1"/>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97">
    <w:name w:val="默认段落字体 Para Char Char Char Char"/>
    <w:basedOn w:val="1"/>
    <w:qFormat/>
    <w:uiPriority w:val="0"/>
    <w:rPr>
      <w:szCs w:val="21"/>
    </w:rPr>
  </w:style>
  <w:style w:type="character" w:customStyle="1" w:styleId="98">
    <w:name w:val="正文要点内容 Char Char"/>
    <w:basedOn w:val="99"/>
    <w:link w:val="46"/>
    <w:qFormat/>
    <w:locked/>
    <w:uiPriority w:val="0"/>
    <w:rPr>
      <w:rFonts w:ascii="Times New Roman" w:hAnsi="Times New Roman" w:eastAsia="宋体" w:cs="Times New Roman"/>
      <w:szCs w:val="21"/>
    </w:rPr>
  </w:style>
  <w:style w:type="character" w:customStyle="1" w:styleId="99">
    <w:name w:val="正文要点 Char Char"/>
    <w:basedOn w:val="49"/>
    <w:link w:val="45"/>
    <w:qFormat/>
    <w:locked/>
    <w:uiPriority w:val="0"/>
    <w:rPr>
      <w:rFonts w:ascii="Times New Roman" w:hAnsi="Times New Roman" w:eastAsia="宋体" w:cs="Times New Roman"/>
      <w:szCs w:val="21"/>
    </w:rPr>
  </w:style>
  <w:style w:type="paragraph" w:customStyle="1" w:styleId="100">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paragraph" w:customStyle="1" w:styleId="101">
    <w:name w:val="样式 标题 3h3Level 3 HeadH3Heading 3 - oldlevel_3PIM 3BOD 0s..."/>
    <w:basedOn w:val="4"/>
    <w:qFormat/>
    <w:uiPriority w:val="0"/>
    <w:pPr>
      <w:tabs>
        <w:tab w:val="left" w:pos="0"/>
      </w:tabs>
      <w:adjustRightInd w:val="0"/>
      <w:spacing w:before="0" w:after="0" w:line="500" w:lineRule="exact"/>
      <w:textAlignment w:val="baseline"/>
    </w:pPr>
    <w:rPr>
      <w:kern w:val="0"/>
      <w:sz w:val="28"/>
      <w:szCs w:val="28"/>
    </w:rPr>
  </w:style>
  <w:style w:type="paragraph" w:customStyle="1" w:styleId="102">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paragraph" w:customStyle="1" w:styleId="103">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paragraph" w:customStyle="1" w:styleId="104">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paragraph" w:customStyle="1" w:styleId="105">
    <w:name w:val="无间隔1"/>
    <w:link w:val="106"/>
    <w:qFormat/>
    <w:uiPriority w:val="0"/>
    <w:rPr>
      <w:rFonts w:ascii="Calibri" w:hAnsi="Calibri" w:eastAsia="宋体" w:cs="Calibri"/>
      <w:sz w:val="22"/>
      <w:szCs w:val="22"/>
      <w:lang w:val="en-US" w:eastAsia="zh-CN" w:bidi="ar-SA"/>
    </w:rPr>
  </w:style>
  <w:style w:type="character" w:customStyle="1" w:styleId="106">
    <w:name w:val="无间隔 Char"/>
    <w:basedOn w:val="49"/>
    <w:link w:val="105"/>
    <w:qFormat/>
    <w:locked/>
    <w:uiPriority w:val="0"/>
    <w:rPr>
      <w:rFonts w:ascii="Calibri" w:hAnsi="Calibri" w:eastAsia="宋体" w:cs="Calibri"/>
      <w:kern w:val="0"/>
      <w:sz w:val="22"/>
    </w:rPr>
  </w:style>
  <w:style w:type="paragraph" w:customStyle="1" w:styleId="107">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108">
    <w:name w:val="Char1 Char Char Char"/>
    <w:basedOn w:val="1"/>
    <w:qFormat/>
    <w:uiPriority w:val="0"/>
    <w:rPr>
      <w:rFonts w:eastAsia="仿宋_GB2312"/>
      <w:sz w:val="28"/>
      <w:szCs w:val="28"/>
    </w:rPr>
  </w:style>
  <w:style w:type="paragraph" w:customStyle="1" w:styleId="109">
    <w:name w:val="默认段落字体 Para Char Char Char Char Char Char Char Char Char Char"/>
    <w:basedOn w:val="1"/>
    <w:qFormat/>
    <w:uiPriority w:val="0"/>
    <w:rPr>
      <w:rFonts w:ascii="Tahoma" w:hAnsi="Tahoma" w:cs="Tahoma"/>
      <w:sz w:val="24"/>
    </w:rPr>
  </w:style>
  <w:style w:type="paragraph" w:customStyle="1" w:styleId="110">
    <w:name w:val="修订1"/>
    <w:hidden/>
    <w:qFormat/>
    <w:uiPriority w:val="0"/>
    <w:rPr>
      <w:rFonts w:ascii="Times New Roman" w:hAnsi="Times New Roman" w:eastAsia="宋体" w:cs="Times New Roman"/>
      <w:kern w:val="2"/>
      <w:sz w:val="21"/>
      <w:szCs w:val="21"/>
      <w:lang w:val="en-US" w:eastAsia="zh-CN" w:bidi="ar-SA"/>
    </w:rPr>
  </w:style>
  <w:style w:type="paragraph" w:customStyle="1" w:styleId="111">
    <w:name w:val="列出段落1"/>
    <w:basedOn w:val="1"/>
    <w:link w:val="175"/>
    <w:qFormat/>
    <w:uiPriority w:val="0"/>
    <w:pPr>
      <w:ind w:firstLine="420" w:firstLineChars="200"/>
    </w:pPr>
    <w:rPr>
      <w:szCs w:val="21"/>
    </w:rPr>
  </w:style>
  <w:style w:type="character" w:customStyle="1" w:styleId="112">
    <w:name w:val="Title Char"/>
    <w:qFormat/>
    <w:locked/>
    <w:uiPriority w:val="0"/>
    <w:rPr>
      <w:rFonts w:ascii="Cambria" w:hAnsi="Cambria" w:eastAsia="方正小标宋简体" w:cs="Cambria"/>
      <w:b/>
      <w:bCs/>
      <w:kern w:val="2"/>
      <w:sz w:val="32"/>
      <w:szCs w:val="32"/>
    </w:rPr>
  </w:style>
  <w:style w:type="character" w:customStyle="1" w:styleId="113">
    <w:name w:val="Subtitle Char"/>
    <w:qFormat/>
    <w:locked/>
    <w:uiPriority w:val="0"/>
    <w:rPr>
      <w:rFonts w:ascii="Cambria" w:hAnsi="Cambria" w:eastAsia="方正楷体简体" w:cs="Cambria"/>
      <w:kern w:val="28"/>
      <w:sz w:val="32"/>
      <w:szCs w:val="32"/>
    </w:rPr>
  </w:style>
  <w:style w:type="character" w:customStyle="1" w:styleId="114">
    <w:name w:val="Plain Text Char"/>
    <w:qFormat/>
    <w:locked/>
    <w:uiPriority w:val="0"/>
    <w:rPr>
      <w:rFonts w:ascii="宋体" w:hAnsi="Courier New" w:cs="宋体"/>
      <w:sz w:val="21"/>
      <w:szCs w:val="21"/>
    </w:rPr>
  </w:style>
  <w:style w:type="character" w:customStyle="1" w:styleId="115">
    <w:name w:val="Date Char"/>
    <w:qFormat/>
    <w:locked/>
    <w:uiPriority w:val="0"/>
    <w:rPr>
      <w:rFonts w:ascii="宋体" w:hAnsi="Courier New" w:cs="宋体"/>
      <w:sz w:val="21"/>
      <w:szCs w:val="21"/>
    </w:rPr>
  </w:style>
  <w:style w:type="character" w:customStyle="1" w:styleId="116">
    <w:name w:val="Body Text Indent Char"/>
    <w:qFormat/>
    <w:locked/>
    <w:uiPriority w:val="0"/>
    <w:rPr>
      <w:rFonts w:ascii="仿宋_GB2312" w:hAnsi="Times New Roman" w:eastAsia="仿宋_GB2312" w:cs="仿宋_GB2312"/>
      <w:sz w:val="32"/>
      <w:szCs w:val="32"/>
    </w:rPr>
  </w:style>
  <w:style w:type="character" w:customStyle="1" w:styleId="117">
    <w:name w:val="case31"/>
    <w:basedOn w:val="49"/>
    <w:qFormat/>
    <w:uiPriority w:val="0"/>
    <w:rPr>
      <w:sz w:val="21"/>
      <w:szCs w:val="21"/>
    </w:rPr>
  </w:style>
  <w:style w:type="character" w:customStyle="1" w:styleId="118">
    <w:name w:val="Footer Char"/>
    <w:qFormat/>
    <w:locked/>
    <w:uiPriority w:val="0"/>
    <w:rPr>
      <w:rFonts w:ascii="Times New Roman" w:hAnsi="Times New Roman" w:cs="Times New Roman"/>
      <w:sz w:val="18"/>
      <w:szCs w:val="18"/>
    </w:rPr>
  </w:style>
  <w:style w:type="character" w:customStyle="1" w:styleId="119">
    <w:name w:val="Header Char"/>
    <w:qFormat/>
    <w:locked/>
    <w:uiPriority w:val="0"/>
    <w:rPr>
      <w:rFonts w:ascii="Times New Roman" w:hAnsi="Times New Roman" w:cs="Times New Roman"/>
      <w:sz w:val="18"/>
      <w:szCs w:val="18"/>
    </w:rPr>
  </w:style>
  <w:style w:type="character" w:customStyle="1" w:styleId="120">
    <w:name w:val="Body Text Indent 3 Char"/>
    <w:qFormat/>
    <w:locked/>
    <w:uiPriority w:val="0"/>
    <w:rPr>
      <w:rFonts w:ascii="Times New Roman" w:hAnsi="Times New Roman" w:cs="Times New Roman"/>
      <w:sz w:val="16"/>
      <w:szCs w:val="16"/>
    </w:rPr>
  </w:style>
  <w:style w:type="character" w:customStyle="1" w:styleId="121">
    <w:name w:val="Body Text Char"/>
    <w:qFormat/>
    <w:locked/>
    <w:uiPriority w:val="0"/>
    <w:rPr>
      <w:rFonts w:ascii="Times New Roman" w:hAnsi="Times New Roman" w:cs="Times New Roman"/>
      <w:sz w:val="24"/>
      <w:szCs w:val="24"/>
    </w:rPr>
  </w:style>
  <w:style w:type="character" w:customStyle="1" w:styleId="122">
    <w:name w:val="Body Text Indent 2 Char"/>
    <w:qFormat/>
    <w:locked/>
    <w:uiPriority w:val="0"/>
    <w:rPr>
      <w:rFonts w:ascii="Times New Roman" w:hAnsi="Times New Roman" w:cs="Times New Roman"/>
      <w:sz w:val="24"/>
      <w:szCs w:val="24"/>
    </w:rPr>
  </w:style>
  <w:style w:type="character" w:customStyle="1" w:styleId="123">
    <w:name w:val="Char Char4"/>
    <w:basedOn w:val="49"/>
    <w:qFormat/>
    <w:uiPriority w:val="0"/>
    <w:rPr>
      <w:rFonts w:eastAsia="宋体"/>
      <w:b/>
      <w:bCs/>
      <w:kern w:val="44"/>
      <w:sz w:val="44"/>
      <w:szCs w:val="44"/>
      <w:lang w:val="en-US" w:eastAsia="zh-CN"/>
    </w:rPr>
  </w:style>
  <w:style w:type="character" w:customStyle="1" w:styleId="124">
    <w:name w:val="普通文字 Char"/>
    <w:basedOn w:val="49"/>
    <w:qFormat/>
    <w:uiPriority w:val="0"/>
    <w:rPr>
      <w:rFonts w:ascii="宋体" w:hAnsi="Courier New" w:cs="宋体"/>
      <w:sz w:val="21"/>
      <w:szCs w:val="21"/>
    </w:rPr>
  </w:style>
  <w:style w:type="paragraph" w:styleId="125">
    <w:name w:val="No Spacing"/>
    <w:basedOn w:val="1"/>
    <w:link w:val="318"/>
    <w:qFormat/>
    <w:uiPriority w:val="0"/>
    <w:pPr>
      <w:widowControl/>
      <w:jc w:val="left"/>
    </w:pPr>
    <w:rPr>
      <w:rFonts w:ascii="Calibri" w:hAnsi="Calibri"/>
      <w:kern w:val="0"/>
      <w:sz w:val="22"/>
      <w:szCs w:val="22"/>
      <w:lang w:eastAsia="en-US" w:bidi="en-US"/>
    </w:rPr>
  </w:style>
  <w:style w:type="paragraph" w:customStyle="1" w:styleId="126">
    <w:name w:val="TOC 标题2"/>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styleId="127">
    <w:name w:val="List Paragraph"/>
    <w:basedOn w:val="1"/>
    <w:qFormat/>
    <w:uiPriority w:val="0"/>
    <w:pPr>
      <w:widowControl/>
      <w:ind w:left="720"/>
      <w:contextualSpacing/>
      <w:jc w:val="left"/>
    </w:pPr>
    <w:rPr>
      <w:rFonts w:eastAsia="Times New Roman"/>
      <w:kern w:val="0"/>
      <w:sz w:val="24"/>
    </w:rPr>
  </w:style>
  <w:style w:type="character" w:customStyle="1" w:styleId="128">
    <w:name w:val="文档结构图 Char"/>
    <w:basedOn w:val="49"/>
    <w:link w:val="14"/>
    <w:qFormat/>
    <w:uiPriority w:val="0"/>
    <w:rPr>
      <w:rFonts w:ascii="等线" w:hAnsi="等线" w:eastAsia="等线" w:cs="Times New Roman"/>
      <w:szCs w:val="24"/>
      <w:shd w:val="clear" w:color="auto" w:fill="000080"/>
    </w:rPr>
  </w:style>
  <w:style w:type="paragraph" w:customStyle="1" w:styleId="129">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0">
    <w:name w:val="font6"/>
    <w:basedOn w:val="1"/>
    <w:qFormat/>
    <w:uiPriority w:val="0"/>
    <w:pPr>
      <w:widowControl/>
      <w:spacing w:before="100" w:beforeAutospacing="1" w:after="100" w:afterAutospacing="1"/>
      <w:jc w:val="left"/>
    </w:pPr>
    <w:rPr>
      <w:kern w:val="0"/>
      <w:szCs w:val="21"/>
    </w:rPr>
  </w:style>
  <w:style w:type="paragraph" w:customStyle="1" w:styleId="131">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32">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paragraph" w:customStyle="1" w:styleId="133">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34">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paragraph" w:customStyle="1" w:styleId="135">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36">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37">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38">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39">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140">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141">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142">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43">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4">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45">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6">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paragraph" w:customStyle="1" w:styleId="147">
    <w:name w:val="xl81"/>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48">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149">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paragraph" w:customStyle="1" w:styleId="150">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1">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2">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53">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54">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5">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56">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7">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8">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59">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0">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1">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2">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3">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4">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65">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6">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7">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8">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9">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70">
    <w:name w:val="修订2"/>
    <w:link w:val="216"/>
    <w:qFormat/>
    <w:uiPriority w:val="99"/>
    <w:rPr>
      <w:rFonts w:ascii="Times New Roman" w:hAnsi="Times New Roman" w:eastAsia="宋体" w:cs="Times New Roman"/>
      <w:kern w:val="2"/>
      <w:sz w:val="21"/>
      <w:szCs w:val="21"/>
      <w:lang w:val="en-US" w:eastAsia="zh-CN" w:bidi="ar-SA"/>
    </w:rPr>
  </w:style>
  <w:style w:type="character" w:customStyle="1" w:styleId="171">
    <w:name w:val="正文缩进 Char"/>
    <w:link w:val="13"/>
    <w:qFormat/>
    <w:uiPriority w:val="0"/>
    <w:rPr>
      <w:rFonts w:ascii="等线" w:hAnsi="等线" w:eastAsia="等线" w:cs="Times New Roman"/>
    </w:rPr>
  </w:style>
  <w:style w:type="character" w:customStyle="1" w:styleId="172">
    <w:name w:val="列表段落 字符"/>
    <w:qFormat/>
    <w:uiPriority w:val="0"/>
    <w:rPr>
      <w:rFonts w:ascii="Times New Roman" w:hAnsi="Times New Roman" w:eastAsia="宋体" w:cs="Times New Roman"/>
      <w:szCs w:val="21"/>
    </w:rPr>
  </w:style>
  <w:style w:type="character" w:customStyle="1" w:styleId="173">
    <w:name w:val="纯文本 Char1"/>
    <w:link w:val="24"/>
    <w:qFormat/>
    <w:locked/>
    <w:uiPriority w:val="0"/>
    <w:rPr>
      <w:rFonts w:ascii="宋体" w:hAnsi="Courier New" w:eastAsia="宋体" w:cs="Times New Roman"/>
      <w:kern w:val="0"/>
      <w:szCs w:val="21"/>
    </w:rPr>
  </w:style>
  <w:style w:type="character" w:customStyle="1" w:styleId="174">
    <w:name w:val="列出段落 Char"/>
    <w:qFormat/>
    <w:uiPriority w:val="0"/>
    <w:rPr>
      <w:rFonts w:ascii="Calibri" w:hAnsi="Calibri"/>
      <w:kern w:val="2"/>
      <w:sz w:val="21"/>
      <w:szCs w:val="22"/>
    </w:rPr>
  </w:style>
  <w:style w:type="character" w:customStyle="1" w:styleId="175">
    <w:name w:val="列出段落字符"/>
    <w:link w:val="111"/>
    <w:qFormat/>
    <w:locked/>
    <w:uiPriority w:val="0"/>
    <w:rPr>
      <w:rFonts w:ascii="Times New Roman" w:hAnsi="Times New Roman" w:eastAsia="宋体" w:cs="Times New Roman"/>
      <w:szCs w:val="21"/>
    </w:rPr>
  </w:style>
  <w:style w:type="character" w:customStyle="1" w:styleId="176">
    <w:name w:val="style1"/>
    <w:qFormat/>
    <w:uiPriority w:val="0"/>
  </w:style>
  <w:style w:type="character" w:customStyle="1" w:styleId="177">
    <w:name w:val="up"/>
    <w:qFormat/>
    <w:uiPriority w:val="0"/>
  </w:style>
  <w:style w:type="character" w:customStyle="1" w:styleId="178">
    <w:name w:val="正文文本缩进 3 Char1"/>
    <w:link w:val="35"/>
    <w:qFormat/>
    <w:locked/>
    <w:uiPriority w:val="0"/>
    <w:rPr>
      <w:rFonts w:ascii="等线" w:hAnsi="等线" w:eastAsia="等线" w:cs="Times New Roman"/>
      <w:sz w:val="28"/>
      <w:szCs w:val="24"/>
    </w:rPr>
  </w:style>
  <w:style w:type="character" w:customStyle="1" w:styleId="179">
    <w:name w:val="f101"/>
    <w:qFormat/>
    <w:uiPriority w:val="0"/>
    <w:rPr>
      <w:sz w:val="20"/>
      <w:szCs w:val="20"/>
    </w:rPr>
  </w:style>
  <w:style w:type="character" w:customStyle="1" w:styleId="180">
    <w:name w:val="style201"/>
    <w:qFormat/>
    <w:uiPriority w:val="0"/>
    <w:rPr>
      <w:sz w:val="27"/>
      <w:szCs w:val="27"/>
    </w:rPr>
  </w:style>
  <w:style w:type="character" w:customStyle="1" w:styleId="181">
    <w:name w:val="正文文本缩进 2 Char1"/>
    <w:link w:val="27"/>
    <w:qFormat/>
    <w:locked/>
    <w:uiPriority w:val="0"/>
    <w:rPr>
      <w:rFonts w:ascii="等线" w:hAnsi="等线" w:eastAsia="等线" w:cs="Times New Roman"/>
      <w:sz w:val="28"/>
      <w:szCs w:val="24"/>
    </w:rPr>
  </w:style>
  <w:style w:type="character" w:customStyle="1" w:styleId="182">
    <w:name w:val="标题 2 Char Char Char Char Char Char Char Char Char Char Char Char Char Char Char Char Char Char Char Char Char"/>
    <w:qFormat/>
    <w:uiPriority w:val="0"/>
  </w:style>
  <w:style w:type="character" w:customStyle="1" w:styleId="183">
    <w:name w:val="标题 3 Char1"/>
    <w:link w:val="4"/>
    <w:qFormat/>
    <w:uiPriority w:val="0"/>
    <w:rPr>
      <w:rFonts w:ascii="Times New Roman" w:hAnsi="Times New Roman" w:eastAsia="宋体" w:cs="Times New Roman"/>
      <w:b/>
      <w:sz w:val="32"/>
      <w:szCs w:val="20"/>
    </w:rPr>
  </w:style>
  <w:style w:type="character" w:customStyle="1" w:styleId="184">
    <w:name w:val="正文缩进 字符"/>
    <w:qFormat/>
    <w:uiPriority w:val="0"/>
  </w:style>
  <w:style w:type="character" w:customStyle="1" w:styleId="185">
    <w:name w:val="Char Char11"/>
    <w:link w:val="186"/>
    <w:qFormat/>
    <w:uiPriority w:val="0"/>
    <w:rPr>
      <w:sz w:val="24"/>
    </w:rPr>
  </w:style>
  <w:style w:type="paragraph" w:customStyle="1" w:styleId="186">
    <w:name w:val="正文文本缩进 Char Char"/>
    <w:basedOn w:val="1"/>
    <w:link w:val="185"/>
    <w:qFormat/>
    <w:uiPriority w:val="0"/>
    <w:pPr>
      <w:widowControl/>
      <w:spacing w:after="120"/>
      <w:ind w:left="420" w:leftChars="200"/>
      <w:jc w:val="left"/>
    </w:pPr>
    <w:rPr>
      <w:rFonts w:asciiTheme="minorHAnsi" w:hAnsiTheme="minorHAnsi" w:eastAsiaTheme="minorEastAsia" w:cstheme="minorBidi"/>
      <w:sz w:val="24"/>
      <w:szCs w:val="22"/>
    </w:rPr>
  </w:style>
  <w:style w:type="character" w:customStyle="1" w:styleId="187">
    <w:name w:val="标题 2 字符1"/>
    <w:qFormat/>
    <w:uiPriority w:val="0"/>
    <w:rPr>
      <w:rFonts w:ascii="Arial" w:hAnsi="Arial" w:eastAsia="黑体" w:cs="Times New Roman"/>
      <w:b/>
      <w:bCs/>
      <w:sz w:val="32"/>
      <w:szCs w:val="32"/>
    </w:rPr>
  </w:style>
  <w:style w:type="character" w:customStyle="1" w:styleId="188">
    <w:name w:val="Heading 3 Char"/>
    <w:qFormat/>
    <w:locked/>
    <w:uiPriority w:val="0"/>
    <w:rPr>
      <w:rFonts w:cs="Times New Roman"/>
      <w:b/>
      <w:kern w:val="2"/>
      <w:sz w:val="32"/>
    </w:rPr>
  </w:style>
  <w:style w:type="character" w:customStyle="1" w:styleId="189">
    <w:name w:val="style121"/>
    <w:qFormat/>
    <w:uiPriority w:val="0"/>
    <w:rPr>
      <w:b/>
      <w:bCs/>
      <w:color w:val="000000"/>
    </w:rPr>
  </w:style>
  <w:style w:type="character" w:customStyle="1" w:styleId="190">
    <w:name w:val="gray_91"/>
    <w:qFormat/>
    <w:uiPriority w:val="0"/>
    <w:rPr>
      <w:rFonts w:hint="default" w:ascii="ˎ̥" w:hAnsi="ˎ̥"/>
      <w:color w:val="666666"/>
      <w:sz w:val="18"/>
      <w:szCs w:val="18"/>
    </w:rPr>
  </w:style>
  <w:style w:type="character" w:customStyle="1" w:styleId="191">
    <w:name w:val="Char Char9"/>
    <w:qFormat/>
    <w:uiPriority w:val="0"/>
    <w:rPr>
      <w:rFonts w:eastAsia="宋体"/>
      <w:kern w:val="2"/>
      <w:sz w:val="18"/>
      <w:szCs w:val="18"/>
      <w:lang w:val="en-US" w:eastAsia="zh-CN" w:bidi="ar-SA"/>
    </w:rPr>
  </w:style>
  <w:style w:type="character" w:customStyle="1" w:styleId="192">
    <w:name w:val="e1"/>
    <w:qFormat/>
    <w:uiPriority w:val="0"/>
  </w:style>
  <w:style w:type="character" w:customStyle="1" w:styleId="193">
    <w:name w:val="标题 8 Char"/>
    <w:link w:val="9"/>
    <w:qFormat/>
    <w:locked/>
    <w:uiPriority w:val="0"/>
    <w:rPr>
      <w:rFonts w:ascii="Cambria" w:hAnsi="Cambria" w:eastAsia="宋体" w:cs="Times New Roman"/>
      <w:kern w:val="0"/>
      <w:sz w:val="24"/>
      <w:szCs w:val="24"/>
    </w:rPr>
  </w:style>
  <w:style w:type="character" w:customStyle="1" w:styleId="194">
    <w:name w:val="f10b"/>
    <w:qFormat/>
    <w:uiPriority w:val="0"/>
  </w:style>
  <w:style w:type="character" w:customStyle="1" w:styleId="195">
    <w:name w:val="Heading 1 Char"/>
    <w:qFormat/>
    <w:locked/>
    <w:uiPriority w:val="0"/>
    <w:rPr>
      <w:rFonts w:ascii="宋体" w:eastAsia="宋体" w:cs="Times New Roman"/>
      <w:b/>
      <w:kern w:val="44"/>
      <w:sz w:val="32"/>
    </w:rPr>
  </w:style>
  <w:style w:type="character" w:customStyle="1" w:styleId="196">
    <w:name w:val="批注主题 字符1"/>
    <w:qFormat/>
    <w:locked/>
    <w:uiPriority w:val="0"/>
    <w:rPr>
      <w:b/>
      <w:bCs/>
      <w:szCs w:val="24"/>
    </w:rPr>
  </w:style>
  <w:style w:type="character" w:customStyle="1" w:styleId="197">
    <w:name w:val="正文文本 字符1"/>
    <w:qFormat/>
    <w:locked/>
    <w:uiPriority w:val="0"/>
    <w:rPr>
      <w:rFonts w:ascii="宋体" w:hAnsi="宋体"/>
      <w:sz w:val="24"/>
      <w:szCs w:val="24"/>
    </w:rPr>
  </w:style>
  <w:style w:type="character" w:customStyle="1" w:styleId="198">
    <w:name w:val="条款样式 Char"/>
    <w:qFormat/>
    <w:locked/>
    <w:uiPriority w:val="0"/>
    <w:rPr>
      <w:rFonts w:ascii="Calibri" w:hAnsi="Calibri"/>
    </w:rPr>
  </w:style>
  <w:style w:type="character" w:customStyle="1" w:styleId="199">
    <w:name w:val="正文（首行缩进两字） Char"/>
    <w:qFormat/>
    <w:uiPriority w:val="0"/>
    <w:rPr>
      <w:rFonts w:eastAsia="宋体"/>
      <w:kern w:val="2"/>
      <w:sz w:val="21"/>
      <w:lang w:val="en-US" w:eastAsia="zh-CN" w:bidi="ar-SA"/>
    </w:rPr>
  </w:style>
  <w:style w:type="character" w:customStyle="1" w:styleId="200">
    <w:name w:val="ca-8"/>
    <w:qFormat/>
    <w:uiPriority w:val="0"/>
  </w:style>
  <w:style w:type="character" w:customStyle="1" w:styleId="201">
    <w:name w:val="huei12b1"/>
    <w:qFormat/>
    <w:uiPriority w:val="0"/>
    <w:rPr>
      <w:b/>
      <w:bCs/>
      <w:color w:val="333333"/>
      <w:sz w:val="18"/>
      <w:szCs w:val="18"/>
    </w:rPr>
  </w:style>
  <w:style w:type="character" w:customStyle="1" w:styleId="202">
    <w:name w:val="正文文本缩进 字符1"/>
    <w:qFormat/>
    <w:locked/>
    <w:uiPriority w:val="0"/>
    <w:rPr>
      <w:rFonts w:ascii="宋体" w:hAnsi="宋体"/>
      <w:sz w:val="28"/>
      <w:szCs w:val="24"/>
    </w:rPr>
  </w:style>
  <w:style w:type="character" w:customStyle="1" w:styleId="203">
    <w:name w:val="样式 正文首行缩进 + (符号) 宋体1 Char"/>
    <w:link w:val="204"/>
    <w:qFormat/>
    <w:uiPriority w:val="0"/>
    <w:rPr>
      <w:sz w:val="24"/>
    </w:rPr>
  </w:style>
  <w:style w:type="paragraph" w:customStyle="1" w:styleId="204">
    <w:name w:val="样式 正文首行缩进 + (符号) 宋体1"/>
    <w:basedOn w:val="44"/>
    <w:link w:val="203"/>
    <w:qFormat/>
    <w:uiPriority w:val="0"/>
    <w:pPr>
      <w:widowControl/>
      <w:spacing w:line="360" w:lineRule="auto"/>
      <w:ind w:firstLine="200" w:firstLineChars="200"/>
      <w:jc w:val="left"/>
    </w:pPr>
    <w:rPr>
      <w:rFonts w:asciiTheme="minorHAnsi" w:hAnsiTheme="minorHAnsi" w:eastAsiaTheme="minorEastAsia" w:cstheme="minorBidi"/>
      <w:sz w:val="24"/>
      <w:szCs w:val="22"/>
    </w:rPr>
  </w:style>
  <w:style w:type="character" w:customStyle="1" w:styleId="205">
    <w:name w:val="span_paramvalue"/>
    <w:qFormat/>
    <w:uiPriority w:val="0"/>
  </w:style>
  <w:style w:type="character" w:customStyle="1" w:styleId="206">
    <w:name w:val="批注文字 Char"/>
    <w:qFormat/>
    <w:locked/>
    <w:uiPriority w:val="0"/>
    <w:rPr>
      <w:kern w:val="2"/>
      <w:sz w:val="21"/>
      <w:szCs w:val="24"/>
    </w:rPr>
  </w:style>
  <w:style w:type="character" w:customStyle="1" w:styleId="207">
    <w:name w:val="页脚 Char"/>
    <w:qFormat/>
    <w:uiPriority w:val="99"/>
    <w:rPr>
      <w:kern w:val="2"/>
      <w:sz w:val="18"/>
      <w:szCs w:val="18"/>
    </w:rPr>
  </w:style>
  <w:style w:type="character" w:customStyle="1" w:styleId="208">
    <w:name w:val="dash6b63-6587--char"/>
    <w:qFormat/>
    <w:uiPriority w:val="0"/>
  </w:style>
  <w:style w:type="character" w:customStyle="1" w:styleId="209">
    <w:name w:val="普通文字 Char3"/>
    <w:qFormat/>
    <w:uiPriority w:val="0"/>
    <w:rPr>
      <w:rFonts w:ascii="宋体" w:hAnsi="Courier New" w:eastAsia="宋体"/>
      <w:kern w:val="2"/>
      <w:sz w:val="21"/>
      <w:lang w:val="en-US" w:eastAsia="zh-CN" w:bidi="ar-SA"/>
    </w:rPr>
  </w:style>
  <w:style w:type="character" w:customStyle="1" w:styleId="210">
    <w:name w:val="Normal Indent Char"/>
    <w:qFormat/>
    <w:locked/>
    <w:uiPriority w:val="0"/>
    <w:rPr>
      <w:rFonts w:ascii="Times New Roman" w:hAnsi="Times New Roman" w:eastAsia="宋体"/>
      <w:sz w:val="24"/>
    </w:rPr>
  </w:style>
  <w:style w:type="character" w:customStyle="1" w:styleId="211">
    <w:name w:val="标题 4 Char1"/>
    <w:link w:val="5"/>
    <w:qFormat/>
    <w:locked/>
    <w:uiPriority w:val="0"/>
    <w:rPr>
      <w:rFonts w:ascii="Arial" w:hAnsi="Arial" w:eastAsia="黑体" w:cs="Times New Roman"/>
      <w:b/>
      <w:sz w:val="28"/>
      <w:szCs w:val="20"/>
    </w:rPr>
  </w:style>
  <w:style w:type="character" w:customStyle="1" w:styleId="212">
    <w:name w:val="目录 1 Char"/>
    <w:link w:val="31"/>
    <w:qFormat/>
    <w:uiPriority w:val="0"/>
    <w:rPr>
      <w:rFonts w:ascii="Times New Roman" w:hAnsi="Times New Roman" w:eastAsia="宋体" w:cs="Times New Roman"/>
      <w:b/>
      <w:bCs/>
      <w:caps/>
      <w:sz w:val="28"/>
      <w:szCs w:val="28"/>
    </w:rPr>
  </w:style>
  <w:style w:type="character" w:customStyle="1" w:styleId="213">
    <w:name w:val="Heading 2 Char"/>
    <w:qFormat/>
    <w:locked/>
    <w:uiPriority w:val="0"/>
    <w:rPr>
      <w:rFonts w:ascii="华文中宋" w:eastAsia="华文中宋" w:cs="Times New Roman"/>
      <w:b/>
      <w:kern w:val="2"/>
      <w:sz w:val="32"/>
    </w:rPr>
  </w:style>
  <w:style w:type="character" w:customStyle="1" w:styleId="214">
    <w:name w:val="文档结构图 字符1"/>
    <w:qFormat/>
    <w:locked/>
    <w:uiPriority w:val="0"/>
    <w:rPr>
      <w:szCs w:val="24"/>
      <w:shd w:val="clear" w:color="auto" w:fill="000080"/>
    </w:rPr>
  </w:style>
  <w:style w:type="character" w:customStyle="1" w:styleId="215">
    <w:name w:val="普通文字 Char4"/>
    <w:qFormat/>
    <w:uiPriority w:val="0"/>
    <w:rPr>
      <w:rFonts w:ascii="宋体" w:hAnsi="Courier New" w:eastAsia="宋体"/>
      <w:kern w:val="2"/>
      <w:sz w:val="21"/>
      <w:lang w:val="en-US" w:eastAsia="zh-CN" w:bidi="ar-SA"/>
    </w:rPr>
  </w:style>
  <w:style w:type="character" w:customStyle="1" w:styleId="216">
    <w:name w:val="修订 字符"/>
    <w:link w:val="170"/>
    <w:qFormat/>
    <w:uiPriority w:val="0"/>
    <w:rPr>
      <w:rFonts w:ascii="Times New Roman" w:hAnsi="Times New Roman" w:eastAsia="宋体" w:cs="Times New Roman"/>
      <w:szCs w:val="21"/>
    </w:rPr>
  </w:style>
  <w:style w:type="character" w:customStyle="1" w:styleId="217">
    <w:name w:val="ca-11"/>
    <w:qFormat/>
    <w:uiPriority w:val="0"/>
  </w:style>
  <w:style w:type="character" w:customStyle="1" w:styleId="218">
    <w:name w:val="dw41"/>
    <w:qFormat/>
    <w:uiPriority w:val="0"/>
    <w:rPr>
      <w:color w:val="FFFFFF"/>
      <w:sz w:val="18"/>
      <w:szCs w:val="18"/>
      <w:u w:val="none"/>
    </w:rPr>
  </w:style>
  <w:style w:type="character" w:customStyle="1" w:styleId="219">
    <w:name w:val="标题 6 Char"/>
    <w:link w:val="7"/>
    <w:qFormat/>
    <w:locked/>
    <w:uiPriority w:val="0"/>
    <w:rPr>
      <w:rFonts w:ascii="Arial" w:hAnsi="Arial" w:eastAsia="宋体" w:cs="Times New Roman"/>
      <w:b/>
      <w:bCs/>
      <w:kern w:val="0"/>
      <w:sz w:val="28"/>
      <w:szCs w:val="18"/>
    </w:rPr>
  </w:style>
  <w:style w:type="character" w:customStyle="1" w:styleId="220">
    <w:name w:val="unnamed11"/>
    <w:qFormat/>
    <w:uiPriority w:val="0"/>
    <w:rPr>
      <w:sz w:val="18"/>
      <w:szCs w:val="18"/>
    </w:rPr>
  </w:style>
  <w:style w:type="character" w:customStyle="1" w:styleId="221">
    <w:name w:val="标题 5 Char"/>
    <w:link w:val="6"/>
    <w:qFormat/>
    <w:locked/>
    <w:uiPriority w:val="0"/>
    <w:rPr>
      <w:rFonts w:ascii="Times New Roman" w:hAnsi="Times New Roman" w:eastAsia="宋体" w:cs="Times New Roman"/>
      <w:b/>
      <w:bCs/>
      <w:kern w:val="0"/>
      <w:sz w:val="28"/>
      <w:szCs w:val="28"/>
    </w:rPr>
  </w:style>
  <w:style w:type="character" w:customStyle="1" w:styleId="222">
    <w:name w:val="hei12b1"/>
    <w:qFormat/>
    <w:uiPriority w:val="0"/>
    <w:rPr>
      <w:b/>
      <w:bCs/>
      <w:color w:val="000000"/>
      <w:sz w:val="18"/>
      <w:szCs w:val="18"/>
    </w:rPr>
  </w:style>
  <w:style w:type="character" w:customStyle="1" w:styleId="223">
    <w:name w:val="（符号）邀请函中一、"/>
    <w:qFormat/>
    <w:uiPriority w:val="0"/>
    <w:rPr>
      <w:rFonts w:ascii="黑体" w:hAnsi="黑体" w:eastAsia="黑体"/>
      <w:b/>
      <w:sz w:val="24"/>
    </w:rPr>
  </w:style>
  <w:style w:type="character" w:customStyle="1" w:styleId="224">
    <w:name w:val="标题 7 Char"/>
    <w:link w:val="8"/>
    <w:qFormat/>
    <w:locked/>
    <w:uiPriority w:val="0"/>
    <w:rPr>
      <w:rFonts w:ascii="Times New Roman" w:hAnsi="Times New Roman" w:eastAsia="宋体" w:cs="Times New Roman"/>
      <w:b/>
      <w:bCs/>
      <w:kern w:val="0"/>
      <w:sz w:val="24"/>
      <w:szCs w:val="24"/>
    </w:rPr>
  </w:style>
  <w:style w:type="character" w:customStyle="1" w:styleId="225">
    <w:name w:val="Table Text Char"/>
    <w:link w:val="226"/>
    <w:qFormat/>
    <w:uiPriority w:val="0"/>
    <w:rPr>
      <w:snapToGrid w:val="0"/>
      <w:szCs w:val="21"/>
    </w:rPr>
  </w:style>
  <w:style w:type="paragraph" w:customStyle="1" w:styleId="226">
    <w:name w:val="Table Text"/>
    <w:basedOn w:val="1"/>
    <w:link w:val="225"/>
    <w:qFormat/>
    <w:uiPriority w:val="0"/>
    <w:pPr>
      <w:topLinePunct/>
      <w:adjustRightInd w:val="0"/>
      <w:snapToGrid w:val="0"/>
      <w:spacing w:before="80" w:after="80" w:line="240" w:lineRule="atLeast"/>
      <w:jc w:val="left"/>
    </w:pPr>
    <w:rPr>
      <w:rFonts w:asciiTheme="minorHAnsi" w:hAnsiTheme="minorHAnsi" w:eastAsiaTheme="minorEastAsia" w:cstheme="minorBidi"/>
      <w:snapToGrid w:val="0"/>
      <w:szCs w:val="21"/>
    </w:rPr>
  </w:style>
  <w:style w:type="character" w:customStyle="1" w:styleId="227">
    <w:name w:val="Item List Char"/>
    <w:link w:val="228"/>
    <w:qFormat/>
    <w:uiPriority w:val="0"/>
    <w:rPr>
      <w:rFonts w:cs="Arial"/>
      <w:szCs w:val="21"/>
    </w:rPr>
  </w:style>
  <w:style w:type="paragraph" w:customStyle="1" w:styleId="228">
    <w:name w:val="Item List"/>
    <w:basedOn w:val="1"/>
    <w:link w:val="227"/>
    <w:qFormat/>
    <w:uiPriority w:val="0"/>
    <w:pPr>
      <w:widowControl/>
      <w:adjustRightInd w:val="0"/>
      <w:snapToGrid w:val="0"/>
      <w:spacing w:before="80" w:after="80" w:line="240" w:lineRule="atLeast"/>
      <w:ind w:left="2126" w:hanging="425"/>
      <w:jc w:val="left"/>
    </w:pPr>
    <w:rPr>
      <w:rFonts w:cs="Arial" w:asciiTheme="minorHAnsi" w:hAnsiTheme="minorHAnsi" w:eastAsiaTheme="minorEastAsia"/>
      <w:szCs w:val="21"/>
    </w:rPr>
  </w:style>
  <w:style w:type="character" w:customStyle="1" w:styleId="229">
    <w:name w:val="批注框文本 字符1"/>
    <w:qFormat/>
    <w:uiPriority w:val="0"/>
    <w:rPr>
      <w:rFonts w:ascii="Times New Roman" w:hAnsi="Times New Roman" w:eastAsia="宋体" w:cs="Times New Roman"/>
      <w:sz w:val="18"/>
      <w:szCs w:val="18"/>
    </w:rPr>
  </w:style>
  <w:style w:type="character" w:customStyle="1" w:styleId="230">
    <w:name w:val="页眉 Char"/>
    <w:qFormat/>
    <w:uiPriority w:val="0"/>
    <w:rPr>
      <w:kern w:val="2"/>
      <w:sz w:val="18"/>
      <w:szCs w:val="18"/>
    </w:rPr>
  </w:style>
  <w:style w:type="paragraph" w:customStyle="1" w:styleId="231">
    <w:name w:val="表格"/>
    <w:basedOn w:val="1"/>
    <w:qFormat/>
    <w:uiPriority w:val="0"/>
    <w:pPr>
      <w:spacing w:line="400" w:lineRule="exact"/>
    </w:pPr>
    <w:rPr>
      <w:sz w:val="24"/>
    </w:rPr>
  </w:style>
  <w:style w:type="paragraph" w:customStyle="1" w:styleId="232">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233">
    <w:name w:val="10-sinobest-标注（3）"/>
    <w:basedOn w:val="1"/>
    <w:qFormat/>
    <w:uiPriority w:val="0"/>
    <w:pPr>
      <w:tabs>
        <w:tab w:val="left" w:pos="840"/>
      </w:tabs>
      <w:spacing w:line="360" w:lineRule="auto"/>
      <w:ind w:left="501" w:hanging="360"/>
    </w:pPr>
    <w:rPr>
      <w:sz w:val="24"/>
    </w:rPr>
  </w:style>
  <w:style w:type="paragraph" w:customStyle="1" w:styleId="234">
    <w:name w:val="MM Topic 8"/>
    <w:basedOn w:val="9"/>
    <w:next w:val="235"/>
    <w:qFormat/>
    <w:uiPriority w:val="0"/>
    <w:pPr>
      <w:tabs>
        <w:tab w:val="left" w:pos="4394"/>
      </w:tabs>
    </w:pPr>
    <w:rPr>
      <w:rFonts w:ascii="Arial" w:hAnsi="Arial" w:eastAsia="黑体"/>
    </w:rPr>
  </w:style>
  <w:style w:type="paragraph" w:customStyle="1" w:styleId="235">
    <w:name w:val="文章正文"/>
    <w:basedOn w:val="1"/>
    <w:qFormat/>
    <w:uiPriority w:val="0"/>
    <w:pPr>
      <w:spacing w:line="360" w:lineRule="auto"/>
      <w:ind w:firstLine="420"/>
    </w:pPr>
    <w:rPr>
      <w:sz w:val="24"/>
    </w:rPr>
  </w:style>
  <w:style w:type="paragraph" w:customStyle="1" w:styleId="236">
    <w:name w:val="标题 11"/>
    <w:basedOn w:val="1"/>
    <w:next w:val="1"/>
    <w:qFormat/>
    <w:uiPriority w:val="0"/>
    <w:pPr>
      <w:keepNext/>
      <w:keepLines/>
      <w:spacing w:before="340" w:after="330" w:line="578" w:lineRule="auto"/>
      <w:outlineLvl w:val="0"/>
    </w:pPr>
    <w:rPr>
      <w:b/>
      <w:bCs/>
      <w:kern w:val="44"/>
      <w:sz w:val="44"/>
      <w:szCs w:val="44"/>
    </w:rPr>
  </w:style>
  <w:style w:type="paragraph" w:customStyle="1" w:styleId="237">
    <w:name w:val="样式 样式 样式 标题 2 + 宋体 五号 非加粗 黑色 + 段前: 6 磅 段后: 0 磅 行距: 单倍行距 + 段前: 12..."/>
    <w:basedOn w:val="1"/>
    <w:qFormat/>
    <w:uiPriority w:val="0"/>
    <w:pPr>
      <w:keepNext/>
      <w:keepLines/>
      <w:numPr>
        <w:ilvl w:val="0"/>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238">
    <w:name w:val="正文(首行缩进)"/>
    <w:basedOn w:val="1"/>
    <w:qFormat/>
    <w:uiPriority w:val="0"/>
    <w:pPr>
      <w:ind w:firstLine="200" w:firstLineChars="200"/>
    </w:pPr>
    <w:rPr>
      <w:rFonts w:ascii="Arial Narrow" w:hAnsi="Arial Narrow"/>
      <w:szCs w:val="20"/>
    </w:rPr>
  </w:style>
  <w:style w:type="paragraph" w:customStyle="1" w:styleId="239">
    <w:name w:val="默认段落字体 Para Char Char Char Char Char Char Char Char Char Char Char Char Char Char Char1 Char Char Char Char"/>
    <w:basedOn w:val="127"/>
    <w:qFormat/>
    <w:uiPriority w:val="0"/>
    <w:pPr>
      <w:adjustRightInd w:val="0"/>
      <w:spacing w:line="436" w:lineRule="exact"/>
      <w:ind w:left="357"/>
      <w:outlineLvl w:val="3"/>
    </w:pPr>
    <w:rPr>
      <w:rFonts w:ascii="Tahoma" w:hAnsi="Tahoma"/>
      <w:b/>
    </w:rPr>
  </w:style>
  <w:style w:type="paragraph" w:customStyle="1" w:styleId="240">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character" w:customStyle="1" w:styleId="241">
    <w:name w:val="HTML 预设格式 Char"/>
    <w:basedOn w:val="49"/>
    <w:link w:val="39"/>
    <w:qFormat/>
    <w:uiPriority w:val="0"/>
    <w:rPr>
      <w:rFonts w:ascii="宋体" w:hAnsi="宋体" w:eastAsia="宋体" w:cs="宋体"/>
      <w:kern w:val="0"/>
      <w:sz w:val="24"/>
      <w:szCs w:val="24"/>
    </w:rPr>
  </w:style>
  <w:style w:type="character" w:customStyle="1" w:styleId="242">
    <w:name w:val="正文文本 2 Char"/>
    <w:basedOn w:val="49"/>
    <w:link w:val="38"/>
    <w:qFormat/>
    <w:uiPriority w:val="0"/>
    <w:rPr>
      <w:rFonts w:ascii="宋体" w:hAnsi="宋体" w:eastAsia="宋体" w:cs="Times New Roman"/>
      <w:color w:val="000000"/>
      <w:sz w:val="18"/>
      <w:szCs w:val="18"/>
    </w:rPr>
  </w:style>
  <w:style w:type="paragraph" w:customStyle="1" w:styleId="243">
    <w:name w:val="正文空两格"/>
    <w:basedOn w:val="1"/>
    <w:qFormat/>
    <w:uiPriority w:val="0"/>
    <w:pPr>
      <w:widowControl/>
      <w:spacing w:before="120" w:line="300" w:lineRule="auto"/>
      <w:ind w:left="1440" w:hanging="480"/>
    </w:pPr>
    <w:rPr>
      <w:rFonts w:ascii="宋体"/>
      <w:sz w:val="24"/>
      <w:szCs w:val="21"/>
    </w:rPr>
  </w:style>
  <w:style w:type="paragraph" w:customStyle="1" w:styleId="244">
    <w:name w:val="pit正文"/>
    <w:basedOn w:val="1"/>
    <w:qFormat/>
    <w:uiPriority w:val="0"/>
    <w:pPr>
      <w:spacing w:line="400" w:lineRule="exact"/>
    </w:pPr>
    <w:rPr>
      <w:spacing w:val="20"/>
      <w:sz w:val="24"/>
      <w:szCs w:val="20"/>
    </w:rPr>
  </w:style>
  <w:style w:type="paragraph" w:customStyle="1" w:styleId="245">
    <w:name w:val="Char1"/>
    <w:basedOn w:val="1"/>
    <w:qFormat/>
    <w:uiPriority w:val="0"/>
    <w:rPr>
      <w:rFonts w:ascii="Tahoma" w:hAnsi="Tahoma"/>
      <w:sz w:val="24"/>
      <w:szCs w:val="20"/>
    </w:rPr>
  </w:style>
  <w:style w:type="paragraph" w:customStyle="1" w:styleId="246">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247">
    <w:name w:val="段落正文"/>
    <w:basedOn w:val="1"/>
    <w:link w:val="353"/>
    <w:qFormat/>
    <w:uiPriority w:val="0"/>
    <w:pPr>
      <w:ind w:firstLine="480" w:firstLineChars="200"/>
    </w:pPr>
    <w:rPr>
      <w:rFonts w:ascii="宋体" w:hAnsi="Cambria" w:eastAsia="等线"/>
      <w:szCs w:val="22"/>
    </w:rPr>
  </w:style>
  <w:style w:type="paragraph" w:customStyle="1" w:styleId="248">
    <w:name w:val="标准正文"/>
    <w:basedOn w:val="1"/>
    <w:next w:val="35"/>
    <w:qFormat/>
    <w:uiPriority w:val="0"/>
    <w:pPr>
      <w:spacing w:before="60" w:after="60" w:line="360" w:lineRule="auto"/>
      <w:ind w:firstLine="482"/>
    </w:pPr>
    <w:rPr>
      <w:rFonts w:ascii="宋体" w:hAnsi="宋体" w:cs="宋体"/>
      <w:sz w:val="24"/>
    </w:rPr>
  </w:style>
  <w:style w:type="paragraph" w:customStyle="1" w:styleId="249">
    <w:name w:val="Default"/>
    <w:qFormat/>
    <w:uiPriority w:val="0"/>
    <w:pPr>
      <w:widowControl w:val="0"/>
      <w:autoSpaceDE w:val="0"/>
      <w:autoSpaceDN w:val="0"/>
      <w:adjustRightInd w:val="0"/>
    </w:pPr>
    <w:rPr>
      <w:rFonts w:ascii="楷体_GB2312" w:hAnsi="Calibri" w:eastAsia="楷体_GB2312" w:cs="楷体_GB2312"/>
      <w:color w:val="000000"/>
      <w:sz w:val="24"/>
      <w:szCs w:val="24"/>
      <w:lang w:val="en-US" w:eastAsia="zh-CN" w:bidi="ar-SA"/>
    </w:rPr>
  </w:style>
  <w:style w:type="paragraph" w:customStyle="1" w:styleId="250">
    <w:name w:val="Char Char2"/>
    <w:basedOn w:val="127"/>
    <w:qFormat/>
    <w:uiPriority w:val="0"/>
  </w:style>
  <w:style w:type="paragraph" w:customStyle="1" w:styleId="251">
    <w:name w:val="方案文档"/>
    <w:basedOn w:val="1"/>
    <w:qFormat/>
    <w:uiPriority w:val="0"/>
    <w:pPr>
      <w:spacing w:before="120" w:after="120" w:line="360" w:lineRule="auto"/>
      <w:ind w:firstLine="567"/>
    </w:pPr>
    <w:rPr>
      <w:rFonts w:ascii="Arial" w:hAnsi="Arial"/>
      <w:sz w:val="24"/>
      <w:szCs w:val="20"/>
    </w:rPr>
  </w:style>
  <w:style w:type="paragraph" w:customStyle="1" w:styleId="252">
    <w:name w:val="09正文_wh"/>
    <w:qFormat/>
    <w:uiPriority w:val="0"/>
    <w:pPr>
      <w:spacing w:line="300" w:lineRule="auto"/>
      <w:ind w:firstLine="200" w:firstLineChars="200"/>
      <w:jc w:val="both"/>
    </w:pPr>
    <w:rPr>
      <w:rFonts w:ascii="Times New Roman" w:hAnsi="Times New Roman" w:eastAsia="宋体" w:cs="Times New Roman"/>
      <w:kern w:val="2"/>
      <w:sz w:val="28"/>
      <w:szCs w:val="24"/>
      <w:lang w:val="en-US" w:eastAsia="zh-CN" w:bidi="ar-SA"/>
    </w:rPr>
  </w:style>
  <w:style w:type="paragraph" w:customStyle="1" w:styleId="253">
    <w:name w:val="列项——（一级）"/>
    <w:qFormat/>
    <w:uiPriority w:val="0"/>
    <w:pPr>
      <w:widowControl w:val="0"/>
      <w:tabs>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254">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55">
    <w:name w:val="样式 小四 首行缩进:  0.85 厘米 行距: 1.5 倍行距"/>
    <w:basedOn w:val="1"/>
    <w:qFormat/>
    <w:uiPriority w:val="0"/>
    <w:pPr>
      <w:adjustRightInd w:val="0"/>
      <w:spacing w:before="12" w:after="12" w:line="360" w:lineRule="auto"/>
      <w:ind w:firstLine="480" w:firstLineChars="200"/>
      <w:textAlignment w:val="baseline"/>
    </w:pPr>
    <w:rPr>
      <w:rFonts w:ascii="宋体" w:hAnsi="宋体" w:cs="宋体"/>
      <w:kern w:val="0"/>
      <w:sz w:val="24"/>
      <w:szCs w:val="20"/>
    </w:rPr>
  </w:style>
  <w:style w:type="paragraph" w:customStyle="1" w:styleId="256">
    <w:name w:val="表格列样式"/>
    <w:basedOn w:val="1"/>
    <w:qFormat/>
    <w:uiPriority w:val="0"/>
    <w:pPr>
      <w:spacing w:line="360" w:lineRule="auto"/>
      <w:jc w:val="left"/>
    </w:pPr>
    <w:rPr>
      <w:rFonts w:ascii="宋体" w:hAnsi="宋体"/>
      <w:color w:val="000000"/>
      <w:sz w:val="24"/>
      <w:szCs w:val="21"/>
    </w:rPr>
  </w:style>
  <w:style w:type="paragraph" w:customStyle="1" w:styleId="257">
    <w:name w:val="样式 首行缩进:  2 字符"/>
    <w:basedOn w:val="1"/>
    <w:qFormat/>
    <w:uiPriority w:val="0"/>
    <w:pPr>
      <w:spacing w:line="400" w:lineRule="exact"/>
      <w:ind w:firstLine="200" w:firstLineChars="200"/>
    </w:pPr>
    <w:rPr>
      <w:rFonts w:cs="宋体"/>
      <w:sz w:val="24"/>
    </w:rPr>
  </w:style>
  <w:style w:type="paragraph" w:customStyle="1" w:styleId="258">
    <w:name w:val="论文正文"/>
    <w:basedOn w:val="1"/>
    <w:qFormat/>
    <w:uiPriority w:val="0"/>
    <w:pPr>
      <w:spacing w:line="360" w:lineRule="auto"/>
      <w:ind w:firstLine="540" w:firstLineChars="192"/>
    </w:pPr>
    <w:rPr>
      <w:rFonts w:ascii="宋体" w:hAnsi="宋体"/>
      <w:b/>
      <w:bCs/>
      <w:color w:val="000000"/>
      <w:sz w:val="28"/>
      <w:szCs w:val="28"/>
    </w:rPr>
  </w:style>
  <w:style w:type="paragraph" w:customStyle="1" w:styleId="259">
    <w:name w:val="4端"/>
    <w:basedOn w:val="5"/>
    <w:qFormat/>
    <w:uiPriority w:val="0"/>
    <w:pPr>
      <w:tabs>
        <w:tab w:val="left" w:pos="360"/>
      </w:tabs>
      <w:spacing w:before="60" w:after="60" w:line="360" w:lineRule="auto"/>
      <w:ind w:left="630" w:leftChars="300" w:hanging="113"/>
      <w:jc w:val="left"/>
    </w:pPr>
    <w:rPr>
      <w:rFonts w:ascii="宋体" w:hAnsi="宋体" w:eastAsia="仿宋_GB2312" w:cs="宋体"/>
      <w:bCs/>
      <w:szCs w:val="28"/>
    </w:rPr>
  </w:style>
  <w:style w:type="paragraph" w:customStyle="1" w:styleId="260">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61">
    <w:name w:val="标准段落"/>
    <w:basedOn w:val="1"/>
    <w:qFormat/>
    <w:uiPriority w:val="0"/>
    <w:pPr>
      <w:topLinePunct/>
      <w:autoSpaceDE w:val="0"/>
      <w:autoSpaceDN w:val="0"/>
      <w:spacing w:line="360" w:lineRule="auto"/>
      <w:ind w:firstLine="560" w:firstLineChars="200"/>
    </w:pPr>
    <w:rPr>
      <w:rFonts w:eastAsia="仿宋_GB2312"/>
      <w:sz w:val="28"/>
      <w:lang w:bidi="th-TH"/>
    </w:rPr>
  </w:style>
  <w:style w:type="paragraph" w:customStyle="1" w:styleId="262">
    <w:name w:val="dash6b63-6587"/>
    <w:basedOn w:val="1"/>
    <w:qFormat/>
    <w:uiPriority w:val="0"/>
    <w:pPr>
      <w:widowControl/>
      <w:spacing w:before="100" w:beforeAutospacing="1" w:after="100" w:afterAutospacing="1"/>
      <w:jc w:val="left"/>
    </w:pPr>
    <w:rPr>
      <w:rFonts w:ascii="宋体" w:hAnsi="宋体"/>
      <w:kern w:val="0"/>
      <w:sz w:val="24"/>
    </w:rPr>
  </w:style>
  <w:style w:type="paragraph" w:customStyle="1" w:styleId="263">
    <w:name w:val="_Style 16"/>
    <w:basedOn w:val="1"/>
    <w:qFormat/>
    <w:uiPriority w:val="0"/>
    <w:pPr>
      <w:spacing w:line="360" w:lineRule="auto"/>
      <w:ind w:firstLine="200" w:firstLineChars="200"/>
    </w:pPr>
    <w:rPr>
      <w:rFonts w:ascii="宋体" w:hAnsi="宋体" w:cs="宋体"/>
      <w:sz w:val="24"/>
    </w:rPr>
  </w:style>
  <w:style w:type="paragraph" w:customStyle="1" w:styleId="264">
    <w:name w:val="正文首行缩进两字符"/>
    <w:basedOn w:val="1"/>
    <w:qFormat/>
    <w:uiPriority w:val="0"/>
    <w:pPr>
      <w:spacing w:line="360" w:lineRule="auto"/>
      <w:ind w:firstLine="200" w:firstLineChars="200"/>
    </w:pPr>
  </w:style>
  <w:style w:type="paragraph" w:customStyle="1" w:styleId="265">
    <w:name w:val="本文正文"/>
    <w:basedOn w:val="1"/>
    <w:qFormat/>
    <w:uiPriority w:val="0"/>
    <w:pPr>
      <w:spacing w:line="360" w:lineRule="auto"/>
      <w:ind w:firstLine="480" w:firstLineChars="200"/>
    </w:pPr>
    <w:rPr>
      <w:rFonts w:ascii="宋体"/>
      <w:bCs/>
      <w:sz w:val="24"/>
    </w:rPr>
  </w:style>
  <w:style w:type="paragraph" w:customStyle="1" w:styleId="266">
    <w:name w:val="pa-11"/>
    <w:basedOn w:val="1"/>
    <w:qFormat/>
    <w:uiPriority w:val="0"/>
    <w:pPr>
      <w:widowControl/>
      <w:spacing w:before="100" w:beforeAutospacing="1" w:after="100" w:afterAutospacing="1"/>
      <w:jc w:val="left"/>
    </w:pPr>
    <w:rPr>
      <w:rFonts w:ascii="宋体" w:hAnsi="宋体" w:cs="宋体"/>
      <w:kern w:val="0"/>
      <w:sz w:val="24"/>
    </w:rPr>
  </w:style>
  <w:style w:type="paragraph" w:customStyle="1" w:styleId="267">
    <w:name w:val="Char Char Char"/>
    <w:basedOn w:val="1"/>
    <w:qFormat/>
    <w:uiPriority w:val="0"/>
    <w:rPr>
      <w:rFonts w:ascii="Tahoma" w:hAnsi="Tahoma"/>
      <w:sz w:val="24"/>
      <w:szCs w:val="20"/>
    </w:rPr>
  </w:style>
  <w:style w:type="paragraph" w:customStyle="1" w:styleId="268">
    <w:name w:val="Char Char Char Char"/>
    <w:basedOn w:val="1"/>
    <w:qFormat/>
    <w:uiPriority w:val="0"/>
    <w:rPr>
      <w:rFonts w:ascii="Tahoma" w:hAnsi="Tahoma"/>
      <w:sz w:val="24"/>
      <w:szCs w:val="20"/>
    </w:rPr>
  </w:style>
  <w:style w:type="paragraph" w:customStyle="1" w:styleId="269">
    <w:name w:val="样式 正文首行缩进 + 宋体 首行缩进:  2 字符"/>
    <w:basedOn w:val="44"/>
    <w:qFormat/>
    <w:uiPriority w:val="0"/>
    <w:pPr>
      <w:widowControl/>
      <w:spacing w:line="360" w:lineRule="auto"/>
      <w:ind w:firstLine="200" w:firstLineChars="200"/>
      <w:jc w:val="left"/>
    </w:pPr>
    <w:rPr>
      <w:rFonts w:ascii="宋体" w:hAnsi="宋体" w:cs="宋体"/>
      <w:kern w:val="0"/>
      <w:sz w:val="24"/>
      <w:szCs w:val="20"/>
    </w:rPr>
  </w:style>
  <w:style w:type="paragraph" w:customStyle="1" w:styleId="270">
    <w:name w:val="样式 正文首行缩进 + 首行缩进:  2 字符1"/>
    <w:basedOn w:val="44"/>
    <w:qFormat/>
    <w:uiPriority w:val="0"/>
    <w:pPr>
      <w:widowControl/>
      <w:spacing w:line="360" w:lineRule="auto"/>
      <w:ind w:firstLine="200" w:firstLineChars="200"/>
      <w:jc w:val="left"/>
    </w:pPr>
    <w:rPr>
      <w:rFonts w:cs="宋体"/>
      <w:kern w:val="0"/>
      <w:sz w:val="24"/>
      <w:szCs w:val="20"/>
    </w:rPr>
  </w:style>
  <w:style w:type="paragraph" w:customStyle="1" w:styleId="271">
    <w:name w:val="Aufzählung"/>
    <w:basedOn w:val="1"/>
    <w:next w:val="1"/>
    <w:qFormat/>
    <w:uiPriority w:val="0"/>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272">
    <w:name w:val="ZJ Paragraph"/>
    <w:basedOn w:val="1"/>
    <w:qFormat/>
    <w:uiPriority w:val="0"/>
    <w:pPr>
      <w:spacing w:before="120" w:after="120"/>
      <w:ind w:firstLine="420"/>
    </w:pPr>
    <w:rPr>
      <w:rFonts w:ascii="华文仿宋" w:hAnsi="华文仿宋" w:eastAsia="华文仿宋"/>
      <w:sz w:val="28"/>
    </w:rPr>
  </w:style>
  <w:style w:type="paragraph" w:customStyle="1" w:styleId="273">
    <w:name w:val="条款样式"/>
    <w:basedOn w:val="1"/>
    <w:qFormat/>
    <w:uiPriority w:val="0"/>
    <w:pPr>
      <w:tabs>
        <w:tab w:val="left" w:pos="770"/>
      </w:tabs>
      <w:spacing w:line="440" w:lineRule="exact"/>
      <w:ind w:left="770" w:hanging="770"/>
      <w:jc w:val="left"/>
    </w:pPr>
    <w:rPr>
      <w:rFonts w:ascii="Calibri" w:hAnsi="Calibri" w:eastAsia="等线"/>
      <w:szCs w:val="22"/>
    </w:rPr>
  </w:style>
  <w:style w:type="paragraph" w:customStyle="1" w:styleId="274">
    <w:name w:val="xl24"/>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275">
    <w:name w:val="pa-8"/>
    <w:basedOn w:val="1"/>
    <w:qFormat/>
    <w:uiPriority w:val="0"/>
    <w:pPr>
      <w:widowControl/>
      <w:spacing w:before="100" w:beforeAutospacing="1" w:after="100" w:afterAutospacing="1"/>
      <w:jc w:val="left"/>
    </w:pPr>
    <w:rPr>
      <w:rFonts w:ascii="宋体" w:hAnsi="宋体" w:cs="宋体"/>
      <w:kern w:val="0"/>
      <w:sz w:val="24"/>
    </w:rPr>
  </w:style>
  <w:style w:type="paragraph" w:customStyle="1" w:styleId="276">
    <w:name w:val="pa-13"/>
    <w:basedOn w:val="1"/>
    <w:qFormat/>
    <w:uiPriority w:val="0"/>
    <w:pPr>
      <w:widowControl/>
      <w:spacing w:before="100" w:beforeAutospacing="1" w:after="100" w:afterAutospacing="1"/>
      <w:jc w:val="left"/>
    </w:pPr>
    <w:rPr>
      <w:rFonts w:ascii="宋体" w:hAnsi="宋体" w:cs="宋体"/>
      <w:kern w:val="0"/>
      <w:sz w:val="24"/>
    </w:rPr>
  </w:style>
  <w:style w:type="paragraph" w:customStyle="1" w:styleId="277">
    <w:name w:val="普通"/>
    <w:qFormat/>
    <w:uiPriority w:val="0"/>
    <w:rPr>
      <w:rFonts w:ascii="Arial" w:hAnsi="Arial" w:eastAsia="仿宋_GB2312" w:cs="Times New Roman"/>
      <w:bCs/>
      <w:kern w:val="2"/>
      <w:sz w:val="28"/>
      <w:szCs w:val="28"/>
      <w:lang w:val="en-US" w:eastAsia="zh-CN" w:bidi="ar-SA"/>
    </w:rPr>
  </w:style>
  <w:style w:type="paragraph" w:customStyle="1" w:styleId="278">
    <w:name w:val="pa-6"/>
    <w:basedOn w:val="1"/>
    <w:qFormat/>
    <w:uiPriority w:val="0"/>
    <w:pPr>
      <w:widowControl/>
      <w:spacing w:before="100" w:beforeAutospacing="1" w:after="100" w:afterAutospacing="1"/>
      <w:jc w:val="left"/>
    </w:pPr>
    <w:rPr>
      <w:rFonts w:ascii="宋体" w:hAnsi="宋体" w:cs="宋体"/>
      <w:kern w:val="0"/>
      <w:sz w:val="24"/>
    </w:rPr>
  </w:style>
  <w:style w:type="character" w:customStyle="1" w:styleId="279">
    <w:name w:val="font81"/>
    <w:qFormat/>
    <w:uiPriority w:val="0"/>
    <w:rPr>
      <w:rFonts w:ascii="Arial" w:hAnsi="Arial" w:cs="Arial"/>
      <w:color w:val="000000"/>
      <w:sz w:val="24"/>
      <w:szCs w:val="24"/>
      <w:u w:val="none"/>
      <w:lang w:bidi="ar-SA"/>
    </w:rPr>
  </w:style>
  <w:style w:type="character" w:customStyle="1" w:styleId="280">
    <w:name w:val="font61"/>
    <w:qFormat/>
    <w:uiPriority w:val="0"/>
    <w:rPr>
      <w:rFonts w:ascii="宋体" w:eastAsia="宋体"/>
      <w:color w:val="000000"/>
      <w:sz w:val="24"/>
      <w:szCs w:val="24"/>
      <w:u w:val="none"/>
    </w:rPr>
  </w:style>
  <w:style w:type="character" w:customStyle="1" w:styleId="281">
    <w:name w:val="font31"/>
    <w:qFormat/>
    <w:uiPriority w:val="0"/>
    <w:rPr>
      <w:rFonts w:ascii="宋体" w:eastAsia="宋体" w:cs="宋体"/>
      <w:color w:val="000000"/>
      <w:sz w:val="24"/>
      <w:szCs w:val="24"/>
      <w:u w:val="none"/>
      <w:lang w:bidi="ar-SA"/>
    </w:rPr>
  </w:style>
  <w:style w:type="character" w:customStyle="1" w:styleId="282">
    <w:name w:val="Texte Helvética 9"/>
    <w:qFormat/>
    <w:uiPriority w:val="0"/>
    <w:rPr>
      <w:rFonts w:ascii="Helvetica" w:hAnsi="Helvetica" w:cs="Helvetica"/>
      <w:sz w:val="18"/>
      <w:szCs w:val="18"/>
      <w:lang w:bidi="ar-SA"/>
    </w:rPr>
  </w:style>
  <w:style w:type="character" w:customStyle="1" w:styleId="283">
    <w:name w:val="a14baihang201"/>
    <w:qFormat/>
    <w:uiPriority w:val="0"/>
    <w:rPr>
      <w:color w:val="000000"/>
      <w:sz w:val="23"/>
      <w:szCs w:val="23"/>
    </w:rPr>
  </w:style>
  <w:style w:type="character" w:customStyle="1" w:styleId="284">
    <w:name w:val="font11"/>
    <w:qFormat/>
    <w:uiPriority w:val="0"/>
    <w:rPr>
      <w:rFonts w:ascii="宋体" w:eastAsia="宋体"/>
      <w:color w:val="000000"/>
      <w:sz w:val="22"/>
      <w:szCs w:val="22"/>
      <w:u w:val="none"/>
    </w:rPr>
  </w:style>
  <w:style w:type="character" w:customStyle="1" w:styleId="285">
    <w:name w:val="tpc_content1"/>
    <w:qFormat/>
    <w:uiPriority w:val="0"/>
    <w:rPr>
      <w:sz w:val="20"/>
      <w:szCs w:val="20"/>
    </w:rPr>
  </w:style>
  <w:style w:type="character" w:customStyle="1" w:styleId="286">
    <w:name w:val="font41"/>
    <w:qFormat/>
    <w:uiPriority w:val="0"/>
    <w:rPr>
      <w:rFonts w:ascii="宋体" w:eastAsia="宋体"/>
      <w:color w:val="000000"/>
      <w:sz w:val="22"/>
      <w:szCs w:val="22"/>
      <w:u w:val="none"/>
      <w:vertAlign w:val="superscript"/>
    </w:rPr>
  </w:style>
  <w:style w:type="character" w:customStyle="1" w:styleId="287">
    <w:name w:val="font21"/>
    <w:qFormat/>
    <w:uiPriority w:val="0"/>
    <w:rPr>
      <w:rFonts w:ascii="宋体" w:eastAsia="宋体"/>
      <w:color w:val="000000"/>
      <w:sz w:val="24"/>
      <w:szCs w:val="24"/>
      <w:u w:val="none"/>
      <w:vertAlign w:val="superscript"/>
    </w:rPr>
  </w:style>
  <w:style w:type="character" w:customStyle="1" w:styleId="288">
    <w:name w:val="font51"/>
    <w:qFormat/>
    <w:uiPriority w:val="0"/>
    <w:rPr>
      <w:rFonts w:ascii="宋体" w:eastAsia="宋体"/>
      <w:color w:val="000000"/>
      <w:sz w:val="24"/>
      <w:szCs w:val="24"/>
      <w:u w:val="none"/>
    </w:rPr>
  </w:style>
  <w:style w:type="character" w:customStyle="1" w:styleId="289">
    <w:name w:val="font71"/>
    <w:qFormat/>
    <w:uiPriority w:val="0"/>
    <w:rPr>
      <w:rFonts w:ascii="宋体" w:eastAsia="宋体"/>
      <w:color w:val="000000"/>
      <w:sz w:val="24"/>
      <w:szCs w:val="24"/>
      <w:u w:val="none"/>
      <w:vertAlign w:val="superscript"/>
    </w:rPr>
  </w:style>
  <w:style w:type="paragraph" w:customStyle="1" w:styleId="290">
    <w:name w:val="titre page niveau 1"/>
    <w:qFormat/>
    <w:uiPriority w:val="0"/>
    <w:pPr>
      <w:widowControl w:val="0"/>
      <w:spacing w:before="1" w:after="1"/>
      <w:ind w:left="1" w:right="1" w:firstLine="1"/>
    </w:pPr>
    <w:rPr>
      <w:rFonts w:ascii="Helvetica" w:hAnsi="Helvetica" w:eastAsia="宋体" w:cs="Helvetica"/>
      <w:b/>
      <w:bCs/>
      <w:color w:val="000000"/>
      <w:sz w:val="24"/>
      <w:szCs w:val="24"/>
      <w:lang w:val="en-US" w:eastAsia="zh-CN" w:bidi="ar-SA"/>
    </w:rPr>
  </w:style>
  <w:style w:type="paragraph" w:customStyle="1" w:styleId="291">
    <w:name w:val="Char Char Char Char Char Char Char Char Char Char Char Char Char Char Char Char Char Char Char"/>
    <w:basedOn w:val="1"/>
    <w:qFormat/>
    <w:uiPriority w:val="0"/>
    <w:pPr>
      <w:widowControl/>
      <w:spacing w:after="160" w:line="240" w:lineRule="exact"/>
      <w:jc w:val="left"/>
    </w:pPr>
  </w:style>
  <w:style w:type="paragraph" w:customStyle="1" w:styleId="292">
    <w:name w:val="Text"/>
    <w:basedOn w:val="1"/>
    <w:qFormat/>
    <w:uiPriority w:val="0"/>
    <w:pPr>
      <w:widowControl/>
      <w:spacing w:before="120"/>
    </w:pPr>
    <w:rPr>
      <w:kern w:val="0"/>
      <w:sz w:val="24"/>
      <w:szCs w:val="20"/>
      <w:lang w:eastAsia="en-US"/>
    </w:rPr>
  </w:style>
  <w:style w:type="paragraph" w:customStyle="1" w:styleId="293">
    <w:name w:val="texte"/>
    <w:qFormat/>
    <w:uiPriority w:val="0"/>
    <w:pPr>
      <w:spacing w:before="1" w:after="1"/>
      <w:ind w:left="1" w:right="1" w:firstLine="1"/>
    </w:pPr>
    <w:rPr>
      <w:rFonts w:ascii="Helvetica" w:hAnsi="Helvetica" w:eastAsia="宋体" w:cs="Helvetica"/>
      <w:color w:val="000000"/>
      <w:sz w:val="18"/>
      <w:szCs w:val="18"/>
      <w:lang w:val="en-US" w:eastAsia="zh-CN" w:bidi="ar-SA"/>
    </w:rPr>
  </w:style>
  <w:style w:type="paragraph" w:customStyle="1" w:styleId="294">
    <w:name w:val="A2-texte"/>
    <w:basedOn w:val="1"/>
    <w:qFormat/>
    <w:uiPriority w:val="0"/>
    <w:pPr>
      <w:spacing w:before="1" w:after="1"/>
      <w:ind w:left="1134"/>
    </w:pPr>
    <w:rPr>
      <w:rFonts w:ascii="Arial" w:hAnsi="Arial" w:cs="Arial"/>
      <w:color w:val="000000"/>
      <w:sz w:val="18"/>
      <w:szCs w:val="18"/>
      <w:lang w:val="fr-FR" w:eastAsia="fr-FR"/>
    </w:rPr>
  </w:style>
  <w:style w:type="paragraph" w:customStyle="1" w:styleId="295">
    <w:name w:val="条2"/>
    <w:basedOn w:val="1"/>
    <w:next w:val="1"/>
    <w:qFormat/>
    <w:uiPriority w:val="0"/>
    <w:pPr>
      <w:ind w:left="1040"/>
      <w:outlineLvl w:val="1"/>
    </w:pPr>
    <w:rPr>
      <w:rFonts w:ascii="黑体" w:eastAsia="黑体"/>
      <w:kern w:val="21"/>
      <w:szCs w:val="20"/>
    </w:rPr>
  </w:style>
  <w:style w:type="paragraph" w:customStyle="1" w:styleId="296">
    <w:name w:val="Arial 9"/>
    <w:basedOn w:val="1"/>
    <w:qFormat/>
    <w:uiPriority w:val="0"/>
    <w:rPr>
      <w:rFonts w:ascii="Arial" w:hAnsi="Arial" w:cs="Arial"/>
      <w:sz w:val="18"/>
      <w:szCs w:val="18"/>
      <w:lang w:val="fr-FR" w:eastAsia="fr-FR"/>
    </w:rPr>
  </w:style>
  <w:style w:type="paragraph" w:customStyle="1" w:styleId="297">
    <w:name w:val="样式 Arial 9 + 两端对齐 段前: 2 磅 行距: 1.5 倍行距"/>
    <w:basedOn w:val="296"/>
    <w:qFormat/>
    <w:uiPriority w:val="0"/>
    <w:pPr>
      <w:autoSpaceDE w:val="0"/>
      <w:autoSpaceDN w:val="0"/>
      <w:spacing w:before="40" w:line="360" w:lineRule="auto"/>
      <w:ind w:left="1133" w:leftChars="1133"/>
    </w:pPr>
    <w:rPr>
      <w:rFonts w:cs="宋体"/>
      <w:szCs w:val="20"/>
    </w:rPr>
  </w:style>
  <w:style w:type="paragraph" w:customStyle="1" w:styleId="298">
    <w:name w:val="List Paragraph2"/>
    <w:basedOn w:val="1"/>
    <w:qFormat/>
    <w:uiPriority w:val="0"/>
    <w:pPr>
      <w:widowControl/>
      <w:ind w:firstLine="420" w:firstLineChars="200"/>
      <w:jc w:val="left"/>
    </w:pPr>
    <w:rPr>
      <w:kern w:val="0"/>
      <w:sz w:val="20"/>
      <w:szCs w:val="20"/>
    </w:rPr>
  </w:style>
  <w:style w:type="paragraph" w:customStyle="1" w:styleId="299">
    <w:name w:val="Arial 9 texte"/>
    <w:basedOn w:val="1"/>
    <w:qFormat/>
    <w:uiPriority w:val="0"/>
    <w:rPr>
      <w:rFonts w:ascii="Arial" w:hAnsi="Arial" w:cs="Arial"/>
      <w:sz w:val="18"/>
      <w:szCs w:val="18"/>
      <w:lang w:val="fr-FR" w:eastAsia="fr-FR"/>
    </w:rPr>
  </w:style>
  <w:style w:type="paragraph" w:customStyle="1" w:styleId="300">
    <w:name w:val="style9"/>
    <w:basedOn w:val="1"/>
    <w:qFormat/>
    <w:uiPriority w:val="0"/>
    <w:pPr>
      <w:widowControl/>
      <w:spacing w:before="100" w:beforeAutospacing="1" w:after="100" w:afterAutospacing="1"/>
      <w:jc w:val="left"/>
    </w:pPr>
    <w:rPr>
      <w:rFonts w:ascii="宋体"/>
      <w:color w:val="666666"/>
      <w:kern w:val="0"/>
      <w:sz w:val="24"/>
    </w:rPr>
  </w:style>
  <w:style w:type="paragraph" w:customStyle="1" w:styleId="301">
    <w:name w:val="样式 A2-texte + 左侧:  4 厘米 段前: 0 磅 段后: 0 磅 行距: 1.5 倍行距"/>
    <w:basedOn w:val="294"/>
    <w:qFormat/>
    <w:uiPriority w:val="0"/>
    <w:pPr>
      <w:autoSpaceDE w:val="0"/>
      <w:autoSpaceDN w:val="0"/>
      <w:spacing w:before="0" w:after="0" w:line="360" w:lineRule="auto"/>
      <w:ind w:left="2268"/>
    </w:pPr>
    <w:rPr>
      <w:rFonts w:cs="宋体"/>
      <w:szCs w:val="20"/>
    </w:rPr>
  </w:style>
  <w:style w:type="paragraph" w:customStyle="1" w:styleId="302">
    <w:name w:val="UP正文"/>
    <w:basedOn w:val="1"/>
    <w:qFormat/>
    <w:uiPriority w:val="0"/>
    <w:pPr>
      <w:spacing w:line="360" w:lineRule="auto"/>
      <w:ind w:left="200" w:leftChars="200" w:firstLine="200" w:firstLineChars="200"/>
    </w:pPr>
    <w:rPr>
      <w:rFonts w:ascii="Tahoma" w:hAnsi="Tahoma" w:cs="宋体"/>
      <w:szCs w:val="20"/>
    </w:rPr>
  </w:style>
  <w:style w:type="paragraph" w:customStyle="1" w:styleId="303">
    <w:name w:val="Arial corps 9"/>
    <w:basedOn w:val="293"/>
    <w:qFormat/>
    <w:uiPriority w:val="0"/>
    <w:pPr>
      <w:widowControl w:val="0"/>
      <w:ind w:left="0" w:right="0" w:firstLine="0"/>
    </w:pPr>
    <w:rPr>
      <w:rFonts w:ascii="Arial" w:hAnsi="Arial" w:cs="Arial"/>
    </w:rPr>
  </w:style>
  <w:style w:type="paragraph" w:customStyle="1" w:styleId="304">
    <w:name w:val="Heading Left"/>
    <w:basedOn w:val="1"/>
    <w:qFormat/>
    <w:uiPriority w:val="0"/>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305">
    <w:name w:val="样式 A2-texte + 加粗"/>
    <w:basedOn w:val="294"/>
    <w:qFormat/>
    <w:uiPriority w:val="0"/>
    <w:pPr>
      <w:autoSpaceDE w:val="0"/>
      <w:autoSpaceDN w:val="0"/>
    </w:pPr>
    <w:rPr>
      <w:rFonts w:ascii="黑体" w:eastAsia="黑体"/>
      <w:bCs/>
      <w:lang w:val="zh-CN" w:eastAsia="zh-CN"/>
    </w:rPr>
  </w:style>
  <w:style w:type="paragraph" w:customStyle="1" w:styleId="306">
    <w:name w:val="style10"/>
    <w:basedOn w:val="1"/>
    <w:qFormat/>
    <w:uiPriority w:val="0"/>
    <w:pPr>
      <w:widowControl/>
      <w:spacing w:before="100" w:beforeAutospacing="1" w:after="100" w:afterAutospacing="1"/>
      <w:jc w:val="left"/>
    </w:pPr>
    <w:rPr>
      <w:rFonts w:ascii="宋体"/>
      <w:b/>
      <w:bCs/>
      <w:color w:val="339966"/>
      <w:kern w:val="0"/>
      <w:sz w:val="24"/>
    </w:rPr>
  </w:style>
  <w:style w:type="paragraph" w:customStyle="1" w:styleId="307">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cs="宋体"/>
      <w:b/>
      <w:bCs/>
      <w:color w:val="000000"/>
      <w:kern w:val="0"/>
      <w:sz w:val="24"/>
    </w:rPr>
  </w:style>
  <w:style w:type="paragraph" w:customStyle="1" w:styleId="308">
    <w:name w:val="ZB8"/>
    <w:next w:val="17"/>
    <w:qFormat/>
    <w:uiPriority w:val="0"/>
    <w:pPr>
      <w:widowControl w:val="0"/>
      <w:spacing w:line="340" w:lineRule="atLeast"/>
      <w:jc w:val="both"/>
    </w:pPr>
    <w:rPr>
      <w:rFonts w:ascii="Consolas" w:hAnsi="Consolas" w:eastAsia="方正中等线简体" w:cs="Times New Roman"/>
      <w:sz w:val="21"/>
      <w:lang w:val="en-US" w:eastAsia="zh-CN" w:bidi="ar-SA"/>
    </w:rPr>
  </w:style>
  <w:style w:type="character" w:customStyle="1" w:styleId="309">
    <w:name w:val="正文文本 3 字符"/>
    <w:basedOn w:val="49"/>
    <w:qFormat/>
    <w:uiPriority w:val="0"/>
    <w:rPr>
      <w:rFonts w:ascii="Times New Roman" w:hAnsi="Times New Roman" w:eastAsia="宋体" w:cs="Times New Roman"/>
      <w:sz w:val="16"/>
      <w:szCs w:val="16"/>
    </w:rPr>
  </w:style>
  <w:style w:type="character" w:customStyle="1" w:styleId="310">
    <w:name w:val="正文文本 3 Char"/>
    <w:link w:val="17"/>
    <w:qFormat/>
    <w:uiPriority w:val="0"/>
    <w:rPr>
      <w:rFonts w:ascii="Times New Roman" w:hAnsi="Times New Roman" w:eastAsia="宋体" w:cs="Times New Roman"/>
      <w:sz w:val="16"/>
      <w:szCs w:val="16"/>
    </w:rPr>
  </w:style>
  <w:style w:type="paragraph" w:customStyle="1" w:styleId="311">
    <w:name w:val="列表段落1"/>
    <w:basedOn w:val="1"/>
    <w:qFormat/>
    <w:uiPriority w:val="34"/>
    <w:pPr>
      <w:ind w:firstLine="420" w:firstLineChars="200"/>
    </w:pPr>
    <w:rPr>
      <w:rFonts w:ascii="Calibri" w:hAnsi="Calibri"/>
      <w:szCs w:val="22"/>
    </w:rPr>
  </w:style>
  <w:style w:type="character" w:customStyle="1" w:styleId="312">
    <w:name w:val="op-map-singlepoint-info-right1"/>
    <w:qFormat/>
    <w:uiPriority w:val="0"/>
  </w:style>
  <w:style w:type="character" w:customStyle="1" w:styleId="313">
    <w:name w:val="apple-converted-space"/>
    <w:qFormat/>
    <w:uiPriority w:val="0"/>
  </w:style>
  <w:style w:type="paragraph" w:customStyle="1" w:styleId="314">
    <w:name w:val="_Style 1"/>
    <w:basedOn w:val="1"/>
    <w:qFormat/>
    <w:uiPriority w:val="0"/>
    <w:pPr>
      <w:ind w:firstLine="420" w:firstLineChars="200"/>
    </w:pPr>
    <w:rPr>
      <w:rFonts w:ascii="Calibri" w:hAnsi="Calibri"/>
      <w:szCs w:val="22"/>
    </w:rPr>
  </w:style>
  <w:style w:type="paragraph" w:customStyle="1" w:styleId="315">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16">
    <w:name w:val="z-窗体底端1"/>
    <w:basedOn w:val="1"/>
    <w:next w:val="1"/>
    <w:link w:val="317"/>
    <w:qFormat/>
    <w:uiPriority w:val="0"/>
    <w:pPr>
      <w:widowControl/>
      <w:pBdr>
        <w:top w:val="single" w:color="auto" w:sz="6" w:space="1"/>
      </w:pBdr>
      <w:jc w:val="center"/>
    </w:pPr>
    <w:rPr>
      <w:rFonts w:ascii="Arial" w:hAnsi="Arial" w:cs="Arial"/>
      <w:vanish/>
      <w:kern w:val="0"/>
      <w:sz w:val="16"/>
      <w:szCs w:val="16"/>
    </w:rPr>
  </w:style>
  <w:style w:type="character" w:customStyle="1" w:styleId="317">
    <w:name w:val="z-窗体底端 字符"/>
    <w:basedOn w:val="49"/>
    <w:link w:val="316"/>
    <w:qFormat/>
    <w:uiPriority w:val="0"/>
    <w:rPr>
      <w:rFonts w:ascii="Arial" w:hAnsi="Arial" w:eastAsia="宋体" w:cs="Arial"/>
      <w:vanish/>
      <w:kern w:val="0"/>
      <w:sz w:val="16"/>
      <w:szCs w:val="16"/>
    </w:rPr>
  </w:style>
  <w:style w:type="character" w:customStyle="1" w:styleId="318">
    <w:name w:val="无间隔 Char1"/>
    <w:link w:val="125"/>
    <w:qFormat/>
    <w:uiPriority w:val="0"/>
    <w:rPr>
      <w:rFonts w:ascii="Calibri" w:hAnsi="Calibri" w:eastAsia="宋体" w:cs="Times New Roman"/>
      <w:kern w:val="0"/>
      <w:sz w:val="22"/>
      <w:lang w:eastAsia="en-US" w:bidi="en-US"/>
    </w:rPr>
  </w:style>
  <w:style w:type="paragraph" w:customStyle="1" w:styleId="319">
    <w:name w:val="Char Char1 Char Char Char Char Char Char"/>
    <w:basedOn w:val="1"/>
    <w:qFormat/>
    <w:uiPriority w:val="0"/>
    <w:pPr>
      <w:widowControl/>
      <w:adjustRightInd w:val="0"/>
      <w:snapToGrid w:val="0"/>
      <w:spacing w:beforeLines="25" w:afterLines="25" w:line="240" w:lineRule="exact"/>
      <w:ind w:firstLine="560" w:firstLineChars="192"/>
      <w:jc w:val="left"/>
    </w:pPr>
    <w:rPr>
      <w:rFonts w:ascii="宋体" w:hAnsi="宋体"/>
      <w:kern w:val="0"/>
      <w:sz w:val="28"/>
      <w:szCs w:val="28"/>
      <w:lang w:eastAsia="en-US"/>
    </w:rPr>
  </w:style>
  <w:style w:type="paragraph" w:customStyle="1" w:styleId="320">
    <w:name w:val="默认段落字体 Para Char Char Char Char Char Char Char"/>
    <w:basedOn w:val="1"/>
    <w:next w:val="1"/>
    <w:qFormat/>
    <w:uiPriority w:val="0"/>
    <w:rPr>
      <w:rFonts w:ascii="Tahoma" w:hAnsi="Tahoma"/>
      <w:sz w:val="24"/>
      <w:szCs w:val="20"/>
    </w:rPr>
  </w:style>
  <w:style w:type="paragraph" w:customStyle="1" w:styleId="321">
    <w:name w:val="midtext"/>
    <w:basedOn w:val="1"/>
    <w:qFormat/>
    <w:uiPriority w:val="0"/>
    <w:pPr>
      <w:widowControl/>
      <w:spacing w:before="100" w:beforeAutospacing="1" w:after="100" w:afterAutospacing="1"/>
      <w:jc w:val="left"/>
    </w:pPr>
    <w:rPr>
      <w:rFonts w:ascii="宋体" w:hAnsi="宋体" w:cs="宋体"/>
      <w:kern w:val="0"/>
      <w:sz w:val="24"/>
    </w:rPr>
  </w:style>
  <w:style w:type="character" w:customStyle="1" w:styleId="322">
    <w:name w:val="jason.dong"/>
    <w:qFormat/>
    <w:uiPriority w:val="0"/>
    <w:rPr>
      <w:rFonts w:hint="default" w:ascii="Arial" w:hAnsi="Arial" w:cs="Arial"/>
      <w:color w:val="0000FF"/>
      <w:sz w:val="20"/>
      <w:szCs w:val="20"/>
    </w:rPr>
  </w:style>
  <w:style w:type="paragraph" w:customStyle="1" w:styleId="323">
    <w:name w:val="RD Bullet1"/>
    <w:basedOn w:val="1"/>
    <w:qFormat/>
    <w:uiPriority w:val="0"/>
    <w:pPr>
      <w:widowControl/>
      <w:numPr>
        <w:ilvl w:val="0"/>
        <w:numId w:val="2"/>
      </w:numPr>
      <w:jc w:val="left"/>
    </w:pPr>
    <w:rPr>
      <w:rFonts w:ascii="Calibri" w:hAnsi="Calibri" w:cs="Calibri"/>
      <w:color w:val="000000"/>
      <w:kern w:val="0"/>
      <w:sz w:val="24"/>
      <w:lang w:eastAsia="en-US"/>
    </w:rPr>
  </w:style>
  <w:style w:type="paragraph" w:customStyle="1" w:styleId="324">
    <w:name w:val="_Style 7"/>
    <w:basedOn w:val="1"/>
    <w:qFormat/>
    <w:uiPriority w:val="0"/>
    <w:pPr>
      <w:widowControl/>
      <w:jc w:val="left"/>
    </w:pPr>
    <w:rPr>
      <w:rFonts w:ascii="Calibri" w:hAnsi="Calibri" w:cs="Calibri"/>
      <w:kern w:val="0"/>
      <w:sz w:val="24"/>
      <w:lang w:eastAsia="en-US"/>
    </w:rPr>
  </w:style>
  <w:style w:type="character" w:customStyle="1" w:styleId="325">
    <w:name w:val="title1"/>
    <w:qFormat/>
    <w:uiPriority w:val="0"/>
    <w:rPr>
      <w:b/>
      <w:bCs/>
      <w:color w:val="FFFFFF"/>
      <w:sz w:val="24"/>
      <w:szCs w:val="24"/>
    </w:rPr>
  </w:style>
  <w:style w:type="character" w:customStyle="1" w:styleId="326">
    <w:name w:val="en1"/>
    <w:qFormat/>
    <w:uiPriority w:val="0"/>
    <w:rPr>
      <w:rFonts w:hint="default" w:ascii="Arial" w:hAnsi="Arial" w:cs="Arial"/>
      <w:sz w:val="20"/>
      <w:szCs w:val="20"/>
    </w:rPr>
  </w:style>
  <w:style w:type="character" w:customStyle="1" w:styleId="327">
    <w:name w:val="fontstyle01"/>
    <w:qFormat/>
    <w:uiPriority w:val="0"/>
    <w:rPr>
      <w:rFonts w:hint="eastAsia" w:ascii="华文中宋" w:hAnsi="华文中宋" w:eastAsia="华文中宋"/>
      <w:color w:val="000000"/>
      <w:sz w:val="24"/>
      <w:szCs w:val="24"/>
    </w:rPr>
  </w:style>
  <w:style w:type="paragraph" w:customStyle="1" w:styleId="328">
    <w:name w:val="列出段落2"/>
    <w:basedOn w:val="1"/>
    <w:qFormat/>
    <w:uiPriority w:val="0"/>
    <w:pPr>
      <w:ind w:firstLine="420" w:firstLineChars="200"/>
    </w:pPr>
    <w:rPr>
      <w:rFonts w:ascii="Calibri" w:hAnsi="Calibri"/>
      <w:szCs w:val="22"/>
    </w:rPr>
  </w:style>
  <w:style w:type="paragraph" w:customStyle="1" w:styleId="329">
    <w:name w:val="_Style 0"/>
    <w:qFormat/>
    <w:uiPriority w:val="0"/>
    <w:pPr>
      <w:widowControl w:val="0"/>
      <w:jc w:val="both"/>
    </w:pPr>
    <w:rPr>
      <w:rFonts w:ascii="Calibri" w:hAnsi="Calibri" w:eastAsia="宋体" w:cs="Times New Roman"/>
      <w:kern w:val="2"/>
      <w:sz w:val="21"/>
      <w:szCs w:val="24"/>
      <w:lang w:val="en-US" w:eastAsia="zh-CN" w:bidi="ar-SA"/>
    </w:rPr>
  </w:style>
  <w:style w:type="character" w:customStyle="1" w:styleId="330">
    <w:name w:val="正文文本 (18)1"/>
    <w:qFormat/>
    <w:uiPriority w:val="0"/>
    <w:rPr>
      <w:rFonts w:ascii="MingLiU" w:hAnsi="MingLiU" w:eastAsia="MingLiU" w:cs="Times New Roman"/>
      <w:sz w:val="26"/>
    </w:rPr>
  </w:style>
  <w:style w:type="paragraph" w:customStyle="1" w:styleId="331">
    <w:name w:val="_Style 2"/>
    <w:qFormat/>
    <w:uiPriority w:val="0"/>
    <w:pPr>
      <w:widowControl w:val="0"/>
      <w:jc w:val="both"/>
    </w:pPr>
    <w:rPr>
      <w:rFonts w:ascii="Calibri" w:hAnsi="Calibri" w:eastAsia="宋体" w:cs="Times New Roman"/>
      <w:kern w:val="2"/>
      <w:sz w:val="21"/>
      <w:szCs w:val="24"/>
      <w:lang w:val="en-US" w:eastAsia="zh-CN" w:bidi="ar-SA"/>
    </w:rPr>
  </w:style>
  <w:style w:type="paragraph" w:customStyle="1" w:styleId="332">
    <w:name w:val="表 靠左"/>
    <w:basedOn w:val="1"/>
    <w:qFormat/>
    <w:uiPriority w:val="0"/>
    <w:pPr>
      <w:jc w:val="left"/>
    </w:pPr>
    <w:rPr>
      <w:rFonts w:ascii="宋体" w:hAnsi="宋体"/>
    </w:rPr>
  </w:style>
  <w:style w:type="character" w:customStyle="1" w:styleId="333">
    <w:name w:val="纯文本 字符1"/>
    <w:qFormat/>
    <w:locked/>
    <w:uiPriority w:val="0"/>
    <w:rPr>
      <w:rFonts w:ascii="宋体" w:hAnsi="Courier New"/>
      <w:kern w:val="2"/>
      <w:sz w:val="21"/>
    </w:rPr>
  </w:style>
  <w:style w:type="paragraph" w:customStyle="1" w:styleId="334">
    <w:name w:val="List Paragraph1"/>
    <w:basedOn w:val="1"/>
    <w:qFormat/>
    <w:uiPriority w:val="0"/>
    <w:pPr>
      <w:widowControl/>
      <w:ind w:firstLine="420" w:firstLineChars="200"/>
    </w:pPr>
    <w:rPr>
      <w:rFonts w:ascii="Verdana" w:hAnsi="Verdana"/>
      <w:kern w:val="0"/>
      <w:sz w:val="18"/>
      <w:szCs w:val="20"/>
      <w:lang w:eastAsia="en-US"/>
    </w:rPr>
  </w:style>
  <w:style w:type="character" w:customStyle="1" w:styleId="335">
    <w:name w:val="列表段落 字符1"/>
    <w:qFormat/>
    <w:uiPriority w:val="0"/>
  </w:style>
  <w:style w:type="paragraph" w:customStyle="1" w:styleId="336">
    <w:name w:val="_Style 6"/>
    <w:basedOn w:val="1"/>
    <w:next w:val="13"/>
    <w:qFormat/>
    <w:uiPriority w:val="0"/>
    <w:pPr>
      <w:ind w:firstLine="420" w:firstLineChars="200"/>
    </w:pPr>
    <w:rPr>
      <w:szCs w:val="22"/>
    </w:rPr>
  </w:style>
  <w:style w:type="character" w:customStyle="1" w:styleId="337">
    <w:name w:val="NormalCharacter"/>
    <w:qFormat/>
    <w:uiPriority w:val="0"/>
  </w:style>
  <w:style w:type="paragraph" w:customStyle="1" w:styleId="338">
    <w:name w:val="UserStyle_1"/>
    <w:basedOn w:val="1"/>
    <w:qFormat/>
    <w:uiPriority w:val="0"/>
    <w:pPr>
      <w:widowControl/>
      <w:ind w:firstLine="420" w:firstLineChars="200"/>
    </w:pPr>
    <w:rPr>
      <w:rFonts w:ascii="Verdana" w:hAnsi="Verdana"/>
      <w:kern w:val="0"/>
      <w:sz w:val="18"/>
      <w:szCs w:val="20"/>
      <w:lang w:eastAsia="en-US"/>
    </w:rPr>
  </w:style>
  <w:style w:type="character" w:customStyle="1" w:styleId="339">
    <w:name w:val="font121"/>
    <w:qFormat/>
    <w:uiPriority w:val="0"/>
    <w:rPr>
      <w:rFonts w:hint="eastAsia" w:ascii="宋体" w:hAnsi="宋体" w:eastAsia="宋体" w:cs="宋体"/>
      <w:color w:val="000000"/>
      <w:sz w:val="36"/>
      <w:szCs w:val="36"/>
      <w:u w:val="none"/>
    </w:rPr>
  </w:style>
  <w:style w:type="character" w:customStyle="1" w:styleId="340">
    <w:name w:val="font101"/>
    <w:qFormat/>
    <w:uiPriority w:val="0"/>
    <w:rPr>
      <w:rFonts w:hint="eastAsia" w:ascii="宋体" w:hAnsi="宋体" w:eastAsia="宋体" w:cs="宋体"/>
      <w:color w:val="000000"/>
      <w:sz w:val="22"/>
      <w:szCs w:val="22"/>
      <w:u w:val="none"/>
    </w:rPr>
  </w:style>
  <w:style w:type="paragraph" w:customStyle="1" w:styleId="341">
    <w:name w:val="1级"/>
    <w:basedOn w:val="13"/>
    <w:link w:val="343"/>
    <w:qFormat/>
    <w:uiPriority w:val="0"/>
    <w:pPr>
      <w:numPr>
        <w:ilvl w:val="0"/>
        <w:numId w:val="3"/>
      </w:numPr>
      <w:outlineLvl w:val="0"/>
    </w:pPr>
    <w:rPr>
      <w:rFonts w:ascii="Calibri" w:hAnsi="Calibri"/>
    </w:rPr>
  </w:style>
  <w:style w:type="paragraph" w:customStyle="1" w:styleId="342">
    <w:name w:val="2级"/>
    <w:basedOn w:val="13"/>
    <w:qFormat/>
    <w:uiPriority w:val="0"/>
    <w:pPr>
      <w:tabs>
        <w:tab w:val="left" w:pos="720"/>
      </w:tabs>
      <w:ind w:left="422" w:hanging="422" w:hangingChars="200"/>
      <w:outlineLvl w:val="1"/>
    </w:pPr>
    <w:rPr>
      <w:rFonts w:ascii="Calibri" w:hAnsi="Calibri"/>
      <w:b/>
    </w:rPr>
  </w:style>
  <w:style w:type="character" w:customStyle="1" w:styleId="343">
    <w:name w:val="1级 Char"/>
    <w:link w:val="341"/>
    <w:qFormat/>
    <w:uiPriority w:val="0"/>
    <w:rPr>
      <w:rFonts w:ascii="Calibri" w:hAnsi="Calibri" w:eastAsia="等线" w:cs="Times New Roman"/>
    </w:rPr>
  </w:style>
  <w:style w:type="character" w:customStyle="1" w:styleId="344">
    <w:name w:val="2级 Char"/>
    <w:qFormat/>
    <w:uiPriority w:val="0"/>
    <w:rPr>
      <w:rFonts w:ascii="Calibri" w:hAnsi="Calibri" w:eastAsia="宋体" w:cs="Times New Roman"/>
      <w:b/>
      <w:szCs w:val="21"/>
    </w:rPr>
  </w:style>
  <w:style w:type="paragraph" w:customStyle="1" w:styleId="345">
    <w:name w:val="3级"/>
    <w:basedOn w:val="13"/>
    <w:qFormat/>
    <w:uiPriority w:val="0"/>
    <w:pPr>
      <w:tabs>
        <w:tab w:val="left" w:pos="720"/>
      </w:tabs>
      <w:ind w:left="720" w:hanging="720"/>
      <w:outlineLvl w:val="2"/>
    </w:pPr>
    <w:rPr>
      <w:rFonts w:ascii="宋体" w:hAnsi="宋体"/>
      <w:color w:val="000000"/>
    </w:rPr>
  </w:style>
  <w:style w:type="character" w:customStyle="1" w:styleId="346">
    <w:name w:val="3级 Char"/>
    <w:qFormat/>
    <w:uiPriority w:val="0"/>
    <w:rPr>
      <w:rFonts w:ascii="宋体" w:hAnsi="宋体" w:eastAsia="宋体" w:cs="Times New Roman"/>
      <w:color w:val="000000"/>
      <w:szCs w:val="21"/>
    </w:rPr>
  </w:style>
  <w:style w:type="character" w:customStyle="1" w:styleId="347">
    <w:name w:val="正文首行缩进 Char"/>
    <w:basedOn w:val="77"/>
    <w:link w:val="44"/>
    <w:qFormat/>
    <w:uiPriority w:val="0"/>
    <w:rPr>
      <w:rFonts w:ascii="Times New Roman" w:hAnsi="Times New Roman" w:eastAsia="宋体" w:cs="Times New Roman"/>
      <w:szCs w:val="21"/>
    </w:rPr>
  </w:style>
  <w:style w:type="paragraph" w:customStyle="1" w:styleId="348">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49">
    <w:name w:val="xl65"/>
    <w:basedOn w:val="1"/>
    <w:qFormat/>
    <w:uiPriority w:val="0"/>
    <w:pPr>
      <w:widowControl/>
      <w:spacing w:before="100" w:beforeAutospacing="1" w:after="100" w:afterAutospacing="1"/>
      <w:jc w:val="center"/>
    </w:pPr>
    <w:rPr>
      <w:rFonts w:ascii="宋体" w:hAnsi="宋体" w:cs="宋体"/>
      <w:color w:val="000000"/>
      <w:kern w:val="0"/>
      <w:sz w:val="24"/>
    </w:rPr>
  </w:style>
  <w:style w:type="paragraph" w:customStyle="1" w:styleId="350">
    <w:name w:val="正文格式"/>
    <w:basedOn w:val="1"/>
    <w:qFormat/>
    <w:uiPriority w:val="0"/>
    <w:pPr>
      <w:widowControl/>
      <w:adjustRightInd w:val="0"/>
      <w:snapToGrid w:val="0"/>
      <w:spacing w:line="400" w:lineRule="atLeast"/>
      <w:ind w:firstLine="482"/>
      <w:textAlignment w:val="baseline"/>
    </w:pPr>
    <w:rPr>
      <w:kern w:val="0"/>
      <w:sz w:val="24"/>
    </w:rPr>
  </w:style>
  <w:style w:type="character" w:customStyle="1" w:styleId="351">
    <w:name w:val="name"/>
    <w:basedOn w:val="49"/>
    <w:qFormat/>
    <w:uiPriority w:val="0"/>
  </w:style>
  <w:style w:type="character" w:customStyle="1" w:styleId="352">
    <w:name w:val="页码1"/>
    <w:qFormat/>
    <w:uiPriority w:val="0"/>
    <w:rPr>
      <w:rFonts w:cs="Times New Roman"/>
    </w:rPr>
  </w:style>
  <w:style w:type="character" w:customStyle="1" w:styleId="353">
    <w:name w:val="段落正文 Char"/>
    <w:link w:val="247"/>
    <w:qFormat/>
    <w:uiPriority w:val="0"/>
    <w:rPr>
      <w:rFonts w:ascii="宋体" w:hAnsi="Cambria" w:eastAsia="等线" w:cs="Times New Roman"/>
    </w:rPr>
  </w:style>
  <w:style w:type="character" w:customStyle="1" w:styleId="354">
    <w:name w:val="Char Char91"/>
    <w:qFormat/>
    <w:uiPriority w:val="0"/>
    <w:rPr>
      <w:rFonts w:eastAsia="宋体"/>
      <w:kern w:val="2"/>
      <w:sz w:val="18"/>
      <w:szCs w:val="18"/>
      <w:lang w:val="en-US" w:eastAsia="zh-CN" w:bidi="ar-SA"/>
    </w:rPr>
  </w:style>
  <w:style w:type="character" w:customStyle="1" w:styleId="355">
    <w:name w:val="Char Char111"/>
    <w:qFormat/>
    <w:uiPriority w:val="0"/>
    <w:rPr>
      <w:rFonts w:eastAsia="宋体"/>
      <w:kern w:val="2"/>
      <w:sz w:val="24"/>
      <w:lang w:bidi="ar-SA"/>
    </w:rPr>
  </w:style>
  <w:style w:type="paragraph" w:customStyle="1" w:styleId="356">
    <w:name w:val="xl278"/>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57">
    <w:name w:val="页脚1"/>
    <w:basedOn w:val="1"/>
    <w:next w:val="29"/>
    <w:qFormat/>
    <w:uiPriority w:val="99"/>
    <w:pPr>
      <w:tabs>
        <w:tab w:val="center" w:pos="4153"/>
        <w:tab w:val="right" w:pos="8306"/>
      </w:tabs>
      <w:snapToGrid w:val="0"/>
      <w:jc w:val="left"/>
    </w:pPr>
    <w:rPr>
      <w:sz w:val="18"/>
      <w:szCs w:val="18"/>
    </w:rPr>
  </w:style>
  <w:style w:type="paragraph" w:customStyle="1" w:styleId="358">
    <w:name w:val="xl2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359">
    <w:name w:val="xl277"/>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60">
    <w:name w:val="xl2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61">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2">
    <w:name w:val="xl2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363">
    <w:name w:val="xl2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4">
    <w:name w:val="xl2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65">
    <w:name w:val="xl2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66">
    <w:name w:val="xl2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7">
    <w:name w:val="Char Char Char1"/>
    <w:basedOn w:val="1"/>
    <w:qFormat/>
    <w:uiPriority w:val="0"/>
    <w:rPr>
      <w:rFonts w:ascii="Tahoma" w:hAnsi="Tahoma"/>
      <w:sz w:val="24"/>
      <w:szCs w:val="20"/>
    </w:rPr>
  </w:style>
  <w:style w:type="paragraph" w:customStyle="1" w:styleId="368">
    <w:name w:val="xl2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69">
    <w:name w:val="Char11"/>
    <w:basedOn w:val="1"/>
    <w:qFormat/>
    <w:uiPriority w:val="0"/>
    <w:rPr>
      <w:rFonts w:ascii="Tahoma" w:hAnsi="Tahoma"/>
      <w:sz w:val="24"/>
      <w:szCs w:val="20"/>
    </w:rPr>
  </w:style>
  <w:style w:type="paragraph" w:customStyle="1" w:styleId="370">
    <w:name w:val="Char2"/>
    <w:basedOn w:val="14"/>
    <w:qFormat/>
    <w:uiPriority w:val="0"/>
    <w:pPr>
      <w:widowControl/>
    </w:pPr>
    <w:rPr>
      <w:rFonts w:ascii="Tahoma" w:hAnsi="Tahoma" w:eastAsia="宋体"/>
      <w:sz w:val="24"/>
    </w:rPr>
  </w:style>
  <w:style w:type="paragraph" w:customStyle="1" w:styleId="371">
    <w:name w:val="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72">
    <w:name w:val="Table Paragraph"/>
    <w:basedOn w:val="1"/>
    <w:qFormat/>
    <w:uiPriority w:val="1"/>
    <w:rPr>
      <w:rFonts w:ascii="仿宋" w:hAnsi="仿宋" w:eastAsia="仿宋" w:cs="仿宋"/>
      <w:lang w:val="zh-CN" w:bidi="zh-CN"/>
    </w:rPr>
  </w:style>
  <w:style w:type="paragraph" w:customStyle="1" w:styleId="373">
    <w:name w:val="xl28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74">
    <w:name w:val="xl2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75">
    <w:name w:val="xl258"/>
    <w:basedOn w:val="1"/>
    <w:qFormat/>
    <w:uiPriority w:val="0"/>
    <w:pPr>
      <w:widowControl/>
      <w:spacing w:before="100" w:beforeAutospacing="1" w:after="100" w:afterAutospacing="1"/>
      <w:jc w:val="left"/>
    </w:pPr>
    <w:rPr>
      <w:rFonts w:ascii="宋体" w:hAnsi="宋体" w:cs="宋体"/>
      <w:color w:val="FF0000"/>
      <w:kern w:val="0"/>
      <w:sz w:val="28"/>
      <w:szCs w:val="28"/>
    </w:rPr>
  </w:style>
  <w:style w:type="paragraph" w:customStyle="1" w:styleId="376">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77">
    <w:name w:val="列表段落2"/>
    <w:basedOn w:val="1"/>
    <w:qFormat/>
    <w:uiPriority w:val="0"/>
    <w:pPr>
      <w:widowControl/>
      <w:ind w:left="720"/>
      <w:contextualSpacing/>
      <w:jc w:val="left"/>
    </w:pPr>
    <w:rPr>
      <w:rFonts w:eastAsia="Times New Roman"/>
      <w:kern w:val="0"/>
      <w:sz w:val="24"/>
    </w:rPr>
  </w:style>
  <w:style w:type="paragraph" w:customStyle="1" w:styleId="378">
    <w:name w:val="Char1 Char Char Char1"/>
    <w:basedOn w:val="1"/>
    <w:qFormat/>
    <w:uiPriority w:val="0"/>
    <w:pPr>
      <w:spacing w:line="360" w:lineRule="auto"/>
    </w:pPr>
    <w:rPr>
      <w:rFonts w:ascii="Tahoma" w:hAnsi="Tahoma"/>
      <w:sz w:val="24"/>
      <w:szCs w:val="20"/>
    </w:rPr>
  </w:style>
  <w:style w:type="paragraph" w:customStyle="1" w:styleId="379">
    <w:name w:val="xl260"/>
    <w:basedOn w:val="1"/>
    <w:qFormat/>
    <w:uiPriority w:val="0"/>
    <w:pPr>
      <w:widowControl/>
      <w:spacing w:before="100" w:beforeAutospacing="1" w:after="100" w:afterAutospacing="1"/>
      <w:jc w:val="left"/>
    </w:pPr>
    <w:rPr>
      <w:rFonts w:ascii="宋体" w:hAnsi="宋体" w:cs="宋体"/>
      <w:kern w:val="0"/>
      <w:sz w:val="24"/>
    </w:rPr>
  </w:style>
  <w:style w:type="paragraph" w:customStyle="1" w:styleId="380">
    <w:name w:val="普通(网站)1"/>
    <w:basedOn w:val="1"/>
    <w:qFormat/>
    <w:uiPriority w:val="0"/>
    <w:pPr>
      <w:widowControl/>
      <w:spacing w:before="240" w:after="240"/>
      <w:jc w:val="left"/>
    </w:pPr>
    <w:rPr>
      <w:rFonts w:ascii="宋体" w:hAnsi="宋体" w:cs="宋体"/>
      <w:kern w:val="0"/>
      <w:sz w:val="24"/>
    </w:rPr>
  </w:style>
  <w:style w:type="paragraph" w:customStyle="1" w:styleId="381">
    <w:name w:val="unnamed1"/>
    <w:basedOn w:val="1"/>
    <w:qFormat/>
    <w:uiPriority w:val="0"/>
    <w:pPr>
      <w:widowControl/>
      <w:spacing w:beforeAutospacing="1" w:afterAutospacing="1" w:line="288" w:lineRule="auto"/>
      <w:jc w:val="left"/>
    </w:pPr>
    <w:rPr>
      <w:rFonts w:hint="eastAsia" w:ascii="宋体" w:hAnsi="宋体"/>
      <w:kern w:val="0"/>
      <w:szCs w:val="21"/>
    </w:rPr>
  </w:style>
  <w:style w:type="paragraph" w:customStyle="1" w:styleId="382">
    <w:name w:val="Char Char Char Char Char Char Char Char Char Char Char Char Char Char Char Char Char Char Char1"/>
    <w:basedOn w:val="1"/>
    <w:qFormat/>
    <w:uiPriority w:val="0"/>
    <w:pPr>
      <w:widowControl/>
      <w:spacing w:after="160" w:line="240" w:lineRule="exact"/>
      <w:jc w:val="left"/>
    </w:pPr>
  </w:style>
  <w:style w:type="paragraph" w:customStyle="1" w:styleId="383">
    <w:name w:val="xl259"/>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384">
    <w:name w:val="xl2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85">
    <w:name w:val="xl2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86">
    <w:name w:val="Char Char Char Char1"/>
    <w:basedOn w:val="1"/>
    <w:qFormat/>
    <w:uiPriority w:val="0"/>
    <w:rPr>
      <w:rFonts w:ascii="Tahoma" w:hAnsi="Tahoma"/>
      <w:sz w:val="24"/>
      <w:szCs w:val="20"/>
    </w:rPr>
  </w:style>
  <w:style w:type="paragraph" w:customStyle="1" w:styleId="387">
    <w:name w:val="xl261"/>
    <w:basedOn w:val="1"/>
    <w:qFormat/>
    <w:uiPriority w:val="0"/>
    <w:pPr>
      <w:widowControl/>
      <w:spacing w:before="100" w:beforeAutospacing="1" w:after="100" w:afterAutospacing="1"/>
      <w:jc w:val="center"/>
    </w:pPr>
    <w:rPr>
      <w:rFonts w:ascii="宋体" w:hAnsi="宋体" w:cs="宋体"/>
      <w:kern w:val="0"/>
      <w:sz w:val="24"/>
    </w:rPr>
  </w:style>
  <w:style w:type="paragraph" w:customStyle="1" w:styleId="388">
    <w:name w:val="xl2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89">
    <w:name w:val="xl257"/>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390">
    <w:name w:val="xl26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1">
    <w:name w:val="xl2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8"/>
      <w:szCs w:val="28"/>
    </w:rPr>
  </w:style>
  <w:style w:type="paragraph" w:customStyle="1" w:styleId="392">
    <w:name w:val="xl2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93">
    <w:name w:val="xl27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4">
    <w:name w:val="xl28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8"/>
      <w:szCs w:val="28"/>
    </w:rPr>
  </w:style>
  <w:style w:type="character" w:customStyle="1" w:styleId="395">
    <w:name w:val="纯文本 Char2"/>
    <w:qFormat/>
    <w:uiPriority w:val="0"/>
    <w:rPr>
      <w:rFonts w:ascii="宋体" w:hAnsi="Courier New" w:eastAsia="宋体" w:cs="Times New Roman"/>
      <w:kern w:val="0"/>
      <w:sz w:val="20"/>
      <w:szCs w:val="20"/>
    </w:rPr>
  </w:style>
  <w:style w:type="paragraph" w:customStyle="1" w:styleId="396">
    <w:name w:val="mybody"/>
    <w:basedOn w:val="1"/>
    <w:link w:val="397"/>
    <w:qFormat/>
    <w:uiPriority w:val="0"/>
    <w:pPr>
      <w:widowControl/>
      <w:spacing w:beforeLines="100" w:afterLines="100" w:line="288" w:lineRule="auto"/>
      <w:ind w:firstLine="200" w:firstLineChars="200"/>
      <w:jc w:val="left"/>
    </w:pPr>
    <w:rPr>
      <w:rFonts w:ascii="Calibri" w:hAnsi="Calibri"/>
      <w:color w:val="000000"/>
      <w:kern w:val="0"/>
      <w:sz w:val="28"/>
      <w:szCs w:val="22"/>
      <w:lang w:eastAsia="en-US"/>
    </w:rPr>
  </w:style>
  <w:style w:type="character" w:customStyle="1" w:styleId="397">
    <w:name w:val="mybody Char"/>
    <w:link w:val="396"/>
    <w:qFormat/>
    <w:uiPriority w:val="0"/>
    <w:rPr>
      <w:rFonts w:ascii="Calibri" w:hAnsi="Calibri"/>
      <w:color w:val="000000"/>
      <w:sz w:val="28"/>
      <w:szCs w:val="22"/>
      <w:lang w:eastAsia="en-US"/>
    </w:rPr>
  </w:style>
  <w:style w:type="paragraph" w:customStyle="1" w:styleId="398">
    <w:name w:val="Normal (Web) Char"/>
    <w:basedOn w:val="1"/>
    <w:qFormat/>
    <w:uiPriority w:val="0"/>
    <w:pPr>
      <w:widowControl/>
      <w:spacing w:before="100" w:beforeAutospacing="1" w:after="100" w:afterAutospacing="1"/>
      <w:jc w:val="left"/>
    </w:pPr>
    <w:rPr>
      <w:rFonts w:ascii="宋体" w:hAnsi="宋体" w:cs="宋体"/>
      <w:kern w:val="0"/>
      <w:sz w:val="24"/>
      <w:szCs w:val="22"/>
    </w:rPr>
  </w:style>
  <w:style w:type="character" w:customStyle="1" w:styleId="399">
    <w:name w:val="xdrichtextbox"/>
    <w:qFormat/>
    <w:uiPriority w:val="0"/>
  </w:style>
  <w:style w:type="character" w:customStyle="1" w:styleId="400">
    <w:name w:val="批注框文本 Char1"/>
    <w:basedOn w:val="49"/>
    <w:semiHidden/>
    <w:qFormat/>
    <w:uiPriority w:val="99"/>
    <w:rPr>
      <w:rFonts w:ascii="Times New Roman" w:hAnsi="Times New Roman" w:eastAsia="宋体" w:cs="Times New Roman"/>
      <w:sz w:val="18"/>
      <w:szCs w:val="18"/>
    </w:rPr>
  </w:style>
  <w:style w:type="character" w:customStyle="1" w:styleId="401">
    <w:name w:val="批注主题 Char1"/>
    <w:basedOn w:val="74"/>
    <w:semiHidden/>
    <w:qFormat/>
    <w:uiPriority w:val="99"/>
    <w:rPr>
      <w:rFonts w:ascii="Times New Roman" w:hAnsi="Times New Roman" w:eastAsia="宋体" w:cs="Times New Roman"/>
      <w:b/>
      <w:bCs/>
      <w:szCs w:val="24"/>
    </w:rPr>
  </w:style>
  <w:style w:type="character" w:customStyle="1" w:styleId="402">
    <w:name w:val="文档结构图 Char1"/>
    <w:basedOn w:val="49"/>
    <w:semiHidden/>
    <w:qFormat/>
    <w:uiPriority w:val="99"/>
    <w:rPr>
      <w:rFonts w:ascii="宋体" w:hAnsi="Times New Roman" w:eastAsia="宋体" w:cs="Times New Roman"/>
      <w:sz w:val="18"/>
      <w:szCs w:val="18"/>
    </w:rPr>
  </w:style>
  <w:style w:type="paragraph" w:customStyle="1" w:styleId="403">
    <w:name w:val="[基本段落]"/>
    <w:basedOn w:val="1"/>
    <w:qFormat/>
    <w:uiPriority w:val="99"/>
    <w:pPr>
      <w:autoSpaceDE w:val="0"/>
      <w:autoSpaceDN w:val="0"/>
      <w:adjustRightInd w:val="0"/>
      <w:spacing w:line="288" w:lineRule="auto"/>
    </w:pPr>
    <w:rPr>
      <w:rFonts w:ascii="宋体" w:hAnsi="Calibri" w:cs="宋体"/>
      <w:color w:val="000000"/>
      <w:kern w:val="0"/>
      <w:sz w:val="24"/>
      <w:lang w:val="zh-CN"/>
    </w:rPr>
  </w:style>
  <w:style w:type="paragraph" w:customStyle="1" w:styleId="404">
    <w:name w:val="PlainText"/>
    <w:basedOn w:val="1"/>
    <w:link w:val="406"/>
    <w:qFormat/>
    <w:uiPriority w:val="0"/>
    <w:pPr>
      <w:widowControl/>
      <w:textAlignment w:val="baseline"/>
    </w:pPr>
    <w:rPr>
      <w:rFonts w:ascii="宋体" w:hAnsi="Courier New"/>
      <w:kern w:val="0"/>
      <w:szCs w:val="21"/>
    </w:rPr>
  </w:style>
  <w:style w:type="character" w:customStyle="1" w:styleId="405">
    <w:name w:val="UserStyle_0"/>
    <w:qFormat/>
    <w:uiPriority w:val="0"/>
  </w:style>
  <w:style w:type="character" w:customStyle="1" w:styleId="406">
    <w:name w:val="UserStyle_18"/>
    <w:link w:val="404"/>
    <w:qFormat/>
    <w:uiPriority w:val="0"/>
    <w:rPr>
      <w:rFonts w:ascii="宋体" w:hAnsi="Courier New"/>
      <w:sz w:val="21"/>
      <w:szCs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DB2ABC-40B4-4CD8-B9C3-853338C822EA}">
  <ds:schemaRefs/>
</ds:datastoreItem>
</file>

<file path=docProps/app.xml><?xml version="1.0" encoding="utf-8"?>
<Properties xmlns="http://schemas.openxmlformats.org/officeDocument/2006/extended-properties" xmlns:vt="http://schemas.openxmlformats.org/officeDocument/2006/docPropsVTypes">
  <Template>Normal.dotm</Template>
  <Company>WRGHO.COM</Company>
  <Pages>111</Pages>
  <Words>9930</Words>
  <Characters>56602</Characters>
  <Lines>471</Lines>
  <Paragraphs>132</Paragraphs>
  <TotalTime>199</TotalTime>
  <ScaleCrop>false</ScaleCrop>
  <LinksUpToDate>false</LinksUpToDate>
  <CharactersWithSpaces>66400</CharactersWithSpaces>
  <Application>WPS Office_11.1.0.8919_F1E327BC-269C-435d-A152-05C5408002CA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2026-03-24T06:43:00Z</dcterms:created>
  <dc:creator>Administrator</dc:creator>
  <cp:lastModifiedBy>47290</cp:lastModifiedBy>
  <cp:lastPrinted>2022-08-25T06:57:00Z</cp:lastPrinted>
  <dcterms:modified xsi:type="dcterms:W3CDTF">2026-04-01T09:18:43Z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2052-11.1.0.8919</vt:lpwstr>
  </property>
  <property fmtid="{D5CDD505-2E9C-101B-9397-08002B2CF9AE}" pid="3" name="ICV">
    <vt:lpwstr>FE6A9B4B4E9749F6A3240483D9988494_13</vt:lpwstr>
  </property>
  <property fmtid="{D5CDD505-2E9C-101B-9397-08002B2CF9AE}" pid="4" name="KSOTemplateDocerSaveRecord">
    <vt:lpwstr>eyJoZGlkIjoiNTk3YzcwZGY1NDZiNTJjMWI4ZmEyOTdmNTZiYzgzZmMifQ==</vt:lpwstr>
  </property>
</Properties>
</file>