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B586A">
      <w:pPr>
        <w:shd w:val="clear"/>
        <w:wordWrap w:val="0"/>
        <w:spacing w:line="360" w:lineRule="exact"/>
        <w:jc w:val="right"/>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招标编号：</w:t>
      </w:r>
      <w:r>
        <w:rPr>
          <w:rFonts w:hint="eastAsia" w:ascii="仿宋" w:hAnsi="仿宋" w:eastAsia="仿宋" w:cs="仿宋"/>
          <w:b w:val="0"/>
          <w:bCs/>
          <w:color w:val="auto"/>
          <w:sz w:val="32"/>
          <w:szCs w:val="32"/>
          <w:highlight w:val="none"/>
          <w:lang w:eastAsia="zh-CN"/>
        </w:rPr>
        <w:t>WHSW2026-003</w:t>
      </w:r>
    </w:p>
    <w:p w14:paraId="14ACD6D6">
      <w:pPr>
        <w:shd w:val="clear"/>
        <w:rPr>
          <w:rFonts w:hint="eastAsia" w:ascii="仿宋" w:hAnsi="仿宋" w:eastAsia="仿宋" w:cs="仿宋"/>
          <w:b w:val="0"/>
          <w:bCs/>
          <w:color w:val="auto"/>
          <w:highlight w:val="none"/>
        </w:rPr>
      </w:pPr>
    </w:p>
    <w:p w14:paraId="5A3DF837">
      <w:pPr>
        <w:pStyle w:val="18"/>
        <w:shd w:val="clear"/>
        <w:rPr>
          <w:rFonts w:hint="eastAsia" w:ascii="仿宋" w:hAnsi="仿宋" w:eastAsia="仿宋" w:cs="仿宋"/>
          <w:b w:val="0"/>
          <w:bCs/>
          <w:color w:val="auto"/>
          <w:highlight w:val="none"/>
        </w:rPr>
      </w:pPr>
    </w:p>
    <w:p w14:paraId="1F7CDBC5">
      <w:pPr>
        <w:shd w:val="clear"/>
        <w:jc w:val="center"/>
        <w:rPr>
          <w:rFonts w:hint="eastAsia" w:ascii="仿宋" w:hAnsi="仿宋" w:eastAsia="仿宋" w:cs="仿宋"/>
          <w:b w:val="0"/>
          <w:bCs/>
          <w:color w:val="auto"/>
          <w:sz w:val="52"/>
          <w:szCs w:val="52"/>
          <w:highlight w:val="none"/>
          <w:lang w:eastAsia="zh-CN"/>
        </w:rPr>
      </w:pPr>
      <w:r>
        <w:rPr>
          <w:rFonts w:hint="eastAsia" w:ascii="仿宋" w:hAnsi="仿宋" w:eastAsia="仿宋" w:cs="仿宋"/>
          <w:b w:val="0"/>
          <w:bCs/>
          <w:color w:val="auto"/>
          <w:sz w:val="52"/>
          <w:szCs w:val="52"/>
          <w:highlight w:val="none"/>
          <w:lang w:eastAsia="zh-CN"/>
        </w:rPr>
        <w:t>威海市水务集团有限公司</w:t>
      </w:r>
    </w:p>
    <w:p w14:paraId="201E482F">
      <w:pPr>
        <w:shd w:val="clear"/>
        <w:jc w:val="center"/>
        <w:rPr>
          <w:rFonts w:hint="eastAsia" w:ascii="仿宋" w:hAnsi="仿宋" w:eastAsia="仿宋" w:cs="仿宋"/>
          <w:b w:val="0"/>
          <w:bCs/>
          <w:color w:val="auto"/>
          <w:sz w:val="52"/>
          <w:szCs w:val="52"/>
          <w:highlight w:val="none"/>
          <w:lang w:eastAsia="zh-CN"/>
        </w:rPr>
      </w:pPr>
      <w:r>
        <w:rPr>
          <w:rFonts w:hint="eastAsia" w:ascii="仿宋" w:hAnsi="仿宋" w:eastAsia="仿宋" w:cs="仿宋"/>
          <w:b w:val="0"/>
          <w:bCs/>
          <w:color w:val="auto"/>
          <w:sz w:val="52"/>
          <w:szCs w:val="52"/>
          <w:highlight w:val="none"/>
          <w:lang w:eastAsia="zh-CN"/>
        </w:rPr>
        <w:t>选定塑料井年度供应商</w:t>
      </w:r>
    </w:p>
    <w:p w14:paraId="0A48C183">
      <w:pPr>
        <w:shd w:val="clear"/>
        <w:rPr>
          <w:rFonts w:hint="eastAsia" w:ascii="仿宋" w:hAnsi="仿宋" w:eastAsia="仿宋" w:cs="仿宋"/>
          <w:b w:val="0"/>
          <w:bCs/>
          <w:color w:val="auto"/>
          <w:highlight w:val="none"/>
        </w:rPr>
      </w:pPr>
    </w:p>
    <w:p w14:paraId="371EA011">
      <w:pPr>
        <w:shd w:val="clear"/>
        <w:spacing w:before="156" w:beforeLines="50" w:line="360" w:lineRule="auto"/>
        <w:ind w:firstLine="3905" w:firstLineChars="751"/>
        <w:rPr>
          <w:rFonts w:hint="eastAsia" w:ascii="仿宋" w:hAnsi="仿宋" w:eastAsia="仿宋" w:cs="仿宋"/>
          <w:b w:val="0"/>
          <w:bCs/>
          <w:color w:val="auto"/>
          <w:sz w:val="52"/>
          <w:szCs w:val="52"/>
          <w:highlight w:val="none"/>
        </w:rPr>
      </w:pPr>
      <w:r>
        <w:rPr>
          <w:rFonts w:hint="eastAsia" w:ascii="仿宋" w:hAnsi="仿宋" w:eastAsia="仿宋" w:cs="仿宋"/>
          <w:b w:val="0"/>
          <w:bCs/>
          <w:color w:val="auto"/>
          <w:sz w:val="52"/>
          <w:szCs w:val="52"/>
          <w:highlight w:val="none"/>
        </w:rPr>
        <w:t>招标文件</w:t>
      </w:r>
    </w:p>
    <w:p w14:paraId="2AA585B6">
      <w:pPr>
        <w:shd w:val="clear"/>
        <w:spacing w:before="156" w:beforeLines="50" w:line="360" w:lineRule="auto"/>
        <w:ind w:firstLine="2102" w:firstLineChars="751"/>
        <w:rPr>
          <w:rFonts w:hint="eastAsia" w:ascii="仿宋" w:hAnsi="仿宋" w:eastAsia="仿宋" w:cs="仿宋"/>
          <w:b w:val="0"/>
          <w:bCs/>
          <w:color w:val="auto"/>
          <w:sz w:val="28"/>
          <w:szCs w:val="28"/>
          <w:highlight w:val="none"/>
        </w:rPr>
      </w:pPr>
    </w:p>
    <w:p w14:paraId="2708577F">
      <w:pPr>
        <w:shd w:val="clear"/>
        <w:spacing w:before="156" w:beforeLines="50" w:line="360" w:lineRule="auto"/>
        <w:jc w:val="center"/>
        <w:rPr>
          <w:rFonts w:hint="eastAsia" w:ascii="仿宋" w:hAnsi="仿宋" w:eastAsia="仿宋" w:cs="仿宋"/>
          <w:b w:val="0"/>
          <w:bCs/>
          <w:color w:val="auto"/>
          <w:sz w:val="52"/>
          <w:szCs w:val="52"/>
          <w:highlight w:val="none"/>
        </w:rPr>
      </w:pPr>
      <w:r>
        <w:rPr>
          <w:rFonts w:hint="eastAsia" w:ascii="仿宋" w:hAnsi="仿宋" w:eastAsia="仿宋" w:cs="仿宋"/>
          <w:b w:val="0"/>
          <w:bCs/>
          <w:color w:val="auto"/>
          <w:szCs w:val="21"/>
          <w:highlight w:val="none"/>
        </w:rPr>
        <w:drawing>
          <wp:inline distT="0" distB="0" distL="114300" distR="114300">
            <wp:extent cx="2828290" cy="2709545"/>
            <wp:effectExtent l="0" t="0" r="10160" b="0"/>
            <wp:docPr id="2" name="图片 1" descr="同力标志-背景透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同力标志-背景透明jpg"/>
                    <pic:cNvPicPr>
                      <a:picLocks noChangeAspect="1"/>
                    </pic:cNvPicPr>
                  </pic:nvPicPr>
                  <pic:blipFill>
                    <a:blip r:embed="rId13"/>
                    <a:stretch>
                      <a:fillRect/>
                    </a:stretch>
                  </pic:blipFill>
                  <pic:spPr>
                    <a:xfrm>
                      <a:off x="0" y="0"/>
                      <a:ext cx="2828290" cy="2709545"/>
                    </a:xfrm>
                    <a:prstGeom prst="rect">
                      <a:avLst/>
                    </a:prstGeom>
                    <a:noFill/>
                    <a:ln>
                      <a:noFill/>
                    </a:ln>
                  </pic:spPr>
                </pic:pic>
              </a:graphicData>
            </a:graphic>
          </wp:inline>
        </w:drawing>
      </w:r>
    </w:p>
    <w:p w14:paraId="0CFF47B8">
      <w:pPr>
        <w:shd w:val="clear"/>
        <w:spacing w:line="360" w:lineRule="auto"/>
        <w:ind w:firstLine="723" w:firstLineChars="201"/>
        <w:jc w:val="left"/>
        <w:rPr>
          <w:rFonts w:hint="eastAsia" w:ascii="仿宋" w:hAnsi="仿宋" w:eastAsia="仿宋" w:cs="仿宋"/>
          <w:b w:val="0"/>
          <w:bCs/>
          <w:color w:val="auto"/>
          <w:sz w:val="36"/>
          <w:szCs w:val="36"/>
          <w:highlight w:val="none"/>
        </w:rPr>
      </w:pPr>
    </w:p>
    <w:p w14:paraId="1ECD8F52">
      <w:pPr>
        <w:shd w:val="clear"/>
        <w:spacing w:line="360" w:lineRule="auto"/>
        <w:jc w:val="left"/>
        <w:rPr>
          <w:rFonts w:hint="eastAsia" w:ascii="仿宋" w:hAnsi="仿宋" w:eastAsia="仿宋" w:cs="仿宋"/>
          <w:b w:val="0"/>
          <w:bCs/>
          <w:color w:val="auto"/>
          <w:sz w:val="36"/>
          <w:szCs w:val="36"/>
          <w:highlight w:val="none"/>
        </w:rPr>
      </w:pPr>
    </w:p>
    <w:p w14:paraId="1A3D4771">
      <w:pPr>
        <w:pStyle w:val="19"/>
        <w:shd w:val="clear"/>
        <w:rPr>
          <w:rFonts w:hint="eastAsia" w:ascii="仿宋" w:hAnsi="仿宋" w:eastAsia="仿宋" w:cs="仿宋"/>
          <w:b w:val="0"/>
          <w:bCs/>
          <w:color w:val="auto"/>
          <w:highlight w:val="none"/>
        </w:rPr>
      </w:pPr>
    </w:p>
    <w:p w14:paraId="768E286E">
      <w:pPr>
        <w:shd w:val="clear"/>
        <w:spacing w:before="156" w:beforeLines="50" w:line="360" w:lineRule="auto"/>
        <w:ind w:firstLine="723" w:firstLineChars="201"/>
        <w:jc w:val="center"/>
        <w:rPr>
          <w:rFonts w:hint="eastAsia" w:ascii="仿宋" w:hAnsi="仿宋" w:eastAsia="仿宋" w:cs="仿宋"/>
          <w:b w:val="0"/>
          <w:bCs/>
          <w:color w:val="auto"/>
          <w:kern w:val="0"/>
          <w:sz w:val="36"/>
          <w:szCs w:val="36"/>
          <w:highlight w:val="none"/>
          <w:lang w:eastAsia="zh-CN"/>
        </w:rPr>
      </w:pPr>
      <w:bookmarkStart w:id="0" w:name="_Hlk154665901"/>
      <w:r>
        <w:rPr>
          <w:rFonts w:hint="eastAsia" w:ascii="仿宋" w:hAnsi="仿宋" w:eastAsia="仿宋" w:cs="仿宋"/>
          <w:b w:val="0"/>
          <w:bCs/>
          <w:color w:val="auto"/>
          <w:sz w:val="36"/>
          <w:szCs w:val="36"/>
          <w:highlight w:val="none"/>
        </w:rPr>
        <w:t>代理机构：</w:t>
      </w:r>
      <w:r>
        <w:rPr>
          <w:rFonts w:hint="eastAsia" w:ascii="仿宋" w:hAnsi="仿宋" w:eastAsia="仿宋" w:cs="仿宋"/>
          <w:b w:val="0"/>
          <w:bCs/>
          <w:color w:val="auto"/>
          <w:sz w:val="36"/>
          <w:szCs w:val="36"/>
          <w:highlight w:val="none"/>
          <w:lang w:eastAsia="zh-CN"/>
        </w:rPr>
        <w:t>山东同力建设项目管理有限公司</w:t>
      </w:r>
    </w:p>
    <w:p w14:paraId="4DB8F34F">
      <w:pPr>
        <w:shd w:val="clear"/>
        <w:spacing w:line="360" w:lineRule="auto"/>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36"/>
          <w:highlight w:val="none"/>
        </w:rPr>
        <w:t>编制时间：202</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年</w:t>
      </w:r>
      <w:r>
        <w:rPr>
          <w:rFonts w:hint="eastAsia" w:ascii="仿宋" w:hAnsi="仿宋" w:eastAsia="仿宋" w:cs="仿宋"/>
          <w:b w:val="0"/>
          <w:bCs/>
          <w:color w:val="auto"/>
          <w:sz w:val="36"/>
          <w:szCs w:val="36"/>
          <w:highlight w:val="none"/>
          <w:lang w:val="en-US" w:eastAsia="zh-CN"/>
        </w:rPr>
        <w:t>5</w:t>
      </w:r>
      <w:r>
        <w:rPr>
          <w:rFonts w:hint="eastAsia" w:ascii="仿宋" w:hAnsi="仿宋" w:eastAsia="仿宋" w:cs="仿宋"/>
          <w:b w:val="0"/>
          <w:bCs/>
          <w:color w:val="auto"/>
          <w:sz w:val="36"/>
          <w:szCs w:val="36"/>
          <w:highlight w:val="none"/>
        </w:rPr>
        <w:t>月</w:t>
      </w:r>
    </w:p>
    <w:bookmarkEnd w:id="0"/>
    <w:p w14:paraId="5BB1D810">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8"/>
            <w:shd w:val="clear"/>
            <w:jc w:val="center"/>
            <w:rPr>
              <w:rFonts w:hint="eastAsia" w:ascii="仿宋" w:hAnsi="仿宋" w:eastAsia="仿宋" w:cs="仿宋"/>
              <w:color w:val="auto"/>
              <w:sz w:val="44"/>
              <w:szCs w:val="44"/>
              <w:highlight w:val="none"/>
            </w:rPr>
          </w:pPr>
          <w:bookmarkStart w:id="1" w:name="_Hlk130651888"/>
          <w:bookmarkStart w:id="2" w:name="_Toc382129898"/>
          <w:bookmarkStart w:id="3" w:name="_Toc413596380"/>
          <w:r>
            <w:rPr>
              <w:rFonts w:hint="eastAsia" w:ascii="仿宋" w:hAnsi="仿宋" w:eastAsia="仿宋" w:cs="仿宋"/>
              <w:color w:val="auto"/>
              <w:sz w:val="44"/>
              <w:szCs w:val="44"/>
              <w:highlight w:val="none"/>
              <w:lang w:val="zh-CN"/>
            </w:rPr>
            <w:t>目录</w:t>
          </w:r>
        </w:p>
        <w:p w14:paraId="4B1CA67D">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Style w:val="61"/>
              <w:rFonts w:hint="eastAsia" w:ascii="仿宋" w:hAnsi="仿宋" w:eastAsia="仿宋" w:cs="仿宋"/>
              <w:b w:val="0"/>
              <w:bCs w:val="0"/>
              <w:color w:val="auto"/>
              <w:sz w:val="24"/>
              <w:szCs w:val="24"/>
              <w:highlight w:val="none"/>
            </w:rPr>
            <w:fldChar w:fldCharType="begin"/>
          </w:r>
          <w:r>
            <w:rPr>
              <w:rStyle w:val="61"/>
              <w:rFonts w:hint="eastAsia" w:ascii="仿宋" w:hAnsi="仿宋" w:eastAsia="仿宋" w:cs="仿宋"/>
              <w:b w:val="0"/>
              <w:bCs w:val="0"/>
              <w:color w:val="auto"/>
              <w:sz w:val="24"/>
              <w:szCs w:val="24"/>
              <w:highlight w:val="none"/>
            </w:rPr>
            <w:instrText xml:space="preserve"> TOC \o "1-3" \h \z \u </w:instrText>
          </w:r>
          <w:r>
            <w:rPr>
              <w:rStyle w:val="61"/>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_Toc22874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14424C7B">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_Toc25381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3ED45287">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_Toc11187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9</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02ADF981">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_Toc15271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10</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39E4BBD3">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_Toc15517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12</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F48E319">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_Toc7736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20</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2F5903FE">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_Toc10016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21</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5CCF745A">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_Toc12718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30</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7B4D705">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_Toc22244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31</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3E4AB6F9">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_Toc14994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32</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94223CD">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_Toc28613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33</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470A65E1">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_Toc24804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34</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5742FAF6">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_Toc1808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34</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7F77441">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_Toc25821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35</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0FBEB9D2">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_Toc25525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38</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551D8EF8">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_Toc17123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38</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4D87CCEA">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_Toc25834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39</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7B635DC">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_Toc2064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39</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69CF45CF">
          <w:pPr>
            <w:pStyle w:val="45"/>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_Toc27419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39</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540119DF">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rPr>
            <w:tab/>
          </w:r>
          <w:bookmarkStart w:id="101" w:name="_GoBack"/>
          <w:bookmarkEnd w:id="101"/>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_Toc25592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40</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37648B18">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_Toc15637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44</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2E5DB983">
          <w:pPr>
            <w:pStyle w:val="37"/>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rPr>
            <w:tab/>
          </w:r>
          <w:r>
            <w:rPr>
              <w:rFonts w:hint="eastAsia" w:ascii="仿宋" w:hAnsi="仿宋" w:eastAsia="仿宋" w:cs="仿宋"/>
              <w:b w:val="0"/>
              <w:bCs w:val="0"/>
              <w:sz w:val="24"/>
              <w:szCs w:val="24"/>
            </w:rPr>
            <w:fldChar w:fldCharType="begin"/>
          </w:r>
          <w:r>
            <w:rPr>
              <w:rFonts w:hint="eastAsia" w:ascii="仿宋" w:hAnsi="仿宋" w:eastAsia="仿宋" w:cs="仿宋"/>
              <w:b w:val="0"/>
              <w:bCs w:val="0"/>
              <w:sz w:val="24"/>
              <w:szCs w:val="24"/>
            </w:rPr>
            <w:instrText xml:space="preserve"> PAGEREF _Toc10642 \h </w:instrText>
          </w:r>
          <w:r>
            <w:rPr>
              <w:rFonts w:hint="eastAsia" w:ascii="仿宋" w:hAnsi="仿宋" w:eastAsia="仿宋" w:cs="仿宋"/>
              <w:b w:val="0"/>
              <w:bCs w:val="0"/>
              <w:sz w:val="24"/>
              <w:szCs w:val="24"/>
            </w:rPr>
            <w:fldChar w:fldCharType="separate"/>
          </w:r>
          <w:r>
            <w:rPr>
              <w:rFonts w:hint="eastAsia" w:ascii="仿宋" w:hAnsi="仿宋" w:eastAsia="仿宋" w:cs="仿宋"/>
              <w:b w:val="0"/>
              <w:bCs w:val="0"/>
              <w:sz w:val="24"/>
              <w:szCs w:val="24"/>
            </w:rPr>
            <w:t>66</w:t>
          </w:r>
          <w:r>
            <w:rPr>
              <w:rFonts w:hint="eastAsia" w:ascii="仿宋" w:hAnsi="仿宋" w:eastAsia="仿宋" w:cs="仿宋"/>
              <w:b w:val="0"/>
              <w:bCs w:val="0"/>
              <w:sz w:val="24"/>
              <w:szCs w:val="24"/>
            </w:rPr>
            <w:fldChar w:fldCharType="end"/>
          </w:r>
          <w:r>
            <w:rPr>
              <w:rFonts w:hint="eastAsia" w:ascii="仿宋" w:hAnsi="仿宋" w:eastAsia="仿宋" w:cs="仿宋"/>
              <w:b w:val="0"/>
              <w:bCs w:val="0"/>
              <w:color w:val="auto"/>
              <w:sz w:val="24"/>
              <w:szCs w:val="24"/>
              <w:highlight w:val="none"/>
            </w:rPr>
            <w:fldChar w:fldCharType="end"/>
          </w:r>
        </w:p>
        <w:p w14:paraId="10AF63DE">
          <w:pPr>
            <w:pStyle w:val="37"/>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1"/>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2"/>
    <w:bookmarkEnd w:id="3"/>
    <w:p w14:paraId="4C905218">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4" w:name="_Toc66864040"/>
      <w:bookmarkStart w:id="5" w:name="_Toc22874"/>
      <w:bookmarkStart w:id="6" w:name="_Toc253045125"/>
      <w:bookmarkStart w:id="7" w:name="_Toc266431116"/>
      <w:r>
        <w:rPr>
          <w:rFonts w:hint="eastAsia" w:ascii="仿宋" w:hAnsi="仿宋" w:eastAsia="仿宋" w:cs="仿宋"/>
          <w:color w:val="auto"/>
          <w:highlight w:val="none"/>
        </w:rPr>
        <w:t>第一章  招标公告</w:t>
      </w:r>
      <w:bookmarkEnd w:id="4"/>
      <w:bookmarkEnd w:id="5"/>
    </w:p>
    <w:p w14:paraId="71929405">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lang w:eastAsia="zh-CN"/>
        </w:rPr>
      </w:pPr>
      <w:r>
        <w:rPr>
          <w:rFonts w:hint="eastAsia" w:ascii="仿宋" w:hAnsi="仿宋" w:eastAsia="仿宋" w:cs="仿宋"/>
          <w:b/>
          <w:bCs/>
          <w:color w:val="auto"/>
          <w:spacing w:val="8"/>
          <w:kern w:val="0"/>
          <w:sz w:val="32"/>
          <w:szCs w:val="32"/>
          <w:highlight w:val="none"/>
          <w:lang w:eastAsia="zh-CN"/>
        </w:rPr>
        <w:t>威海市水务集团有限公司选定塑料井年度供应商</w:t>
      </w:r>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WHSW2026-003</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威海市水务集团有限公司选定塑料井年度供应商</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威海市水务集团有限公司选定塑料井年度供应商</w:t>
      </w:r>
      <w:r>
        <w:rPr>
          <w:rFonts w:hint="eastAsia" w:ascii="仿宋" w:hAnsi="仿宋" w:eastAsia="仿宋" w:cs="仿宋"/>
          <w:bCs/>
          <w:color w:val="auto"/>
          <w:spacing w:val="8"/>
          <w:kern w:val="0"/>
          <w:sz w:val="28"/>
          <w:szCs w:val="28"/>
          <w:highlight w:val="none"/>
        </w:rPr>
        <w:t>。</w:t>
      </w:r>
    </w:p>
    <w:p w14:paraId="4D2A1AA0">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威海市水务集团有限公司选定1家塑料井年度供应商</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实际采购数量可适时调整，并据实结算，实际采购量多于或少于年用量均不视为违约。各种规格分批次采购，每批次的规格、数量、进场时间等以招标人通知为准。招标控制价见采购项目说明。</w:t>
      </w:r>
    </w:p>
    <w:p w14:paraId="5E8DDA1A">
      <w:pPr>
        <w:shd w:val="clear"/>
        <w:spacing w:line="360" w:lineRule="auto"/>
        <w:ind w:firstLine="59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rPr>
        <w:t>.供货</w:t>
      </w:r>
      <w:r>
        <w:rPr>
          <w:rFonts w:hint="eastAsia" w:ascii="仿宋" w:hAnsi="仿宋" w:eastAsia="仿宋" w:cs="仿宋"/>
          <w:bCs/>
          <w:color w:val="auto"/>
          <w:spacing w:val="8"/>
          <w:kern w:val="0"/>
          <w:sz w:val="28"/>
          <w:szCs w:val="28"/>
          <w:highlight w:val="none"/>
          <w:lang w:eastAsia="zh-CN"/>
        </w:rPr>
        <w:t>期：</w:t>
      </w:r>
      <w:r>
        <w:rPr>
          <w:rFonts w:hint="eastAsia" w:ascii="仿宋" w:hAnsi="仿宋" w:eastAsia="仿宋" w:cs="仿宋"/>
          <w:bCs/>
          <w:color w:val="auto"/>
          <w:spacing w:val="8"/>
          <w:kern w:val="0"/>
          <w:sz w:val="28"/>
          <w:szCs w:val="28"/>
          <w:highlight w:val="none"/>
          <w:lang w:val="en-US" w:eastAsia="zh-CN"/>
        </w:rPr>
        <w:t>自招标人通知之日起5日内，按照通知的要求将产品运抵招标人指定地点，招标人不再另行支付其他任何费用。</w:t>
      </w:r>
    </w:p>
    <w:p w14:paraId="2F84A5AC">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4.供货地址：招标人指定地点。</w:t>
      </w:r>
    </w:p>
    <w:p w14:paraId="5F543E1F">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bookmarkStart w:id="8" w:name="OLE_LINK8"/>
      <w:r>
        <w:rPr>
          <w:rFonts w:hint="eastAsia" w:ascii="仿宋" w:hAnsi="仿宋" w:eastAsia="仿宋" w:cs="仿宋"/>
          <w:bCs/>
          <w:color w:val="auto"/>
          <w:spacing w:val="8"/>
          <w:kern w:val="0"/>
          <w:sz w:val="28"/>
          <w:szCs w:val="28"/>
          <w:highlight w:val="none"/>
          <w:lang w:val="en-US" w:eastAsia="zh-CN"/>
        </w:rPr>
        <w:t>5</w:t>
      </w:r>
      <w:r>
        <w:rPr>
          <w:rFonts w:hint="eastAsia" w:ascii="仿宋" w:hAnsi="仿宋" w:eastAsia="仿宋" w:cs="仿宋"/>
          <w:bCs/>
          <w:color w:val="auto"/>
          <w:spacing w:val="8"/>
          <w:kern w:val="0"/>
          <w:sz w:val="28"/>
          <w:szCs w:val="28"/>
          <w:highlight w:val="none"/>
        </w:rPr>
        <w:t>.质量标准：</w:t>
      </w:r>
      <w:r>
        <w:rPr>
          <w:rFonts w:hint="eastAsia" w:ascii="仿宋" w:hAnsi="仿宋" w:eastAsia="仿宋" w:cs="仿宋"/>
          <w:bCs/>
          <w:color w:val="auto"/>
          <w:spacing w:val="8"/>
          <w:kern w:val="0"/>
          <w:sz w:val="28"/>
          <w:szCs w:val="28"/>
          <w:highlight w:val="none"/>
          <w:lang w:val="en-US" w:eastAsia="zh-CN"/>
        </w:rPr>
        <w:t>达到国家验收规范合格标准</w:t>
      </w:r>
      <w:r>
        <w:rPr>
          <w:rFonts w:hint="eastAsia" w:ascii="仿宋" w:hAnsi="仿宋" w:eastAsia="仿宋" w:cs="仿宋"/>
          <w:bCs/>
          <w:color w:val="auto"/>
          <w:spacing w:val="8"/>
          <w:kern w:val="0"/>
          <w:sz w:val="28"/>
          <w:szCs w:val="28"/>
          <w:highlight w:val="none"/>
        </w:rPr>
        <w:t>。</w:t>
      </w:r>
    </w:p>
    <w:p w14:paraId="173D9071">
      <w:pPr>
        <w:shd w:val="clear"/>
        <w:spacing w:line="360" w:lineRule="auto"/>
        <w:ind w:firstLine="59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6.质保期：自验收合格之日起不少于2年。</w:t>
      </w:r>
    </w:p>
    <w:bookmarkEnd w:id="8"/>
    <w:p w14:paraId="3EFCFF25">
      <w:pPr>
        <w:pStyle w:val="50"/>
        <w:ind w:firstLine="56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7.服务期限：1年</w:t>
      </w:r>
      <w:r>
        <w:rPr>
          <w:rFonts w:hint="eastAsia" w:ascii="仿宋" w:hAnsi="仿宋" w:eastAsia="仿宋" w:cs="仿宋"/>
          <w:bCs/>
          <w:color w:val="auto"/>
          <w:spacing w:val="8"/>
          <w:kern w:val="0"/>
          <w:sz w:val="28"/>
          <w:szCs w:val="28"/>
          <w:highlight w:val="none"/>
          <w:lang w:eastAsia="zh-CN"/>
        </w:rPr>
        <w:t>。</w:t>
      </w:r>
      <w:r>
        <w:rPr>
          <w:rFonts w:hint="eastAsia" w:ascii="仿宋" w:hAnsi="仿宋" w:eastAsia="仿宋" w:cs="仿宋"/>
          <w:color w:val="333333"/>
          <w:sz w:val="28"/>
          <w:szCs w:val="28"/>
          <w:highlight w:val="none"/>
          <w:shd w:val="clear" w:color="auto" w:fill="FFFFFF"/>
          <w:lang w:val="en-US" w:eastAsia="zh-CN"/>
        </w:rPr>
        <w:t>合同期满后，招标人对中标人履行情况进行考核，合格可续签合同，续签不超过2次。</w:t>
      </w:r>
    </w:p>
    <w:p w14:paraId="17F8E2AB">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8.</w:t>
      </w:r>
      <w:r>
        <w:rPr>
          <w:rFonts w:hint="eastAsia" w:ascii="仿宋" w:hAnsi="仿宋" w:eastAsia="仿宋" w:cs="仿宋"/>
          <w:bCs/>
          <w:color w:val="auto"/>
          <w:spacing w:val="8"/>
          <w:kern w:val="0"/>
          <w:sz w:val="28"/>
          <w:szCs w:val="28"/>
          <w:highlight w:val="none"/>
        </w:rPr>
        <w:t>招标范围：包括但不限于产品的</w:t>
      </w:r>
      <w:r>
        <w:rPr>
          <w:rFonts w:hint="eastAsia" w:ascii="仿宋" w:hAnsi="仿宋" w:eastAsia="仿宋" w:cs="仿宋"/>
          <w:bCs/>
          <w:color w:val="auto"/>
          <w:spacing w:val="8"/>
          <w:kern w:val="0"/>
          <w:sz w:val="28"/>
          <w:szCs w:val="28"/>
          <w:highlight w:val="none"/>
          <w:lang w:val="en-US" w:eastAsia="zh-CN"/>
        </w:rPr>
        <w:t>采购、加工、包装、运输、保管、装卸、指导安装、检测、验收、税费、培训、售后服务及其他服务</w:t>
      </w:r>
      <w:r>
        <w:rPr>
          <w:rFonts w:hint="eastAsia" w:ascii="仿宋" w:hAnsi="仿宋" w:eastAsia="仿宋" w:cs="仿宋"/>
          <w:bCs/>
          <w:color w:val="auto"/>
          <w:spacing w:val="8"/>
          <w:kern w:val="0"/>
          <w:sz w:val="28"/>
          <w:szCs w:val="28"/>
          <w:highlight w:val="none"/>
        </w:rPr>
        <w:t>，以及在质量保证期内发生的任何缺陷的维修和更换工作等与合同有关的所有内容。</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9" w:name="_Hlk165101837"/>
      <w:r>
        <w:rPr>
          <w:rFonts w:hint="eastAsia" w:ascii="仿宋" w:hAnsi="仿宋" w:eastAsia="仿宋" w:cs="仿宋"/>
          <w:color w:val="auto"/>
          <w:spacing w:val="8"/>
          <w:kern w:val="0"/>
          <w:sz w:val="28"/>
          <w:szCs w:val="28"/>
          <w:highlight w:val="none"/>
        </w:rPr>
        <w:t>1.具有独立承担民事责任能力</w:t>
      </w:r>
      <w:r>
        <w:rPr>
          <w:rFonts w:hint="eastAsia" w:ascii="仿宋" w:hAnsi="仿宋" w:eastAsia="仿宋" w:cs="仿宋"/>
          <w:color w:val="auto"/>
          <w:spacing w:val="8"/>
          <w:kern w:val="0"/>
          <w:sz w:val="28"/>
          <w:szCs w:val="28"/>
          <w:highlight w:val="none"/>
          <w:lang w:val="en-US" w:eastAsia="zh-CN"/>
        </w:rPr>
        <w:t>的生产商或经销商</w:t>
      </w:r>
      <w:r>
        <w:rPr>
          <w:rFonts w:hint="eastAsia" w:ascii="仿宋" w:hAnsi="仿宋" w:eastAsia="仿宋" w:cs="仿宋"/>
          <w:color w:val="auto"/>
          <w:spacing w:val="8"/>
          <w:kern w:val="0"/>
          <w:sz w:val="28"/>
          <w:szCs w:val="28"/>
          <w:highlight w:val="none"/>
        </w:rPr>
        <w:t>（若为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pacing w:val="8"/>
          <w:kern w:val="0"/>
          <w:sz w:val="28"/>
          <w:szCs w:val="28"/>
          <w:highlight w:val="none"/>
        </w:rPr>
        <w:t>商需提供生产商授权书）；</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.投标人及其法定代表人</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若为非法人单位，以下内容中的法定代表人均为负责人）</w:t>
      </w:r>
      <w:r>
        <w:rPr>
          <w:rFonts w:hint="eastAsia" w:ascii="仿宋" w:hAnsi="仿宋" w:eastAsia="仿宋" w:cs="仿宋"/>
          <w:color w:val="auto"/>
          <w:spacing w:val="8"/>
          <w:kern w:val="0"/>
          <w:sz w:val="28"/>
          <w:szCs w:val="28"/>
          <w:highlight w:val="none"/>
        </w:rPr>
        <w:t>、委托代理人未被最高法院（查询网址为：http://zxgk.court.gov.cn/shixin/）列入失信被执行人</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查询省份：全部</w:t>
      </w:r>
      <w:r>
        <w:rPr>
          <w:rFonts w:hint="eastAsia" w:ascii="仿宋" w:hAnsi="仿宋" w:eastAsia="仿宋" w:cs="仿宋"/>
          <w:color w:val="auto"/>
          <w:spacing w:val="8"/>
          <w:kern w:val="0"/>
          <w:sz w:val="28"/>
          <w:szCs w:val="28"/>
          <w:highlight w:val="none"/>
        </w:rPr>
        <w:t>；</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9"/>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19</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w:t>
      </w:r>
      <w:r>
        <w:rPr>
          <w:rFonts w:hint="eastAsia" w:ascii="仿宋" w:hAnsi="仿宋" w:eastAsia="仿宋" w:cs="仿宋"/>
          <w:color w:val="auto"/>
          <w:spacing w:val="8"/>
          <w:kern w:val="0"/>
          <w:sz w:val="28"/>
          <w:szCs w:val="28"/>
          <w:highlight w:val="none"/>
          <w:lang w:val="en-US" w:eastAsia="zh-CN"/>
        </w:rPr>
        <w:t>同</w:t>
      </w:r>
      <w:r>
        <w:rPr>
          <w:rFonts w:hint="eastAsia" w:ascii="仿宋" w:hAnsi="仿宋" w:eastAsia="仿宋" w:cs="仿宋"/>
          <w:color w:val="auto"/>
          <w:spacing w:val="8"/>
          <w:kern w:val="0"/>
          <w:sz w:val="28"/>
          <w:szCs w:val="28"/>
          <w:highlight w:val="none"/>
        </w:rPr>
        <w:t>提交投标文件截止时间；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0"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厅（威海市环翠区塔山中路317号四楼）</w:t>
      </w:r>
      <w:bookmarkEnd w:id="10"/>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山东同力建设项目管理有限公司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山东省威海市奈古山路古山五巷16号鼎顺商务508</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徐华良、王丽霞</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0631-5812098</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tljs2018@126.com</w:t>
      </w:r>
    </w:p>
    <w:p w14:paraId="1CFE7E8B">
      <w:pPr>
        <w:shd w:val="clear"/>
        <w:spacing w:line="360" w:lineRule="auto"/>
        <w:rPr>
          <w:rFonts w:hint="eastAsia" w:ascii="仿宋" w:hAnsi="仿宋" w:eastAsia="仿宋" w:cs="仿宋"/>
          <w:color w:val="auto"/>
          <w:highlight w:val="none"/>
        </w:rPr>
      </w:pPr>
    </w:p>
    <w:p w14:paraId="59736FB2">
      <w:pPr>
        <w:widowControl/>
        <w:shd w:val="clear"/>
        <w:adjustRightInd w:val="0"/>
        <w:spacing w:line="360" w:lineRule="auto"/>
        <w:ind w:firstLine="592" w:firstLineChars="200"/>
        <w:jc w:val="righ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山东同力建设项目管理有限公司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511F1420">
      <w:pPr>
        <w:pStyle w:val="2"/>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1" w:name="_Toc66864041"/>
      <w:bookmarkStart w:id="12" w:name="_Toc25381"/>
      <w:bookmarkStart w:id="13" w:name="_Toc266431126"/>
      <w:bookmarkStart w:id="14" w:name="_Toc382129913"/>
      <w:bookmarkStart w:id="15" w:name="_Toc413596395"/>
      <w:r>
        <w:rPr>
          <w:rFonts w:hint="eastAsia" w:ascii="仿宋" w:hAnsi="仿宋" w:eastAsia="仿宋" w:cs="仿宋"/>
          <w:color w:val="auto"/>
          <w:highlight w:val="none"/>
        </w:rPr>
        <w:t>第二章  投标须知</w:t>
      </w:r>
      <w:bookmarkEnd w:id="11"/>
      <w:bookmarkEnd w:id="12"/>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4"/>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威海市水务集团有限公司选定塑料井年度供应商</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WHSW2026-003</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威海市水务集团有限公司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山东同力建设项目管理有限公司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山东省威海市奈古山路古山五巷16号鼎顺商务508</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徐华良、王丽霞</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0631-5812098</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见采购项目说明</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6"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玖仟</w:t>
            </w:r>
            <w:r>
              <w:rPr>
                <w:rFonts w:hint="eastAsia" w:ascii="仿宋" w:hAnsi="仿宋" w:eastAsia="仿宋" w:cs="仿宋"/>
                <w:color w:val="auto"/>
                <w:sz w:val="28"/>
                <w:szCs w:val="28"/>
                <w:highlight w:val="none"/>
                <w:u w:val="single"/>
              </w:rPr>
              <w:t>元</w:t>
            </w:r>
            <w:r>
              <w:rPr>
                <w:rFonts w:hint="eastAsia" w:ascii="仿宋" w:hAnsi="仿宋" w:eastAsia="仿宋" w:cs="仿宋"/>
                <w:color w:val="auto"/>
                <w:sz w:val="28"/>
                <w:szCs w:val="28"/>
                <w:highlight w:val="none"/>
              </w:rPr>
              <w:t>整。</w:t>
            </w:r>
          </w:p>
          <w:p w14:paraId="1F44DDD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2.交纳截止时间：电子投标文件提交截止时间前。</w:t>
            </w:r>
          </w:p>
          <w:p w14:paraId="3C42946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3.投标保证金的交纳单位必须与投标人名称一致，投标保证金须从其基本账户转出，否则其投标无效。</w:t>
            </w:r>
          </w:p>
          <w:p w14:paraId="5EFCD5B4">
            <w:pPr>
              <w:shd w:val="clear"/>
              <w:spacing w:line="240" w:lineRule="auto"/>
              <w:textAlignment w:val="top"/>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4.本项目的投标保证金必须通过威海市国有企业阳光采购电子化服务平台交纳。</w:t>
            </w:r>
          </w:p>
          <w:p w14:paraId="5BA1453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5.为确保投标工作有序进行，投标保证金应当在提交投标文件截止时间前（以到账时间为准）到达</w:t>
            </w:r>
            <w:r>
              <w:rPr>
                <w:rFonts w:hint="eastAsia" w:ascii="仿宋" w:hAnsi="仿宋" w:eastAsia="仿宋" w:cs="仿宋"/>
                <w:b/>
                <w:color w:val="auto"/>
                <w:sz w:val="28"/>
                <w:szCs w:val="28"/>
                <w:highlight w:val="none"/>
              </w:rPr>
              <w:t>威海公共资源交易服务有限公司</w:t>
            </w:r>
            <w:r>
              <w:rPr>
                <w:rFonts w:hint="eastAsia" w:ascii="仿宋" w:hAnsi="仿宋" w:eastAsia="仿宋" w:cs="仿宋"/>
                <w:color w:val="auto"/>
                <w:sz w:val="28"/>
                <w:szCs w:val="28"/>
                <w:highlight w:val="none"/>
              </w:rPr>
              <w:t>账户，以网银、电汇等方式一次性足额交纳保证金，不接受支付宝等第三方平台转账。禁止第三方代交。投标保证金交纳单位应与提交投标文件的投标人名称一致。</w:t>
            </w:r>
          </w:p>
          <w:p w14:paraId="10D8435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16"/>
          </w:p>
          <w:p w14:paraId="267E904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7.退还保证金：</w:t>
            </w:r>
            <w:r>
              <w:rPr>
                <w:rFonts w:hint="eastAsia" w:ascii="仿宋" w:hAnsi="仿宋" w:eastAsia="仿宋" w:cs="仿宋"/>
                <w:color w:val="auto"/>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730939F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本招标</w:t>
            </w:r>
            <w:r>
              <w:rPr>
                <w:rFonts w:hint="eastAsia" w:ascii="仿宋" w:hAnsi="仿宋" w:eastAsia="仿宋" w:cs="仿宋"/>
                <w:color w:val="auto"/>
                <w:sz w:val="28"/>
                <w:szCs w:val="28"/>
                <w:highlight w:val="none"/>
                <w:lang w:eastAsia="zh-CN"/>
              </w:rPr>
              <w:t>项目的招标代理服务费由中标单位交纳。招标代理服务费参照计价格[2002]1980 号文规定，</w:t>
            </w:r>
            <w:r>
              <w:rPr>
                <w:rFonts w:hint="eastAsia" w:ascii="仿宋" w:hAnsi="仿宋" w:eastAsia="仿宋" w:cs="仿宋"/>
                <w:color w:val="auto"/>
                <w:sz w:val="28"/>
                <w:szCs w:val="28"/>
                <w:highlight w:val="none"/>
                <w:lang w:val="en-US" w:eastAsia="zh-CN"/>
              </w:rPr>
              <w:t>按下列标准计算：</w:t>
            </w:r>
          </w:p>
          <w:p w14:paraId="2BFC5AE3">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招标代理费设下限：所有项目的招标代理费下限为3000元。</w:t>
            </w:r>
          </w:p>
          <w:p w14:paraId="24332FCD">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招标代理费分段计取。</w:t>
            </w:r>
          </w:p>
          <w:p w14:paraId="0AC1FA02">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即：先按1980号文标准取费计算标准总额，然后对照以下标准范围下浮。例如：按标准取费7万元的采购项目，符合下浮50%的标准，下浮后为3.5万元。</w:t>
            </w:r>
          </w:p>
          <w:p w14:paraId="22790F8C">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（1）按标准取费计算在3万以下的（含3万），按标准取费下浮20%。</w:t>
            </w:r>
          </w:p>
          <w:p w14:paraId="192417ED">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（2）按标准取费计算在3-6万元之间的（含6万），按标准取费下浮40%。</w:t>
            </w:r>
          </w:p>
          <w:p w14:paraId="439FE4E3">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（3）按标准取费计算在6万元以上的，按标准取费下浮50%。</w:t>
            </w:r>
          </w:p>
          <w:p w14:paraId="48D1F3C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（4）招标代理费上限15万元。</w:t>
            </w:r>
          </w:p>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此费用包含在投标报价中，招标人不再另行考虑。</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6A95452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5.投标人参与本项目需接受的风险：本次招标项目为</w:t>
            </w:r>
            <w:r>
              <w:rPr>
                <w:rFonts w:hint="eastAsia" w:ascii="仿宋" w:hAnsi="仿宋" w:eastAsia="仿宋" w:cs="仿宋"/>
                <w:color w:val="auto"/>
                <w:sz w:val="28"/>
                <w:szCs w:val="28"/>
                <w:highlight w:val="none"/>
                <w:lang w:eastAsia="zh-CN"/>
              </w:rPr>
              <w:t>威海市水务集团有限公司选定塑料井年度供应商</w:t>
            </w:r>
            <w:r>
              <w:rPr>
                <w:rFonts w:hint="eastAsia" w:ascii="仿宋" w:hAnsi="仿宋" w:eastAsia="仿宋" w:cs="仿宋"/>
                <w:color w:val="auto"/>
                <w:sz w:val="28"/>
                <w:szCs w:val="28"/>
                <w:highlight w:val="none"/>
              </w:rPr>
              <w:t>，投标人在中标后及合同期限内由招标人根据项目及中标人的实际情况安排后续供货情况，中标人的供货量有可能会出现数量少，不排除在服务期限内无供货情况的风险，以上风险不视为招标人违约。</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4"/>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7"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8" w:name="_Hlk58066797"/>
            <w:r>
              <w:rPr>
                <w:rFonts w:hint="eastAsia" w:ascii="仿宋" w:hAnsi="仿宋" w:eastAsia="仿宋" w:cs="仿宋"/>
                <w:color w:val="auto"/>
                <w:sz w:val="28"/>
                <w:szCs w:val="28"/>
                <w:highlight w:val="none"/>
              </w:rPr>
              <w:t>1.投标人有效的营业执照扫描件</w:t>
            </w:r>
            <w:r>
              <w:rPr>
                <w:rFonts w:hint="eastAsia" w:ascii="仿宋" w:hAnsi="仿宋" w:eastAsia="仿宋" w:cs="仿宋"/>
                <w:bCs/>
                <w:color w:val="auto"/>
                <w:spacing w:val="8"/>
                <w:kern w:val="0"/>
                <w:sz w:val="28"/>
                <w:szCs w:val="28"/>
                <w:highlight w:val="none"/>
              </w:rPr>
              <w:t>（若为</w:t>
            </w:r>
            <w:r>
              <w:rPr>
                <w:rFonts w:hint="eastAsia" w:ascii="仿宋" w:hAnsi="仿宋" w:eastAsia="仿宋" w:cs="仿宋"/>
                <w:bCs/>
                <w:color w:val="auto"/>
                <w:spacing w:val="8"/>
                <w:kern w:val="0"/>
                <w:sz w:val="28"/>
                <w:szCs w:val="28"/>
                <w:highlight w:val="none"/>
                <w:lang w:val="en-US" w:eastAsia="zh-CN"/>
              </w:rPr>
              <w:t>经销</w:t>
            </w:r>
            <w:r>
              <w:rPr>
                <w:rFonts w:hint="eastAsia" w:ascii="仿宋" w:hAnsi="仿宋" w:eastAsia="仿宋" w:cs="仿宋"/>
                <w:bCs/>
                <w:color w:val="auto"/>
                <w:spacing w:val="8"/>
                <w:kern w:val="0"/>
                <w:sz w:val="28"/>
                <w:szCs w:val="28"/>
                <w:highlight w:val="none"/>
              </w:rPr>
              <w:t>商还需提供生产商授权书扫描件）</w:t>
            </w:r>
            <w:r>
              <w:rPr>
                <w:rFonts w:hint="eastAsia" w:ascii="仿宋" w:hAnsi="仿宋" w:eastAsia="仿宋" w:cs="仿宋"/>
                <w:color w:val="auto"/>
                <w:sz w:val="28"/>
                <w:szCs w:val="28"/>
                <w:highlight w:val="none"/>
              </w:rPr>
              <w:t>；</w:t>
            </w:r>
          </w:p>
          <w:p w14:paraId="3929BAB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法定代表人身份证明、法定代表人身份证扫描件；</w:t>
            </w:r>
          </w:p>
          <w:p w14:paraId="209218F2">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.法定代表人授权委托书、被授权人身份证扫描件；</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8"/>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7"/>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4A24BA4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1.报价低于（或等于）</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w:t>
            </w:r>
          </w:p>
          <w:p w14:paraId="57A213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2.投标保证金：按招标文件要求交纳；</w:t>
            </w:r>
          </w:p>
          <w:p w14:paraId="2628574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3.投标文件按规定签署及盖章；</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4.供货期、质保期、质量标准等满足招标文件要求；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5.不存在招标文件规定的关于投标人串通投标的情形及其他投标无效的情形。</w:t>
            </w:r>
          </w:p>
        </w:tc>
      </w:tr>
    </w:tbl>
    <w:p w14:paraId="6B657B20">
      <w:pPr>
        <w:pStyle w:val="3"/>
        <w:shd w:val="clear"/>
        <w:spacing w:line="240" w:lineRule="auto"/>
        <w:rPr>
          <w:rStyle w:val="431"/>
          <w:rFonts w:hint="eastAsia" w:ascii="仿宋" w:hAnsi="仿宋" w:eastAsia="仿宋" w:cs="仿宋"/>
          <w:b/>
          <w:bCs/>
          <w:color w:val="auto"/>
          <w:kern w:val="2"/>
          <w:sz w:val="28"/>
          <w:szCs w:val="32"/>
          <w:highlight w:val="none"/>
        </w:rPr>
      </w:pPr>
      <w:bookmarkStart w:id="19" w:name="_Toc11187"/>
      <w:bookmarkStart w:id="20" w:name="_Toc66864042"/>
      <w:r>
        <w:rPr>
          <w:rStyle w:val="431"/>
          <w:rFonts w:hint="eastAsia" w:ascii="仿宋" w:hAnsi="仿宋" w:eastAsia="仿宋" w:cs="仿宋"/>
          <w:b/>
          <w:bCs/>
          <w:color w:val="auto"/>
          <w:kern w:val="2"/>
          <w:sz w:val="28"/>
          <w:szCs w:val="32"/>
          <w:highlight w:val="none"/>
        </w:rPr>
        <w:t>一、说明</w:t>
      </w:r>
      <w:bookmarkEnd w:id="19"/>
      <w:bookmarkEnd w:id="20"/>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1"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1"/>
    <w:p w14:paraId="7F222BA9">
      <w:pPr>
        <w:pStyle w:val="3"/>
        <w:shd w:val="clear"/>
        <w:spacing w:line="240" w:lineRule="auto"/>
        <w:rPr>
          <w:rStyle w:val="431"/>
          <w:rFonts w:hint="eastAsia" w:ascii="仿宋" w:hAnsi="仿宋" w:eastAsia="仿宋" w:cs="仿宋"/>
          <w:b/>
          <w:bCs/>
          <w:color w:val="auto"/>
          <w:kern w:val="2"/>
          <w:sz w:val="28"/>
          <w:szCs w:val="32"/>
          <w:highlight w:val="none"/>
        </w:rPr>
      </w:pPr>
      <w:bookmarkStart w:id="22" w:name="_Toc15271"/>
      <w:bookmarkStart w:id="23" w:name="_Toc66864043"/>
      <w:r>
        <w:rPr>
          <w:rStyle w:val="431"/>
          <w:rFonts w:hint="eastAsia" w:ascii="仿宋" w:hAnsi="仿宋" w:eastAsia="仿宋" w:cs="仿宋"/>
          <w:b/>
          <w:bCs/>
          <w:color w:val="auto"/>
          <w:kern w:val="2"/>
          <w:sz w:val="28"/>
          <w:szCs w:val="32"/>
          <w:highlight w:val="none"/>
        </w:rPr>
        <w:t>二、招标文件</w:t>
      </w:r>
      <w:bookmarkEnd w:id="22"/>
      <w:bookmarkEnd w:id="23"/>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4"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4"/>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5"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5"/>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3"/>
        <w:shd w:val="clear"/>
        <w:spacing w:line="240" w:lineRule="auto"/>
        <w:rPr>
          <w:rStyle w:val="431"/>
          <w:rFonts w:hint="eastAsia" w:ascii="仿宋" w:hAnsi="仿宋" w:eastAsia="仿宋" w:cs="仿宋"/>
          <w:b/>
          <w:bCs/>
          <w:color w:val="auto"/>
          <w:kern w:val="2"/>
          <w:sz w:val="28"/>
          <w:szCs w:val="32"/>
          <w:highlight w:val="none"/>
        </w:rPr>
      </w:pPr>
      <w:bookmarkStart w:id="26" w:name="_Toc66864044"/>
      <w:bookmarkStart w:id="27" w:name="_Toc15517"/>
      <w:r>
        <w:rPr>
          <w:rStyle w:val="431"/>
          <w:rFonts w:hint="eastAsia" w:ascii="仿宋" w:hAnsi="仿宋" w:eastAsia="仿宋" w:cs="仿宋"/>
          <w:b/>
          <w:bCs/>
          <w:color w:val="auto"/>
          <w:kern w:val="2"/>
          <w:sz w:val="28"/>
          <w:szCs w:val="32"/>
          <w:highlight w:val="none"/>
        </w:rPr>
        <w:t>三、投标文件的编制</w:t>
      </w:r>
      <w:bookmarkEnd w:id="26"/>
      <w:bookmarkEnd w:id="27"/>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8"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8"/>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29"/>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0BA011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6DE691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43247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0F2BB0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（4）投标（报价）一览表</w:t>
      </w:r>
    </w:p>
    <w:p w14:paraId="70514E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（5）报价明细表</w:t>
      </w:r>
    </w:p>
    <w:p w14:paraId="21E91F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（6）投标偏离表</w:t>
      </w:r>
    </w:p>
    <w:p w14:paraId="7FBDAC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（7）投标人信用承诺书</w:t>
      </w:r>
    </w:p>
    <w:p w14:paraId="54B95B3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（8）投标人资格证明文件</w:t>
      </w:r>
      <w:bookmarkEnd w:id="30"/>
    </w:p>
    <w:p w14:paraId="1F5F1DD5">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1）投标人有效的营业执照扫描件（若为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z w:val="28"/>
          <w:szCs w:val="28"/>
          <w:highlight w:val="none"/>
        </w:rPr>
        <w:t>商还需提供生产商授权书扫描件）；</w:t>
      </w:r>
    </w:p>
    <w:p w14:paraId="6FBFFCC4">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）法定代表人身份证明、法定代表人身份证扫描件；</w:t>
      </w:r>
    </w:p>
    <w:p w14:paraId="68AB29B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）法定代表人授权委托书、被授权人身份证扫描件；</w:t>
      </w:r>
    </w:p>
    <w:p w14:paraId="6428D28F">
      <w:pPr>
        <w:shd w:val="clear"/>
        <w:spacing w:line="240" w:lineRule="auto"/>
        <w:ind w:firstLine="702" w:firstLineChars="251"/>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CD7853D">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2E6E07CD">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p w14:paraId="5D04A24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p w14:paraId="35F87455">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）投标人认为需要提供的资质资格证明文件。</w:t>
      </w:r>
    </w:p>
    <w:p w14:paraId="5ADE934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w:t>
      </w:r>
      <w:r>
        <w:rPr>
          <w:rFonts w:hint="eastAsia" w:ascii="仿宋" w:hAnsi="仿宋" w:eastAsia="仿宋" w:cs="仿宋"/>
          <w:b/>
          <w:color w:val="auto"/>
          <w:sz w:val="28"/>
          <w:szCs w:val="28"/>
          <w:highlight w:val="none"/>
          <w:lang w:val="en-US" w:eastAsia="zh-CN"/>
        </w:rPr>
        <w:t>印</w:t>
      </w:r>
      <w:r>
        <w:rPr>
          <w:rFonts w:hint="eastAsia" w:ascii="仿宋" w:hAnsi="仿宋" w:eastAsia="仿宋" w:cs="仿宋"/>
          <w:b/>
          <w:color w:val="auto"/>
          <w:sz w:val="28"/>
          <w:szCs w:val="28"/>
          <w:highlight w:val="none"/>
        </w:rPr>
        <w:t>章。</w:t>
      </w:r>
    </w:p>
    <w:p w14:paraId="397609C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（9）投标人基本情况表</w:t>
      </w:r>
    </w:p>
    <w:p w14:paraId="11715C4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（10）投标人（或生产商）202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年1月1日至今承揽的类似项目业绩表</w:t>
      </w:r>
    </w:p>
    <w:p w14:paraId="7F0065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（11）技术文件</w:t>
      </w:r>
    </w:p>
    <w:p w14:paraId="68401B9D">
      <w:pPr>
        <w:shd w:val="clear"/>
        <w:spacing w:line="240" w:lineRule="auto"/>
        <w:ind w:firstLine="562" w:firstLineChars="201"/>
        <w:rPr>
          <w:rFonts w:hint="eastAsia" w:ascii="仿宋" w:hAnsi="仿宋" w:eastAsia="仿宋" w:cs="仿宋"/>
          <w:color w:val="auto"/>
          <w:sz w:val="28"/>
          <w:szCs w:val="28"/>
          <w:highlight w:val="none"/>
        </w:rPr>
      </w:pPr>
      <w:bookmarkStart w:id="31" w:name="_Hlk154667818"/>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1"/>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2"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2"/>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3"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3"/>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4"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51"/>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4"/>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5"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5"/>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6"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3"/>
        <w:shd w:val="clear"/>
        <w:spacing w:line="240" w:lineRule="auto"/>
        <w:rPr>
          <w:rStyle w:val="431"/>
          <w:rFonts w:hint="eastAsia" w:ascii="仿宋" w:hAnsi="仿宋" w:eastAsia="仿宋" w:cs="仿宋"/>
          <w:b/>
          <w:bCs/>
          <w:color w:val="auto"/>
          <w:kern w:val="2"/>
          <w:sz w:val="28"/>
          <w:szCs w:val="32"/>
          <w:highlight w:val="none"/>
        </w:rPr>
      </w:pPr>
      <w:bookmarkStart w:id="37" w:name="_Toc66864045"/>
      <w:bookmarkStart w:id="38" w:name="_Toc7736"/>
      <w:r>
        <w:rPr>
          <w:rStyle w:val="431"/>
          <w:rFonts w:hint="eastAsia" w:ascii="仿宋" w:hAnsi="仿宋" w:eastAsia="仿宋" w:cs="仿宋"/>
          <w:b/>
          <w:bCs/>
          <w:color w:val="auto"/>
          <w:kern w:val="2"/>
          <w:sz w:val="28"/>
          <w:szCs w:val="32"/>
          <w:highlight w:val="none"/>
        </w:rPr>
        <w:t>四、投标文件的提交</w:t>
      </w:r>
      <w:bookmarkEnd w:id="37"/>
      <w:bookmarkEnd w:id="38"/>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39"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39"/>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6"/>
    <w:p w14:paraId="02B53B70">
      <w:pPr>
        <w:pStyle w:val="3"/>
        <w:shd w:val="clear"/>
        <w:spacing w:line="240" w:lineRule="auto"/>
        <w:rPr>
          <w:rFonts w:hint="eastAsia" w:ascii="仿宋" w:hAnsi="仿宋" w:eastAsia="仿宋" w:cs="仿宋"/>
          <w:b w:val="0"/>
          <w:color w:val="auto"/>
          <w:szCs w:val="28"/>
          <w:highlight w:val="none"/>
        </w:rPr>
      </w:pPr>
      <w:bookmarkStart w:id="40" w:name="_Toc10016"/>
      <w:r>
        <w:rPr>
          <w:rStyle w:val="431"/>
          <w:rFonts w:hint="eastAsia" w:ascii="仿宋" w:hAnsi="仿宋" w:eastAsia="仿宋" w:cs="仿宋"/>
          <w:b/>
          <w:bCs/>
          <w:color w:val="auto"/>
          <w:kern w:val="2"/>
          <w:sz w:val="28"/>
          <w:szCs w:val="32"/>
          <w:highlight w:val="none"/>
        </w:rPr>
        <w:t>五、开标与评审</w:t>
      </w:r>
      <w:bookmarkEnd w:id="40"/>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1"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1"/>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2"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2"/>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3"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tljs2018@126.com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3"/>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4" w:name="_Hlk154668119"/>
      <w:bookmarkStart w:id="45"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4"/>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6"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6"/>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7"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7"/>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8"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8"/>
    <w:p w14:paraId="74AE747E">
      <w:pPr>
        <w:shd w:val="clear"/>
        <w:spacing w:line="240" w:lineRule="auto"/>
        <w:ind w:firstLine="562" w:firstLineChars="201"/>
        <w:rPr>
          <w:rFonts w:hint="eastAsia" w:ascii="仿宋" w:hAnsi="仿宋" w:eastAsia="仿宋" w:cs="仿宋"/>
          <w:color w:val="auto"/>
          <w:sz w:val="28"/>
          <w:szCs w:val="28"/>
          <w:highlight w:val="none"/>
        </w:rPr>
      </w:pPr>
      <w:bookmarkStart w:id="49"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5"/>
    <w:bookmarkEnd w:id="49"/>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0"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0"/>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1"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1"/>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2"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2"/>
      <w:bookmarkStart w:id="53"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4"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4"/>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5" w:name="_Hlk154668255"/>
      <w:bookmarkStart w:id="56"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5"/>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7" w:name="_Hlk154668262"/>
      <w:r>
        <w:rPr>
          <w:rFonts w:hint="eastAsia" w:ascii="仿宋" w:hAnsi="仿宋" w:eastAsia="仿宋" w:cs="仿宋"/>
          <w:b/>
          <w:color w:val="auto"/>
          <w:sz w:val="28"/>
          <w:szCs w:val="28"/>
          <w:highlight w:val="none"/>
        </w:rPr>
        <w:t>25.投标文件的澄清</w:t>
      </w:r>
    </w:p>
    <w:bookmarkEnd w:id="53"/>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7"/>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8"/>
      <w:bookmarkStart w:id="59"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6"/>
      <w:r>
        <w:rPr>
          <w:rFonts w:hint="eastAsia" w:ascii="仿宋" w:hAnsi="仿宋" w:eastAsia="仿宋" w:cs="仿宋"/>
          <w:color w:val="auto"/>
          <w:sz w:val="28"/>
          <w:szCs w:val="28"/>
          <w:highlight w:val="none"/>
        </w:rPr>
        <w:t>。</w:t>
      </w:r>
      <w:bookmarkEnd w:id="59"/>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0"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0"/>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1"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1"/>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2"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2"/>
      <w:r>
        <w:rPr>
          <w:rFonts w:hint="eastAsia" w:ascii="仿宋" w:hAnsi="仿宋" w:eastAsia="仿宋" w:cs="仿宋"/>
          <w:color w:val="auto"/>
          <w:sz w:val="28"/>
          <w:szCs w:val="28"/>
          <w:highlight w:val="none"/>
        </w:rPr>
        <w:t>。</w:t>
      </w:r>
    </w:p>
    <w:p w14:paraId="509E175B">
      <w:pPr>
        <w:pStyle w:val="3"/>
        <w:shd w:val="clear"/>
        <w:spacing w:line="240" w:lineRule="auto"/>
        <w:rPr>
          <w:rStyle w:val="431"/>
          <w:rFonts w:hint="eastAsia" w:ascii="仿宋" w:hAnsi="仿宋" w:eastAsia="仿宋" w:cs="仿宋"/>
          <w:b/>
          <w:bCs/>
          <w:color w:val="auto"/>
          <w:kern w:val="2"/>
          <w:sz w:val="28"/>
          <w:szCs w:val="32"/>
          <w:highlight w:val="none"/>
        </w:rPr>
      </w:pPr>
      <w:bookmarkStart w:id="63" w:name="_Toc12718"/>
      <w:bookmarkStart w:id="64" w:name="_Toc66864047"/>
      <w:r>
        <w:rPr>
          <w:rStyle w:val="431"/>
          <w:rFonts w:hint="eastAsia" w:ascii="仿宋" w:hAnsi="仿宋" w:eastAsia="仿宋" w:cs="仿宋"/>
          <w:b/>
          <w:bCs/>
          <w:color w:val="auto"/>
          <w:kern w:val="2"/>
          <w:sz w:val="28"/>
          <w:szCs w:val="32"/>
          <w:highlight w:val="none"/>
        </w:rPr>
        <w:t>六、定标</w:t>
      </w:r>
      <w:bookmarkEnd w:id="63"/>
      <w:bookmarkEnd w:id="64"/>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5"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5"/>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6"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6"/>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前两名</w:t>
      </w:r>
      <w:r>
        <w:rPr>
          <w:rFonts w:hint="eastAsia" w:ascii="仿宋" w:hAnsi="仿宋" w:eastAsia="仿宋" w:cs="仿宋"/>
          <w:color w:val="auto"/>
          <w:sz w:val="28"/>
          <w:szCs w:val="28"/>
          <w:highlight w:val="none"/>
        </w:rPr>
        <w:t>的投标人为中标人。</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3"/>
        <w:shd w:val="clear"/>
        <w:spacing w:line="240" w:lineRule="auto"/>
        <w:rPr>
          <w:rStyle w:val="431"/>
          <w:rFonts w:hint="eastAsia" w:ascii="仿宋" w:hAnsi="仿宋" w:eastAsia="仿宋" w:cs="仿宋"/>
          <w:b/>
          <w:bCs/>
          <w:color w:val="auto"/>
          <w:kern w:val="2"/>
          <w:sz w:val="28"/>
          <w:szCs w:val="32"/>
          <w:highlight w:val="none"/>
        </w:rPr>
      </w:pPr>
      <w:bookmarkStart w:id="67" w:name="_Toc66864048"/>
      <w:bookmarkStart w:id="68" w:name="_Toc22244"/>
      <w:r>
        <w:rPr>
          <w:rStyle w:val="431"/>
          <w:rFonts w:hint="eastAsia" w:ascii="仿宋" w:hAnsi="仿宋" w:eastAsia="仿宋" w:cs="仿宋"/>
          <w:b/>
          <w:bCs/>
          <w:color w:val="auto"/>
          <w:kern w:val="2"/>
          <w:sz w:val="28"/>
          <w:szCs w:val="32"/>
          <w:highlight w:val="none"/>
        </w:rPr>
        <w:t>七、结果</w:t>
      </w:r>
      <w:bookmarkEnd w:id="67"/>
      <w:r>
        <w:rPr>
          <w:rStyle w:val="431"/>
          <w:rFonts w:hint="eastAsia" w:ascii="仿宋" w:hAnsi="仿宋" w:eastAsia="仿宋" w:cs="仿宋"/>
          <w:b/>
          <w:bCs/>
          <w:color w:val="auto"/>
          <w:kern w:val="2"/>
          <w:sz w:val="28"/>
          <w:szCs w:val="32"/>
          <w:highlight w:val="none"/>
        </w:rPr>
        <w:t>公示</w:t>
      </w:r>
      <w:bookmarkEnd w:id="68"/>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3"/>
        <w:shd w:val="clear"/>
        <w:spacing w:line="240" w:lineRule="auto"/>
        <w:rPr>
          <w:rStyle w:val="431"/>
          <w:rFonts w:hint="eastAsia" w:ascii="仿宋" w:hAnsi="仿宋" w:eastAsia="仿宋" w:cs="仿宋"/>
          <w:b/>
          <w:bCs/>
          <w:color w:val="auto"/>
          <w:kern w:val="2"/>
          <w:sz w:val="28"/>
          <w:szCs w:val="32"/>
          <w:highlight w:val="none"/>
        </w:rPr>
      </w:pPr>
      <w:bookmarkStart w:id="69" w:name="_Toc66864049"/>
      <w:bookmarkStart w:id="70" w:name="_Toc14994"/>
      <w:r>
        <w:rPr>
          <w:rStyle w:val="431"/>
          <w:rFonts w:hint="eastAsia" w:ascii="仿宋" w:hAnsi="仿宋" w:eastAsia="仿宋" w:cs="仿宋"/>
          <w:b/>
          <w:bCs/>
          <w:color w:val="auto"/>
          <w:kern w:val="2"/>
          <w:sz w:val="28"/>
          <w:szCs w:val="32"/>
          <w:highlight w:val="none"/>
        </w:rPr>
        <w:t>八、质疑</w:t>
      </w:r>
      <w:bookmarkEnd w:id="69"/>
      <w:bookmarkEnd w:id="70"/>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24635280">
      <w:pPr>
        <w:pStyle w:val="3"/>
        <w:shd w:val="clear"/>
        <w:spacing w:line="240" w:lineRule="auto"/>
        <w:rPr>
          <w:rStyle w:val="431"/>
          <w:rFonts w:hint="eastAsia" w:ascii="仿宋" w:hAnsi="仿宋" w:eastAsia="仿宋" w:cs="仿宋"/>
          <w:b/>
          <w:bCs/>
          <w:color w:val="auto"/>
          <w:kern w:val="2"/>
          <w:sz w:val="28"/>
          <w:szCs w:val="32"/>
          <w:highlight w:val="none"/>
        </w:rPr>
      </w:pPr>
      <w:bookmarkStart w:id="71" w:name="_Toc66864050"/>
      <w:bookmarkStart w:id="72" w:name="_Toc28613"/>
      <w:r>
        <w:rPr>
          <w:rStyle w:val="431"/>
          <w:rFonts w:hint="eastAsia" w:ascii="仿宋" w:hAnsi="仿宋" w:eastAsia="仿宋" w:cs="仿宋"/>
          <w:b/>
          <w:bCs/>
          <w:color w:val="auto"/>
          <w:kern w:val="2"/>
          <w:sz w:val="28"/>
          <w:szCs w:val="32"/>
          <w:highlight w:val="none"/>
        </w:rPr>
        <w:t>九、签订合同</w:t>
      </w:r>
      <w:bookmarkEnd w:id="71"/>
      <w:bookmarkEnd w:id="72"/>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18"/>
        <w:shd w:val="clear"/>
        <w:spacing w:line="240" w:lineRule="auto"/>
        <w:rPr>
          <w:rFonts w:hint="eastAsia" w:ascii="仿宋" w:hAnsi="仿宋" w:eastAsia="仿宋" w:cs="仿宋"/>
          <w:color w:val="auto"/>
          <w:highlight w:val="none"/>
        </w:rPr>
      </w:pPr>
    </w:p>
    <w:bookmarkEnd w:id="13"/>
    <w:bookmarkEnd w:id="14"/>
    <w:bookmarkEnd w:id="15"/>
    <w:p w14:paraId="64DF36E8">
      <w:pPr>
        <w:rPr>
          <w:rFonts w:hint="eastAsia" w:ascii="仿宋" w:hAnsi="仿宋" w:eastAsia="仿宋" w:cs="仿宋"/>
          <w:color w:val="auto"/>
          <w:highlight w:val="none"/>
        </w:rPr>
      </w:pPr>
      <w:bookmarkStart w:id="73" w:name="_Toc66864053"/>
      <w:bookmarkStart w:id="74" w:name="_Toc24804"/>
      <w:bookmarkStart w:id="75" w:name="_Toc413596397"/>
      <w:bookmarkStart w:id="76" w:name="_Toc382129915"/>
      <w:bookmarkStart w:id="77" w:name="_Toc266431156"/>
      <w:r>
        <w:rPr>
          <w:rFonts w:hint="eastAsia" w:ascii="仿宋" w:hAnsi="仿宋" w:eastAsia="仿宋" w:cs="仿宋"/>
          <w:color w:val="auto"/>
          <w:highlight w:val="none"/>
        </w:rPr>
        <w:br w:type="page"/>
      </w:r>
    </w:p>
    <w:p w14:paraId="7E7CA614">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第三章  </w:t>
      </w:r>
      <w:bookmarkEnd w:id="73"/>
      <w:r>
        <w:rPr>
          <w:rFonts w:hint="eastAsia" w:ascii="仿宋" w:hAnsi="仿宋" w:eastAsia="仿宋" w:cs="仿宋"/>
          <w:color w:val="auto"/>
          <w:highlight w:val="none"/>
        </w:rPr>
        <w:t>开标、评标、定标</w:t>
      </w:r>
      <w:bookmarkEnd w:id="74"/>
    </w:p>
    <w:p w14:paraId="27B391D8">
      <w:pPr>
        <w:pStyle w:val="3"/>
        <w:shd w:val="clear"/>
        <w:spacing w:line="240" w:lineRule="auto"/>
        <w:rPr>
          <w:rStyle w:val="431"/>
          <w:rFonts w:hint="eastAsia" w:ascii="仿宋" w:hAnsi="仿宋" w:eastAsia="仿宋" w:cs="仿宋"/>
          <w:b/>
          <w:bCs/>
          <w:color w:val="auto"/>
          <w:kern w:val="2"/>
          <w:sz w:val="28"/>
          <w:szCs w:val="32"/>
          <w:highlight w:val="none"/>
        </w:rPr>
      </w:pPr>
      <w:bookmarkStart w:id="78" w:name="_Toc1808"/>
      <w:r>
        <w:rPr>
          <w:rStyle w:val="431"/>
          <w:rFonts w:hint="eastAsia" w:ascii="仿宋" w:hAnsi="仿宋" w:eastAsia="仿宋" w:cs="仿宋"/>
          <w:b/>
          <w:bCs/>
          <w:color w:val="auto"/>
          <w:kern w:val="2"/>
          <w:sz w:val="28"/>
          <w:szCs w:val="32"/>
          <w:highlight w:val="none"/>
        </w:rPr>
        <w:t>一、开标</w:t>
      </w:r>
      <w:bookmarkEnd w:id="78"/>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3"/>
        <w:shd w:val="clear"/>
        <w:spacing w:line="240" w:lineRule="auto"/>
        <w:rPr>
          <w:rStyle w:val="431"/>
          <w:rFonts w:hint="eastAsia" w:ascii="仿宋" w:hAnsi="仿宋" w:eastAsia="仿宋" w:cs="仿宋"/>
          <w:b/>
          <w:bCs/>
          <w:color w:val="auto"/>
          <w:kern w:val="2"/>
          <w:sz w:val="28"/>
          <w:szCs w:val="32"/>
          <w:highlight w:val="none"/>
        </w:rPr>
      </w:pPr>
      <w:bookmarkStart w:id="79" w:name="_Toc25821"/>
      <w:r>
        <w:rPr>
          <w:rStyle w:val="431"/>
          <w:rFonts w:hint="eastAsia" w:ascii="仿宋" w:hAnsi="仿宋" w:eastAsia="仿宋" w:cs="仿宋"/>
          <w:b/>
          <w:bCs/>
          <w:color w:val="auto"/>
          <w:kern w:val="2"/>
          <w:sz w:val="28"/>
          <w:szCs w:val="32"/>
          <w:highlight w:val="none"/>
        </w:rPr>
        <w:t>二、评标</w:t>
      </w:r>
      <w:bookmarkEnd w:id="79"/>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4"/>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投标人投标报价等于评标基准价的，得满分40分。投标报价每高于评标基准价1％扣0.5分，每低于评标基准价1％扣0.25分，最低计至0分，偏离不足1%的，按照插入法计算得分，得分精确到小数点后2位。</w:t>
            </w:r>
          </w:p>
          <w:p w14:paraId="3B4F71C5">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3"/>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40.00</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763312">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13" w:type="dxa"/>
            <w:vAlign w:val="center"/>
          </w:tcPr>
          <w:p w14:paraId="0B2257E8">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业绩</w:t>
            </w:r>
          </w:p>
        </w:tc>
        <w:tc>
          <w:tcPr>
            <w:tcW w:w="5464" w:type="dxa"/>
            <w:vAlign w:val="center"/>
          </w:tcPr>
          <w:p w14:paraId="0D6C9B0E">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投标人（或生产商）202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年1月1日至今承揽的类似项目业绩（包括年度供货合同），每有一项得1分，本项最高得5分。</w:t>
            </w:r>
          </w:p>
          <w:p w14:paraId="35D045F0">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需将合同扫描件附在投标文件中，合同扫描件应能体现业主名称、项目名称及项目主要内容，时间以合同签订时间为准，否则不得分。</w:t>
            </w:r>
          </w:p>
          <w:p w14:paraId="44B3307A">
            <w:pPr>
              <w:pStyle w:val="13"/>
              <w:shd w:val="clear"/>
              <w:spacing w:line="400" w:lineRule="exact"/>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类似项目是指：</w:t>
            </w:r>
            <w:r>
              <w:rPr>
                <w:rFonts w:hint="eastAsia" w:ascii="仿宋" w:hAnsi="仿宋" w:eastAsia="仿宋" w:cs="仿宋"/>
                <w:bCs/>
                <w:color w:val="auto"/>
                <w:spacing w:val="8"/>
                <w:kern w:val="0"/>
                <w:sz w:val="28"/>
                <w:szCs w:val="28"/>
                <w:highlight w:val="none"/>
                <w:lang w:val="en-US" w:eastAsia="zh-CN"/>
              </w:rPr>
              <w:t>塑料井</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w:t>
            </w:r>
          </w:p>
        </w:tc>
        <w:tc>
          <w:tcPr>
            <w:tcW w:w="1134" w:type="dxa"/>
            <w:vAlign w:val="center"/>
          </w:tcPr>
          <w:p w14:paraId="476F7C3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023" w:type="dxa"/>
            <w:vAlign w:val="center"/>
          </w:tcPr>
          <w:p w14:paraId="15C8BC1C">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产品质量</w:t>
            </w:r>
          </w:p>
        </w:tc>
        <w:tc>
          <w:tcPr>
            <w:tcW w:w="5464" w:type="dxa"/>
            <w:vAlign w:val="center"/>
          </w:tcPr>
          <w:p w14:paraId="0E36280E">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评标委员会根据投标文件中产品质量、产品质量检测报告情况等进行分析比较，按照以下标准进行打分。</w:t>
            </w:r>
          </w:p>
          <w:p w14:paraId="4A5A6877">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【17分-25分（含）】投标人所投报产品质量可靠，符合国家标准，产品制作标准、技术水平较高，能够满足供货要求，有突出的技术优势。</w:t>
            </w:r>
          </w:p>
          <w:p w14:paraId="1DCDFF7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【8分-17分（含）】投标人所投报产品质量较可靠，能够较好的满足招标需求。</w:t>
            </w:r>
          </w:p>
          <w:p w14:paraId="5646B389">
            <w:pPr>
              <w:pStyle w:val="13"/>
              <w:shd w:val="clear"/>
              <w:spacing w:line="400" w:lineRule="exact"/>
              <w:ind w:firstLineChars="1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【0分-8分（含）】投标人所投报产品质量能满足招标文件的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24402FD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25.00</w:t>
            </w:r>
          </w:p>
        </w:tc>
      </w:tr>
      <w:tr w14:paraId="13972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21E83BD">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2EC856D4">
            <w:pPr>
              <w:pStyle w:val="13"/>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供货方案</w:t>
            </w:r>
          </w:p>
        </w:tc>
        <w:tc>
          <w:tcPr>
            <w:tcW w:w="5464" w:type="dxa"/>
            <w:vAlign w:val="center"/>
          </w:tcPr>
          <w:p w14:paraId="0DBB69D8">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评标委员会根据投标文件中供货方案等进行分析比较，按照以下标准进行打分。</w:t>
            </w:r>
          </w:p>
          <w:p w14:paraId="70A665EB">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【10分-15分（含）】投标人的供货方案合理；整体进度、人员职责安排得当；组织实施方案严谨、科学、可操作性强；供货期安排合理，能有效保证本项目的实施，具有明显的优势。</w:t>
            </w:r>
          </w:p>
          <w:p w14:paraId="220BC2CF">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【5分-10分（含）】投标人的供货方案整体进度、组织安排等较为合理；能够</w:t>
            </w:r>
            <w:r>
              <w:rPr>
                <w:rFonts w:hint="eastAsia" w:ascii="仿宋" w:hAnsi="仿宋" w:eastAsia="仿宋" w:cs="仿宋"/>
                <w:color w:val="auto"/>
                <w:sz w:val="28"/>
                <w:szCs w:val="28"/>
                <w:highlight w:val="none"/>
                <w:lang w:val="en-US" w:eastAsia="zh-CN"/>
              </w:rPr>
              <w:t>较好</w:t>
            </w:r>
            <w:r>
              <w:rPr>
                <w:rFonts w:hint="eastAsia" w:ascii="仿宋" w:hAnsi="仿宋" w:eastAsia="仿宋" w:cs="仿宋"/>
                <w:color w:val="auto"/>
                <w:sz w:val="28"/>
                <w:szCs w:val="28"/>
                <w:highlight w:val="none"/>
              </w:rPr>
              <w:t>满足招标文件的需求。</w:t>
            </w:r>
          </w:p>
          <w:p w14:paraId="0301717C">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【0分-5分（含）】投标人的供货方案能满足招标文件的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4A7D3349">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3801144A">
            <w:pPr>
              <w:pStyle w:val="13"/>
              <w:shd w:val="clear"/>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8"/>
                <w:szCs w:val="28"/>
                <w:highlight w:val="none"/>
              </w:rPr>
              <w:t>15.00</w:t>
            </w:r>
          </w:p>
        </w:tc>
      </w:tr>
      <w:tr w14:paraId="1C3C6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35069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1413" w:type="dxa"/>
            <w:vAlign w:val="center"/>
          </w:tcPr>
          <w:p w14:paraId="749099B6">
            <w:pPr>
              <w:pStyle w:val="13"/>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售后服务承诺</w:t>
            </w:r>
          </w:p>
        </w:tc>
        <w:tc>
          <w:tcPr>
            <w:tcW w:w="5464" w:type="dxa"/>
            <w:vAlign w:val="center"/>
          </w:tcPr>
          <w:p w14:paraId="02DCB181">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评标委员会根据投标文件中售后服务承诺等进行分析比较，按照以下标准进行打分。</w:t>
            </w:r>
          </w:p>
          <w:p w14:paraId="2247AE11">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【10分-15分（含）】具有良好的售后服务团队，响应时间快速、售后服务方案周详；提供详尽的售后服务承诺和计划安排，很好的满足招标人要求。</w:t>
            </w:r>
          </w:p>
          <w:p w14:paraId="390FC106">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【5分-10分（含）】售后服务方案较周详，可</w:t>
            </w:r>
            <w:r>
              <w:rPr>
                <w:rFonts w:hint="eastAsia" w:ascii="仿宋" w:hAnsi="仿宋" w:eastAsia="仿宋" w:cs="仿宋"/>
                <w:color w:val="auto"/>
                <w:sz w:val="28"/>
                <w:szCs w:val="28"/>
                <w:highlight w:val="none"/>
                <w:lang w:val="en-US" w:eastAsia="zh-CN"/>
              </w:rPr>
              <w:t>较好</w:t>
            </w:r>
            <w:r>
              <w:rPr>
                <w:rFonts w:hint="eastAsia" w:ascii="仿宋" w:hAnsi="仿宋" w:eastAsia="仿宋" w:cs="仿宋"/>
                <w:color w:val="auto"/>
                <w:sz w:val="28"/>
                <w:szCs w:val="28"/>
                <w:highlight w:val="none"/>
              </w:rPr>
              <w:t>满足招标人要求。</w:t>
            </w:r>
          </w:p>
          <w:p w14:paraId="59DF7FC8">
            <w:pPr>
              <w:shd w:val="clear"/>
              <w:spacing w:line="400" w:lineRule="exact"/>
              <w:ind w:firstLine="42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【0分-5分（含）】售后服务方案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承诺能满足招标文件的</w:t>
            </w:r>
            <w:r>
              <w:rPr>
                <w:rFonts w:hint="eastAsia" w:ascii="仿宋" w:hAnsi="仿宋" w:eastAsia="仿宋" w:cs="仿宋"/>
                <w:color w:val="auto"/>
                <w:sz w:val="28"/>
                <w:szCs w:val="28"/>
                <w:highlight w:val="none"/>
                <w:lang w:val="en-US" w:eastAsia="zh-CN"/>
              </w:rPr>
              <w:t>基本</w:t>
            </w:r>
            <w:r>
              <w:rPr>
                <w:rFonts w:hint="eastAsia" w:ascii="仿宋" w:hAnsi="仿宋" w:eastAsia="仿宋" w:cs="仿宋"/>
                <w:color w:val="auto"/>
                <w:sz w:val="28"/>
                <w:szCs w:val="28"/>
                <w:highlight w:val="none"/>
              </w:rPr>
              <w:t>要求。</w:t>
            </w:r>
          </w:p>
        </w:tc>
        <w:tc>
          <w:tcPr>
            <w:tcW w:w="1134" w:type="dxa"/>
            <w:vAlign w:val="center"/>
          </w:tcPr>
          <w:p w14:paraId="629DDBAA">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13A1D62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0" w:name="_Toc25525"/>
      <w:r>
        <w:rPr>
          <w:rStyle w:val="431"/>
          <w:rFonts w:hint="eastAsia" w:ascii="仿宋" w:hAnsi="仿宋" w:eastAsia="仿宋" w:cs="仿宋"/>
          <w:b/>
          <w:bCs/>
          <w:color w:val="auto"/>
          <w:kern w:val="2"/>
          <w:sz w:val="28"/>
          <w:szCs w:val="32"/>
          <w:highlight w:val="none"/>
        </w:rPr>
        <w:t>三、编写评标报告</w:t>
      </w:r>
      <w:bookmarkEnd w:id="80"/>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1" w:name="_Toc17123"/>
      <w:r>
        <w:rPr>
          <w:rStyle w:val="431"/>
          <w:rFonts w:hint="eastAsia" w:ascii="仿宋" w:hAnsi="仿宋" w:eastAsia="仿宋" w:cs="仿宋"/>
          <w:b/>
          <w:bCs/>
          <w:color w:val="auto"/>
          <w:kern w:val="2"/>
          <w:sz w:val="28"/>
          <w:szCs w:val="32"/>
          <w:highlight w:val="none"/>
        </w:rPr>
        <w:t>四、定标</w:t>
      </w:r>
      <w:bookmarkEnd w:id="81"/>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人为中标人。如发现中标人存在与招标文件、投标文件不符或弄虚作假等其它违法行为、经查实中标人存在被限制其投标的不良行为等情况，经招标人同意，取消中标人资格，由排名次之的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2" w:name="_Toc25834"/>
      <w:r>
        <w:rPr>
          <w:rStyle w:val="431"/>
          <w:rFonts w:hint="eastAsia" w:ascii="仿宋" w:hAnsi="仿宋" w:eastAsia="仿宋" w:cs="仿宋"/>
          <w:b/>
          <w:bCs/>
          <w:color w:val="auto"/>
          <w:kern w:val="2"/>
          <w:sz w:val="28"/>
          <w:szCs w:val="32"/>
          <w:highlight w:val="none"/>
        </w:rPr>
        <w:t>五、结果公示</w:t>
      </w:r>
      <w:bookmarkEnd w:id="82"/>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3" w:name="_Toc2064"/>
      <w:r>
        <w:rPr>
          <w:rStyle w:val="431"/>
          <w:rFonts w:hint="eastAsia" w:ascii="仿宋" w:hAnsi="仿宋" w:eastAsia="仿宋" w:cs="仿宋"/>
          <w:b/>
          <w:bCs/>
          <w:color w:val="auto"/>
          <w:kern w:val="2"/>
          <w:sz w:val="28"/>
          <w:szCs w:val="32"/>
          <w:highlight w:val="none"/>
        </w:rPr>
        <w:t>六、签发中标通知书</w:t>
      </w:r>
      <w:bookmarkEnd w:id="83"/>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3"/>
        <w:shd w:val="clear"/>
        <w:spacing w:before="0" w:after="0" w:line="240" w:lineRule="auto"/>
        <w:rPr>
          <w:rStyle w:val="431"/>
          <w:rFonts w:hint="eastAsia" w:ascii="仿宋" w:hAnsi="仿宋" w:eastAsia="仿宋" w:cs="仿宋"/>
          <w:b/>
          <w:bCs/>
          <w:color w:val="auto"/>
          <w:kern w:val="2"/>
          <w:sz w:val="28"/>
          <w:szCs w:val="32"/>
          <w:highlight w:val="none"/>
        </w:rPr>
      </w:pPr>
      <w:bookmarkStart w:id="84" w:name="_Toc27419"/>
      <w:r>
        <w:rPr>
          <w:rStyle w:val="431"/>
          <w:rFonts w:hint="eastAsia" w:ascii="仿宋" w:hAnsi="仿宋" w:eastAsia="仿宋" w:cs="仿宋"/>
          <w:b/>
          <w:bCs/>
          <w:color w:val="auto"/>
          <w:kern w:val="2"/>
          <w:sz w:val="28"/>
          <w:szCs w:val="32"/>
          <w:highlight w:val="none"/>
        </w:rPr>
        <w:t>七、签订合同</w:t>
      </w:r>
      <w:bookmarkEnd w:id="84"/>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5"/>
    <w:bookmarkEnd w:id="76"/>
    <w:bookmarkEnd w:id="77"/>
    <w:p w14:paraId="37E9AEFA">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5" w:name="_Toc25592"/>
      <w:bookmarkStart w:id="86" w:name="_Toc66864054"/>
      <w:r>
        <w:rPr>
          <w:rFonts w:hint="eastAsia" w:ascii="仿宋" w:hAnsi="仿宋" w:eastAsia="仿宋" w:cs="仿宋"/>
          <w:color w:val="auto"/>
          <w:highlight w:val="none"/>
        </w:rPr>
        <w:t>第四章  采购项目说明</w:t>
      </w:r>
      <w:bookmarkEnd w:id="85"/>
    </w:p>
    <w:p w14:paraId="7B0CDA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一、项目名称：</w:t>
      </w:r>
      <w:r>
        <w:rPr>
          <w:rFonts w:hint="eastAsia" w:ascii="仿宋" w:hAnsi="仿宋" w:eastAsia="仿宋" w:cs="仿宋"/>
          <w:bCs/>
          <w:color w:val="auto"/>
          <w:spacing w:val="8"/>
          <w:kern w:val="0"/>
          <w:sz w:val="28"/>
          <w:szCs w:val="28"/>
          <w:highlight w:val="none"/>
          <w:lang w:val="en-US" w:eastAsia="zh-CN"/>
        </w:rPr>
        <w:t>威海市水务集团有限公司选定塑料井年度供应商。</w:t>
      </w:r>
    </w:p>
    <w:p w14:paraId="0C2950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二、项目概况：</w:t>
      </w:r>
      <w:r>
        <w:rPr>
          <w:rFonts w:hint="eastAsia" w:ascii="仿宋" w:hAnsi="仿宋" w:eastAsia="仿宋" w:cs="仿宋"/>
          <w:bCs/>
          <w:color w:val="auto"/>
          <w:spacing w:val="8"/>
          <w:kern w:val="0"/>
          <w:sz w:val="28"/>
          <w:szCs w:val="28"/>
          <w:highlight w:val="none"/>
          <w:lang w:val="en-US" w:eastAsia="zh-CN"/>
        </w:rPr>
        <w:t>威海市水务集团有限公司选定1家塑料井年度供应商。年计划采购量只作为投标参考使用，实际采购数量可适时调整，并据实结算，实际采购量多于或少于年用量均不视为违约。各种规格分批次采购，每批次的规格、数量、进场时间等以招标人通知为准。招标控制价见采购项目说明。</w:t>
      </w:r>
    </w:p>
    <w:p w14:paraId="5D78619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三、供货期：</w:t>
      </w:r>
      <w:r>
        <w:rPr>
          <w:rFonts w:hint="eastAsia" w:ascii="仿宋" w:hAnsi="仿宋" w:eastAsia="仿宋" w:cs="仿宋"/>
          <w:bCs/>
          <w:color w:val="auto"/>
          <w:spacing w:val="8"/>
          <w:kern w:val="0"/>
          <w:sz w:val="28"/>
          <w:szCs w:val="28"/>
          <w:highlight w:val="none"/>
          <w:lang w:val="en-US" w:eastAsia="zh-CN"/>
        </w:rPr>
        <w:t>自招标人通知之日起5日内，按照通知的要求将产品运抵招标人指定地点，招标人不再另行支付其他任何费用。。</w:t>
      </w:r>
    </w:p>
    <w:p w14:paraId="078046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四、供货地址：</w:t>
      </w:r>
      <w:r>
        <w:rPr>
          <w:rFonts w:hint="eastAsia" w:ascii="仿宋" w:hAnsi="仿宋" w:eastAsia="仿宋" w:cs="仿宋"/>
          <w:bCs/>
          <w:color w:val="auto"/>
          <w:spacing w:val="8"/>
          <w:kern w:val="0"/>
          <w:sz w:val="28"/>
          <w:szCs w:val="28"/>
          <w:highlight w:val="none"/>
          <w:lang w:val="en-US" w:eastAsia="zh-CN"/>
        </w:rPr>
        <w:t>招标人指定地点。</w:t>
      </w:r>
    </w:p>
    <w:p w14:paraId="780D57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五、质量标准：</w:t>
      </w:r>
      <w:r>
        <w:rPr>
          <w:rFonts w:hint="eastAsia" w:ascii="仿宋" w:hAnsi="仿宋" w:eastAsia="仿宋" w:cs="仿宋"/>
          <w:bCs/>
          <w:color w:val="auto"/>
          <w:spacing w:val="8"/>
          <w:kern w:val="0"/>
          <w:sz w:val="28"/>
          <w:szCs w:val="28"/>
          <w:highlight w:val="none"/>
          <w:lang w:val="en-US" w:eastAsia="zh-CN"/>
        </w:rPr>
        <w:t>达到国家验收规范合格标准。</w:t>
      </w:r>
    </w:p>
    <w:p w14:paraId="6C673F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六、质保期：</w:t>
      </w:r>
      <w:r>
        <w:rPr>
          <w:rFonts w:hint="eastAsia" w:ascii="仿宋" w:hAnsi="仿宋" w:eastAsia="仿宋" w:cs="仿宋"/>
          <w:bCs/>
          <w:color w:val="auto"/>
          <w:spacing w:val="8"/>
          <w:kern w:val="0"/>
          <w:sz w:val="28"/>
          <w:szCs w:val="28"/>
          <w:highlight w:val="none"/>
          <w:lang w:val="en-US" w:eastAsia="zh-CN"/>
        </w:rPr>
        <w:t>自验收合格之日起不少于2年。</w:t>
      </w:r>
    </w:p>
    <w:p w14:paraId="09C2E7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七、服务期限：</w:t>
      </w:r>
      <w:r>
        <w:rPr>
          <w:rFonts w:hint="eastAsia" w:ascii="仿宋" w:hAnsi="仿宋" w:eastAsia="仿宋" w:cs="仿宋"/>
          <w:bCs/>
          <w:color w:val="auto"/>
          <w:spacing w:val="8"/>
          <w:kern w:val="0"/>
          <w:sz w:val="28"/>
          <w:szCs w:val="28"/>
          <w:highlight w:val="none"/>
          <w:lang w:val="en-US" w:eastAsia="zh-CN"/>
        </w:rPr>
        <w:t>1年。合同期满后，招标人对中标人履行情况进行考核，合格可续签合同，续签不超过2次。</w:t>
      </w:r>
    </w:p>
    <w:p w14:paraId="5295E7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八、招标范围：</w:t>
      </w:r>
      <w:r>
        <w:rPr>
          <w:rFonts w:hint="eastAsia" w:ascii="仿宋" w:hAnsi="仿宋" w:eastAsia="仿宋" w:cs="仿宋"/>
          <w:bCs/>
          <w:color w:val="auto"/>
          <w:spacing w:val="8"/>
          <w:kern w:val="0"/>
          <w:sz w:val="28"/>
          <w:szCs w:val="28"/>
          <w:highlight w:val="none"/>
          <w:lang w:val="en-US" w:eastAsia="zh-CN"/>
        </w:rPr>
        <w:t>包括但不限于产品的采购、加工、包装、运输、保管、装卸、指导安装、检测、验收、税费、培训、售后服务及其他服务，以及在质量保证期内发生的任何缺陷的维修和更换工作等与合同有关的所有内容。</w:t>
      </w:r>
    </w:p>
    <w:p w14:paraId="392206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九、产品技术规范及标准</w:t>
      </w:r>
    </w:p>
    <w:p w14:paraId="11A3CD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1、检查井井座质量符合现行国家标准GB/T 41048-2021《城镇排水用塑料检查井技术要求》、现行行业标准《市政用塑料排水检查井》CJ/T 326-2010、《塑料排水检查井应用技术规程》CJJ/T209-2013等相关规定的相关规定和技术要求。</w:t>
      </w:r>
    </w:p>
    <w:p w14:paraId="07374E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2、检查井井筒采用HDPE中空壁缠绕管，产品符合国家现行标准《埋地用聚乙烯(PE)结构壁管道系统第2部分聚乙烯缠绕结构壁管材》GB/T 19472.2-2017的相关规定。</w:t>
      </w:r>
    </w:p>
    <w:p w14:paraId="6D4ED48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十、</w:t>
      </w:r>
      <w:bookmarkEnd w:id="86"/>
      <w:bookmarkStart w:id="87" w:name="_Hlk525721599"/>
      <w:r>
        <w:rPr>
          <w:rFonts w:hint="eastAsia" w:ascii="仿宋" w:hAnsi="仿宋" w:eastAsia="仿宋" w:cs="仿宋"/>
          <w:b/>
          <w:bCs w:val="0"/>
          <w:color w:val="auto"/>
          <w:spacing w:val="8"/>
          <w:kern w:val="0"/>
          <w:sz w:val="28"/>
          <w:szCs w:val="28"/>
          <w:highlight w:val="none"/>
          <w:lang w:val="en-US" w:eastAsia="zh-CN"/>
        </w:rPr>
        <w:t>产品主要性能指标</w:t>
      </w:r>
    </w:p>
    <w:p w14:paraId="669CFB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1、检查井座</w:t>
      </w:r>
    </w:p>
    <w:p w14:paraId="19EA41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1.1性能指标：性能指标现行国家标准GB/T 41048-2021《城镇排水用塑料检查井技术要求》、现行行业标准CJ/T326-2010《市政排水用塑料检查井》、《塑料排水检查井应用技术规程》</w:t>
      </w:r>
      <w:r>
        <w:rPr>
          <w:rFonts w:hint="eastAsia" w:ascii="仿宋" w:hAnsi="仿宋" w:eastAsia="仿宋" w:cs="仿宋"/>
          <w:bCs/>
          <w:color w:val="auto"/>
          <w:spacing w:val="8"/>
          <w:kern w:val="0"/>
          <w:sz w:val="28"/>
          <w:szCs w:val="28"/>
          <w:highlight w:val="none"/>
          <w:lang w:val="en-US" w:eastAsia="zh-CN"/>
        </w:rPr>
        <w:tab/>
      </w:r>
      <w:r>
        <w:rPr>
          <w:rFonts w:hint="eastAsia" w:ascii="仿宋" w:hAnsi="仿宋" w:eastAsia="仿宋" w:cs="仿宋"/>
          <w:bCs/>
          <w:color w:val="auto"/>
          <w:spacing w:val="8"/>
          <w:kern w:val="0"/>
          <w:sz w:val="28"/>
          <w:szCs w:val="28"/>
          <w:highlight w:val="none"/>
          <w:lang w:val="en-US" w:eastAsia="zh-CN"/>
        </w:rPr>
        <w:t>CJJ/T209-2013等相关规定。性能规格须满足招标人要求。</w:t>
      </w:r>
    </w:p>
    <w:p w14:paraId="1AEC9C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1.2材料：井座材料以聚乙烯（PE）或聚丙烯（PP）原材料为主，允许掺入一定比例的增强材料，但树脂含量≥90%。</w:t>
      </w:r>
    </w:p>
    <w:p w14:paraId="511AF4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1.3外观：塑料检查井的内外表面应规整,无孔洞和裂缝,筒壁表面的加强筋、锚定环和其他附属物(如吊环等)应完整无缺损,焊缝应平整。</w:t>
      </w:r>
    </w:p>
    <w:p w14:paraId="5B3285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1.4 颜色：塑料检査井一般为黑色,颜色应均匀一致。</w:t>
      </w:r>
    </w:p>
    <w:p w14:paraId="2CF6E6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2、检查井筒：</w:t>
      </w:r>
    </w:p>
    <w:p w14:paraId="3A17CA6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（1）材料：井筒采用成品埋地塑料管材，具体为HDPE中空壁缠绕管。</w:t>
      </w:r>
    </w:p>
    <w:p w14:paraId="4C7811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（2）技术要求：HDPE中空双壁检查井专用井筒，管材环刚度 ≥4kN/m²，颜色为黑色，管材符合现行国家标准《埋地用聚乙烯（PE）结构壁管道系统 第2部分：聚乙烯缠绕结构壁管材》GB/T 19472.2-2017的有关规定。</w:t>
      </w:r>
    </w:p>
    <w:p w14:paraId="06E5F4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3、连接方式</w:t>
      </w:r>
    </w:p>
    <w:p w14:paraId="6A25B1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检查井座与井筒、检查井座与管道的连接必须保证牢固，密封可靠，并在投标文件中明确说明连接方式。</w:t>
      </w:r>
    </w:p>
    <w:p w14:paraId="43B3BC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4、其他配件</w:t>
      </w:r>
    </w:p>
    <w:p w14:paraId="696164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检查井所用其他配件，如材料清单中涉及的多管连接配件、变径配件、支管密封配件等均采用聚乙烯（PE）或聚丙烯（PP）注塑成型，其产品符合现行相关的行业标准的有关规定。</w:t>
      </w:r>
    </w:p>
    <w:p w14:paraId="46A6F9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5、投标人必须免费提供不少于5套的焊接工具，（每套含5公斤的液化气瓶和喷枪各一个），并且免费指导安装。</w:t>
      </w:r>
    </w:p>
    <w:p w14:paraId="75E0DB8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十一、生产工艺</w:t>
      </w:r>
    </w:p>
    <w:p w14:paraId="655E8C9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检查井座采用一次性注塑成型。</w:t>
      </w:r>
    </w:p>
    <w:p w14:paraId="52AACC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textAlignment w:val="auto"/>
        <w:rPr>
          <w:rFonts w:hint="eastAsia"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十二、产品检测报告</w:t>
      </w:r>
    </w:p>
    <w:p w14:paraId="5C7CA9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2" w:firstLineChars="200"/>
        <w:textAlignment w:val="auto"/>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投标人需提供产品有效的国家认可的检测机构出具的产品检测报告的扫描件。</w:t>
      </w:r>
    </w:p>
    <w:p w14:paraId="2988596F">
      <w:pPr>
        <w:keepNext w:val="0"/>
        <w:keepLines w:val="0"/>
        <w:pageBreakBefore w:val="0"/>
        <w:widowControl w:val="0"/>
        <w:shd w:val="clear"/>
        <w:kinsoku/>
        <w:wordWrap/>
        <w:overflowPunct/>
        <w:topLinePunct w:val="0"/>
        <w:autoSpaceDE/>
        <w:autoSpaceDN/>
        <w:bidi w:val="0"/>
        <w:adjustRightInd/>
        <w:snapToGrid/>
        <w:spacing w:line="240" w:lineRule="auto"/>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color w:val="auto"/>
          <w:sz w:val="28"/>
          <w:highlight w:val="none"/>
          <w:lang w:val="en-US" w:eastAsia="zh-CN"/>
        </w:rPr>
        <w:t>十三</w:t>
      </w:r>
      <w:r>
        <w:rPr>
          <w:rFonts w:hint="eastAsia" w:ascii="仿宋" w:hAnsi="仿宋" w:eastAsia="仿宋" w:cs="仿宋"/>
          <w:b/>
          <w:color w:val="auto"/>
          <w:sz w:val="28"/>
          <w:highlight w:val="none"/>
        </w:rPr>
        <w:t>、</w:t>
      </w:r>
      <w:r>
        <w:rPr>
          <w:rFonts w:hint="eastAsia" w:ascii="仿宋" w:hAnsi="仿宋" w:eastAsia="仿宋" w:cs="仿宋"/>
          <w:b/>
          <w:bCs/>
          <w:color w:val="auto"/>
          <w:sz w:val="28"/>
          <w:szCs w:val="28"/>
          <w:highlight w:val="none"/>
          <w:lang w:val="en-US" w:eastAsia="zh-CN"/>
        </w:rPr>
        <w:t>控制价</w:t>
      </w:r>
    </w:p>
    <w:tbl>
      <w:tblPr>
        <w:tblStyle w:val="54"/>
        <w:tblW w:w="9796" w:type="dxa"/>
        <w:tblInd w:w="-153" w:type="dxa"/>
        <w:tblLayout w:type="fixed"/>
        <w:tblCellMar>
          <w:top w:w="0" w:type="dxa"/>
          <w:left w:w="108" w:type="dxa"/>
          <w:bottom w:w="0" w:type="dxa"/>
          <w:right w:w="108" w:type="dxa"/>
        </w:tblCellMar>
      </w:tblPr>
      <w:tblGrid>
        <w:gridCol w:w="785"/>
        <w:gridCol w:w="1696"/>
        <w:gridCol w:w="1617"/>
        <w:gridCol w:w="1027"/>
        <w:gridCol w:w="1188"/>
        <w:gridCol w:w="1741"/>
        <w:gridCol w:w="1742"/>
      </w:tblGrid>
      <w:tr w14:paraId="4B661929">
        <w:tblPrEx>
          <w:tblCellMar>
            <w:top w:w="0" w:type="dxa"/>
            <w:left w:w="108" w:type="dxa"/>
            <w:bottom w:w="0" w:type="dxa"/>
            <w:right w:w="108" w:type="dxa"/>
          </w:tblCellMar>
        </w:tblPrEx>
        <w:trPr>
          <w:trHeight w:val="965" w:hRule="exact"/>
        </w:trPr>
        <w:tc>
          <w:tcPr>
            <w:tcW w:w="785" w:type="dxa"/>
            <w:tcBorders>
              <w:top w:val="single" w:color="000000" w:sz="4" w:space="0"/>
              <w:left w:val="single" w:color="000000" w:sz="4" w:space="0"/>
              <w:bottom w:val="single" w:color="000000" w:sz="4" w:space="0"/>
              <w:right w:val="single" w:color="000000" w:sz="4" w:space="0"/>
            </w:tcBorders>
            <w:noWrap/>
            <w:vAlign w:val="center"/>
          </w:tcPr>
          <w:p w14:paraId="418CFF12">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序号</w:t>
            </w:r>
          </w:p>
        </w:tc>
        <w:tc>
          <w:tcPr>
            <w:tcW w:w="1696" w:type="dxa"/>
            <w:tcBorders>
              <w:top w:val="single" w:color="000000" w:sz="4" w:space="0"/>
              <w:left w:val="single" w:color="000000" w:sz="4" w:space="0"/>
              <w:bottom w:val="single" w:color="auto" w:sz="4" w:space="0"/>
              <w:right w:val="single" w:color="000000" w:sz="4" w:space="0"/>
            </w:tcBorders>
            <w:noWrap/>
            <w:vAlign w:val="center"/>
          </w:tcPr>
          <w:p w14:paraId="2DBD29E5">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val="en-US" w:eastAsia="zh-CN" w:bidi="ar"/>
              </w:rPr>
              <w:t>产品</w:t>
            </w:r>
            <w:r>
              <w:rPr>
                <w:rFonts w:hint="eastAsia" w:ascii="仿宋" w:hAnsi="仿宋" w:eastAsia="仿宋" w:cs="仿宋"/>
                <w:color w:val="000000"/>
                <w:kern w:val="0"/>
                <w:sz w:val="24"/>
                <w:szCs w:val="24"/>
                <w:highlight w:val="none"/>
                <w:lang w:bidi="ar"/>
              </w:rPr>
              <w:t>名称</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2AA9834E">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规格</w:t>
            </w:r>
          </w:p>
          <w:p w14:paraId="29FB1BCB">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型号</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303979B3">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3AD3818F">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暂定数量</w:t>
            </w: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E010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含税单价控制价(元)</w:t>
            </w: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2914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含税合计控制价（元）</w:t>
            </w:r>
          </w:p>
        </w:tc>
      </w:tr>
      <w:tr w14:paraId="217214C2">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6D43D012">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i w:val="0"/>
                <w:iCs w:val="0"/>
                <w:color w:val="000000"/>
                <w:kern w:val="0"/>
                <w:sz w:val="24"/>
                <w:szCs w:val="24"/>
                <w:u w:val="none"/>
                <w:lang w:val="en-US" w:eastAsia="zh-CN" w:bidi="ar"/>
              </w:rPr>
              <w:t>1</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6F7AA0E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起始井</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201D73ED">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1CCFF21">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C2030C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1416BA8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1099</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299F8F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27475</w:t>
            </w:r>
          </w:p>
        </w:tc>
      </w:tr>
      <w:tr w14:paraId="1010DF26">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07F8F9A5">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7B86A869">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303C69D3">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E1A6FAB">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66379A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8F8324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1205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B88B2FA">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6025</w:t>
            </w:r>
          </w:p>
        </w:tc>
      </w:tr>
      <w:tr w14:paraId="1AD31350">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EED8B1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16D04A21">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27FE55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632E144">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D1DE2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0C23B6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1439</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106A95A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7195</w:t>
            </w:r>
          </w:p>
        </w:tc>
      </w:tr>
      <w:tr w14:paraId="2CB1911E">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75790632">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0F1E13BB">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6E911B2D">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7F98801A">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6BD255E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B8B8043">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1668</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58A8BB8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8340</w:t>
            </w:r>
          </w:p>
        </w:tc>
      </w:tr>
      <w:tr w14:paraId="00F1A25A">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20BF3E1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2A1B7190">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直通井</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3F6327A">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74D42AF">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1A6E6A5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599074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1144</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75A59570">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171600</w:t>
            </w:r>
          </w:p>
        </w:tc>
      </w:tr>
      <w:tr w14:paraId="1BF281E0">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1B45522B">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12FB73C2">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273466E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D86E78D">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1D23D6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FA2105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1232</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F423BFE">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30800</w:t>
            </w:r>
          </w:p>
        </w:tc>
      </w:tr>
      <w:tr w14:paraId="29A489F2">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65716CFF">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528A39BB">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BA77B47">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2B69179D">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0B99A8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089D9FC">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1497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4DA86AD0">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14970</w:t>
            </w:r>
          </w:p>
        </w:tc>
      </w:tr>
      <w:tr w14:paraId="05371C03">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18DCE9DF">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63CDB341">
            <w:pPr>
              <w:jc w:val="center"/>
              <w:rPr>
                <w:rFonts w:hint="eastAsia" w:ascii="仿宋" w:hAnsi="仿宋" w:eastAsia="仿宋" w:cs="仿宋"/>
                <w:color w:val="000000"/>
                <w:kern w:val="0"/>
                <w:sz w:val="24"/>
                <w:szCs w:val="24"/>
                <w:highlight w:val="none"/>
                <w:lang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52D0EC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eastAsia="zh-CN" w:bidi="ar"/>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470BE7E">
            <w:pPr>
              <w:keepNext w:val="0"/>
              <w:keepLines w:val="0"/>
              <w:widowControl/>
              <w:suppressLineNumbers w:val="0"/>
              <w:jc w:val="center"/>
              <w:textAlignment w:val="bottom"/>
              <w:rPr>
                <w:rFonts w:hint="eastAsia" w:ascii="仿宋" w:hAnsi="仿宋" w:eastAsia="仿宋" w:cs="仿宋"/>
                <w:color w:val="000000"/>
                <w:kern w:val="0"/>
                <w:sz w:val="24"/>
                <w:szCs w:val="24"/>
                <w:highlight w:val="none"/>
                <w:lang w:eastAsia="zh-CN" w:bidi="ar"/>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797027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7C9F5F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1807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5068756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9035</w:t>
            </w:r>
          </w:p>
        </w:tc>
      </w:tr>
      <w:tr w14:paraId="3D51CF22">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0CDCA7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4B285B9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90度弯头井</w:t>
            </w:r>
          </w:p>
          <w:p w14:paraId="0B29695B">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4E2F9D4B">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1E527875">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9717F7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260C517">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1087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1B34900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27175</w:t>
            </w:r>
          </w:p>
        </w:tc>
      </w:tr>
      <w:tr w14:paraId="651FE941">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5358EF4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1CDD4990">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2556414A">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7D361B37">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EB0C71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A78EAA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1225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7A1D1C4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6125</w:t>
            </w:r>
          </w:p>
        </w:tc>
      </w:tr>
      <w:tr w14:paraId="7BF34EC7">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44735360">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1A2B36F3">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2B17BFB">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66C5AFA2">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658942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C07879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1461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62C2A6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7305</w:t>
            </w:r>
          </w:p>
        </w:tc>
      </w:tr>
      <w:tr w14:paraId="10A44EA1">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0A78507">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66086ECE">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E6ADB9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40DB5AC">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0AC7C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7CCA94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1655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29E147A7">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8275</w:t>
            </w:r>
          </w:p>
        </w:tc>
      </w:tr>
      <w:tr w14:paraId="4F8D4401">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4EC292E9">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sz w:val="24"/>
                <w:szCs w:val="24"/>
                <w:u w:val="none"/>
                <w:lang w:val="en-US" w:eastAsia="zh-CN"/>
              </w:rPr>
              <w:t>13</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734C5BC5">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三通井</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3A9C70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3C1C2B2D">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629CE11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110D2BE0">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1134</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26EB17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17010</w:t>
            </w:r>
          </w:p>
        </w:tc>
      </w:tr>
      <w:tr w14:paraId="1BF867C8">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474EAD84">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2B8D7756">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38C697A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2D7DEC24">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BFCD57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5C643D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1278</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44BD0A24">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6390</w:t>
            </w:r>
          </w:p>
        </w:tc>
      </w:tr>
      <w:tr w14:paraId="4EB278A9">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2AD5140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01CB0E5B">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2872528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9ABC727">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11C296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47596C07">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1541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AE9D6EB">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7705</w:t>
            </w:r>
          </w:p>
        </w:tc>
      </w:tr>
      <w:tr w14:paraId="174A323E">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495D90B">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52608B9F">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B014CBC">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2239E379">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F2D9BD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2359CAC">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1817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1C2C8CE">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9085</w:t>
            </w:r>
          </w:p>
        </w:tc>
      </w:tr>
      <w:tr w14:paraId="1988989D">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F195BF0">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0832706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四通井</w:t>
            </w:r>
          </w:p>
          <w:p w14:paraId="425B4CD1">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D72C2FE">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67A7201C">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3958A56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4B0142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1203</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187C448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6015</w:t>
            </w:r>
          </w:p>
        </w:tc>
      </w:tr>
      <w:tr w14:paraId="206EAA8E">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48BF06AB">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5E2DD7CB">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7F20BF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690C8399">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AA5B48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A652E74">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1331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7A5D976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6655</w:t>
            </w:r>
          </w:p>
        </w:tc>
      </w:tr>
      <w:tr w14:paraId="2F6ECF10">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01787DD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7BE8382E">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1246407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0C68796">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813150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4121EA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1624</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CCD8E9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8120</w:t>
            </w:r>
          </w:p>
        </w:tc>
      </w:tr>
      <w:tr w14:paraId="35FA7871">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3B6A8E1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563DA5FD">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D1303A2">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43E310DF">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B3CF8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C0FE9B9">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2074</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1DBABFF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10370</w:t>
            </w:r>
          </w:p>
        </w:tc>
      </w:tr>
      <w:tr w14:paraId="31CD8534">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52A6653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4F25F4D3">
            <w:pPr>
              <w:jc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45度弯头井</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0A4183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3A779C97">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1CD3D77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9B26B0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1189</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4E01CF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5945</w:t>
            </w:r>
          </w:p>
        </w:tc>
      </w:tr>
      <w:tr w14:paraId="23FC9F4F">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54FC136D">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sz w:val="24"/>
                <w:szCs w:val="24"/>
                <w:u w:val="none"/>
                <w:lang w:val="en-US" w:eastAsia="zh-CN"/>
              </w:rPr>
              <w:t>22</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46DE2227">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3DD3DE8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722E5721">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AF919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6492E39">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1292</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58B092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6460</w:t>
            </w:r>
          </w:p>
        </w:tc>
      </w:tr>
      <w:tr w14:paraId="1AED358F">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0AEDFA6B">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4BD169CE">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695AA23D">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3E7E2708">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AEBF8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DCBC050">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1605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6B1A5A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8025</w:t>
            </w:r>
          </w:p>
        </w:tc>
      </w:tr>
      <w:tr w14:paraId="6F8BAE4A">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401BDED2">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24</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20A31F9E">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57F0E267">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65BF1EC2">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座</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33EF922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71BA4C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2053</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BDD84F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10265</w:t>
            </w:r>
          </w:p>
        </w:tc>
      </w:tr>
      <w:tr w14:paraId="7BA87092">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0B74703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696" w:type="dxa"/>
            <w:tcBorders>
              <w:top w:val="single" w:color="auto" w:sz="4" w:space="0"/>
              <w:left w:val="single" w:color="auto" w:sz="4" w:space="0"/>
              <w:bottom w:val="single" w:color="auto" w:sz="4" w:space="0"/>
              <w:right w:val="single" w:color="auto" w:sz="4" w:space="0"/>
            </w:tcBorders>
            <w:noWrap w:val="0"/>
            <w:vAlign w:val="center"/>
          </w:tcPr>
          <w:p w14:paraId="3D0B3C04">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收口盖</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96F7DB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1000-700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75B4B703">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29B3460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9726F37">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797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5936E3C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199250</w:t>
            </w:r>
          </w:p>
        </w:tc>
      </w:tr>
      <w:tr w14:paraId="0956A18C">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28387DE3">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26</w:t>
            </w:r>
          </w:p>
        </w:tc>
        <w:tc>
          <w:tcPr>
            <w:tcW w:w="1696" w:type="dxa"/>
            <w:tcBorders>
              <w:top w:val="single" w:color="auto" w:sz="4" w:space="0"/>
              <w:left w:val="single" w:color="auto" w:sz="4" w:space="0"/>
              <w:bottom w:val="single" w:color="auto" w:sz="4" w:space="0"/>
              <w:right w:val="single" w:color="auto" w:sz="4" w:space="0"/>
            </w:tcBorders>
            <w:noWrap w:val="0"/>
            <w:vAlign w:val="center"/>
          </w:tcPr>
          <w:p w14:paraId="676BBAA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井筒</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566EF474">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23E17AD9">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401F018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BA4548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821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3CCD2B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205250</w:t>
            </w:r>
          </w:p>
        </w:tc>
      </w:tr>
      <w:tr w14:paraId="3422F712">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12FBE10D">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634F705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热收缩带</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8A1648F">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9160822">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0AD416E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DD5A14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AB8F87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13500</w:t>
            </w:r>
          </w:p>
        </w:tc>
      </w:tr>
      <w:tr w14:paraId="187AF980">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6563CBC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28</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5A1C1D26">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0F00A93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400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1D452BBF">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A1AA35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42E5D292">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2C069E83">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1850</w:t>
            </w:r>
          </w:p>
        </w:tc>
      </w:tr>
      <w:tr w14:paraId="37E70C77">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1D80013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29</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774DC9AA">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1D4F52A6">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500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3BAB0FED">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3F54329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6676949">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47</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7E17854">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1175</w:t>
            </w:r>
          </w:p>
        </w:tc>
      </w:tr>
      <w:tr w14:paraId="04320508">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543A63D1">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17AEAE92">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58C172A8">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600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72B4BD6C">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47A52B9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D9BA95C">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65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247057E8">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325</w:t>
            </w:r>
          </w:p>
        </w:tc>
      </w:tr>
      <w:tr w14:paraId="4D09C551">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000000" w:sz="4" w:space="0"/>
              <w:right w:val="single" w:color="auto" w:sz="4" w:space="0"/>
            </w:tcBorders>
            <w:noWrap/>
            <w:vAlign w:val="center"/>
          </w:tcPr>
          <w:p w14:paraId="61CB2C76">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31</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7B9B1F06">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50CD4100">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700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49DDE04C">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240690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CE7D8A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85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005FEE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2125</w:t>
            </w:r>
          </w:p>
        </w:tc>
      </w:tr>
      <w:tr w14:paraId="366D09B4">
        <w:tblPrEx>
          <w:tblCellMar>
            <w:top w:w="0" w:type="dxa"/>
            <w:left w:w="108" w:type="dxa"/>
            <w:bottom w:w="0" w:type="dxa"/>
            <w:right w:w="108" w:type="dxa"/>
          </w:tblCellMar>
        </w:tblPrEx>
        <w:trPr>
          <w:trHeight w:val="468" w:hRule="exact"/>
        </w:trPr>
        <w:tc>
          <w:tcPr>
            <w:tcW w:w="785" w:type="dxa"/>
            <w:tcBorders>
              <w:top w:val="single" w:color="000000" w:sz="4" w:space="0"/>
              <w:left w:val="single" w:color="000000" w:sz="4" w:space="0"/>
              <w:bottom w:val="single" w:color="auto" w:sz="4" w:space="0"/>
              <w:right w:val="single" w:color="auto" w:sz="4" w:space="0"/>
            </w:tcBorders>
            <w:noWrap/>
            <w:vAlign w:val="center"/>
          </w:tcPr>
          <w:p w14:paraId="5AE613BD">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32</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6FC4B559">
            <w:pPr>
              <w:jc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31B6C9E1">
            <w:pPr>
              <w:keepNext w:val="0"/>
              <w:keepLines w:val="0"/>
              <w:widowControl/>
              <w:suppressLineNumbers w:val="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1000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9DC9CEA">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米</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7104BE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400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42B8873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135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DB002C1">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54000</w:t>
            </w:r>
          </w:p>
        </w:tc>
      </w:tr>
      <w:tr w14:paraId="3139B03A">
        <w:tblPrEx>
          <w:tblCellMar>
            <w:top w:w="0" w:type="dxa"/>
            <w:left w:w="108" w:type="dxa"/>
            <w:bottom w:w="0" w:type="dxa"/>
            <w:right w:w="108" w:type="dxa"/>
          </w:tblCellMar>
        </w:tblPrEx>
        <w:trPr>
          <w:trHeight w:val="468"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5A25A48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33</w:t>
            </w:r>
          </w:p>
        </w:tc>
        <w:tc>
          <w:tcPr>
            <w:tcW w:w="1696" w:type="dxa"/>
            <w:vMerge w:val="restart"/>
            <w:tcBorders>
              <w:top w:val="single" w:color="auto" w:sz="4" w:space="0"/>
              <w:left w:val="single" w:color="auto" w:sz="4" w:space="0"/>
              <w:bottom w:val="single" w:color="auto" w:sz="4" w:space="0"/>
              <w:right w:val="single" w:color="auto" w:sz="4" w:space="0"/>
            </w:tcBorders>
            <w:noWrap w:val="0"/>
            <w:vAlign w:val="center"/>
          </w:tcPr>
          <w:p w14:paraId="48AB1FA3">
            <w:pPr>
              <w:keepNext w:val="0"/>
              <w:keepLines w:val="0"/>
              <w:widowControl/>
              <w:suppressLineNumbers w:val="0"/>
              <w:ind w:firstLine="240" w:firstLineChars="100"/>
              <w:jc w:val="both"/>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马鞍接头</w:t>
            </w: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1A0BBA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700*300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CA5B78B">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698C0D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EBDD63E">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116</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BDF9A07">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580</w:t>
            </w:r>
          </w:p>
        </w:tc>
      </w:tr>
      <w:tr w14:paraId="1332DBF1">
        <w:tblPrEx>
          <w:tblCellMar>
            <w:top w:w="0" w:type="dxa"/>
            <w:left w:w="108" w:type="dxa"/>
            <w:bottom w:w="0" w:type="dxa"/>
            <w:right w:w="108" w:type="dxa"/>
          </w:tblCellMar>
        </w:tblPrEx>
        <w:trPr>
          <w:trHeight w:val="468"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7E25635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34</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4833C62C">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3810F5E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75</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6B83E74">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E16AB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1D973DB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473E5E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50</w:t>
            </w:r>
          </w:p>
        </w:tc>
      </w:tr>
      <w:tr w14:paraId="440E28DB">
        <w:tblPrEx>
          <w:tblCellMar>
            <w:top w:w="0" w:type="dxa"/>
            <w:left w:w="108" w:type="dxa"/>
            <w:bottom w:w="0" w:type="dxa"/>
            <w:right w:w="108" w:type="dxa"/>
          </w:tblCellMar>
        </w:tblPrEx>
        <w:trPr>
          <w:trHeight w:val="468"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1EA6DC0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35</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3BE8FD27">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7F07436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5BE06ED8">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3E257C1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3BB15B9">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15</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08E8C915">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75</w:t>
            </w:r>
          </w:p>
        </w:tc>
      </w:tr>
      <w:tr w14:paraId="1AD4E071">
        <w:tblPrEx>
          <w:tblCellMar>
            <w:top w:w="0" w:type="dxa"/>
            <w:left w:w="108" w:type="dxa"/>
            <w:bottom w:w="0" w:type="dxa"/>
            <w:right w:w="108" w:type="dxa"/>
          </w:tblCellMar>
        </w:tblPrEx>
        <w:trPr>
          <w:trHeight w:val="468"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2762D0C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36</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76B3D9F8">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4B6E928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262AFD5B">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4418D4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A796CBF">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38DAEC2B">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105</w:t>
            </w:r>
          </w:p>
        </w:tc>
      </w:tr>
      <w:tr w14:paraId="44BDD519">
        <w:tblPrEx>
          <w:tblCellMar>
            <w:top w:w="0" w:type="dxa"/>
            <w:left w:w="108" w:type="dxa"/>
            <w:bottom w:w="0" w:type="dxa"/>
            <w:right w:w="108" w:type="dxa"/>
          </w:tblCellMar>
        </w:tblPrEx>
        <w:trPr>
          <w:trHeight w:val="468"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7E550BB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37</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6B7B2CE7">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4923545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4305E199">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5D46A8D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DED8F99">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31</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64E3BB76">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155</w:t>
            </w:r>
          </w:p>
        </w:tc>
      </w:tr>
      <w:tr w14:paraId="36713BD4">
        <w:tblPrEx>
          <w:tblCellMar>
            <w:top w:w="0" w:type="dxa"/>
            <w:left w:w="108" w:type="dxa"/>
            <w:bottom w:w="0" w:type="dxa"/>
            <w:right w:w="108" w:type="dxa"/>
          </w:tblCellMar>
        </w:tblPrEx>
        <w:trPr>
          <w:trHeight w:val="491" w:hRule="exact"/>
        </w:trPr>
        <w:tc>
          <w:tcPr>
            <w:tcW w:w="785" w:type="dxa"/>
            <w:tcBorders>
              <w:top w:val="single" w:color="auto" w:sz="4" w:space="0"/>
              <w:left w:val="single" w:color="auto" w:sz="4" w:space="0"/>
              <w:bottom w:val="single" w:color="auto" w:sz="4" w:space="0"/>
              <w:right w:val="single" w:color="auto" w:sz="4" w:space="0"/>
            </w:tcBorders>
            <w:noWrap/>
            <w:vAlign w:val="center"/>
          </w:tcPr>
          <w:p w14:paraId="280288E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38</w:t>
            </w:r>
          </w:p>
        </w:tc>
        <w:tc>
          <w:tcPr>
            <w:tcW w:w="1696" w:type="dxa"/>
            <w:vMerge w:val="continue"/>
            <w:tcBorders>
              <w:top w:val="single" w:color="auto" w:sz="4" w:space="0"/>
              <w:left w:val="single" w:color="auto" w:sz="4" w:space="0"/>
              <w:bottom w:val="single" w:color="auto" w:sz="4" w:space="0"/>
              <w:right w:val="single" w:color="auto" w:sz="4" w:space="0"/>
            </w:tcBorders>
            <w:noWrap w:val="0"/>
            <w:vAlign w:val="center"/>
          </w:tcPr>
          <w:p w14:paraId="24DDD818">
            <w:pPr>
              <w:keepNext w:val="0"/>
              <w:keepLines w:val="0"/>
              <w:widowControl/>
              <w:suppressLineNumbers w:val="0"/>
              <w:jc w:val="center"/>
              <w:textAlignment w:val="center"/>
              <w:rPr>
                <w:rFonts w:hint="eastAsia" w:ascii="仿宋" w:hAnsi="仿宋" w:eastAsia="仿宋" w:cs="仿宋"/>
                <w:color w:val="000000"/>
                <w:kern w:val="0"/>
                <w:sz w:val="24"/>
                <w:szCs w:val="24"/>
                <w:highlight w:val="none"/>
                <w:lang w:val="en-US" w:eastAsia="zh-CN" w:bidi="ar"/>
              </w:rPr>
            </w:pPr>
          </w:p>
        </w:tc>
        <w:tc>
          <w:tcPr>
            <w:tcW w:w="1617" w:type="dxa"/>
            <w:tcBorders>
              <w:top w:val="single" w:color="000000" w:sz="4" w:space="0"/>
              <w:left w:val="single" w:color="000000" w:sz="4" w:space="0"/>
              <w:bottom w:val="single" w:color="000000" w:sz="4" w:space="0"/>
              <w:right w:val="single" w:color="000000" w:sz="4" w:space="0"/>
            </w:tcBorders>
            <w:noWrap/>
            <w:vAlign w:val="center"/>
          </w:tcPr>
          <w:p w14:paraId="575718D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300</w:t>
            </w:r>
          </w:p>
        </w:tc>
        <w:tc>
          <w:tcPr>
            <w:tcW w:w="1027" w:type="dxa"/>
            <w:tcBorders>
              <w:top w:val="single" w:color="000000" w:sz="4" w:space="0"/>
              <w:left w:val="single" w:color="000000" w:sz="4" w:space="0"/>
              <w:bottom w:val="single" w:color="000000" w:sz="4" w:space="0"/>
              <w:right w:val="single" w:color="000000" w:sz="4" w:space="0"/>
            </w:tcBorders>
            <w:noWrap/>
            <w:vAlign w:val="center"/>
          </w:tcPr>
          <w:p w14:paraId="0E67A793">
            <w:pPr>
              <w:keepNext w:val="0"/>
              <w:keepLines w:val="0"/>
              <w:widowControl/>
              <w:suppressLineNumbers w:val="0"/>
              <w:jc w:val="center"/>
              <w:textAlignment w:val="bottom"/>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个</w:t>
            </w:r>
          </w:p>
        </w:tc>
        <w:tc>
          <w:tcPr>
            <w:tcW w:w="1188" w:type="dxa"/>
            <w:tcBorders>
              <w:top w:val="single" w:color="000000" w:sz="4" w:space="0"/>
              <w:left w:val="single" w:color="000000" w:sz="4" w:space="0"/>
              <w:bottom w:val="single" w:color="000000" w:sz="4" w:space="0"/>
              <w:right w:val="single" w:color="000000" w:sz="4" w:space="0"/>
            </w:tcBorders>
            <w:noWrap/>
            <w:vAlign w:val="center"/>
          </w:tcPr>
          <w:p w14:paraId="636B26C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B4B540A">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118</w:t>
            </w:r>
          </w:p>
        </w:tc>
        <w:tc>
          <w:tcPr>
            <w:tcW w:w="1742" w:type="dxa"/>
            <w:tcBorders>
              <w:top w:val="single" w:color="000000" w:sz="4" w:space="0"/>
              <w:left w:val="single" w:color="000000" w:sz="4" w:space="0"/>
              <w:bottom w:val="single" w:color="000000" w:sz="4" w:space="0"/>
              <w:right w:val="single" w:color="000000" w:sz="4" w:space="0"/>
            </w:tcBorders>
            <w:noWrap/>
            <w:vAlign w:val="center"/>
          </w:tcPr>
          <w:p w14:paraId="451D578D">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590</w:t>
            </w:r>
          </w:p>
        </w:tc>
      </w:tr>
      <w:tr w14:paraId="7CA82F7F">
        <w:tblPrEx>
          <w:tblCellMar>
            <w:top w:w="0" w:type="dxa"/>
            <w:left w:w="108" w:type="dxa"/>
            <w:bottom w:w="0" w:type="dxa"/>
            <w:right w:w="108" w:type="dxa"/>
          </w:tblCellMar>
        </w:tblPrEx>
        <w:trPr>
          <w:trHeight w:val="491" w:hRule="exact"/>
        </w:trPr>
        <w:tc>
          <w:tcPr>
            <w:tcW w:w="6313" w:type="dxa"/>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14:paraId="68C27D2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合计控制价（元）</w:t>
            </w:r>
          </w:p>
        </w:tc>
        <w:tc>
          <w:tcPr>
            <w:tcW w:w="34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6B4D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905395</w:t>
            </w:r>
          </w:p>
        </w:tc>
      </w:tr>
    </w:tbl>
    <w:p w14:paraId="1C1A07D4">
      <w:pPr>
        <w:keepNext w:val="0"/>
        <w:keepLines w:val="0"/>
        <w:pageBreakBefore w:val="0"/>
        <w:widowControl/>
        <w:shd w:val="clear"/>
        <w:kinsoku/>
        <w:wordWrap/>
        <w:overflowPunct/>
        <w:topLinePunct w:val="0"/>
        <w:bidi w:val="0"/>
        <w:adjustRightInd w:val="0"/>
        <w:snapToGrid/>
        <w:spacing w:line="560" w:lineRule="exact"/>
        <w:ind w:firstLine="594" w:firstLineChars="200"/>
        <w:jc w:val="left"/>
        <w:textAlignment w:val="auto"/>
        <w:rPr>
          <w:rFonts w:hint="eastAsia" w:ascii="仿宋" w:hAnsi="仿宋" w:eastAsia="仿宋" w:cs="仿宋"/>
          <w:b/>
          <w:bCs w:val="0"/>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注：投标报价不能超过含税单价控制价、含税总价控制价及合计控制价，否则否决投标。</w:t>
      </w:r>
    </w:p>
    <w:p w14:paraId="6AD23746">
      <w:pPr>
        <w:shd w:val="clear"/>
        <w:spacing w:line="240" w:lineRule="auto"/>
        <w:ind w:firstLine="482"/>
        <w:rPr>
          <w:rFonts w:hint="eastAsia" w:ascii="仿宋" w:hAnsi="仿宋" w:eastAsia="仿宋" w:cs="仿宋"/>
          <w:b/>
          <w:bCs/>
          <w:color w:val="auto"/>
          <w:sz w:val="36"/>
          <w:szCs w:val="36"/>
          <w:highlight w:val="none"/>
          <w:lang w:val="en-US"/>
        </w:rPr>
      </w:pPr>
      <w:r>
        <w:rPr>
          <w:rFonts w:hint="eastAsia" w:ascii="仿宋" w:hAnsi="仿宋" w:eastAsia="仿宋" w:cs="仿宋"/>
          <w:b/>
          <w:color w:val="auto"/>
          <w:sz w:val="28"/>
          <w:highlight w:val="none"/>
          <w:lang w:val="en-US" w:eastAsia="zh-CN"/>
        </w:rPr>
        <w:t>十四</w:t>
      </w:r>
      <w:r>
        <w:rPr>
          <w:rFonts w:hint="eastAsia" w:ascii="仿宋" w:hAnsi="仿宋" w:eastAsia="仿宋" w:cs="仿宋"/>
          <w:b/>
          <w:color w:val="auto"/>
          <w:sz w:val="28"/>
          <w:highlight w:val="none"/>
        </w:rPr>
        <w:t>、</w:t>
      </w:r>
      <w:r>
        <w:rPr>
          <w:rFonts w:hint="eastAsia" w:ascii="仿宋" w:hAnsi="仿宋" w:eastAsia="仿宋" w:cs="仿宋"/>
          <w:b/>
          <w:bCs/>
          <w:color w:val="auto"/>
          <w:sz w:val="28"/>
          <w:szCs w:val="28"/>
          <w:highlight w:val="none"/>
          <w:lang w:val="en-US" w:eastAsia="zh-CN"/>
        </w:rPr>
        <w:t>样品要求</w:t>
      </w:r>
    </w:p>
    <w:p w14:paraId="2A3898F4">
      <w:pPr>
        <w:keepNext w:val="0"/>
        <w:keepLines w:val="0"/>
        <w:widowControl/>
        <w:suppressLineNumbers w:val="0"/>
        <w:ind w:firstLine="560" w:firstLineChars="20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中标人在中标公告发布后3个工作日内需提供以下样品，并将样品送至招标人指定地点。</w:t>
      </w:r>
    </w:p>
    <w:tbl>
      <w:tblPr>
        <w:tblStyle w:val="54"/>
        <w:tblW w:w="81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30"/>
        <w:gridCol w:w="1887"/>
        <w:gridCol w:w="809"/>
        <w:gridCol w:w="1941"/>
      </w:tblGrid>
      <w:tr w14:paraId="136D6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3530" w:type="dxa"/>
            <w:tcBorders>
              <w:top w:val="single" w:color="auto" w:sz="4" w:space="0"/>
              <w:left w:val="single" w:color="auto" w:sz="4" w:space="0"/>
              <w:bottom w:val="single" w:color="000000" w:sz="4" w:space="0"/>
              <w:right w:val="single" w:color="000000" w:sz="4" w:space="0"/>
            </w:tcBorders>
            <w:shd w:val="clear" w:color="auto" w:fill="auto"/>
            <w:vAlign w:val="center"/>
          </w:tcPr>
          <w:p w14:paraId="1B9BB50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材料名称</w:t>
            </w:r>
          </w:p>
        </w:tc>
        <w:tc>
          <w:tcPr>
            <w:tcW w:w="1887" w:type="dxa"/>
            <w:tcBorders>
              <w:top w:val="single" w:color="auto" w:sz="4" w:space="0"/>
              <w:left w:val="single" w:color="000000" w:sz="4" w:space="0"/>
              <w:bottom w:val="single" w:color="000000" w:sz="4" w:space="0"/>
              <w:right w:val="single" w:color="000000" w:sz="4" w:space="0"/>
            </w:tcBorders>
            <w:shd w:val="clear" w:color="auto" w:fill="auto"/>
            <w:vAlign w:val="center"/>
          </w:tcPr>
          <w:p w14:paraId="4188A0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规格型号</w:t>
            </w:r>
          </w:p>
        </w:tc>
        <w:tc>
          <w:tcPr>
            <w:tcW w:w="809" w:type="dxa"/>
            <w:tcBorders>
              <w:top w:val="single" w:color="auto" w:sz="4" w:space="0"/>
              <w:left w:val="single" w:color="000000" w:sz="4" w:space="0"/>
              <w:bottom w:val="single" w:color="000000" w:sz="4" w:space="0"/>
              <w:right w:val="single" w:color="000000" w:sz="4" w:space="0"/>
            </w:tcBorders>
            <w:shd w:val="clear" w:color="auto" w:fill="auto"/>
            <w:vAlign w:val="center"/>
          </w:tcPr>
          <w:p w14:paraId="0E3571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单位</w:t>
            </w:r>
          </w:p>
        </w:tc>
        <w:tc>
          <w:tcPr>
            <w:tcW w:w="1941" w:type="dxa"/>
            <w:tcBorders>
              <w:top w:val="single" w:color="auto" w:sz="4" w:space="0"/>
              <w:left w:val="single" w:color="000000" w:sz="4" w:space="0"/>
              <w:bottom w:val="single" w:color="000000" w:sz="4" w:space="0"/>
              <w:right w:val="single" w:color="auto" w:sz="4" w:space="0"/>
            </w:tcBorders>
            <w:shd w:val="clear" w:color="auto" w:fill="auto"/>
            <w:vAlign w:val="center"/>
          </w:tcPr>
          <w:p w14:paraId="5DC17A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数量</w:t>
            </w:r>
          </w:p>
        </w:tc>
      </w:tr>
      <w:tr w14:paraId="10EE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3530" w:type="dxa"/>
            <w:tcBorders>
              <w:top w:val="single" w:color="000000" w:sz="4" w:space="0"/>
              <w:left w:val="single" w:color="auto" w:sz="4" w:space="0"/>
              <w:bottom w:val="single" w:color="000000" w:sz="4" w:space="0"/>
              <w:right w:val="single" w:color="000000" w:sz="4" w:space="0"/>
            </w:tcBorders>
            <w:shd w:val="clear" w:color="auto" w:fill="auto"/>
            <w:vAlign w:val="center"/>
          </w:tcPr>
          <w:p w14:paraId="08D448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直通井</w:t>
            </w:r>
          </w:p>
        </w:tc>
        <w:tc>
          <w:tcPr>
            <w:tcW w:w="1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3BA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1000*300</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F2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座</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3751DD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w:t>
            </w:r>
          </w:p>
        </w:tc>
      </w:tr>
      <w:tr w14:paraId="3540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3530" w:type="dxa"/>
            <w:tcBorders>
              <w:top w:val="single" w:color="000000" w:sz="4" w:space="0"/>
              <w:left w:val="single" w:color="auto" w:sz="4" w:space="0"/>
              <w:bottom w:val="single" w:color="000000" w:sz="4" w:space="0"/>
              <w:right w:val="single" w:color="000000" w:sz="4" w:space="0"/>
            </w:tcBorders>
            <w:shd w:val="clear" w:color="auto" w:fill="auto"/>
            <w:vAlign w:val="center"/>
          </w:tcPr>
          <w:p w14:paraId="366A7D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收口盖</w:t>
            </w:r>
          </w:p>
        </w:tc>
        <w:tc>
          <w:tcPr>
            <w:tcW w:w="1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FD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1000-700</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FF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个</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63A37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w:t>
            </w:r>
          </w:p>
        </w:tc>
      </w:tr>
      <w:tr w14:paraId="0EB2A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3530" w:type="dxa"/>
            <w:tcBorders>
              <w:top w:val="single" w:color="000000" w:sz="4" w:space="0"/>
              <w:left w:val="single" w:color="auto" w:sz="4" w:space="0"/>
              <w:bottom w:val="single" w:color="000000" w:sz="4" w:space="0"/>
              <w:right w:val="single" w:color="000000" w:sz="4" w:space="0"/>
            </w:tcBorders>
            <w:shd w:val="clear" w:color="auto" w:fill="auto"/>
            <w:vAlign w:val="center"/>
          </w:tcPr>
          <w:p w14:paraId="37C7DA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井筒</w:t>
            </w:r>
          </w:p>
        </w:tc>
        <w:tc>
          <w:tcPr>
            <w:tcW w:w="1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45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1000</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992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米</w:t>
            </w:r>
          </w:p>
        </w:tc>
        <w:tc>
          <w:tcPr>
            <w:tcW w:w="1941" w:type="dxa"/>
            <w:tcBorders>
              <w:top w:val="single" w:color="000000" w:sz="4" w:space="0"/>
              <w:left w:val="single" w:color="000000" w:sz="4" w:space="0"/>
              <w:bottom w:val="single" w:color="000000" w:sz="4" w:space="0"/>
              <w:right w:val="single" w:color="auto" w:sz="4" w:space="0"/>
            </w:tcBorders>
            <w:shd w:val="clear" w:color="auto" w:fill="auto"/>
            <w:vAlign w:val="center"/>
          </w:tcPr>
          <w:p w14:paraId="7908AA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w:t>
            </w:r>
          </w:p>
        </w:tc>
      </w:tr>
      <w:tr w14:paraId="19EF9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3530" w:type="dxa"/>
            <w:tcBorders>
              <w:top w:val="single" w:color="000000" w:sz="4" w:space="0"/>
              <w:left w:val="single" w:color="auto" w:sz="4" w:space="0"/>
              <w:bottom w:val="single" w:color="auto" w:sz="4" w:space="0"/>
              <w:right w:val="single" w:color="000000" w:sz="4" w:space="0"/>
            </w:tcBorders>
            <w:shd w:val="clear" w:color="auto" w:fill="auto"/>
            <w:vAlign w:val="center"/>
          </w:tcPr>
          <w:p w14:paraId="1AD524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热收缩带</w:t>
            </w:r>
          </w:p>
        </w:tc>
        <w:tc>
          <w:tcPr>
            <w:tcW w:w="1887" w:type="dxa"/>
            <w:tcBorders>
              <w:top w:val="single" w:color="000000" w:sz="4" w:space="0"/>
              <w:left w:val="single" w:color="000000" w:sz="4" w:space="0"/>
              <w:bottom w:val="single" w:color="auto" w:sz="4" w:space="0"/>
              <w:right w:val="single" w:color="000000" w:sz="4" w:space="0"/>
            </w:tcBorders>
            <w:shd w:val="clear" w:color="auto" w:fill="auto"/>
            <w:vAlign w:val="center"/>
          </w:tcPr>
          <w:p w14:paraId="1CC12B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300</w:t>
            </w:r>
          </w:p>
        </w:tc>
        <w:tc>
          <w:tcPr>
            <w:tcW w:w="809" w:type="dxa"/>
            <w:tcBorders>
              <w:top w:val="single" w:color="000000" w:sz="4" w:space="0"/>
              <w:left w:val="single" w:color="000000" w:sz="4" w:space="0"/>
              <w:bottom w:val="single" w:color="auto" w:sz="4" w:space="0"/>
              <w:right w:val="single" w:color="000000" w:sz="4" w:space="0"/>
            </w:tcBorders>
            <w:shd w:val="clear" w:color="auto" w:fill="auto"/>
            <w:vAlign w:val="center"/>
          </w:tcPr>
          <w:p w14:paraId="7FF526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米</w:t>
            </w:r>
          </w:p>
        </w:tc>
        <w:tc>
          <w:tcPr>
            <w:tcW w:w="1941" w:type="dxa"/>
            <w:tcBorders>
              <w:top w:val="single" w:color="000000" w:sz="4" w:space="0"/>
              <w:left w:val="single" w:color="000000" w:sz="4" w:space="0"/>
              <w:bottom w:val="single" w:color="auto" w:sz="4" w:space="0"/>
              <w:right w:val="single" w:color="auto" w:sz="4" w:space="0"/>
            </w:tcBorders>
            <w:shd w:val="clear" w:color="auto" w:fill="auto"/>
            <w:vAlign w:val="center"/>
          </w:tcPr>
          <w:p w14:paraId="5579397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1</w:t>
            </w:r>
          </w:p>
        </w:tc>
      </w:tr>
    </w:tbl>
    <w:p w14:paraId="3984BD16">
      <w:pPr>
        <w:rPr>
          <w:rFonts w:hint="eastAsia" w:ascii="仿宋" w:hAnsi="仿宋" w:eastAsia="仿宋" w:cs="仿宋"/>
          <w:highlight w:val="none"/>
          <w:lang w:val="en-US" w:eastAsia="zh-CN"/>
        </w:rPr>
      </w:pPr>
    </w:p>
    <w:p w14:paraId="0D71D9CC">
      <w:pPr>
        <w:pStyle w:val="2"/>
        <w:rPr>
          <w:rFonts w:hint="eastAsia" w:ascii="仿宋" w:hAnsi="仿宋" w:eastAsia="仿宋" w:cs="仿宋"/>
          <w:highlight w:val="none"/>
          <w:lang w:val="en-US" w:eastAsia="zh-CN"/>
        </w:rPr>
        <w:sectPr>
          <w:headerReference r:id="rId8" w:type="default"/>
          <w:footerReference r:id="rId9" w:type="default"/>
          <w:pgSz w:w="11906" w:h="16838"/>
          <w:pgMar w:top="1417" w:right="1134" w:bottom="1134" w:left="1417" w:header="851" w:footer="624" w:gutter="0"/>
          <w:pgNumType w:fmt="decimal" w:start="1"/>
          <w:cols w:space="720" w:num="1"/>
          <w:rtlGutter w:val="0"/>
          <w:docGrid w:type="lines" w:linePitch="520" w:charSpace="0"/>
        </w:sectPr>
      </w:pPr>
    </w:p>
    <w:p w14:paraId="57BCE821">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8" w:name="_Toc15637"/>
      <w:r>
        <w:rPr>
          <w:rFonts w:hint="eastAsia" w:ascii="仿宋" w:hAnsi="仿宋" w:eastAsia="仿宋" w:cs="仿宋"/>
          <w:color w:val="auto"/>
          <w:highlight w:val="none"/>
        </w:rPr>
        <w:t>第五章  投标文件格式</w:t>
      </w:r>
      <w:bookmarkEnd w:id="88"/>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18"/>
        <w:shd w:val="clear"/>
        <w:rPr>
          <w:rFonts w:hint="eastAsia" w:ascii="仿宋" w:hAnsi="仿宋" w:eastAsia="仿宋" w:cs="仿宋"/>
          <w:color w:val="auto"/>
          <w:highlight w:val="none"/>
        </w:rPr>
      </w:pPr>
    </w:p>
    <w:p w14:paraId="02FF05CB">
      <w:pPr>
        <w:pStyle w:val="32"/>
        <w:shd w:val="clear"/>
        <w:ind w:left="5250"/>
        <w:rPr>
          <w:rFonts w:hint="eastAsia" w:ascii="仿宋" w:hAnsi="仿宋" w:eastAsia="仿宋" w:cs="仿宋"/>
          <w:color w:val="auto"/>
          <w:highlight w:val="none"/>
        </w:rPr>
      </w:pPr>
    </w:p>
    <w:p w14:paraId="3B639BA0">
      <w:pPr>
        <w:pStyle w:val="18"/>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18"/>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18"/>
        <w:shd w:val="clear"/>
        <w:rPr>
          <w:rFonts w:hint="eastAsia" w:ascii="仿宋" w:hAnsi="仿宋" w:eastAsia="仿宋" w:cs="仿宋"/>
          <w:color w:val="auto"/>
          <w:highlight w:val="none"/>
        </w:rPr>
      </w:pPr>
    </w:p>
    <w:p w14:paraId="5BA66DE9">
      <w:pPr>
        <w:pStyle w:val="32"/>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50"/>
        <w:shd w:val="clear"/>
        <w:rPr>
          <w:rFonts w:hint="eastAsia" w:ascii="仿宋" w:hAnsi="仿宋" w:eastAsia="仿宋" w:cs="仿宋"/>
          <w:color w:val="auto"/>
          <w:highlight w:val="none"/>
          <w:lang w:eastAsia="zh-CN"/>
        </w:rPr>
      </w:pPr>
    </w:p>
    <w:p w14:paraId="21D8EDB0">
      <w:pPr>
        <w:pStyle w:val="50"/>
        <w:shd w:val="clear"/>
        <w:rPr>
          <w:rFonts w:hint="eastAsia" w:ascii="仿宋" w:hAnsi="仿宋" w:eastAsia="仿宋" w:cs="仿宋"/>
          <w:color w:val="auto"/>
          <w:highlight w:val="none"/>
          <w:lang w:eastAsia="zh-CN"/>
        </w:rPr>
      </w:pPr>
    </w:p>
    <w:p w14:paraId="38AA9D39">
      <w:pPr>
        <w:pStyle w:val="50"/>
        <w:shd w:val="clear"/>
        <w:rPr>
          <w:rFonts w:hint="eastAsia" w:ascii="仿宋" w:hAnsi="仿宋" w:eastAsia="仿宋" w:cs="仿宋"/>
          <w:color w:val="auto"/>
          <w:highlight w:val="none"/>
          <w:lang w:eastAsia="zh-CN"/>
        </w:rPr>
      </w:pPr>
    </w:p>
    <w:p w14:paraId="5C4707EF">
      <w:pPr>
        <w:pStyle w:val="50"/>
        <w:shd w:val="clear"/>
        <w:rPr>
          <w:rFonts w:hint="eastAsia" w:ascii="仿宋" w:hAnsi="仿宋" w:eastAsia="仿宋" w:cs="仿宋"/>
          <w:color w:val="auto"/>
          <w:highlight w:val="none"/>
          <w:lang w:eastAsia="zh-CN"/>
        </w:rPr>
      </w:pPr>
    </w:p>
    <w:p w14:paraId="2EB68BFD">
      <w:pPr>
        <w:pStyle w:val="50"/>
        <w:shd w:val="clear"/>
        <w:rPr>
          <w:rFonts w:hint="eastAsia" w:ascii="仿宋" w:hAnsi="仿宋" w:eastAsia="仿宋" w:cs="仿宋"/>
          <w:color w:val="auto"/>
          <w:highlight w:val="none"/>
          <w:lang w:eastAsia="zh-CN"/>
        </w:rPr>
      </w:pPr>
    </w:p>
    <w:p w14:paraId="6678750E">
      <w:pPr>
        <w:pStyle w:val="50"/>
        <w:shd w:val="clear"/>
        <w:rPr>
          <w:rFonts w:hint="eastAsia" w:ascii="仿宋" w:hAnsi="仿宋" w:eastAsia="仿宋" w:cs="仿宋"/>
          <w:color w:val="auto"/>
          <w:highlight w:val="none"/>
          <w:lang w:eastAsia="zh-CN"/>
        </w:rPr>
      </w:pPr>
    </w:p>
    <w:p w14:paraId="7E18B4FE">
      <w:pPr>
        <w:pStyle w:val="50"/>
        <w:shd w:val="clear"/>
        <w:rPr>
          <w:rFonts w:hint="eastAsia" w:ascii="仿宋" w:hAnsi="仿宋" w:eastAsia="仿宋" w:cs="仿宋"/>
          <w:color w:val="auto"/>
          <w:highlight w:val="none"/>
          <w:lang w:eastAsia="zh-CN"/>
        </w:rPr>
      </w:pPr>
    </w:p>
    <w:p w14:paraId="252821C6">
      <w:pPr>
        <w:pStyle w:val="50"/>
        <w:shd w:val="clear"/>
        <w:rPr>
          <w:rFonts w:hint="eastAsia" w:ascii="仿宋" w:hAnsi="仿宋" w:eastAsia="仿宋" w:cs="仿宋"/>
          <w:color w:val="auto"/>
          <w:highlight w:val="none"/>
          <w:lang w:eastAsia="zh-CN"/>
        </w:rPr>
      </w:pPr>
    </w:p>
    <w:p w14:paraId="225B1041">
      <w:pPr>
        <w:pStyle w:val="50"/>
        <w:shd w:val="clear"/>
        <w:rPr>
          <w:rFonts w:hint="eastAsia" w:ascii="仿宋" w:hAnsi="仿宋" w:eastAsia="仿宋" w:cs="仿宋"/>
          <w:color w:val="auto"/>
          <w:highlight w:val="none"/>
          <w:lang w:eastAsia="zh-CN"/>
        </w:rPr>
      </w:pPr>
    </w:p>
    <w:p w14:paraId="74CFE2FD">
      <w:pPr>
        <w:pStyle w:val="50"/>
        <w:shd w:val="clear"/>
        <w:rPr>
          <w:rFonts w:hint="eastAsia" w:ascii="仿宋" w:hAnsi="仿宋" w:eastAsia="仿宋" w:cs="仿宋"/>
          <w:color w:val="auto"/>
          <w:highlight w:val="none"/>
          <w:lang w:eastAsia="zh-CN"/>
        </w:rPr>
      </w:pPr>
    </w:p>
    <w:p w14:paraId="3D5330DB">
      <w:pPr>
        <w:pStyle w:val="50"/>
        <w:shd w:val="clear"/>
        <w:rPr>
          <w:rFonts w:hint="eastAsia" w:ascii="仿宋" w:hAnsi="仿宋" w:eastAsia="仿宋" w:cs="仿宋"/>
          <w:color w:val="auto"/>
          <w:highlight w:val="none"/>
          <w:lang w:eastAsia="zh-CN"/>
        </w:rPr>
      </w:pPr>
    </w:p>
    <w:p w14:paraId="224C01A5">
      <w:pPr>
        <w:pStyle w:val="50"/>
        <w:shd w:val="clear"/>
        <w:rPr>
          <w:rFonts w:hint="eastAsia" w:ascii="仿宋" w:hAnsi="仿宋" w:eastAsia="仿宋" w:cs="仿宋"/>
          <w:color w:val="auto"/>
          <w:highlight w:val="none"/>
          <w:lang w:eastAsia="zh-CN"/>
        </w:rPr>
      </w:pPr>
    </w:p>
    <w:p w14:paraId="24BC3C43">
      <w:pPr>
        <w:pStyle w:val="50"/>
        <w:shd w:val="clear"/>
        <w:rPr>
          <w:rFonts w:hint="eastAsia" w:ascii="仿宋" w:hAnsi="仿宋" w:eastAsia="仿宋" w:cs="仿宋"/>
          <w:color w:val="auto"/>
          <w:highlight w:val="none"/>
          <w:lang w:eastAsia="zh-CN"/>
        </w:rPr>
      </w:pPr>
    </w:p>
    <w:p w14:paraId="5DA1BA3A">
      <w:pPr>
        <w:pStyle w:val="50"/>
        <w:shd w:val="clear"/>
        <w:rPr>
          <w:rFonts w:hint="eastAsia" w:ascii="仿宋" w:hAnsi="仿宋" w:eastAsia="仿宋" w:cs="仿宋"/>
          <w:color w:val="auto"/>
          <w:highlight w:val="none"/>
          <w:lang w:eastAsia="zh-CN"/>
        </w:rPr>
      </w:pPr>
    </w:p>
    <w:p w14:paraId="2D3A86D4">
      <w:pPr>
        <w:pStyle w:val="50"/>
        <w:shd w:val="clear"/>
        <w:rPr>
          <w:rFonts w:hint="eastAsia" w:ascii="仿宋" w:hAnsi="仿宋" w:eastAsia="仿宋" w:cs="仿宋"/>
          <w:color w:val="auto"/>
          <w:highlight w:val="none"/>
          <w:lang w:eastAsia="zh-CN"/>
        </w:rPr>
      </w:pPr>
    </w:p>
    <w:p w14:paraId="05107506">
      <w:pPr>
        <w:pStyle w:val="50"/>
        <w:shd w:val="clear"/>
        <w:rPr>
          <w:rFonts w:hint="eastAsia" w:ascii="仿宋" w:hAnsi="仿宋" w:eastAsia="仿宋" w:cs="仿宋"/>
          <w:color w:val="auto"/>
          <w:highlight w:val="none"/>
          <w:lang w:eastAsia="zh-CN"/>
        </w:rPr>
      </w:pPr>
    </w:p>
    <w:p w14:paraId="49184F4C">
      <w:pPr>
        <w:pStyle w:val="50"/>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89"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89"/>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山东同力建设项目管理有限公司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WHSW2026-003</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0" w:name="_Toc523388132"/>
    </w:p>
    <w:p w14:paraId="5D584B98">
      <w:pPr>
        <w:pStyle w:val="30"/>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30"/>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WHSW2026-003</w:t>
      </w:r>
    </w:p>
    <w:p w14:paraId="4C1593BA">
      <w:pPr>
        <w:pStyle w:val="30"/>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威海市水务集团有限公司选定塑料井年度供应商</w:t>
      </w:r>
    </w:p>
    <w:tbl>
      <w:tblPr>
        <w:tblStyle w:val="54"/>
        <w:tblW w:w="10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1732"/>
        <w:gridCol w:w="2820"/>
        <w:gridCol w:w="1573"/>
        <w:gridCol w:w="1812"/>
        <w:gridCol w:w="1380"/>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1406"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highlight w:val="none"/>
              </w:rPr>
            </w:pPr>
            <w:r>
              <w:rPr>
                <w:rFonts w:hint="eastAsia" w:ascii="仿宋" w:hAnsi="仿宋" w:eastAsia="仿宋" w:cs="仿宋"/>
                <w:b/>
                <w:color w:val="auto"/>
                <w:sz w:val="28"/>
                <w:szCs w:val="28"/>
                <w:highlight w:val="none"/>
              </w:rPr>
              <w:t>项目名称</w:t>
            </w:r>
          </w:p>
        </w:tc>
        <w:tc>
          <w:tcPr>
            <w:tcW w:w="1732" w:type="dxa"/>
            <w:vAlign w:val="center"/>
          </w:tcPr>
          <w:p w14:paraId="58F5FCB7">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合计报价</w:t>
            </w:r>
          </w:p>
          <w:p w14:paraId="60FB51DD">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含</w:t>
            </w:r>
            <w:r>
              <w:rPr>
                <w:rFonts w:hint="eastAsia" w:ascii="仿宋" w:hAnsi="仿宋" w:eastAsia="仿宋" w:cs="仿宋"/>
                <w:b/>
                <w:color w:val="auto"/>
                <w:sz w:val="28"/>
                <w:szCs w:val="28"/>
                <w:highlight w:val="none"/>
              </w:rPr>
              <w:t>税）</w:t>
            </w:r>
          </w:p>
        </w:tc>
        <w:tc>
          <w:tcPr>
            <w:tcW w:w="2820"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供货期</w:t>
            </w:r>
          </w:p>
        </w:tc>
        <w:tc>
          <w:tcPr>
            <w:tcW w:w="1573" w:type="dxa"/>
            <w:vAlign w:val="center"/>
          </w:tcPr>
          <w:p w14:paraId="3A237ED9">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质量标准</w:t>
            </w:r>
          </w:p>
        </w:tc>
        <w:tc>
          <w:tcPr>
            <w:tcW w:w="1812" w:type="dxa"/>
            <w:vAlign w:val="center"/>
          </w:tcPr>
          <w:p w14:paraId="3CFD3DC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质保期</w:t>
            </w:r>
          </w:p>
        </w:tc>
        <w:tc>
          <w:tcPr>
            <w:tcW w:w="1380" w:type="dxa"/>
            <w:vAlign w:val="center"/>
          </w:tcPr>
          <w:p w14:paraId="6FA3D35D">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品牌及</w:t>
            </w:r>
          </w:p>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生产厂家</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1406"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塑料井</w:t>
            </w:r>
          </w:p>
        </w:tc>
        <w:tc>
          <w:tcPr>
            <w:tcW w:w="1732" w:type="dxa"/>
            <w:vAlign w:val="center"/>
          </w:tcPr>
          <w:p w14:paraId="13D67A2A">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大写：</w:t>
            </w:r>
          </w:p>
          <w:p w14:paraId="3DD5B38D">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小写：</w:t>
            </w:r>
          </w:p>
        </w:tc>
        <w:tc>
          <w:tcPr>
            <w:tcW w:w="2820"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lang w:val="en-US" w:eastAsia="zh-CN"/>
              </w:rPr>
              <w:t>自招标人通知之日起</w:t>
            </w:r>
            <w:r>
              <w:rPr>
                <w:rFonts w:hint="eastAsia" w:ascii="仿宋" w:hAnsi="仿宋" w:eastAsia="仿宋" w:cs="仿宋"/>
                <w:bCs/>
                <w:color w:val="auto"/>
                <w:spacing w:val="8"/>
                <w:kern w:val="0"/>
                <w:sz w:val="28"/>
                <w:szCs w:val="28"/>
                <w:highlight w:val="none"/>
                <w:u w:val="single"/>
                <w:lang w:val="en-US" w:eastAsia="zh-CN"/>
              </w:rPr>
              <w:t xml:space="preserve">    </w:t>
            </w:r>
            <w:r>
              <w:rPr>
                <w:rFonts w:hint="eastAsia" w:ascii="仿宋" w:hAnsi="仿宋" w:eastAsia="仿宋" w:cs="仿宋"/>
                <w:bCs/>
                <w:color w:val="auto"/>
                <w:spacing w:val="8"/>
                <w:kern w:val="0"/>
                <w:sz w:val="28"/>
                <w:szCs w:val="28"/>
                <w:highlight w:val="none"/>
                <w:lang w:val="en-US" w:eastAsia="zh-CN"/>
              </w:rPr>
              <w:t>日内，按照通知的要求将产品运抵招标人指定地点</w:t>
            </w:r>
          </w:p>
        </w:tc>
        <w:tc>
          <w:tcPr>
            <w:tcW w:w="1573" w:type="dxa"/>
            <w:vAlign w:val="center"/>
          </w:tcPr>
          <w:p w14:paraId="3C3413C1">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达到国家验收规范合格标准</w:t>
            </w:r>
          </w:p>
        </w:tc>
        <w:tc>
          <w:tcPr>
            <w:tcW w:w="1812" w:type="dxa"/>
            <w:vAlign w:val="center"/>
          </w:tcPr>
          <w:p w14:paraId="0B31C8FE">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Cs/>
                <w:color w:val="auto"/>
                <w:spacing w:val="8"/>
                <w:kern w:val="0"/>
                <w:sz w:val="28"/>
                <w:szCs w:val="28"/>
                <w:highlight w:val="none"/>
              </w:rPr>
            </w:pPr>
            <w:r>
              <w:rPr>
                <w:rFonts w:hint="eastAsia" w:ascii="仿宋" w:hAnsi="仿宋" w:eastAsia="仿宋" w:cs="仿宋"/>
                <w:color w:val="auto"/>
                <w:sz w:val="28"/>
                <w:szCs w:val="28"/>
                <w:highlight w:val="none"/>
                <w:shd w:val="clear" w:color="auto" w:fill="FFFFFF"/>
              </w:rPr>
              <w:t>自验收合格之日起</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年</w:t>
            </w:r>
          </w:p>
        </w:tc>
        <w:tc>
          <w:tcPr>
            <w:tcW w:w="1380"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rPr>
            </w:pP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1406" w:type="dxa"/>
            <w:vAlign w:val="center"/>
          </w:tcPr>
          <w:p w14:paraId="5522C91B">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税率</w:t>
            </w:r>
          </w:p>
        </w:tc>
        <w:tc>
          <w:tcPr>
            <w:tcW w:w="9317" w:type="dxa"/>
            <w:gridSpan w:val="5"/>
            <w:vAlign w:val="center"/>
          </w:tcPr>
          <w:p w14:paraId="6C1ED6A5">
            <w:pPr>
              <w:shd w:val="clear"/>
              <w:jc w:val="center"/>
              <w:rPr>
                <w:rFonts w:hint="eastAsia" w:ascii="仿宋" w:hAnsi="仿宋" w:eastAsia="仿宋" w:cs="仿宋"/>
                <w:color w:val="auto"/>
                <w:sz w:val="28"/>
                <w:szCs w:val="28"/>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1406" w:type="dxa"/>
            <w:vAlign w:val="center"/>
          </w:tcPr>
          <w:p w14:paraId="5231F503">
            <w:pPr>
              <w:shd w:val="clear"/>
              <w:spacing w:line="44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报价声明</w:t>
            </w:r>
          </w:p>
        </w:tc>
        <w:tc>
          <w:tcPr>
            <w:tcW w:w="9317" w:type="dxa"/>
            <w:gridSpan w:val="5"/>
            <w:vAlign w:val="center"/>
          </w:tcPr>
          <w:p w14:paraId="58F890F1">
            <w:pPr>
              <w:widowControl/>
              <w:shd w:val="clear"/>
              <w:wordWrap w:val="0"/>
              <w:jc w:val="both"/>
              <w:rPr>
                <w:rFonts w:hint="eastAsia" w:ascii="仿宋" w:hAnsi="仿宋" w:eastAsia="仿宋" w:cs="仿宋"/>
                <w:color w:val="auto"/>
                <w:sz w:val="28"/>
                <w:szCs w:val="28"/>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1" w:name="_Toc130651407"/>
      <w:bookmarkStart w:id="92" w:name="_Toc66864055"/>
    </w:p>
    <w:p w14:paraId="0E1A04CF">
      <w:pPr>
        <w:pStyle w:val="18"/>
        <w:shd w:val="clear"/>
        <w:rPr>
          <w:rFonts w:hint="eastAsia" w:ascii="仿宋" w:hAnsi="仿宋" w:eastAsia="仿宋" w:cs="仿宋"/>
          <w:color w:val="auto"/>
          <w:highlight w:val="none"/>
        </w:rPr>
      </w:pPr>
    </w:p>
    <w:p w14:paraId="0038E329">
      <w:pPr>
        <w:pStyle w:val="18"/>
        <w:shd w:val="clear"/>
        <w:rPr>
          <w:rFonts w:hint="eastAsia" w:ascii="仿宋" w:hAnsi="仿宋" w:eastAsia="仿宋" w:cs="仿宋"/>
          <w:color w:val="auto"/>
          <w:highlight w:val="none"/>
        </w:rPr>
        <w:sectPr>
          <w:headerReference r:id="rId11" w:type="first"/>
          <w:headerReference r:id="rId10" w:type="even"/>
          <w:pgSz w:w="11906" w:h="16838"/>
          <w:pgMar w:top="1440" w:right="1083" w:bottom="1440" w:left="1083" w:header="851" w:footer="992" w:gutter="0"/>
          <w:cols w:space="720" w:num="1"/>
          <w:docGrid w:type="lines" w:linePitch="314" w:charSpace="0"/>
        </w:sectPr>
      </w:pPr>
    </w:p>
    <w:p w14:paraId="31B83B55">
      <w:pPr>
        <w:pStyle w:val="30"/>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报价明细表</w:t>
      </w:r>
      <w:bookmarkEnd w:id="91"/>
    </w:p>
    <w:tbl>
      <w:tblPr>
        <w:tblStyle w:val="54"/>
        <w:tblW w:w="14078" w:type="dxa"/>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2547"/>
        <w:gridCol w:w="1795"/>
        <w:gridCol w:w="935"/>
        <w:gridCol w:w="1418"/>
        <w:gridCol w:w="1638"/>
        <w:gridCol w:w="1650"/>
        <w:gridCol w:w="1650"/>
        <w:gridCol w:w="1650"/>
      </w:tblGrid>
      <w:tr w14:paraId="534F2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bottom w:val="single" w:color="000000" w:sz="4" w:space="0"/>
              <w:right w:val="single" w:color="000000" w:sz="4" w:space="0"/>
            </w:tcBorders>
            <w:shd w:val="clear" w:color="auto" w:fill="auto"/>
            <w:vAlign w:val="center"/>
          </w:tcPr>
          <w:p w14:paraId="34E7F77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序号</w:t>
            </w:r>
          </w:p>
        </w:tc>
        <w:tc>
          <w:tcPr>
            <w:tcW w:w="2547" w:type="dxa"/>
            <w:tcBorders>
              <w:left w:val="single" w:color="000000" w:sz="4" w:space="0"/>
              <w:bottom w:val="single" w:color="000000" w:sz="4" w:space="0"/>
              <w:right w:val="single" w:color="000000" w:sz="4" w:space="0"/>
            </w:tcBorders>
            <w:shd w:val="clear" w:color="auto" w:fill="auto"/>
            <w:vAlign w:val="center"/>
          </w:tcPr>
          <w:p w14:paraId="49DF82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材料名称</w:t>
            </w:r>
          </w:p>
        </w:tc>
        <w:tc>
          <w:tcPr>
            <w:tcW w:w="1795" w:type="dxa"/>
            <w:tcBorders>
              <w:left w:val="single" w:color="000000" w:sz="4" w:space="0"/>
              <w:bottom w:val="single" w:color="000000" w:sz="4" w:space="0"/>
              <w:right w:val="single" w:color="000000" w:sz="4" w:space="0"/>
            </w:tcBorders>
            <w:shd w:val="clear" w:color="auto" w:fill="auto"/>
            <w:vAlign w:val="center"/>
          </w:tcPr>
          <w:p w14:paraId="7F670A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规格型号</w:t>
            </w:r>
          </w:p>
        </w:tc>
        <w:tc>
          <w:tcPr>
            <w:tcW w:w="935" w:type="dxa"/>
            <w:tcBorders>
              <w:left w:val="single" w:color="000000" w:sz="4" w:space="0"/>
              <w:bottom w:val="single" w:color="000000" w:sz="4" w:space="0"/>
              <w:right w:val="single" w:color="000000" w:sz="4" w:space="0"/>
            </w:tcBorders>
            <w:shd w:val="clear" w:color="auto" w:fill="auto"/>
            <w:vAlign w:val="center"/>
          </w:tcPr>
          <w:p w14:paraId="0EB08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单位</w:t>
            </w:r>
          </w:p>
        </w:tc>
        <w:tc>
          <w:tcPr>
            <w:tcW w:w="1418" w:type="dxa"/>
            <w:tcBorders>
              <w:left w:val="single" w:color="000000" w:sz="4" w:space="0"/>
              <w:bottom w:val="single" w:color="000000" w:sz="4" w:space="0"/>
              <w:right w:val="single" w:color="000000" w:sz="4" w:space="0"/>
            </w:tcBorders>
            <w:shd w:val="clear" w:color="auto" w:fill="auto"/>
            <w:vAlign w:val="center"/>
          </w:tcPr>
          <w:p w14:paraId="3062732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暂定数量</w:t>
            </w:r>
          </w:p>
        </w:tc>
        <w:tc>
          <w:tcPr>
            <w:tcW w:w="1638" w:type="dxa"/>
            <w:tcBorders>
              <w:left w:val="single" w:color="000000" w:sz="4" w:space="0"/>
              <w:bottom w:val="single" w:color="000000" w:sz="4" w:space="0"/>
              <w:right w:val="single" w:color="000000" w:sz="4" w:space="0"/>
            </w:tcBorders>
            <w:shd w:val="clear" w:color="auto" w:fill="auto"/>
            <w:vAlign w:val="center"/>
          </w:tcPr>
          <w:p w14:paraId="5BC514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含税单价控制价(元)</w:t>
            </w:r>
          </w:p>
        </w:tc>
        <w:tc>
          <w:tcPr>
            <w:tcW w:w="1650" w:type="dxa"/>
            <w:tcBorders>
              <w:left w:val="single" w:color="000000" w:sz="4" w:space="0"/>
              <w:bottom w:val="single" w:color="000000" w:sz="4" w:space="0"/>
            </w:tcBorders>
            <w:shd w:val="clear" w:color="auto" w:fill="auto"/>
            <w:vAlign w:val="center"/>
          </w:tcPr>
          <w:p w14:paraId="64936A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含税单价报价(元)</w:t>
            </w:r>
          </w:p>
        </w:tc>
        <w:tc>
          <w:tcPr>
            <w:tcW w:w="1650" w:type="dxa"/>
            <w:tcBorders>
              <w:left w:val="single" w:color="000000" w:sz="4" w:space="0"/>
              <w:bottom w:val="single" w:color="000000" w:sz="4" w:space="0"/>
            </w:tcBorders>
            <w:shd w:val="clear" w:color="auto" w:fill="auto"/>
            <w:vAlign w:val="center"/>
          </w:tcPr>
          <w:p w14:paraId="5603B4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含税合价控制价（元）</w:t>
            </w:r>
          </w:p>
        </w:tc>
        <w:tc>
          <w:tcPr>
            <w:tcW w:w="1650" w:type="dxa"/>
            <w:tcBorders>
              <w:left w:val="single" w:color="000000" w:sz="4" w:space="0"/>
              <w:bottom w:val="single" w:color="000000" w:sz="4" w:space="0"/>
            </w:tcBorders>
            <w:shd w:val="clear" w:color="auto" w:fill="auto"/>
            <w:vAlign w:val="center"/>
          </w:tcPr>
          <w:p w14:paraId="4DEE32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含税合价报价（元）</w:t>
            </w:r>
          </w:p>
        </w:tc>
      </w:tr>
      <w:tr w14:paraId="32726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795" w:type="dxa"/>
            <w:tcBorders>
              <w:top w:val="single" w:color="000000" w:sz="4" w:space="0"/>
              <w:bottom w:val="single" w:color="000000" w:sz="4" w:space="0"/>
              <w:right w:val="single" w:color="000000" w:sz="4" w:space="0"/>
            </w:tcBorders>
            <w:shd w:val="clear" w:color="auto" w:fill="auto"/>
            <w:vAlign w:val="center"/>
          </w:tcPr>
          <w:p w14:paraId="721FC7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087378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起始井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BC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8B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F6E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26C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1099</w:t>
            </w:r>
          </w:p>
        </w:tc>
        <w:tc>
          <w:tcPr>
            <w:tcW w:w="1650" w:type="dxa"/>
            <w:tcBorders>
              <w:top w:val="single" w:color="000000" w:sz="4" w:space="0"/>
              <w:left w:val="single" w:color="000000" w:sz="4" w:space="0"/>
              <w:bottom w:val="single" w:color="000000" w:sz="4" w:space="0"/>
            </w:tcBorders>
            <w:shd w:val="clear" w:color="auto" w:fill="auto"/>
            <w:vAlign w:val="center"/>
          </w:tcPr>
          <w:p w14:paraId="4DD121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086B1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27475</w:t>
            </w:r>
          </w:p>
        </w:tc>
        <w:tc>
          <w:tcPr>
            <w:tcW w:w="1650" w:type="dxa"/>
            <w:tcBorders>
              <w:top w:val="single" w:color="000000" w:sz="4" w:space="0"/>
              <w:left w:val="single" w:color="000000" w:sz="4" w:space="0"/>
              <w:bottom w:val="single" w:color="000000" w:sz="4" w:space="0"/>
            </w:tcBorders>
            <w:shd w:val="clear" w:color="auto" w:fill="auto"/>
            <w:vAlign w:val="center"/>
          </w:tcPr>
          <w:p w14:paraId="523AC0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9E692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795" w:type="dxa"/>
            <w:tcBorders>
              <w:top w:val="single" w:color="000000" w:sz="4" w:space="0"/>
              <w:bottom w:val="single" w:color="000000" w:sz="4" w:space="0"/>
              <w:right w:val="single" w:color="000000" w:sz="4" w:space="0"/>
            </w:tcBorders>
            <w:shd w:val="clear" w:color="auto" w:fill="auto"/>
            <w:vAlign w:val="center"/>
          </w:tcPr>
          <w:p w14:paraId="1F8FCB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2547" w:type="dxa"/>
            <w:vMerge w:val="continue"/>
            <w:tcBorders>
              <w:left w:val="single" w:color="000000" w:sz="4" w:space="0"/>
              <w:right w:val="single" w:color="000000" w:sz="4" w:space="0"/>
            </w:tcBorders>
            <w:shd w:val="clear" w:color="auto" w:fill="auto"/>
            <w:vAlign w:val="center"/>
          </w:tcPr>
          <w:p w14:paraId="037762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7D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51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9F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E6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1205</w:t>
            </w:r>
          </w:p>
        </w:tc>
        <w:tc>
          <w:tcPr>
            <w:tcW w:w="1650" w:type="dxa"/>
            <w:tcBorders>
              <w:top w:val="single" w:color="000000" w:sz="4" w:space="0"/>
              <w:left w:val="single" w:color="000000" w:sz="4" w:space="0"/>
              <w:bottom w:val="single" w:color="000000" w:sz="4" w:space="0"/>
            </w:tcBorders>
            <w:shd w:val="clear" w:color="auto" w:fill="auto"/>
            <w:vAlign w:val="center"/>
          </w:tcPr>
          <w:p w14:paraId="4A6F706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C8771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6025</w:t>
            </w:r>
          </w:p>
        </w:tc>
        <w:tc>
          <w:tcPr>
            <w:tcW w:w="1650" w:type="dxa"/>
            <w:tcBorders>
              <w:top w:val="single" w:color="000000" w:sz="4" w:space="0"/>
              <w:left w:val="single" w:color="000000" w:sz="4" w:space="0"/>
              <w:bottom w:val="single" w:color="000000" w:sz="4" w:space="0"/>
            </w:tcBorders>
            <w:shd w:val="clear" w:color="auto" w:fill="auto"/>
            <w:vAlign w:val="center"/>
          </w:tcPr>
          <w:p w14:paraId="185033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2B366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0CBEE5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2547" w:type="dxa"/>
            <w:vMerge w:val="continue"/>
            <w:tcBorders>
              <w:left w:val="single" w:color="000000" w:sz="4" w:space="0"/>
              <w:right w:val="single" w:color="000000" w:sz="4" w:space="0"/>
            </w:tcBorders>
            <w:shd w:val="clear" w:color="auto" w:fill="auto"/>
            <w:vAlign w:val="center"/>
          </w:tcPr>
          <w:p w14:paraId="7910E2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AC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79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A3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D99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1439</w:t>
            </w:r>
          </w:p>
        </w:tc>
        <w:tc>
          <w:tcPr>
            <w:tcW w:w="1650" w:type="dxa"/>
            <w:tcBorders>
              <w:top w:val="single" w:color="000000" w:sz="4" w:space="0"/>
              <w:left w:val="single" w:color="000000" w:sz="4" w:space="0"/>
              <w:bottom w:val="single" w:color="000000" w:sz="4" w:space="0"/>
            </w:tcBorders>
            <w:shd w:val="clear" w:color="auto" w:fill="auto"/>
            <w:vAlign w:val="center"/>
          </w:tcPr>
          <w:p w14:paraId="7368FEE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73C3F8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7195</w:t>
            </w:r>
          </w:p>
        </w:tc>
        <w:tc>
          <w:tcPr>
            <w:tcW w:w="1650" w:type="dxa"/>
            <w:tcBorders>
              <w:top w:val="single" w:color="000000" w:sz="4" w:space="0"/>
              <w:left w:val="single" w:color="000000" w:sz="4" w:space="0"/>
              <w:bottom w:val="single" w:color="000000" w:sz="4" w:space="0"/>
            </w:tcBorders>
            <w:shd w:val="clear" w:color="auto" w:fill="auto"/>
            <w:vAlign w:val="center"/>
          </w:tcPr>
          <w:p w14:paraId="49D156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FA5C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4464F2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49480E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0DC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19C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86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7C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1668</w:t>
            </w:r>
          </w:p>
        </w:tc>
        <w:tc>
          <w:tcPr>
            <w:tcW w:w="1650" w:type="dxa"/>
            <w:tcBorders>
              <w:top w:val="single" w:color="000000" w:sz="4" w:space="0"/>
              <w:left w:val="single" w:color="000000" w:sz="4" w:space="0"/>
              <w:bottom w:val="single" w:color="000000" w:sz="4" w:space="0"/>
            </w:tcBorders>
            <w:shd w:val="clear" w:color="auto" w:fill="auto"/>
            <w:vAlign w:val="center"/>
          </w:tcPr>
          <w:p w14:paraId="72397D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0CD317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8340</w:t>
            </w:r>
          </w:p>
        </w:tc>
        <w:tc>
          <w:tcPr>
            <w:tcW w:w="1650" w:type="dxa"/>
            <w:tcBorders>
              <w:top w:val="single" w:color="000000" w:sz="4" w:space="0"/>
              <w:left w:val="single" w:color="000000" w:sz="4" w:space="0"/>
              <w:bottom w:val="single" w:color="000000" w:sz="4" w:space="0"/>
            </w:tcBorders>
            <w:shd w:val="clear" w:color="auto" w:fill="auto"/>
            <w:vAlign w:val="center"/>
          </w:tcPr>
          <w:p w14:paraId="248B1A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163839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2C2C29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09CDC97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直通井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9E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9E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30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9D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1144</w:t>
            </w:r>
          </w:p>
        </w:tc>
        <w:tc>
          <w:tcPr>
            <w:tcW w:w="1650" w:type="dxa"/>
            <w:tcBorders>
              <w:top w:val="single" w:color="000000" w:sz="4" w:space="0"/>
              <w:left w:val="single" w:color="000000" w:sz="4" w:space="0"/>
              <w:bottom w:val="single" w:color="000000" w:sz="4" w:space="0"/>
            </w:tcBorders>
            <w:shd w:val="clear" w:color="auto" w:fill="auto"/>
            <w:vAlign w:val="center"/>
          </w:tcPr>
          <w:p w14:paraId="118C9F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7B2AE6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171600</w:t>
            </w:r>
          </w:p>
        </w:tc>
        <w:tc>
          <w:tcPr>
            <w:tcW w:w="1650" w:type="dxa"/>
            <w:tcBorders>
              <w:top w:val="single" w:color="000000" w:sz="4" w:space="0"/>
              <w:left w:val="single" w:color="000000" w:sz="4" w:space="0"/>
              <w:bottom w:val="single" w:color="000000" w:sz="4" w:space="0"/>
            </w:tcBorders>
            <w:shd w:val="clear" w:color="auto" w:fill="auto"/>
            <w:vAlign w:val="center"/>
          </w:tcPr>
          <w:p w14:paraId="585D3A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55AC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 w:hRule="atLeast"/>
        </w:trPr>
        <w:tc>
          <w:tcPr>
            <w:tcW w:w="795" w:type="dxa"/>
            <w:tcBorders>
              <w:top w:val="single" w:color="000000" w:sz="4" w:space="0"/>
              <w:bottom w:val="single" w:color="000000" w:sz="4" w:space="0"/>
              <w:right w:val="single" w:color="000000" w:sz="4" w:space="0"/>
            </w:tcBorders>
            <w:shd w:val="clear" w:color="auto" w:fill="auto"/>
            <w:vAlign w:val="center"/>
          </w:tcPr>
          <w:p w14:paraId="4D47CC1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2547" w:type="dxa"/>
            <w:vMerge w:val="continue"/>
            <w:tcBorders>
              <w:left w:val="single" w:color="000000" w:sz="4" w:space="0"/>
              <w:right w:val="single" w:color="000000" w:sz="4" w:space="0"/>
            </w:tcBorders>
            <w:shd w:val="clear" w:color="auto" w:fill="auto"/>
            <w:vAlign w:val="center"/>
          </w:tcPr>
          <w:p w14:paraId="2D1B23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12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4D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EC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E9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1232</w:t>
            </w:r>
          </w:p>
        </w:tc>
        <w:tc>
          <w:tcPr>
            <w:tcW w:w="1650" w:type="dxa"/>
            <w:tcBorders>
              <w:top w:val="single" w:color="000000" w:sz="4" w:space="0"/>
              <w:left w:val="single" w:color="000000" w:sz="4" w:space="0"/>
              <w:bottom w:val="single" w:color="000000" w:sz="4" w:space="0"/>
            </w:tcBorders>
            <w:shd w:val="clear" w:color="auto" w:fill="auto"/>
            <w:vAlign w:val="center"/>
          </w:tcPr>
          <w:p w14:paraId="6237F2D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0982C4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30800</w:t>
            </w:r>
          </w:p>
        </w:tc>
        <w:tc>
          <w:tcPr>
            <w:tcW w:w="1650" w:type="dxa"/>
            <w:tcBorders>
              <w:top w:val="single" w:color="000000" w:sz="4" w:space="0"/>
              <w:left w:val="single" w:color="000000" w:sz="4" w:space="0"/>
              <w:bottom w:val="single" w:color="000000" w:sz="4" w:space="0"/>
            </w:tcBorders>
            <w:shd w:val="clear" w:color="auto" w:fill="auto"/>
            <w:vAlign w:val="center"/>
          </w:tcPr>
          <w:p w14:paraId="02B9F2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24774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795" w:type="dxa"/>
            <w:tcBorders>
              <w:top w:val="single" w:color="000000" w:sz="4" w:space="0"/>
              <w:bottom w:val="single" w:color="000000" w:sz="4" w:space="0"/>
              <w:right w:val="single" w:color="000000" w:sz="4" w:space="0"/>
            </w:tcBorders>
            <w:shd w:val="clear" w:color="auto" w:fill="auto"/>
            <w:vAlign w:val="center"/>
          </w:tcPr>
          <w:p w14:paraId="7877C7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w:t>
            </w:r>
          </w:p>
        </w:tc>
        <w:tc>
          <w:tcPr>
            <w:tcW w:w="2547" w:type="dxa"/>
            <w:vMerge w:val="continue"/>
            <w:tcBorders>
              <w:left w:val="single" w:color="000000" w:sz="4" w:space="0"/>
              <w:right w:val="single" w:color="000000" w:sz="4" w:space="0"/>
            </w:tcBorders>
            <w:shd w:val="clear" w:color="auto" w:fill="auto"/>
            <w:vAlign w:val="center"/>
          </w:tcPr>
          <w:p w14:paraId="17578F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8A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BF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03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39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1497</w:t>
            </w:r>
          </w:p>
        </w:tc>
        <w:tc>
          <w:tcPr>
            <w:tcW w:w="1650" w:type="dxa"/>
            <w:tcBorders>
              <w:top w:val="single" w:color="000000" w:sz="4" w:space="0"/>
              <w:left w:val="single" w:color="000000" w:sz="4" w:space="0"/>
              <w:bottom w:val="single" w:color="000000" w:sz="4" w:space="0"/>
            </w:tcBorders>
            <w:shd w:val="clear" w:color="auto" w:fill="auto"/>
            <w:vAlign w:val="center"/>
          </w:tcPr>
          <w:p w14:paraId="084130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1F52E0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14970</w:t>
            </w:r>
          </w:p>
        </w:tc>
        <w:tc>
          <w:tcPr>
            <w:tcW w:w="1650" w:type="dxa"/>
            <w:tcBorders>
              <w:top w:val="single" w:color="000000" w:sz="4" w:space="0"/>
              <w:left w:val="single" w:color="000000" w:sz="4" w:space="0"/>
              <w:bottom w:val="single" w:color="000000" w:sz="4" w:space="0"/>
            </w:tcBorders>
            <w:shd w:val="clear" w:color="auto" w:fill="auto"/>
            <w:vAlign w:val="center"/>
          </w:tcPr>
          <w:p w14:paraId="0C9F6B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7580E4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9" w:hRule="atLeast"/>
        </w:trPr>
        <w:tc>
          <w:tcPr>
            <w:tcW w:w="795" w:type="dxa"/>
            <w:tcBorders>
              <w:top w:val="single" w:color="000000" w:sz="4" w:space="0"/>
              <w:bottom w:val="single" w:color="000000" w:sz="4" w:space="0"/>
              <w:right w:val="single" w:color="000000" w:sz="4" w:space="0"/>
            </w:tcBorders>
            <w:shd w:val="clear" w:color="auto" w:fill="auto"/>
            <w:vAlign w:val="center"/>
          </w:tcPr>
          <w:p w14:paraId="522742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1A8065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7E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75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19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56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1807</w:t>
            </w:r>
          </w:p>
        </w:tc>
        <w:tc>
          <w:tcPr>
            <w:tcW w:w="1650" w:type="dxa"/>
            <w:tcBorders>
              <w:top w:val="single" w:color="000000" w:sz="4" w:space="0"/>
              <w:left w:val="single" w:color="000000" w:sz="4" w:space="0"/>
              <w:bottom w:val="single" w:color="000000" w:sz="4" w:space="0"/>
            </w:tcBorders>
            <w:shd w:val="clear" w:color="auto" w:fill="auto"/>
            <w:vAlign w:val="center"/>
          </w:tcPr>
          <w:p w14:paraId="03E259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2BEA29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9035</w:t>
            </w:r>
          </w:p>
        </w:tc>
        <w:tc>
          <w:tcPr>
            <w:tcW w:w="1650" w:type="dxa"/>
            <w:tcBorders>
              <w:top w:val="single" w:color="000000" w:sz="4" w:space="0"/>
              <w:left w:val="single" w:color="000000" w:sz="4" w:space="0"/>
              <w:bottom w:val="single" w:color="000000" w:sz="4" w:space="0"/>
            </w:tcBorders>
            <w:shd w:val="clear" w:color="auto" w:fill="auto"/>
            <w:vAlign w:val="center"/>
          </w:tcPr>
          <w:p w14:paraId="3D3687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B91D3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32F19B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7DBDB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90度弯头井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39A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3A4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8C0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9F6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1087</w:t>
            </w:r>
          </w:p>
        </w:tc>
        <w:tc>
          <w:tcPr>
            <w:tcW w:w="1650" w:type="dxa"/>
            <w:tcBorders>
              <w:top w:val="single" w:color="000000" w:sz="4" w:space="0"/>
              <w:left w:val="single" w:color="000000" w:sz="4" w:space="0"/>
              <w:bottom w:val="single" w:color="000000" w:sz="4" w:space="0"/>
            </w:tcBorders>
            <w:shd w:val="clear" w:color="auto" w:fill="auto"/>
            <w:vAlign w:val="center"/>
          </w:tcPr>
          <w:p w14:paraId="2CB9A2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E65A2B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27175</w:t>
            </w:r>
          </w:p>
        </w:tc>
        <w:tc>
          <w:tcPr>
            <w:tcW w:w="1650" w:type="dxa"/>
            <w:tcBorders>
              <w:top w:val="single" w:color="000000" w:sz="4" w:space="0"/>
              <w:left w:val="single" w:color="000000" w:sz="4" w:space="0"/>
              <w:bottom w:val="single" w:color="000000" w:sz="4" w:space="0"/>
            </w:tcBorders>
            <w:shd w:val="clear" w:color="auto" w:fill="auto"/>
            <w:vAlign w:val="center"/>
          </w:tcPr>
          <w:p w14:paraId="6CFCC0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92BEA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6D4023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c>
          <w:tcPr>
            <w:tcW w:w="2547" w:type="dxa"/>
            <w:vMerge w:val="continue"/>
            <w:tcBorders>
              <w:left w:val="single" w:color="000000" w:sz="4" w:space="0"/>
              <w:right w:val="single" w:color="000000" w:sz="4" w:space="0"/>
            </w:tcBorders>
            <w:shd w:val="clear" w:color="auto" w:fill="auto"/>
            <w:vAlign w:val="center"/>
          </w:tcPr>
          <w:p w14:paraId="45C0E64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AA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B6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64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906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1225</w:t>
            </w:r>
          </w:p>
        </w:tc>
        <w:tc>
          <w:tcPr>
            <w:tcW w:w="1650" w:type="dxa"/>
            <w:tcBorders>
              <w:top w:val="single" w:color="000000" w:sz="4" w:space="0"/>
              <w:left w:val="single" w:color="000000" w:sz="4" w:space="0"/>
              <w:bottom w:val="single" w:color="000000" w:sz="4" w:space="0"/>
            </w:tcBorders>
            <w:shd w:val="clear" w:color="auto" w:fill="auto"/>
            <w:vAlign w:val="center"/>
          </w:tcPr>
          <w:p w14:paraId="23765B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50FF6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6125</w:t>
            </w:r>
          </w:p>
        </w:tc>
        <w:tc>
          <w:tcPr>
            <w:tcW w:w="1650" w:type="dxa"/>
            <w:tcBorders>
              <w:top w:val="single" w:color="000000" w:sz="4" w:space="0"/>
              <w:left w:val="single" w:color="000000" w:sz="4" w:space="0"/>
              <w:bottom w:val="single" w:color="000000" w:sz="4" w:space="0"/>
            </w:tcBorders>
            <w:shd w:val="clear" w:color="auto" w:fill="auto"/>
            <w:vAlign w:val="center"/>
          </w:tcPr>
          <w:p w14:paraId="211F7B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F213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198177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w:t>
            </w:r>
          </w:p>
        </w:tc>
        <w:tc>
          <w:tcPr>
            <w:tcW w:w="2547" w:type="dxa"/>
            <w:vMerge w:val="continue"/>
            <w:tcBorders>
              <w:left w:val="single" w:color="000000" w:sz="4" w:space="0"/>
              <w:right w:val="single" w:color="000000" w:sz="4" w:space="0"/>
            </w:tcBorders>
            <w:shd w:val="clear" w:color="auto" w:fill="auto"/>
            <w:vAlign w:val="center"/>
          </w:tcPr>
          <w:p w14:paraId="0C175C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DB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7BB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58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49B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1461</w:t>
            </w:r>
          </w:p>
        </w:tc>
        <w:tc>
          <w:tcPr>
            <w:tcW w:w="1650" w:type="dxa"/>
            <w:tcBorders>
              <w:top w:val="single" w:color="000000" w:sz="4" w:space="0"/>
              <w:left w:val="single" w:color="000000" w:sz="4" w:space="0"/>
              <w:bottom w:val="single" w:color="000000" w:sz="4" w:space="0"/>
            </w:tcBorders>
            <w:shd w:val="clear" w:color="auto" w:fill="auto"/>
            <w:vAlign w:val="center"/>
          </w:tcPr>
          <w:p w14:paraId="3645A6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8BEF4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7305</w:t>
            </w:r>
          </w:p>
        </w:tc>
        <w:tc>
          <w:tcPr>
            <w:tcW w:w="1650" w:type="dxa"/>
            <w:tcBorders>
              <w:top w:val="single" w:color="000000" w:sz="4" w:space="0"/>
              <w:left w:val="single" w:color="000000" w:sz="4" w:space="0"/>
              <w:bottom w:val="single" w:color="000000" w:sz="4" w:space="0"/>
            </w:tcBorders>
            <w:shd w:val="clear" w:color="auto" w:fill="auto"/>
            <w:vAlign w:val="center"/>
          </w:tcPr>
          <w:p w14:paraId="595DF9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786E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5814A69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12</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12E6B4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19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CE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C1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00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1655</w:t>
            </w:r>
          </w:p>
        </w:tc>
        <w:tc>
          <w:tcPr>
            <w:tcW w:w="1650" w:type="dxa"/>
            <w:tcBorders>
              <w:top w:val="single" w:color="000000" w:sz="4" w:space="0"/>
              <w:left w:val="single" w:color="000000" w:sz="4" w:space="0"/>
              <w:bottom w:val="single" w:color="000000" w:sz="4" w:space="0"/>
            </w:tcBorders>
            <w:shd w:val="clear" w:color="auto" w:fill="auto"/>
            <w:vAlign w:val="center"/>
          </w:tcPr>
          <w:p w14:paraId="4E67490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30806B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8275</w:t>
            </w:r>
          </w:p>
        </w:tc>
        <w:tc>
          <w:tcPr>
            <w:tcW w:w="1650" w:type="dxa"/>
            <w:tcBorders>
              <w:top w:val="single" w:color="000000" w:sz="4" w:space="0"/>
              <w:left w:val="single" w:color="000000" w:sz="4" w:space="0"/>
              <w:bottom w:val="single" w:color="000000" w:sz="4" w:space="0"/>
            </w:tcBorders>
            <w:shd w:val="clear" w:color="auto" w:fill="auto"/>
            <w:vAlign w:val="center"/>
          </w:tcPr>
          <w:p w14:paraId="5B7C3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A821D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209B21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13</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053EDBA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三通井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CA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8E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3F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28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1134</w:t>
            </w:r>
          </w:p>
        </w:tc>
        <w:tc>
          <w:tcPr>
            <w:tcW w:w="1650" w:type="dxa"/>
            <w:tcBorders>
              <w:top w:val="single" w:color="000000" w:sz="4" w:space="0"/>
              <w:left w:val="single" w:color="000000" w:sz="4" w:space="0"/>
              <w:bottom w:val="single" w:color="000000" w:sz="4" w:space="0"/>
            </w:tcBorders>
            <w:shd w:val="clear" w:color="auto" w:fill="auto"/>
            <w:vAlign w:val="center"/>
          </w:tcPr>
          <w:p w14:paraId="12BF44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0EF242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17010</w:t>
            </w:r>
          </w:p>
        </w:tc>
        <w:tc>
          <w:tcPr>
            <w:tcW w:w="1650" w:type="dxa"/>
            <w:tcBorders>
              <w:top w:val="single" w:color="000000" w:sz="4" w:space="0"/>
              <w:left w:val="single" w:color="000000" w:sz="4" w:space="0"/>
              <w:bottom w:val="single" w:color="000000" w:sz="4" w:space="0"/>
            </w:tcBorders>
            <w:shd w:val="clear" w:color="auto" w:fill="auto"/>
            <w:vAlign w:val="center"/>
          </w:tcPr>
          <w:p w14:paraId="7C08AC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36215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0E50D0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14</w:t>
            </w:r>
          </w:p>
        </w:tc>
        <w:tc>
          <w:tcPr>
            <w:tcW w:w="2547" w:type="dxa"/>
            <w:vMerge w:val="continue"/>
            <w:tcBorders>
              <w:left w:val="single" w:color="000000" w:sz="4" w:space="0"/>
              <w:right w:val="single" w:color="000000" w:sz="4" w:space="0"/>
            </w:tcBorders>
            <w:shd w:val="clear" w:color="auto" w:fill="auto"/>
            <w:vAlign w:val="center"/>
          </w:tcPr>
          <w:p w14:paraId="4A2DB6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83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9A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26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40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1278</w:t>
            </w:r>
          </w:p>
        </w:tc>
        <w:tc>
          <w:tcPr>
            <w:tcW w:w="1650" w:type="dxa"/>
            <w:tcBorders>
              <w:top w:val="single" w:color="000000" w:sz="4" w:space="0"/>
              <w:left w:val="single" w:color="000000" w:sz="4" w:space="0"/>
              <w:bottom w:val="single" w:color="000000" w:sz="4" w:space="0"/>
            </w:tcBorders>
            <w:shd w:val="clear" w:color="auto" w:fill="auto"/>
            <w:vAlign w:val="center"/>
          </w:tcPr>
          <w:p w14:paraId="496365C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5129D0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6390</w:t>
            </w:r>
          </w:p>
        </w:tc>
        <w:tc>
          <w:tcPr>
            <w:tcW w:w="1650" w:type="dxa"/>
            <w:tcBorders>
              <w:top w:val="single" w:color="000000" w:sz="4" w:space="0"/>
              <w:left w:val="single" w:color="000000" w:sz="4" w:space="0"/>
              <w:bottom w:val="single" w:color="000000" w:sz="4" w:space="0"/>
            </w:tcBorders>
            <w:shd w:val="clear" w:color="auto" w:fill="auto"/>
            <w:vAlign w:val="center"/>
          </w:tcPr>
          <w:p w14:paraId="4C36B3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111BB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795" w:type="dxa"/>
            <w:tcBorders>
              <w:top w:val="single" w:color="000000" w:sz="4" w:space="0"/>
              <w:bottom w:val="single" w:color="000000" w:sz="4" w:space="0"/>
              <w:right w:val="single" w:color="000000" w:sz="4" w:space="0"/>
            </w:tcBorders>
            <w:shd w:val="clear" w:color="auto" w:fill="auto"/>
            <w:vAlign w:val="center"/>
          </w:tcPr>
          <w:p w14:paraId="15815C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c>
          <w:tcPr>
            <w:tcW w:w="2547" w:type="dxa"/>
            <w:vMerge w:val="continue"/>
            <w:tcBorders>
              <w:left w:val="single" w:color="000000" w:sz="4" w:space="0"/>
              <w:right w:val="single" w:color="000000" w:sz="4" w:space="0"/>
            </w:tcBorders>
            <w:shd w:val="clear" w:color="auto" w:fill="auto"/>
            <w:vAlign w:val="center"/>
          </w:tcPr>
          <w:p w14:paraId="2E759B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22D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1D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26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0C2E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1541</w:t>
            </w:r>
          </w:p>
        </w:tc>
        <w:tc>
          <w:tcPr>
            <w:tcW w:w="1650" w:type="dxa"/>
            <w:tcBorders>
              <w:top w:val="single" w:color="000000" w:sz="4" w:space="0"/>
              <w:left w:val="single" w:color="000000" w:sz="4" w:space="0"/>
              <w:bottom w:val="single" w:color="000000" w:sz="4" w:space="0"/>
            </w:tcBorders>
            <w:shd w:val="clear" w:color="auto" w:fill="auto"/>
            <w:vAlign w:val="center"/>
          </w:tcPr>
          <w:p w14:paraId="37B047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6BDCF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7705</w:t>
            </w:r>
          </w:p>
        </w:tc>
        <w:tc>
          <w:tcPr>
            <w:tcW w:w="1650" w:type="dxa"/>
            <w:tcBorders>
              <w:top w:val="single" w:color="000000" w:sz="4" w:space="0"/>
              <w:left w:val="single" w:color="000000" w:sz="4" w:space="0"/>
              <w:bottom w:val="single" w:color="000000" w:sz="4" w:space="0"/>
            </w:tcBorders>
            <w:shd w:val="clear" w:color="auto" w:fill="auto"/>
            <w:vAlign w:val="center"/>
          </w:tcPr>
          <w:p w14:paraId="778323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10298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86" w:hRule="atLeast"/>
        </w:trPr>
        <w:tc>
          <w:tcPr>
            <w:tcW w:w="795" w:type="dxa"/>
            <w:tcBorders>
              <w:top w:val="single" w:color="000000" w:sz="4" w:space="0"/>
              <w:bottom w:val="single" w:color="000000" w:sz="4" w:space="0"/>
              <w:right w:val="single" w:color="000000" w:sz="4" w:space="0"/>
            </w:tcBorders>
            <w:shd w:val="clear" w:color="auto" w:fill="auto"/>
            <w:vAlign w:val="center"/>
          </w:tcPr>
          <w:p w14:paraId="144595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16</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5822AB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AD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92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70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5E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1817</w:t>
            </w:r>
          </w:p>
        </w:tc>
        <w:tc>
          <w:tcPr>
            <w:tcW w:w="1650" w:type="dxa"/>
            <w:tcBorders>
              <w:top w:val="single" w:color="000000" w:sz="4" w:space="0"/>
              <w:left w:val="single" w:color="000000" w:sz="4" w:space="0"/>
              <w:bottom w:val="single" w:color="000000" w:sz="4" w:space="0"/>
            </w:tcBorders>
            <w:shd w:val="clear" w:color="auto" w:fill="auto"/>
            <w:vAlign w:val="center"/>
          </w:tcPr>
          <w:p w14:paraId="6A09AB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59403A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9085</w:t>
            </w:r>
          </w:p>
        </w:tc>
        <w:tc>
          <w:tcPr>
            <w:tcW w:w="1650" w:type="dxa"/>
            <w:tcBorders>
              <w:top w:val="single" w:color="000000" w:sz="4" w:space="0"/>
              <w:left w:val="single" w:color="000000" w:sz="4" w:space="0"/>
              <w:bottom w:val="single" w:color="000000" w:sz="4" w:space="0"/>
            </w:tcBorders>
            <w:shd w:val="clear" w:color="auto" w:fill="auto"/>
            <w:vAlign w:val="center"/>
          </w:tcPr>
          <w:p w14:paraId="6973B7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61495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6EFDC46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17</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107B6F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四通井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69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B33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34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84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1203</w:t>
            </w:r>
          </w:p>
        </w:tc>
        <w:tc>
          <w:tcPr>
            <w:tcW w:w="1650" w:type="dxa"/>
            <w:tcBorders>
              <w:top w:val="single" w:color="000000" w:sz="4" w:space="0"/>
              <w:left w:val="single" w:color="000000" w:sz="4" w:space="0"/>
              <w:bottom w:val="single" w:color="000000" w:sz="4" w:space="0"/>
            </w:tcBorders>
            <w:shd w:val="clear" w:color="auto" w:fill="auto"/>
            <w:vAlign w:val="center"/>
          </w:tcPr>
          <w:p w14:paraId="0432BE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7D2B13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6015</w:t>
            </w:r>
          </w:p>
        </w:tc>
        <w:tc>
          <w:tcPr>
            <w:tcW w:w="1650" w:type="dxa"/>
            <w:tcBorders>
              <w:top w:val="single" w:color="000000" w:sz="4" w:space="0"/>
              <w:left w:val="single" w:color="000000" w:sz="4" w:space="0"/>
              <w:bottom w:val="single" w:color="000000" w:sz="4" w:space="0"/>
            </w:tcBorders>
            <w:shd w:val="clear" w:color="auto" w:fill="auto"/>
            <w:vAlign w:val="center"/>
          </w:tcPr>
          <w:p w14:paraId="160F81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E319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6592F9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18</w:t>
            </w:r>
          </w:p>
        </w:tc>
        <w:tc>
          <w:tcPr>
            <w:tcW w:w="2547" w:type="dxa"/>
            <w:vMerge w:val="continue"/>
            <w:tcBorders>
              <w:left w:val="single" w:color="000000" w:sz="4" w:space="0"/>
              <w:right w:val="single" w:color="000000" w:sz="4" w:space="0"/>
            </w:tcBorders>
            <w:shd w:val="clear" w:color="auto" w:fill="auto"/>
            <w:vAlign w:val="center"/>
          </w:tcPr>
          <w:p w14:paraId="647E9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0A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84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52A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AED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1331</w:t>
            </w:r>
          </w:p>
        </w:tc>
        <w:tc>
          <w:tcPr>
            <w:tcW w:w="1650" w:type="dxa"/>
            <w:tcBorders>
              <w:top w:val="single" w:color="000000" w:sz="4" w:space="0"/>
              <w:left w:val="single" w:color="000000" w:sz="4" w:space="0"/>
              <w:bottom w:val="single" w:color="000000" w:sz="4" w:space="0"/>
            </w:tcBorders>
            <w:shd w:val="clear" w:color="auto" w:fill="auto"/>
            <w:vAlign w:val="center"/>
          </w:tcPr>
          <w:p w14:paraId="4DC845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3F1D3A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6655</w:t>
            </w:r>
          </w:p>
        </w:tc>
        <w:tc>
          <w:tcPr>
            <w:tcW w:w="1650" w:type="dxa"/>
            <w:tcBorders>
              <w:top w:val="single" w:color="000000" w:sz="4" w:space="0"/>
              <w:left w:val="single" w:color="000000" w:sz="4" w:space="0"/>
              <w:bottom w:val="single" w:color="000000" w:sz="4" w:space="0"/>
            </w:tcBorders>
            <w:shd w:val="clear" w:color="auto" w:fill="auto"/>
            <w:vAlign w:val="center"/>
          </w:tcPr>
          <w:p w14:paraId="2E3BBF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29BAA5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18" w:hRule="atLeast"/>
        </w:trPr>
        <w:tc>
          <w:tcPr>
            <w:tcW w:w="795" w:type="dxa"/>
            <w:tcBorders>
              <w:top w:val="single" w:color="000000" w:sz="4" w:space="0"/>
              <w:bottom w:val="single" w:color="000000" w:sz="4" w:space="0"/>
              <w:right w:val="single" w:color="000000" w:sz="4" w:space="0"/>
            </w:tcBorders>
            <w:shd w:val="clear" w:color="auto" w:fill="auto"/>
            <w:vAlign w:val="center"/>
          </w:tcPr>
          <w:p w14:paraId="6197A9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19</w:t>
            </w:r>
          </w:p>
        </w:tc>
        <w:tc>
          <w:tcPr>
            <w:tcW w:w="2547" w:type="dxa"/>
            <w:vMerge w:val="continue"/>
            <w:tcBorders>
              <w:left w:val="single" w:color="000000" w:sz="4" w:space="0"/>
              <w:right w:val="single" w:color="000000" w:sz="4" w:space="0"/>
            </w:tcBorders>
            <w:shd w:val="clear" w:color="auto" w:fill="auto"/>
            <w:vAlign w:val="center"/>
          </w:tcPr>
          <w:p w14:paraId="5C14E2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3E1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C9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DB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E6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1624</w:t>
            </w:r>
          </w:p>
        </w:tc>
        <w:tc>
          <w:tcPr>
            <w:tcW w:w="1650" w:type="dxa"/>
            <w:tcBorders>
              <w:top w:val="single" w:color="000000" w:sz="4" w:space="0"/>
              <w:left w:val="single" w:color="000000" w:sz="4" w:space="0"/>
              <w:bottom w:val="single" w:color="000000" w:sz="4" w:space="0"/>
            </w:tcBorders>
            <w:shd w:val="clear" w:color="auto" w:fill="auto"/>
            <w:vAlign w:val="center"/>
          </w:tcPr>
          <w:p w14:paraId="162E96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2D7598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8120</w:t>
            </w:r>
          </w:p>
        </w:tc>
        <w:tc>
          <w:tcPr>
            <w:tcW w:w="1650" w:type="dxa"/>
            <w:tcBorders>
              <w:top w:val="single" w:color="000000" w:sz="4" w:space="0"/>
              <w:left w:val="single" w:color="000000" w:sz="4" w:space="0"/>
              <w:bottom w:val="single" w:color="000000" w:sz="4" w:space="0"/>
            </w:tcBorders>
            <w:shd w:val="clear" w:color="auto" w:fill="auto"/>
            <w:vAlign w:val="center"/>
          </w:tcPr>
          <w:p w14:paraId="0DDF64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8945B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36143C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4B1E79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1A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BA71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E7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19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2074</w:t>
            </w:r>
          </w:p>
        </w:tc>
        <w:tc>
          <w:tcPr>
            <w:tcW w:w="1650" w:type="dxa"/>
            <w:tcBorders>
              <w:top w:val="single" w:color="000000" w:sz="4" w:space="0"/>
              <w:left w:val="single" w:color="000000" w:sz="4" w:space="0"/>
              <w:bottom w:val="single" w:color="000000" w:sz="4" w:space="0"/>
            </w:tcBorders>
            <w:shd w:val="clear" w:color="auto" w:fill="auto"/>
            <w:vAlign w:val="center"/>
          </w:tcPr>
          <w:p w14:paraId="09883C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7CA4D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10370</w:t>
            </w:r>
          </w:p>
        </w:tc>
        <w:tc>
          <w:tcPr>
            <w:tcW w:w="1650" w:type="dxa"/>
            <w:tcBorders>
              <w:top w:val="single" w:color="000000" w:sz="4" w:space="0"/>
              <w:left w:val="single" w:color="000000" w:sz="4" w:space="0"/>
              <w:bottom w:val="single" w:color="000000" w:sz="4" w:space="0"/>
            </w:tcBorders>
            <w:shd w:val="clear" w:color="auto" w:fill="auto"/>
            <w:vAlign w:val="center"/>
          </w:tcPr>
          <w:p w14:paraId="70DE879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B4C8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02" w:hRule="atLeast"/>
        </w:trPr>
        <w:tc>
          <w:tcPr>
            <w:tcW w:w="795" w:type="dxa"/>
            <w:tcBorders>
              <w:top w:val="single" w:color="000000" w:sz="4" w:space="0"/>
              <w:bottom w:val="single" w:color="000000" w:sz="4" w:space="0"/>
              <w:right w:val="single" w:color="000000" w:sz="4" w:space="0"/>
            </w:tcBorders>
            <w:shd w:val="clear" w:color="auto" w:fill="auto"/>
            <w:vAlign w:val="center"/>
          </w:tcPr>
          <w:p w14:paraId="636C9E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21</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0147C6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45度弯头井</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B0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10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8F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30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1189</w:t>
            </w:r>
          </w:p>
        </w:tc>
        <w:tc>
          <w:tcPr>
            <w:tcW w:w="1650" w:type="dxa"/>
            <w:tcBorders>
              <w:top w:val="single" w:color="000000" w:sz="4" w:space="0"/>
              <w:left w:val="single" w:color="000000" w:sz="4" w:space="0"/>
              <w:bottom w:val="single" w:color="000000" w:sz="4" w:space="0"/>
            </w:tcBorders>
            <w:shd w:val="clear" w:color="auto" w:fill="auto"/>
            <w:vAlign w:val="center"/>
          </w:tcPr>
          <w:p w14:paraId="402902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19961B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5945</w:t>
            </w:r>
          </w:p>
        </w:tc>
        <w:tc>
          <w:tcPr>
            <w:tcW w:w="1650" w:type="dxa"/>
            <w:tcBorders>
              <w:top w:val="single" w:color="000000" w:sz="4" w:space="0"/>
              <w:left w:val="single" w:color="000000" w:sz="4" w:space="0"/>
              <w:bottom w:val="single" w:color="000000" w:sz="4" w:space="0"/>
            </w:tcBorders>
            <w:shd w:val="clear" w:color="auto" w:fill="auto"/>
            <w:vAlign w:val="center"/>
          </w:tcPr>
          <w:p w14:paraId="57BD138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27DF7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7E3A76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22</w:t>
            </w:r>
          </w:p>
        </w:tc>
        <w:tc>
          <w:tcPr>
            <w:tcW w:w="2547" w:type="dxa"/>
            <w:vMerge w:val="continue"/>
            <w:tcBorders>
              <w:left w:val="single" w:color="000000" w:sz="4" w:space="0"/>
              <w:right w:val="single" w:color="000000" w:sz="4" w:space="0"/>
            </w:tcBorders>
            <w:shd w:val="clear" w:color="auto" w:fill="auto"/>
            <w:vAlign w:val="center"/>
          </w:tcPr>
          <w:p w14:paraId="06ABF0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1B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77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77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E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1292</w:t>
            </w:r>
          </w:p>
        </w:tc>
        <w:tc>
          <w:tcPr>
            <w:tcW w:w="1650" w:type="dxa"/>
            <w:tcBorders>
              <w:top w:val="single" w:color="000000" w:sz="4" w:space="0"/>
              <w:left w:val="single" w:color="000000" w:sz="4" w:space="0"/>
              <w:bottom w:val="single" w:color="000000" w:sz="4" w:space="0"/>
            </w:tcBorders>
            <w:shd w:val="clear" w:color="auto" w:fill="auto"/>
            <w:vAlign w:val="center"/>
          </w:tcPr>
          <w:p w14:paraId="37D992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F271AB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6460</w:t>
            </w:r>
          </w:p>
        </w:tc>
        <w:tc>
          <w:tcPr>
            <w:tcW w:w="1650" w:type="dxa"/>
            <w:tcBorders>
              <w:top w:val="single" w:color="000000" w:sz="4" w:space="0"/>
              <w:left w:val="single" w:color="000000" w:sz="4" w:space="0"/>
              <w:bottom w:val="single" w:color="000000" w:sz="4" w:space="0"/>
            </w:tcBorders>
            <w:shd w:val="clear" w:color="auto" w:fill="auto"/>
            <w:vAlign w:val="center"/>
          </w:tcPr>
          <w:p w14:paraId="105EE10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AE830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2D1BDC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23</w:t>
            </w:r>
          </w:p>
        </w:tc>
        <w:tc>
          <w:tcPr>
            <w:tcW w:w="2547" w:type="dxa"/>
            <w:vMerge w:val="continue"/>
            <w:tcBorders>
              <w:left w:val="single" w:color="000000" w:sz="4" w:space="0"/>
              <w:right w:val="single" w:color="000000" w:sz="4" w:space="0"/>
            </w:tcBorders>
            <w:shd w:val="clear" w:color="auto" w:fill="auto"/>
            <w:vAlign w:val="center"/>
          </w:tcPr>
          <w:p w14:paraId="4A4AC08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23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F2F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ABF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DA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1605</w:t>
            </w:r>
          </w:p>
        </w:tc>
        <w:tc>
          <w:tcPr>
            <w:tcW w:w="1650" w:type="dxa"/>
            <w:tcBorders>
              <w:top w:val="single" w:color="000000" w:sz="4" w:space="0"/>
              <w:left w:val="single" w:color="000000" w:sz="4" w:space="0"/>
              <w:bottom w:val="single" w:color="000000" w:sz="4" w:space="0"/>
            </w:tcBorders>
            <w:shd w:val="clear" w:color="auto" w:fill="auto"/>
            <w:vAlign w:val="center"/>
          </w:tcPr>
          <w:p w14:paraId="72A07EA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93C12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8025</w:t>
            </w:r>
          </w:p>
        </w:tc>
        <w:tc>
          <w:tcPr>
            <w:tcW w:w="1650" w:type="dxa"/>
            <w:tcBorders>
              <w:top w:val="single" w:color="000000" w:sz="4" w:space="0"/>
              <w:left w:val="single" w:color="000000" w:sz="4" w:space="0"/>
              <w:bottom w:val="single" w:color="000000" w:sz="4" w:space="0"/>
            </w:tcBorders>
            <w:shd w:val="clear" w:color="auto" w:fill="auto"/>
            <w:vAlign w:val="center"/>
          </w:tcPr>
          <w:p w14:paraId="1CF01C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0DE35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32F5E4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24</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28F021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84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E4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座</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B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20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2053</w:t>
            </w:r>
          </w:p>
        </w:tc>
        <w:tc>
          <w:tcPr>
            <w:tcW w:w="1650" w:type="dxa"/>
            <w:tcBorders>
              <w:top w:val="single" w:color="000000" w:sz="4" w:space="0"/>
              <w:left w:val="single" w:color="000000" w:sz="4" w:space="0"/>
              <w:bottom w:val="single" w:color="000000" w:sz="4" w:space="0"/>
            </w:tcBorders>
            <w:shd w:val="clear" w:color="auto" w:fill="auto"/>
            <w:vAlign w:val="center"/>
          </w:tcPr>
          <w:p w14:paraId="7CEEB0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10F415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10265</w:t>
            </w:r>
          </w:p>
        </w:tc>
        <w:tc>
          <w:tcPr>
            <w:tcW w:w="1650" w:type="dxa"/>
            <w:tcBorders>
              <w:top w:val="single" w:color="000000" w:sz="4" w:space="0"/>
              <w:left w:val="single" w:color="000000" w:sz="4" w:space="0"/>
              <w:bottom w:val="single" w:color="000000" w:sz="4" w:space="0"/>
            </w:tcBorders>
            <w:shd w:val="clear" w:color="auto" w:fill="auto"/>
            <w:vAlign w:val="center"/>
          </w:tcPr>
          <w:p w14:paraId="152F603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BA28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0F7FFB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2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D55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收口盖</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0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1000-700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0B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42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C6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797</w:t>
            </w:r>
          </w:p>
        </w:tc>
        <w:tc>
          <w:tcPr>
            <w:tcW w:w="1650" w:type="dxa"/>
            <w:tcBorders>
              <w:top w:val="single" w:color="000000" w:sz="4" w:space="0"/>
              <w:left w:val="single" w:color="000000" w:sz="4" w:space="0"/>
              <w:bottom w:val="single" w:color="000000" w:sz="4" w:space="0"/>
            </w:tcBorders>
            <w:shd w:val="clear" w:color="auto" w:fill="auto"/>
            <w:vAlign w:val="center"/>
          </w:tcPr>
          <w:p w14:paraId="49C249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510F5F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199250</w:t>
            </w:r>
          </w:p>
        </w:tc>
        <w:tc>
          <w:tcPr>
            <w:tcW w:w="1650" w:type="dxa"/>
            <w:tcBorders>
              <w:top w:val="single" w:color="000000" w:sz="4" w:space="0"/>
              <w:left w:val="single" w:color="000000" w:sz="4" w:space="0"/>
              <w:bottom w:val="single" w:color="000000" w:sz="4" w:space="0"/>
            </w:tcBorders>
            <w:shd w:val="clear" w:color="auto" w:fill="auto"/>
            <w:vAlign w:val="center"/>
          </w:tcPr>
          <w:p w14:paraId="06BE6D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7BF85D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75FFAC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26</w:t>
            </w:r>
          </w:p>
        </w:tc>
        <w:tc>
          <w:tcPr>
            <w:tcW w:w="2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A11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井筒</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7F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A3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61C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369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821</w:t>
            </w:r>
          </w:p>
        </w:tc>
        <w:tc>
          <w:tcPr>
            <w:tcW w:w="1650" w:type="dxa"/>
            <w:tcBorders>
              <w:top w:val="single" w:color="000000" w:sz="4" w:space="0"/>
              <w:left w:val="single" w:color="000000" w:sz="4" w:space="0"/>
              <w:bottom w:val="single" w:color="000000" w:sz="4" w:space="0"/>
            </w:tcBorders>
            <w:shd w:val="clear" w:color="auto" w:fill="auto"/>
            <w:vAlign w:val="center"/>
          </w:tcPr>
          <w:p w14:paraId="4B0E8F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14F139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205250</w:t>
            </w:r>
          </w:p>
        </w:tc>
        <w:tc>
          <w:tcPr>
            <w:tcW w:w="1650" w:type="dxa"/>
            <w:tcBorders>
              <w:top w:val="single" w:color="000000" w:sz="4" w:space="0"/>
              <w:left w:val="single" w:color="000000" w:sz="4" w:space="0"/>
              <w:bottom w:val="single" w:color="000000" w:sz="4" w:space="0"/>
            </w:tcBorders>
            <w:shd w:val="clear" w:color="auto" w:fill="auto"/>
            <w:vAlign w:val="center"/>
          </w:tcPr>
          <w:p w14:paraId="5D0B16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DC333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1E613F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27</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376D5F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热收缩带</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4B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9B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F3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E3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27</w:t>
            </w:r>
          </w:p>
        </w:tc>
        <w:tc>
          <w:tcPr>
            <w:tcW w:w="1650" w:type="dxa"/>
            <w:tcBorders>
              <w:top w:val="single" w:color="000000" w:sz="4" w:space="0"/>
              <w:left w:val="single" w:color="000000" w:sz="4" w:space="0"/>
              <w:bottom w:val="single" w:color="000000" w:sz="4" w:space="0"/>
            </w:tcBorders>
            <w:shd w:val="clear" w:color="auto" w:fill="auto"/>
            <w:vAlign w:val="center"/>
          </w:tcPr>
          <w:p w14:paraId="28509F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2C9E9D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13500</w:t>
            </w:r>
          </w:p>
        </w:tc>
        <w:tc>
          <w:tcPr>
            <w:tcW w:w="1650" w:type="dxa"/>
            <w:tcBorders>
              <w:top w:val="single" w:color="000000" w:sz="4" w:space="0"/>
              <w:left w:val="single" w:color="000000" w:sz="4" w:space="0"/>
              <w:bottom w:val="single" w:color="000000" w:sz="4" w:space="0"/>
            </w:tcBorders>
            <w:shd w:val="clear" w:color="auto" w:fill="auto"/>
            <w:vAlign w:val="center"/>
          </w:tcPr>
          <w:p w14:paraId="6325C0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D609E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58B490D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28</w:t>
            </w:r>
          </w:p>
        </w:tc>
        <w:tc>
          <w:tcPr>
            <w:tcW w:w="2547" w:type="dxa"/>
            <w:vMerge w:val="continue"/>
            <w:tcBorders>
              <w:left w:val="single" w:color="000000" w:sz="4" w:space="0"/>
              <w:right w:val="single" w:color="000000" w:sz="4" w:space="0"/>
            </w:tcBorders>
            <w:shd w:val="clear" w:color="auto" w:fill="auto"/>
            <w:vAlign w:val="center"/>
          </w:tcPr>
          <w:p w14:paraId="30BAAAB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67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F7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2A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3B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37</w:t>
            </w:r>
          </w:p>
        </w:tc>
        <w:tc>
          <w:tcPr>
            <w:tcW w:w="1650" w:type="dxa"/>
            <w:tcBorders>
              <w:top w:val="single" w:color="000000" w:sz="4" w:space="0"/>
              <w:left w:val="single" w:color="000000" w:sz="4" w:space="0"/>
              <w:bottom w:val="single" w:color="000000" w:sz="4" w:space="0"/>
            </w:tcBorders>
            <w:shd w:val="clear" w:color="auto" w:fill="auto"/>
            <w:vAlign w:val="center"/>
          </w:tcPr>
          <w:p w14:paraId="74B579E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26A0C9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1850</w:t>
            </w:r>
          </w:p>
        </w:tc>
        <w:tc>
          <w:tcPr>
            <w:tcW w:w="1650" w:type="dxa"/>
            <w:tcBorders>
              <w:top w:val="single" w:color="000000" w:sz="4" w:space="0"/>
              <w:left w:val="single" w:color="000000" w:sz="4" w:space="0"/>
              <w:bottom w:val="single" w:color="000000" w:sz="4" w:space="0"/>
            </w:tcBorders>
            <w:shd w:val="clear" w:color="auto" w:fill="auto"/>
            <w:vAlign w:val="center"/>
          </w:tcPr>
          <w:p w14:paraId="776BF4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73A08A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795" w:type="dxa"/>
            <w:tcBorders>
              <w:top w:val="single" w:color="000000" w:sz="4" w:space="0"/>
              <w:bottom w:val="single" w:color="000000" w:sz="4" w:space="0"/>
              <w:right w:val="single" w:color="000000" w:sz="4" w:space="0"/>
            </w:tcBorders>
            <w:shd w:val="clear" w:color="auto" w:fill="auto"/>
            <w:vAlign w:val="center"/>
          </w:tcPr>
          <w:p w14:paraId="3125B7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29</w:t>
            </w:r>
          </w:p>
        </w:tc>
        <w:tc>
          <w:tcPr>
            <w:tcW w:w="2547" w:type="dxa"/>
            <w:vMerge w:val="continue"/>
            <w:tcBorders>
              <w:left w:val="single" w:color="000000" w:sz="4" w:space="0"/>
              <w:right w:val="single" w:color="000000" w:sz="4" w:space="0"/>
            </w:tcBorders>
            <w:shd w:val="clear" w:color="auto" w:fill="auto"/>
            <w:vAlign w:val="center"/>
          </w:tcPr>
          <w:p w14:paraId="4714BC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2F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4F6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0C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F2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47</w:t>
            </w:r>
          </w:p>
        </w:tc>
        <w:tc>
          <w:tcPr>
            <w:tcW w:w="1650" w:type="dxa"/>
            <w:tcBorders>
              <w:top w:val="single" w:color="000000" w:sz="4" w:space="0"/>
              <w:left w:val="single" w:color="000000" w:sz="4" w:space="0"/>
              <w:bottom w:val="single" w:color="000000" w:sz="4" w:space="0"/>
            </w:tcBorders>
            <w:shd w:val="clear" w:color="auto" w:fill="auto"/>
            <w:vAlign w:val="center"/>
          </w:tcPr>
          <w:p w14:paraId="59570F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5F9DB7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1175</w:t>
            </w:r>
          </w:p>
        </w:tc>
        <w:tc>
          <w:tcPr>
            <w:tcW w:w="1650" w:type="dxa"/>
            <w:tcBorders>
              <w:top w:val="single" w:color="000000" w:sz="4" w:space="0"/>
              <w:left w:val="single" w:color="000000" w:sz="4" w:space="0"/>
              <w:bottom w:val="single" w:color="000000" w:sz="4" w:space="0"/>
            </w:tcBorders>
            <w:shd w:val="clear" w:color="auto" w:fill="auto"/>
            <w:vAlign w:val="center"/>
          </w:tcPr>
          <w:p w14:paraId="23549D1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097B8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3EEDD7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w:t>
            </w:r>
          </w:p>
        </w:tc>
        <w:tc>
          <w:tcPr>
            <w:tcW w:w="2547" w:type="dxa"/>
            <w:vMerge w:val="continue"/>
            <w:tcBorders>
              <w:left w:val="single" w:color="000000" w:sz="4" w:space="0"/>
              <w:right w:val="single" w:color="000000" w:sz="4" w:space="0"/>
            </w:tcBorders>
            <w:shd w:val="clear" w:color="auto" w:fill="auto"/>
            <w:vAlign w:val="center"/>
          </w:tcPr>
          <w:p w14:paraId="47BF2B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9C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07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6C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D7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65</w:t>
            </w:r>
          </w:p>
        </w:tc>
        <w:tc>
          <w:tcPr>
            <w:tcW w:w="1650" w:type="dxa"/>
            <w:tcBorders>
              <w:top w:val="single" w:color="000000" w:sz="4" w:space="0"/>
              <w:left w:val="single" w:color="000000" w:sz="4" w:space="0"/>
              <w:bottom w:val="single" w:color="000000" w:sz="4" w:space="0"/>
            </w:tcBorders>
            <w:shd w:val="clear" w:color="auto" w:fill="auto"/>
            <w:vAlign w:val="center"/>
          </w:tcPr>
          <w:p w14:paraId="54083D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1965C5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325</w:t>
            </w:r>
          </w:p>
        </w:tc>
        <w:tc>
          <w:tcPr>
            <w:tcW w:w="1650" w:type="dxa"/>
            <w:tcBorders>
              <w:top w:val="single" w:color="000000" w:sz="4" w:space="0"/>
              <w:left w:val="single" w:color="000000" w:sz="4" w:space="0"/>
              <w:bottom w:val="single" w:color="000000" w:sz="4" w:space="0"/>
            </w:tcBorders>
            <w:shd w:val="clear" w:color="auto" w:fill="auto"/>
            <w:vAlign w:val="center"/>
          </w:tcPr>
          <w:p w14:paraId="75256B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85942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795" w:type="dxa"/>
            <w:tcBorders>
              <w:top w:val="single" w:color="000000" w:sz="4" w:space="0"/>
              <w:bottom w:val="single" w:color="000000" w:sz="4" w:space="0"/>
              <w:right w:val="single" w:color="000000" w:sz="4" w:space="0"/>
            </w:tcBorders>
            <w:shd w:val="clear" w:color="auto" w:fill="auto"/>
            <w:vAlign w:val="center"/>
          </w:tcPr>
          <w:p w14:paraId="7DACE6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31</w:t>
            </w:r>
          </w:p>
        </w:tc>
        <w:tc>
          <w:tcPr>
            <w:tcW w:w="2547" w:type="dxa"/>
            <w:vMerge w:val="continue"/>
            <w:tcBorders>
              <w:left w:val="single" w:color="000000" w:sz="4" w:space="0"/>
              <w:right w:val="single" w:color="000000" w:sz="4" w:space="0"/>
            </w:tcBorders>
            <w:shd w:val="clear" w:color="auto" w:fill="auto"/>
            <w:vAlign w:val="center"/>
          </w:tcPr>
          <w:p w14:paraId="0D21AA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79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85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4C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F4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85</w:t>
            </w:r>
          </w:p>
        </w:tc>
        <w:tc>
          <w:tcPr>
            <w:tcW w:w="1650" w:type="dxa"/>
            <w:tcBorders>
              <w:top w:val="single" w:color="000000" w:sz="4" w:space="0"/>
              <w:left w:val="single" w:color="000000" w:sz="4" w:space="0"/>
              <w:bottom w:val="single" w:color="000000" w:sz="4" w:space="0"/>
            </w:tcBorders>
            <w:shd w:val="clear" w:color="auto" w:fill="auto"/>
            <w:vAlign w:val="center"/>
          </w:tcPr>
          <w:p w14:paraId="167E4E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3E6445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2125</w:t>
            </w:r>
          </w:p>
        </w:tc>
        <w:tc>
          <w:tcPr>
            <w:tcW w:w="1650" w:type="dxa"/>
            <w:tcBorders>
              <w:top w:val="single" w:color="000000" w:sz="4" w:space="0"/>
              <w:left w:val="single" w:color="000000" w:sz="4" w:space="0"/>
              <w:bottom w:val="single" w:color="000000" w:sz="4" w:space="0"/>
            </w:tcBorders>
            <w:shd w:val="clear" w:color="auto" w:fill="auto"/>
            <w:vAlign w:val="center"/>
          </w:tcPr>
          <w:p w14:paraId="18947E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13881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5" w:type="dxa"/>
            <w:tcBorders>
              <w:top w:val="single" w:color="000000" w:sz="4" w:space="0"/>
              <w:bottom w:val="single" w:color="000000" w:sz="4" w:space="0"/>
              <w:right w:val="single" w:color="000000" w:sz="4" w:space="0"/>
            </w:tcBorders>
            <w:shd w:val="clear" w:color="auto" w:fill="auto"/>
            <w:vAlign w:val="center"/>
          </w:tcPr>
          <w:p w14:paraId="7F33488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32</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25B7F7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4C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5B7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米</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466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695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135</w:t>
            </w:r>
          </w:p>
        </w:tc>
        <w:tc>
          <w:tcPr>
            <w:tcW w:w="1650" w:type="dxa"/>
            <w:tcBorders>
              <w:top w:val="single" w:color="000000" w:sz="4" w:space="0"/>
              <w:left w:val="single" w:color="000000" w:sz="4" w:space="0"/>
              <w:bottom w:val="single" w:color="000000" w:sz="4" w:space="0"/>
            </w:tcBorders>
            <w:shd w:val="clear" w:color="auto" w:fill="auto"/>
            <w:vAlign w:val="center"/>
          </w:tcPr>
          <w:p w14:paraId="69BFD5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20C89D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54000</w:t>
            </w:r>
          </w:p>
        </w:tc>
        <w:tc>
          <w:tcPr>
            <w:tcW w:w="1650" w:type="dxa"/>
            <w:tcBorders>
              <w:top w:val="single" w:color="000000" w:sz="4" w:space="0"/>
              <w:left w:val="single" w:color="000000" w:sz="4" w:space="0"/>
              <w:bottom w:val="single" w:color="000000" w:sz="4" w:space="0"/>
            </w:tcBorders>
            <w:shd w:val="clear" w:color="auto" w:fill="auto"/>
            <w:vAlign w:val="center"/>
          </w:tcPr>
          <w:p w14:paraId="79570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2CFA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66FB6D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33</w:t>
            </w:r>
          </w:p>
        </w:tc>
        <w:tc>
          <w:tcPr>
            <w:tcW w:w="2547" w:type="dxa"/>
            <w:vMerge w:val="restart"/>
            <w:tcBorders>
              <w:top w:val="single" w:color="000000" w:sz="4" w:space="0"/>
              <w:left w:val="single" w:color="000000" w:sz="4" w:space="0"/>
              <w:right w:val="single" w:color="000000" w:sz="4" w:space="0"/>
            </w:tcBorders>
            <w:shd w:val="clear" w:color="auto" w:fill="auto"/>
            <w:vAlign w:val="center"/>
          </w:tcPr>
          <w:p w14:paraId="2DE635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马鞍接头</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17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700*300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D03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1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F4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116</w:t>
            </w:r>
          </w:p>
        </w:tc>
        <w:tc>
          <w:tcPr>
            <w:tcW w:w="1650" w:type="dxa"/>
            <w:tcBorders>
              <w:top w:val="single" w:color="000000" w:sz="4" w:space="0"/>
              <w:left w:val="single" w:color="000000" w:sz="4" w:space="0"/>
              <w:bottom w:val="single" w:color="000000" w:sz="4" w:space="0"/>
            </w:tcBorders>
            <w:shd w:val="clear" w:color="auto" w:fill="auto"/>
            <w:vAlign w:val="center"/>
          </w:tcPr>
          <w:p w14:paraId="782527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59C5ED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580</w:t>
            </w:r>
          </w:p>
        </w:tc>
        <w:tc>
          <w:tcPr>
            <w:tcW w:w="1650" w:type="dxa"/>
            <w:tcBorders>
              <w:top w:val="single" w:color="000000" w:sz="4" w:space="0"/>
              <w:left w:val="single" w:color="000000" w:sz="4" w:space="0"/>
              <w:bottom w:val="single" w:color="000000" w:sz="4" w:space="0"/>
            </w:tcBorders>
            <w:shd w:val="clear" w:color="auto" w:fill="auto"/>
            <w:vAlign w:val="center"/>
          </w:tcPr>
          <w:p w14:paraId="68CF71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FA7D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 w:hRule="atLeast"/>
        </w:trPr>
        <w:tc>
          <w:tcPr>
            <w:tcW w:w="795" w:type="dxa"/>
            <w:tcBorders>
              <w:top w:val="single" w:color="000000" w:sz="4" w:space="0"/>
              <w:bottom w:val="single" w:color="000000" w:sz="4" w:space="0"/>
              <w:right w:val="single" w:color="000000" w:sz="4" w:space="0"/>
            </w:tcBorders>
            <w:shd w:val="clear" w:color="auto" w:fill="auto"/>
            <w:vAlign w:val="center"/>
          </w:tcPr>
          <w:p w14:paraId="6C3E73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34</w:t>
            </w:r>
          </w:p>
        </w:tc>
        <w:tc>
          <w:tcPr>
            <w:tcW w:w="2547" w:type="dxa"/>
            <w:vMerge w:val="continue"/>
            <w:tcBorders>
              <w:left w:val="single" w:color="000000" w:sz="4" w:space="0"/>
              <w:right w:val="single" w:color="000000" w:sz="4" w:space="0"/>
            </w:tcBorders>
            <w:shd w:val="clear" w:color="auto" w:fill="auto"/>
            <w:vAlign w:val="center"/>
          </w:tcPr>
          <w:p w14:paraId="3DED57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9F3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75</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B6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45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E73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w:t>
            </w:r>
          </w:p>
        </w:tc>
        <w:tc>
          <w:tcPr>
            <w:tcW w:w="1650" w:type="dxa"/>
            <w:tcBorders>
              <w:top w:val="single" w:color="000000" w:sz="4" w:space="0"/>
              <w:left w:val="single" w:color="000000" w:sz="4" w:space="0"/>
              <w:bottom w:val="single" w:color="000000" w:sz="4" w:space="0"/>
            </w:tcBorders>
            <w:shd w:val="clear" w:color="auto" w:fill="auto"/>
            <w:vAlign w:val="center"/>
          </w:tcPr>
          <w:p w14:paraId="51084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6E6066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50</w:t>
            </w:r>
          </w:p>
        </w:tc>
        <w:tc>
          <w:tcPr>
            <w:tcW w:w="1650" w:type="dxa"/>
            <w:tcBorders>
              <w:top w:val="single" w:color="000000" w:sz="4" w:space="0"/>
              <w:left w:val="single" w:color="000000" w:sz="4" w:space="0"/>
              <w:bottom w:val="single" w:color="000000" w:sz="4" w:space="0"/>
            </w:tcBorders>
            <w:shd w:val="clear" w:color="auto" w:fill="auto"/>
            <w:vAlign w:val="center"/>
          </w:tcPr>
          <w:p w14:paraId="6D78A0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A1464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795" w:type="dxa"/>
            <w:tcBorders>
              <w:top w:val="single" w:color="000000" w:sz="4" w:space="0"/>
              <w:bottom w:val="single" w:color="000000" w:sz="4" w:space="0"/>
              <w:right w:val="single" w:color="000000" w:sz="4" w:space="0"/>
            </w:tcBorders>
            <w:shd w:val="clear" w:color="auto" w:fill="auto"/>
            <w:vAlign w:val="center"/>
          </w:tcPr>
          <w:p w14:paraId="41CA4D5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35</w:t>
            </w:r>
          </w:p>
        </w:tc>
        <w:tc>
          <w:tcPr>
            <w:tcW w:w="2547" w:type="dxa"/>
            <w:vMerge w:val="continue"/>
            <w:tcBorders>
              <w:left w:val="single" w:color="000000" w:sz="4" w:space="0"/>
              <w:right w:val="single" w:color="000000" w:sz="4" w:space="0"/>
            </w:tcBorders>
            <w:shd w:val="clear" w:color="auto" w:fill="auto"/>
            <w:vAlign w:val="center"/>
          </w:tcPr>
          <w:p w14:paraId="579A80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8E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9B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62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00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15</w:t>
            </w:r>
          </w:p>
        </w:tc>
        <w:tc>
          <w:tcPr>
            <w:tcW w:w="1650" w:type="dxa"/>
            <w:tcBorders>
              <w:top w:val="single" w:color="000000" w:sz="4" w:space="0"/>
              <w:left w:val="single" w:color="000000" w:sz="4" w:space="0"/>
              <w:bottom w:val="single" w:color="000000" w:sz="4" w:space="0"/>
            </w:tcBorders>
            <w:shd w:val="clear" w:color="auto" w:fill="auto"/>
            <w:vAlign w:val="center"/>
          </w:tcPr>
          <w:p w14:paraId="341358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295AE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75</w:t>
            </w:r>
          </w:p>
        </w:tc>
        <w:tc>
          <w:tcPr>
            <w:tcW w:w="1650" w:type="dxa"/>
            <w:tcBorders>
              <w:top w:val="single" w:color="000000" w:sz="4" w:space="0"/>
              <w:left w:val="single" w:color="000000" w:sz="4" w:space="0"/>
              <w:bottom w:val="single" w:color="000000" w:sz="4" w:space="0"/>
            </w:tcBorders>
            <w:shd w:val="clear" w:color="auto" w:fill="auto"/>
            <w:vAlign w:val="center"/>
          </w:tcPr>
          <w:p w14:paraId="3C5F94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22771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02AF6E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36</w:t>
            </w:r>
          </w:p>
        </w:tc>
        <w:tc>
          <w:tcPr>
            <w:tcW w:w="2547" w:type="dxa"/>
            <w:vMerge w:val="continue"/>
            <w:tcBorders>
              <w:left w:val="single" w:color="000000" w:sz="4" w:space="0"/>
              <w:right w:val="single" w:color="000000" w:sz="4" w:space="0"/>
            </w:tcBorders>
            <w:shd w:val="clear" w:color="auto" w:fill="auto"/>
            <w:vAlign w:val="center"/>
          </w:tcPr>
          <w:p w14:paraId="7F0A88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7C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160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5FB4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435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26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21</w:t>
            </w:r>
          </w:p>
        </w:tc>
        <w:tc>
          <w:tcPr>
            <w:tcW w:w="1650" w:type="dxa"/>
            <w:tcBorders>
              <w:top w:val="single" w:color="000000" w:sz="4" w:space="0"/>
              <w:left w:val="single" w:color="000000" w:sz="4" w:space="0"/>
              <w:bottom w:val="single" w:color="000000" w:sz="4" w:space="0"/>
            </w:tcBorders>
            <w:shd w:val="clear" w:color="auto" w:fill="auto"/>
            <w:vAlign w:val="center"/>
          </w:tcPr>
          <w:p w14:paraId="54CCB5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0D9955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105</w:t>
            </w:r>
          </w:p>
        </w:tc>
        <w:tc>
          <w:tcPr>
            <w:tcW w:w="1650" w:type="dxa"/>
            <w:tcBorders>
              <w:top w:val="single" w:color="000000" w:sz="4" w:space="0"/>
              <w:left w:val="single" w:color="000000" w:sz="4" w:space="0"/>
              <w:bottom w:val="single" w:color="000000" w:sz="4" w:space="0"/>
            </w:tcBorders>
            <w:shd w:val="clear" w:color="auto" w:fill="auto"/>
            <w:vAlign w:val="center"/>
          </w:tcPr>
          <w:p w14:paraId="678455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59648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5" w:type="dxa"/>
            <w:tcBorders>
              <w:top w:val="single" w:color="000000" w:sz="4" w:space="0"/>
              <w:bottom w:val="single" w:color="000000" w:sz="4" w:space="0"/>
              <w:right w:val="single" w:color="000000" w:sz="4" w:space="0"/>
            </w:tcBorders>
            <w:shd w:val="clear" w:color="auto" w:fill="auto"/>
            <w:vAlign w:val="center"/>
          </w:tcPr>
          <w:p w14:paraId="716E5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37</w:t>
            </w:r>
          </w:p>
        </w:tc>
        <w:tc>
          <w:tcPr>
            <w:tcW w:w="2547" w:type="dxa"/>
            <w:vMerge w:val="continue"/>
            <w:tcBorders>
              <w:left w:val="single" w:color="000000" w:sz="4" w:space="0"/>
              <w:right w:val="single" w:color="000000" w:sz="4" w:space="0"/>
            </w:tcBorders>
            <w:shd w:val="clear" w:color="auto" w:fill="auto"/>
            <w:vAlign w:val="center"/>
          </w:tcPr>
          <w:p w14:paraId="3D8AAA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59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48F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69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E5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31</w:t>
            </w:r>
          </w:p>
        </w:tc>
        <w:tc>
          <w:tcPr>
            <w:tcW w:w="1650" w:type="dxa"/>
            <w:tcBorders>
              <w:top w:val="single" w:color="000000" w:sz="4" w:space="0"/>
              <w:left w:val="single" w:color="000000" w:sz="4" w:space="0"/>
              <w:bottom w:val="single" w:color="000000" w:sz="4" w:space="0"/>
            </w:tcBorders>
            <w:shd w:val="clear" w:color="auto" w:fill="auto"/>
            <w:vAlign w:val="center"/>
          </w:tcPr>
          <w:p w14:paraId="1E4631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4CA89B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155</w:t>
            </w:r>
          </w:p>
        </w:tc>
        <w:tc>
          <w:tcPr>
            <w:tcW w:w="1650" w:type="dxa"/>
            <w:tcBorders>
              <w:top w:val="single" w:color="000000" w:sz="4" w:space="0"/>
              <w:left w:val="single" w:color="000000" w:sz="4" w:space="0"/>
              <w:bottom w:val="single" w:color="000000" w:sz="4" w:space="0"/>
            </w:tcBorders>
            <w:shd w:val="clear" w:color="auto" w:fill="auto"/>
            <w:vAlign w:val="center"/>
          </w:tcPr>
          <w:p w14:paraId="1FB264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B334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95" w:type="dxa"/>
            <w:tcBorders>
              <w:top w:val="single" w:color="000000" w:sz="4" w:space="0"/>
              <w:bottom w:val="single" w:color="000000" w:sz="4" w:space="0"/>
              <w:right w:val="single" w:color="000000" w:sz="4" w:space="0"/>
            </w:tcBorders>
            <w:shd w:val="clear" w:color="auto" w:fill="auto"/>
            <w:vAlign w:val="center"/>
          </w:tcPr>
          <w:p w14:paraId="1C2963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38</w:t>
            </w:r>
          </w:p>
        </w:tc>
        <w:tc>
          <w:tcPr>
            <w:tcW w:w="2547" w:type="dxa"/>
            <w:vMerge w:val="continue"/>
            <w:tcBorders>
              <w:left w:val="single" w:color="000000" w:sz="4" w:space="0"/>
              <w:bottom w:val="single" w:color="000000" w:sz="4" w:space="0"/>
              <w:right w:val="single" w:color="000000" w:sz="4" w:space="0"/>
            </w:tcBorders>
            <w:shd w:val="clear" w:color="auto" w:fill="auto"/>
            <w:vAlign w:val="center"/>
          </w:tcPr>
          <w:p w14:paraId="551A07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316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B6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个</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6D6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C7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118</w:t>
            </w:r>
          </w:p>
        </w:tc>
        <w:tc>
          <w:tcPr>
            <w:tcW w:w="1650" w:type="dxa"/>
            <w:tcBorders>
              <w:top w:val="single" w:color="000000" w:sz="4" w:space="0"/>
              <w:left w:val="single" w:color="000000" w:sz="4" w:space="0"/>
              <w:bottom w:val="single" w:color="000000" w:sz="4" w:space="0"/>
            </w:tcBorders>
            <w:shd w:val="clear" w:color="auto" w:fill="auto"/>
            <w:vAlign w:val="center"/>
          </w:tcPr>
          <w:p w14:paraId="2E5A0BD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650" w:type="dxa"/>
            <w:tcBorders>
              <w:top w:val="single" w:color="000000" w:sz="4" w:space="0"/>
              <w:left w:val="single" w:color="000000" w:sz="4" w:space="0"/>
              <w:bottom w:val="single" w:color="000000" w:sz="4" w:space="0"/>
            </w:tcBorders>
            <w:shd w:val="clear" w:color="auto" w:fill="auto"/>
            <w:vAlign w:val="center"/>
          </w:tcPr>
          <w:p w14:paraId="1DAA129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590</w:t>
            </w:r>
          </w:p>
        </w:tc>
        <w:tc>
          <w:tcPr>
            <w:tcW w:w="1650" w:type="dxa"/>
            <w:tcBorders>
              <w:top w:val="single" w:color="000000" w:sz="4" w:space="0"/>
              <w:left w:val="single" w:color="000000" w:sz="4" w:space="0"/>
              <w:bottom w:val="single" w:color="000000" w:sz="4" w:space="0"/>
            </w:tcBorders>
            <w:shd w:val="clear" w:color="auto" w:fill="auto"/>
            <w:vAlign w:val="center"/>
          </w:tcPr>
          <w:p w14:paraId="54A73A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2422CA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7" w:hRule="atLeast"/>
        </w:trPr>
        <w:tc>
          <w:tcPr>
            <w:tcW w:w="6072" w:type="dxa"/>
            <w:gridSpan w:val="4"/>
            <w:tcBorders>
              <w:top w:val="single" w:color="auto" w:sz="4" w:space="0"/>
              <w:bottom w:val="single" w:color="auto" w:sz="4" w:space="0"/>
              <w:right w:val="single" w:color="auto" w:sz="4" w:space="0"/>
            </w:tcBorders>
            <w:shd w:val="clear" w:color="auto" w:fill="auto"/>
            <w:vAlign w:val="center"/>
          </w:tcPr>
          <w:p w14:paraId="2A560E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合计控制价（元）含税</w:t>
            </w:r>
          </w:p>
        </w:tc>
        <w:tc>
          <w:tcPr>
            <w:tcW w:w="8006" w:type="dxa"/>
            <w:gridSpan w:val="5"/>
            <w:tcBorders>
              <w:top w:val="single" w:color="auto" w:sz="4" w:space="0"/>
              <w:left w:val="single" w:color="auto" w:sz="4" w:space="0"/>
              <w:bottom w:val="single" w:color="auto" w:sz="4" w:space="0"/>
            </w:tcBorders>
            <w:shd w:val="clear" w:color="auto" w:fill="auto"/>
            <w:vAlign w:val="center"/>
          </w:tcPr>
          <w:p w14:paraId="25A19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905395</w:t>
            </w:r>
          </w:p>
        </w:tc>
      </w:tr>
      <w:tr w14:paraId="3812AF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6072" w:type="dxa"/>
            <w:gridSpan w:val="4"/>
            <w:tcBorders>
              <w:top w:val="single" w:color="auto" w:sz="4" w:space="0"/>
              <w:bottom w:val="single" w:color="auto" w:sz="4" w:space="0"/>
              <w:right w:val="single" w:color="auto" w:sz="4" w:space="0"/>
            </w:tcBorders>
            <w:shd w:val="clear" w:color="auto" w:fill="auto"/>
            <w:vAlign w:val="center"/>
          </w:tcPr>
          <w:p w14:paraId="6DFAE51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合计报价（元）含税</w:t>
            </w:r>
          </w:p>
        </w:tc>
        <w:tc>
          <w:tcPr>
            <w:tcW w:w="8006" w:type="dxa"/>
            <w:gridSpan w:val="5"/>
            <w:tcBorders>
              <w:top w:val="single" w:color="auto" w:sz="4" w:space="0"/>
              <w:left w:val="single" w:color="auto" w:sz="4" w:space="0"/>
              <w:bottom w:val="single" w:color="auto" w:sz="4" w:space="0"/>
            </w:tcBorders>
            <w:shd w:val="clear" w:color="auto" w:fill="auto"/>
            <w:vAlign w:val="center"/>
          </w:tcPr>
          <w:p w14:paraId="480F3E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1832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3" w:hRule="atLeast"/>
        </w:trPr>
        <w:tc>
          <w:tcPr>
            <w:tcW w:w="14078" w:type="dxa"/>
            <w:gridSpan w:val="9"/>
            <w:tcBorders>
              <w:top w:val="single" w:color="auto" w:sz="4" w:space="0"/>
            </w:tcBorders>
            <w:shd w:val="clear" w:color="auto" w:fill="auto"/>
            <w:vAlign w:val="center"/>
          </w:tcPr>
          <w:p w14:paraId="1F66CB3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说明：</w:t>
            </w:r>
            <w:r>
              <w:rPr>
                <w:rFonts w:hint="eastAsia" w:ascii="仿宋" w:hAnsi="仿宋" w:eastAsia="仿宋" w:cs="仿宋"/>
                <w:i w:val="0"/>
                <w:iCs w:val="0"/>
                <w:color w:val="000000"/>
                <w:kern w:val="0"/>
                <w:sz w:val="24"/>
                <w:szCs w:val="24"/>
                <w:highlight w:val="none"/>
                <w:u w:val="none"/>
                <w:lang w:val="en-US" w:eastAsia="zh-CN" w:bidi="ar"/>
              </w:rPr>
              <w:t>1.单价包括但不限于塑料井的采购、加工、包装、运输、保管、装卸、指导安装、检测、验收、税费、培训、售后服务及其他服务，以及在质量保证期内发生的任何缺陷的修复工作等与合同有关的所有内容。</w:t>
            </w:r>
          </w:p>
          <w:p w14:paraId="6164014D">
            <w:pPr>
              <w:keepNext w:val="0"/>
              <w:keepLines w:val="0"/>
              <w:pageBreakBefore w:val="0"/>
              <w:widowControl/>
              <w:suppressLineNumbers w:val="0"/>
              <w:kinsoku/>
              <w:wordWrap/>
              <w:overflowPunct/>
              <w:topLinePunct w:val="0"/>
              <w:autoSpaceDE/>
              <w:autoSpaceDN/>
              <w:bidi w:val="0"/>
              <w:adjustRightInd/>
              <w:snapToGrid w:val="0"/>
              <w:spacing w:line="240" w:lineRule="auto"/>
              <w:ind w:firstLine="720" w:firstLineChars="3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2.此数量为一年计划采购数量，只作为投标参考使用，实际采购量可适时调整，并据实结算，实际采购量多于或少于计划采购量均不视为违约。</w:t>
            </w:r>
          </w:p>
        </w:tc>
      </w:tr>
    </w:tbl>
    <w:p w14:paraId="7570C17D">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备注：1.该表中的</w:t>
      </w:r>
      <w:r>
        <w:rPr>
          <w:rFonts w:hint="eastAsia" w:ascii="仿宋" w:hAnsi="仿宋" w:eastAsia="仿宋" w:cs="仿宋"/>
          <w:i w:val="0"/>
          <w:iCs w:val="0"/>
          <w:color w:val="000000"/>
          <w:sz w:val="24"/>
          <w:szCs w:val="24"/>
          <w:highlight w:val="none"/>
          <w:u w:val="none"/>
          <w:lang w:val="en-US" w:eastAsia="zh-CN"/>
        </w:rPr>
        <w:t>合计报价</w:t>
      </w:r>
      <w:r>
        <w:rPr>
          <w:rFonts w:hint="eastAsia" w:ascii="仿宋" w:hAnsi="仿宋" w:eastAsia="仿宋" w:cs="仿宋"/>
          <w:b w:val="0"/>
          <w:bCs/>
          <w:color w:val="auto"/>
          <w:sz w:val="24"/>
          <w:szCs w:val="24"/>
          <w:highlight w:val="none"/>
        </w:rPr>
        <w:t>（</w:t>
      </w:r>
      <w:r>
        <w:rPr>
          <w:rFonts w:hint="eastAsia" w:ascii="仿宋" w:hAnsi="仿宋" w:eastAsia="仿宋" w:cs="仿宋"/>
          <w:b w:val="0"/>
          <w:bCs/>
          <w:color w:val="auto"/>
          <w:sz w:val="24"/>
          <w:szCs w:val="24"/>
          <w:highlight w:val="none"/>
          <w:lang w:val="en-US" w:eastAsia="zh-CN"/>
        </w:rPr>
        <w:t>含</w:t>
      </w:r>
      <w:r>
        <w:rPr>
          <w:rFonts w:hint="eastAsia" w:ascii="仿宋" w:hAnsi="仿宋" w:eastAsia="仿宋" w:cs="仿宋"/>
          <w:b w:val="0"/>
          <w:bCs/>
          <w:color w:val="auto"/>
          <w:sz w:val="24"/>
          <w:szCs w:val="24"/>
          <w:highlight w:val="none"/>
        </w:rPr>
        <w:t>税）</w:t>
      </w:r>
      <w:r>
        <w:rPr>
          <w:rFonts w:hint="eastAsia" w:ascii="仿宋" w:hAnsi="仿宋" w:eastAsia="仿宋" w:cs="仿宋"/>
          <w:color w:val="auto"/>
          <w:kern w:val="0"/>
          <w:sz w:val="24"/>
          <w:szCs w:val="24"/>
          <w:highlight w:val="none"/>
        </w:rPr>
        <w:t>与投标（报价）一览表中的</w:t>
      </w:r>
      <w:r>
        <w:rPr>
          <w:rFonts w:hint="eastAsia" w:ascii="仿宋" w:hAnsi="仿宋" w:eastAsia="仿宋" w:cs="仿宋"/>
          <w:i w:val="0"/>
          <w:iCs w:val="0"/>
          <w:color w:val="000000"/>
          <w:sz w:val="24"/>
          <w:szCs w:val="24"/>
          <w:highlight w:val="none"/>
          <w:u w:val="none"/>
          <w:lang w:val="en-US" w:eastAsia="zh-CN"/>
        </w:rPr>
        <w:t>合计报价</w:t>
      </w:r>
      <w:r>
        <w:rPr>
          <w:rFonts w:hint="eastAsia" w:ascii="仿宋" w:hAnsi="仿宋" w:eastAsia="仿宋" w:cs="仿宋"/>
          <w:b w:val="0"/>
          <w:bCs/>
          <w:color w:val="auto"/>
          <w:sz w:val="24"/>
          <w:szCs w:val="24"/>
          <w:highlight w:val="none"/>
        </w:rPr>
        <w:t>（</w:t>
      </w:r>
      <w:r>
        <w:rPr>
          <w:rFonts w:hint="eastAsia" w:ascii="仿宋" w:hAnsi="仿宋" w:eastAsia="仿宋" w:cs="仿宋"/>
          <w:b w:val="0"/>
          <w:bCs/>
          <w:color w:val="auto"/>
          <w:sz w:val="24"/>
          <w:szCs w:val="24"/>
          <w:highlight w:val="none"/>
          <w:lang w:val="en-US" w:eastAsia="zh-CN"/>
        </w:rPr>
        <w:t>含</w:t>
      </w:r>
      <w:r>
        <w:rPr>
          <w:rFonts w:hint="eastAsia" w:ascii="仿宋" w:hAnsi="仿宋" w:eastAsia="仿宋" w:cs="仿宋"/>
          <w:b w:val="0"/>
          <w:bCs/>
          <w:color w:val="auto"/>
          <w:sz w:val="24"/>
          <w:szCs w:val="24"/>
          <w:highlight w:val="none"/>
        </w:rPr>
        <w:t>税）</w:t>
      </w:r>
      <w:r>
        <w:rPr>
          <w:rFonts w:hint="eastAsia" w:ascii="仿宋" w:hAnsi="仿宋" w:eastAsia="仿宋" w:cs="仿宋"/>
          <w:color w:val="auto"/>
          <w:kern w:val="0"/>
          <w:sz w:val="24"/>
          <w:szCs w:val="24"/>
          <w:highlight w:val="none"/>
        </w:rPr>
        <w:t>一致。</w:t>
      </w:r>
    </w:p>
    <w:p w14:paraId="3C17CA8D">
      <w:pPr>
        <w:keepNext w:val="0"/>
        <w:keepLines w:val="0"/>
        <w:pageBreakBefore w:val="0"/>
        <w:widowControl w:val="0"/>
        <w:shd w:val="clear"/>
        <w:kinsoku/>
        <w:wordWrap/>
        <w:overflowPunct/>
        <w:topLinePunct w:val="0"/>
        <w:autoSpaceDE/>
        <w:autoSpaceDN/>
        <w:bidi w:val="0"/>
        <w:adjustRightInd/>
        <w:snapToGrid w:val="0"/>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lang w:val="en-US" w:eastAsia="zh-CN"/>
        </w:rPr>
        <w:t>投标单位的投标报价，单价、总价、合计均</w:t>
      </w:r>
      <w:r>
        <w:rPr>
          <w:rFonts w:hint="eastAsia" w:ascii="仿宋" w:hAnsi="仿宋" w:eastAsia="仿宋" w:cs="仿宋"/>
          <w:color w:val="auto"/>
          <w:kern w:val="0"/>
          <w:sz w:val="24"/>
          <w:szCs w:val="24"/>
          <w:highlight w:val="none"/>
        </w:rPr>
        <w:t>不能超过其</w:t>
      </w:r>
      <w:r>
        <w:rPr>
          <w:rFonts w:hint="eastAsia" w:ascii="仿宋" w:hAnsi="仿宋" w:eastAsia="仿宋" w:cs="仿宋"/>
          <w:color w:val="auto"/>
          <w:kern w:val="0"/>
          <w:sz w:val="24"/>
          <w:szCs w:val="24"/>
          <w:highlight w:val="none"/>
          <w:lang w:val="en-US" w:eastAsia="zh-CN"/>
        </w:rPr>
        <w:t>控制</w:t>
      </w:r>
      <w:r>
        <w:rPr>
          <w:rFonts w:hint="eastAsia" w:ascii="仿宋" w:hAnsi="仿宋" w:eastAsia="仿宋" w:cs="仿宋"/>
          <w:color w:val="auto"/>
          <w:kern w:val="0"/>
          <w:sz w:val="24"/>
          <w:szCs w:val="24"/>
          <w:highlight w:val="none"/>
        </w:rPr>
        <w:t>，否则否决投标。</w:t>
      </w:r>
    </w:p>
    <w:p w14:paraId="1B9B161E">
      <w:pPr>
        <w:keepNext w:val="0"/>
        <w:keepLines w:val="0"/>
        <w:pageBreakBefore w:val="0"/>
        <w:widowControl w:val="0"/>
        <w:shd w:val="clear"/>
        <w:kinsoku/>
        <w:wordWrap/>
        <w:overflowPunct/>
        <w:topLinePunct w:val="0"/>
        <w:autoSpaceDE/>
        <w:autoSpaceDN/>
        <w:bidi w:val="0"/>
        <w:adjustRightInd/>
        <w:snapToGrid w:val="0"/>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3.最终总价按实际采购量进行结算。</w:t>
      </w:r>
    </w:p>
    <w:p w14:paraId="176E93F7">
      <w:pPr>
        <w:keepNext w:val="0"/>
        <w:keepLines w:val="0"/>
        <w:pageBreakBefore w:val="0"/>
        <w:widowControl w:val="0"/>
        <w:shd w:val="clear"/>
        <w:kinsoku/>
        <w:wordWrap/>
        <w:overflowPunct/>
        <w:topLinePunct w:val="0"/>
        <w:autoSpaceDE/>
        <w:autoSpaceDN/>
        <w:bidi w:val="0"/>
        <w:adjustRightInd/>
        <w:snapToGrid w:val="0"/>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CN"/>
        </w:rPr>
        <w:t>年计划采购量</w:t>
      </w:r>
      <w:r>
        <w:rPr>
          <w:rFonts w:hint="eastAsia" w:ascii="仿宋" w:hAnsi="仿宋" w:eastAsia="仿宋" w:cs="仿宋"/>
          <w:color w:val="auto"/>
          <w:kern w:val="0"/>
          <w:sz w:val="24"/>
          <w:szCs w:val="24"/>
          <w:highlight w:val="none"/>
        </w:rPr>
        <w:t>只作为投标参考使用，实际采购数量可适时调整，并据实结算，实际采购量多于或少于年用量均不视为违约。</w:t>
      </w:r>
    </w:p>
    <w:p w14:paraId="026AAC3B">
      <w:pPr>
        <w:keepNext w:val="0"/>
        <w:keepLines w:val="0"/>
        <w:pageBreakBefore w:val="0"/>
        <w:widowControl w:val="0"/>
        <w:shd w:val="clear"/>
        <w:kinsoku/>
        <w:wordWrap/>
        <w:overflowPunct/>
        <w:topLinePunct w:val="0"/>
        <w:autoSpaceDE/>
        <w:autoSpaceDN/>
        <w:bidi w:val="0"/>
        <w:adjustRightInd/>
        <w:snapToGrid w:val="0"/>
        <w:spacing w:line="24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5.投标人在中标后，由招标人根据实际需求而调整采购数量，不排除在服务期限内招标人对中标人零采购情况的风险，中标人对此谅解且不追究责任。</w:t>
      </w:r>
    </w:p>
    <w:p w14:paraId="2C2B1960">
      <w:pPr>
        <w:keepNext w:val="0"/>
        <w:keepLines w:val="0"/>
        <w:pageBreakBefore w:val="0"/>
        <w:widowControl w:val="0"/>
        <w:shd w:val="clea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6.以上材料存在分批次送货情况。</w:t>
      </w:r>
    </w:p>
    <w:p w14:paraId="60F31AD8">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投标人(盖章):</w:t>
      </w:r>
    </w:p>
    <w:p w14:paraId="7EC4CE31">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法定代表人或委托代理人（签字或盖章）：</w:t>
      </w:r>
    </w:p>
    <w:p w14:paraId="2247290B">
      <w:pPr>
        <w:pStyle w:val="18"/>
        <w:shd w:val="clear"/>
        <w:rPr>
          <w:rFonts w:hint="eastAsia" w:ascii="仿宋" w:hAnsi="仿宋" w:eastAsia="仿宋" w:cs="仿宋"/>
          <w:color w:val="auto"/>
          <w:highlight w:val="none"/>
        </w:rPr>
        <w:sectPr>
          <w:pgSz w:w="16838" w:h="11906" w:orient="landscape"/>
          <w:pgMar w:top="1083" w:right="1440" w:bottom="1083" w:left="1440" w:header="851" w:footer="992" w:gutter="0"/>
          <w:cols w:space="720" w:num="1"/>
          <w:docGrid w:type="lines" w:linePitch="314" w:charSpace="0"/>
        </w:sectPr>
      </w:pPr>
    </w:p>
    <w:p w14:paraId="6F2AB7B5">
      <w:pPr>
        <w:pStyle w:val="30"/>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4"/>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30"/>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30"/>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30"/>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30"/>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30"/>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30"/>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30"/>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30"/>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30"/>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30"/>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30"/>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30"/>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30"/>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30"/>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30"/>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30"/>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30"/>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30"/>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30"/>
              <w:shd w:val="clear"/>
              <w:spacing w:line="400" w:lineRule="exact"/>
              <w:jc w:val="center"/>
              <w:rPr>
                <w:rFonts w:hint="eastAsia" w:ascii="仿宋" w:hAnsi="仿宋" w:eastAsia="仿宋" w:cs="仿宋"/>
                <w:color w:val="auto"/>
                <w:sz w:val="28"/>
                <w:szCs w:val="28"/>
                <w:highlight w:val="none"/>
              </w:rPr>
            </w:pPr>
          </w:p>
        </w:tc>
      </w:tr>
    </w:tbl>
    <w:p w14:paraId="700AA788">
      <w:pPr>
        <w:pStyle w:val="30"/>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18"/>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30"/>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30"/>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3"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0"/>
    <w:bookmarkEnd w:id="92"/>
    <w:bookmarkEnd w:id="93"/>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30"/>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30"/>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30"/>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4"/>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51"/>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30"/>
        <w:shd w:val="clear"/>
        <w:ind w:firstLine="420" w:firstLineChars="200"/>
        <w:jc w:val="center"/>
        <w:rPr>
          <w:rFonts w:hint="eastAsia" w:ascii="仿宋" w:hAnsi="仿宋" w:eastAsia="仿宋" w:cs="仿宋"/>
          <w:color w:val="auto"/>
          <w:highlight w:val="none"/>
        </w:rPr>
      </w:pPr>
    </w:p>
    <w:p w14:paraId="23293FA3">
      <w:pPr>
        <w:pStyle w:val="30"/>
        <w:shd w:val="clear"/>
        <w:ind w:firstLine="420" w:firstLineChars="200"/>
        <w:jc w:val="center"/>
        <w:rPr>
          <w:rFonts w:hint="eastAsia" w:ascii="仿宋" w:hAnsi="仿宋" w:eastAsia="仿宋" w:cs="仿宋"/>
          <w:color w:val="auto"/>
          <w:highlight w:val="none"/>
        </w:rPr>
      </w:pPr>
    </w:p>
    <w:p w14:paraId="246AA20F">
      <w:pPr>
        <w:pStyle w:val="30"/>
        <w:shd w:val="clear"/>
        <w:ind w:firstLine="420" w:firstLineChars="200"/>
        <w:jc w:val="center"/>
        <w:rPr>
          <w:rFonts w:hint="eastAsia" w:ascii="仿宋" w:hAnsi="仿宋" w:eastAsia="仿宋" w:cs="仿宋"/>
          <w:color w:val="auto"/>
          <w:highlight w:val="none"/>
        </w:rPr>
      </w:pPr>
    </w:p>
    <w:p w14:paraId="55B00A81">
      <w:pPr>
        <w:pStyle w:val="30"/>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18"/>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WHSW2026-003</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4"/>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32"/>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4"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4"/>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1EF35F9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交纳投标保证金的证明材料（两者缺一不可）：</w:t>
      </w:r>
    </w:p>
    <w:p w14:paraId="2756079C">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（1）企业银行基本账户开户证明（如开户许可证或银行开户证明等）；</w:t>
      </w:r>
    </w:p>
    <w:p w14:paraId="09DC4F02">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（2）电汇凭证或电子汇款截图扫描件。</w:t>
      </w:r>
    </w:p>
    <w:p w14:paraId="5EB0731B">
      <w:pPr>
        <w:pStyle w:val="18"/>
        <w:shd w:val="clear"/>
        <w:spacing w:line="360" w:lineRule="auto"/>
        <w:rPr>
          <w:rFonts w:hint="eastAsia" w:ascii="仿宋" w:hAnsi="仿宋" w:eastAsia="仿宋" w:cs="仿宋"/>
          <w:color w:val="auto"/>
          <w:highlight w:val="none"/>
        </w:rPr>
      </w:pPr>
    </w:p>
    <w:p w14:paraId="1AEEA052">
      <w:pPr>
        <w:pStyle w:val="32"/>
        <w:shd w:val="clear"/>
        <w:spacing w:line="360" w:lineRule="auto"/>
        <w:ind w:left="5250"/>
        <w:rPr>
          <w:rFonts w:hint="eastAsia" w:ascii="仿宋" w:hAnsi="仿宋" w:eastAsia="仿宋" w:cs="仿宋"/>
          <w:color w:val="auto"/>
          <w:highlight w:val="none"/>
        </w:rPr>
      </w:pPr>
    </w:p>
    <w:p w14:paraId="31A8297A">
      <w:pPr>
        <w:shd w:val="clear"/>
        <w:spacing w:line="360" w:lineRule="auto"/>
        <w:rPr>
          <w:rFonts w:hint="eastAsia" w:ascii="仿宋" w:hAnsi="仿宋" w:eastAsia="仿宋" w:cs="仿宋"/>
          <w:color w:val="auto"/>
          <w:highlight w:val="none"/>
        </w:rPr>
      </w:pPr>
    </w:p>
    <w:p w14:paraId="1F837E0C">
      <w:pPr>
        <w:pStyle w:val="18"/>
        <w:shd w:val="clear"/>
        <w:spacing w:line="360" w:lineRule="auto"/>
        <w:rPr>
          <w:rFonts w:hint="eastAsia" w:ascii="仿宋" w:hAnsi="仿宋" w:eastAsia="仿宋" w:cs="仿宋"/>
          <w:color w:val="auto"/>
          <w:highlight w:val="none"/>
        </w:rPr>
      </w:pPr>
    </w:p>
    <w:p w14:paraId="0C4F99C3">
      <w:pPr>
        <w:pStyle w:val="32"/>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18"/>
        <w:shd w:val="clear"/>
        <w:spacing w:line="360" w:lineRule="auto"/>
        <w:rPr>
          <w:rFonts w:hint="eastAsia" w:ascii="仿宋" w:hAnsi="仿宋" w:eastAsia="仿宋" w:cs="仿宋"/>
          <w:color w:val="auto"/>
          <w:highlight w:val="none"/>
        </w:rPr>
      </w:pPr>
    </w:p>
    <w:p w14:paraId="0A3908C8">
      <w:pPr>
        <w:pStyle w:val="32"/>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18"/>
        <w:shd w:val="clear"/>
        <w:spacing w:line="360" w:lineRule="auto"/>
        <w:rPr>
          <w:rFonts w:hint="eastAsia" w:ascii="仿宋" w:hAnsi="仿宋" w:eastAsia="仿宋" w:cs="仿宋"/>
          <w:color w:val="auto"/>
          <w:highlight w:val="none"/>
        </w:rPr>
      </w:pPr>
    </w:p>
    <w:p w14:paraId="00E9D2AF">
      <w:pPr>
        <w:pStyle w:val="32"/>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18"/>
        <w:shd w:val="clear"/>
        <w:spacing w:line="360" w:lineRule="auto"/>
        <w:rPr>
          <w:rFonts w:hint="eastAsia" w:ascii="仿宋" w:hAnsi="仿宋" w:eastAsia="仿宋" w:cs="仿宋"/>
          <w:color w:val="auto"/>
          <w:highlight w:val="none"/>
        </w:rPr>
      </w:pPr>
    </w:p>
    <w:p w14:paraId="093CACD5">
      <w:pPr>
        <w:pStyle w:val="32"/>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18"/>
        <w:shd w:val="clear"/>
        <w:spacing w:line="360" w:lineRule="auto"/>
        <w:jc w:val="center"/>
        <w:rPr>
          <w:rFonts w:hint="eastAsia" w:ascii="仿宋" w:hAnsi="仿宋" w:eastAsia="仿宋" w:cs="仿宋"/>
          <w:color w:val="auto"/>
          <w:highlight w:val="none"/>
        </w:rPr>
      </w:pPr>
    </w:p>
    <w:p w14:paraId="0AE60BD6">
      <w:pPr>
        <w:pStyle w:val="32"/>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18"/>
        <w:shd w:val="clear"/>
        <w:spacing w:line="360" w:lineRule="auto"/>
        <w:rPr>
          <w:rFonts w:hint="eastAsia" w:ascii="仿宋" w:hAnsi="仿宋" w:eastAsia="仿宋" w:cs="仿宋"/>
          <w:color w:val="auto"/>
          <w:highlight w:val="none"/>
        </w:rPr>
      </w:pPr>
    </w:p>
    <w:p w14:paraId="5D610A01">
      <w:pPr>
        <w:pStyle w:val="32"/>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18"/>
        <w:shd w:val="clear"/>
        <w:spacing w:line="360" w:lineRule="auto"/>
        <w:rPr>
          <w:rFonts w:hint="eastAsia" w:ascii="仿宋" w:hAnsi="仿宋" w:eastAsia="仿宋" w:cs="仿宋"/>
          <w:color w:val="auto"/>
          <w:highlight w:val="none"/>
        </w:rPr>
      </w:pPr>
    </w:p>
    <w:p w14:paraId="6F9B6CA6">
      <w:pPr>
        <w:pStyle w:val="32"/>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18"/>
        <w:shd w:val="clear"/>
        <w:spacing w:line="360" w:lineRule="auto"/>
        <w:rPr>
          <w:rFonts w:hint="eastAsia" w:ascii="仿宋" w:hAnsi="仿宋" w:eastAsia="仿宋" w:cs="仿宋"/>
          <w:color w:val="auto"/>
          <w:highlight w:val="none"/>
        </w:rPr>
      </w:pPr>
    </w:p>
    <w:p w14:paraId="6C055976">
      <w:pPr>
        <w:pStyle w:val="32"/>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18"/>
        <w:shd w:val="clear"/>
        <w:spacing w:line="360" w:lineRule="auto"/>
        <w:rPr>
          <w:rFonts w:hint="eastAsia" w:ascii="仿宋" w:hAnsi="仿宋" w:eastAsia="仿宋" w:cs="仿宋"/>
          <w:color w:val="auto"/>
          <w:highlight w:val="none"/>
        </w:rPr>
      </w:pPr>
    </w:p>
    <w:p w14:paraId="615921A9">
      <w:pPr>
        <w:pStyle w:val="32"/>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3D8EAC8A">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（3）所附内容将同时作为企业信用的评审依据，无须在投标文件中重复上传。</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18"/>
        <w:shd w:val="clear"/>
        <w:spacing w:line="360" w:lineRule="auto"/>
        <w:rPr>
          <w:rFonts w:hint="eastAsia" w:ascii="仿宋" w:hAnsi="仿宋" w:eastAsia="仿宋" w:cs="仿宋"/>
          <w:color w:val="auto"/>
          <w:highlight w:val="none"/>
        </w:rPr>
      </w:pPr>
    </w:p>
    <w:p w14:paraId="33EB3BAC">
      <w:pPr>
        <w:pStyle w:val="18"/>
        <w:shd w:val="clear"/>
        <w:spacing w:line="360" w:lineRule="auto"/>
        <w:rPr>
          <w:rFonts w:hint="eastAsia" w:ascii="仿宋" w:hAnsi="仿宋" w:eastAsia="仿宋" w:cs="仿宋"/>
          <w:color w:val="auto"/>
          <w:highlight w:val="none"/>
        </w:rPr>
      </w:pPr>
    </w:p>
    <w:p w14:paraId="68BD8355">
      <w:pPr>
        <w:pStyle w:val="32"/>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18"/>
        <w:shd w:val="clear"/>
        <w:rPr>
          <w:rFonts w:hint="eastAsia" w:ascii="仿宋" w:hAnsi="仿宋" w:eastAsia="仿宋" w:cs="仿宋"/>
          <w:color w:val="auto"/>
          <w:highlight w:val="none"/>
        </w:rPr>
      </w:pPr>
    </w:p>
    <w:p w14:paraId="4D6A2FBE">
      <w:pPr>
        <w:pStyle w:val="18"/>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18"/>
        <w:shd w:val="clear"/>
        <w:spacing w:line="360" w:lineRule="auto"/>
        <w:rPr>
          <w:rFonts w:hint="eastAsia" w:ascii="仿宋" w:hAnsi="仿宋" w:eastAsia="仿宋" w:cs="仿宋"/>
          <w:color w:val="auto"/>
          <w:highlight w:val="none"/>
        </w:rPr>
      </w:pPr>
    </w:p>
    <w:p w14:paraId="7BC5D8B5">
      <w:pPr>
        <w:pStyle w:val="32"/>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（1）具有独立承担民事责任的能力（若为</w:t>
      </w:r>
      <w:r>
        <w:rPr>
          <w:rFonts w:hint="eastAsia" w:ascii="仿宋" w:hAnsi="仿宋" w:eastAsia="仿宋" w:cs="仿宋"/>
          <w:color w:val="auto"/>
          <w:spacing w:val="8"/>
          <w:kern w:val="0"/>
          <w:sz w:val="28"/>
          <w:szCs w:val="28"/>
          <w:highlight w:val="none"/>
          <w:lang w:val="en-US" w:eastAsia="zh-CN"/>
        </w:rPr>
        <w:t>经销</w:t>
      </w:r>
      <w:r>
        <w:rPr>
          <w:rFonts w:hint="eastAsia" w:ascii="仿宋" w:hAnsi="仿宋" w:eastAsia="仿宋" w:cs="仿宋"/>
          <w:color w:val="auto"/>
          <w:spacing w:val="8"/>
          <w:kern w:val="0"/>
          <w:sz w:val="28"/>
          <w:szCs w:val="28"/>
          <w:highlight w:val="none"/>
        </w:rPr>
        <w:t>商具有生产商授权书，并承诺一旦中标，服务期内保证生产商授权书满足项目服务期要求）；</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（3）具有履行合同所必须设备和专业技术能力，并能提供优质的服务；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5"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5"/>
      <w:bookmarkStart w:id="96" w:name="_Toc523388197"/>
    </w:p>
    <w:p w14:paraId="1A96AA22">
      <w:pPr>
        <w:shd w:val="clear"/>
        <w:snapToGrid w:val="0"/>
        <w:spacing w:line="360" w:lineRule="auto"/>
        <w:jc w:val="center"/>
        <w:rPr>
          <w:rFonts w:hint="eastAsia" w:ascii="仿宋" w:hAnsi="仿宋" w:eastAsia="仿宋" w:cs="仿宋"/>
          <w:color w:val="auto"/>
          <w:sz w:val="30"/>
          <w:szCs w:val="30"/>
          <w:highlight w:val="none"/>
        </w:rPr>
      </w:pPr>
    </w:p>
    <w:p w14:paraId="587E570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4793DA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7"/>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6"/>
    <w:p w14:paraId="34E909B9">
      <w:pPr>
        <w:rPr>
          <w:rFonts w:hint="eastAsia" w:ascii="仿宋" w:hAnsi="仿宋" w:eastAsia="仿宋" w:cs="仿宋"/>
          <w:bCs/>
          <w:color w:val="auto"/>
          <w:kern w:val="2"/>
          <w:sz w:val="44"/>
          <w:szCs w:val="32"/>
          <w:highlight w:val="none"/>
        </w:rPr>
      </w:pPr>
      <w:bookmarkStart w:id="97"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p w14:paraId="7D897826">
      <w:pPr>
        <w:pStyle w:val="30"/>
        <w:shd w:val="clear"/>
        <w:spacing w:line="360" w:lineRule="auto"/>
        <w:jc w:val="center"/>
        <w:rPr>
          <w:rFonts w:hint="eastAsia" w:ascii="仿宋" w:hAnsi="仿宋" w:eastAsia="仿宋" w:cs="仿宋"/>
          <w:b/>
          <w:bCs w:val="0"/>
          <w:color w:val="auto"/>
          <w:kern w:val="2"/>
          <w:sz w:val="24"/>
          <w:szCs w:val="24"/>
          <w:highlight w:val="none"/>
        </w:rPr>
      </w:pPr>
      <w:r>
        <w:rPr>
          <w:rFonts w:hint="eastAsia" w:ascii="仿宋" w:hAnsi="仿宋" w:eastAsia="仿宋" w:cs="仿宋"/>
          <w:b/>
          <w:bCs w:val="0"/>
          <w:color w:val="auto"/>
          <w:kern w:val="2"/>
          <w:sz w:val="24"/>
          <w:szCs w:val="24"/>
          <w:highlight w:val="none"/>
        </w:rPr>
        <w:t>（若投标人为生产商，此表无需填写）</w:t>
      </w:r>
    </w:p>
    <w:tbl>
      <w:tblPr>
        <w:tblStyle w:val="54"/>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270354F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生产商基本情况表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2041"/>
        <w:gridCol w:w="2690"/>
        <w:gridCol w:w="1790"/>
        <w:gridCol w:w="50"/>
        <w:gridCol w:w="539"/>
        <w:gridCol w:w="1782"/>
      </w:tblGrid>
      <w:tr w14:paraId="0E24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2647" w:type="dxa"/>
            <w:gridSpan w:val="2"/>
            <w:noWrap w:val="0"/>
            <w:vAlign w:val="center"/>
          </w:tcPr>
          <w:p w14:paraId="374B4ED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690" w:type="dxa"/>
            <w:noWrap w:val="0"/>
            <w:vAlign w:val="center"/>
          </w:tcPr>
          <w:p w14:paraId="059C2A23">
            <w:pPr>
              <w:shd w:val="clear"/>
              <w:spacing w:line="440" w:lineRule="exact"/>
              <w:jc w:val="center"/>
              <w:rPr>
                <w:rFonts w:hint="eastAsia" w:ascii="仿宋" w:hAnsi="仿宋" w:eastAsia="仿宋" w:cs="仿宋"/>
                <w:color w:val="auto"/>
                <w:sz w:val="28"/>
                <w:szCs w:val="28"/>
                <w:highlight w:val="none"/>
              </w:rPr>
            </w:pPr>
          </w:p>
        </w:tc>
        <w:tc>
          <w:tcPr>
            <w:tcW w:w="2379" w:type="dxa"/>
            <w:gridSpan w:val="3"/>
            <w:noWrap w:val="0"/>
            <w:vAlign w:val="center"/>
          </w:tcPr>
          <w:p w14:paraId="1CACBEC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82" w:type="dxa"/>
            <w:noWrap w:val="0"/>
            <w:vAlign w:val="center"/>
          </w:tcPr>
          <w:p w14:paraId="5F32979E">
            <w:pPr>
              <w:shd w:val="clear"/>
              <w:spacing w:line="440" w:lineRule="exact"/>
              <w:ind w:left="507"/>
              <w:jc w:val="center"/>
              <w:rPr>
                <w:rFonts w:hint="eastAsia" w:ascii="仿宋" w:hAnsi="仿宋" w:eastAsia="仿宋" w:cs="仿宋"/>
                <w:color w:val="auto"/>
                <w:sz w:val="28"/>
                <w:szCs w:val="28"/>
                <w:highlight w:val="none"/>
              </w:rPr>
            </w:pPr>
          </w:p>
        </w:tc>
      </w:tr>
      <w:tr w14:paraId="0776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647" w:type="dxa"/>
            <w:gridSpan w:val="2"/>
            <w:noWrap w:val="0"/>
            <w:vAlign w:val="center"/>
          </w:tcPr>
          <w:p w14:paraId="71F17E0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690" w:type="dxa"/>
            <w:noWrap w:val="0"/>
            <w:vAlign w:val="center"/>
          </w:tcPr>
          <w:p w14:paraId="6103C537">
            <w:pPr>
              <w:shd w:val="clear"/>
              <w:spacing w:line="440" w:lineRule="exact"/>
              <w:jc w:val="center"/>
              <w:rPr>
                <w:rFonts w:hint="eastAsia" w:ascii="仿宋" w:hAnsi="仿宋" w:eastAsia="仿宋" w:cs="仿宋"/>
                <w:color w:val="auto"/>
                <w:sz w:val="28"/>
                <w:szCs w:val="28"/>
                <w:highlight w:val="none"/>
              </w:rPr>
            </w:pPr>
          </w:p>
        </w:tc>
        <w:tc>
          <w:tcPr>
            <w:tcW w:w="2379" w:type="dxa"/>
            <w:gridSpan w:val="3"/>
            <w:noWrap w:val="0"/>
            <w:vAlign w:val="center"/>
          </w:tcPr>
          <w:p w14:paraId="76DBE84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82" w:type="dxa"/>
            <w:noWrap w:val="0"/>
            <w:vAlign w:val="center"/>
          </w:tcPr>
          <w:p w14:paraId="4FBB0CBC">
            <w:pPr>
              <w:shd w:val="clear"/>
              <w:spacing w:line="440" w:lineRule="exact"/>
              <w:jc w:val="center"/>
              <w:rPr>
                <w:rFonts w:hint="eastAsia" w:ascii="仿宋" w:hAnsi="仿宋" w:eastAsia="仿宋" w:cs="仿宋"/>
                <w:color w:val="auto"/>
                <w:sz w:val="28"/>
                <w:szCs w:val="28"/>
                <w:highlight w:val="none"/>
              </w:rPr>
            </w:pPr>
          </w:p>
        </w:tc>
      </w:tr>
      <w:tr w14:paraId="3EE1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2647" w:type="dxa"/>
            <w:gridSpan w:val="2"/>
            <w:noWrap w:val="0"/>
            <w:vAlign w:val="center"/>
          </w:tcPr>
          <w:p w14:paraId="63AB10D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6851" w:type="dxa"/>
            <w:gridSpan w:val="5"/>
            <w:noWrap w:val="0"/>
            <w:vAlign w:val="center"/>
          </w:tcPr>
          <w:p w14:paraId="2F7E689E">
            <w:pPr>
              <w:shd w:val="clear"/>
              <w:spacing w:line="440" w:lineRule="exact"/>
              <w:jc w:val="center"/>
              <w:rPr>
                <w:rFonts w:hint="eastAsia" w:ascii="仿宋" w:hAnsi="仿宋" w:eastAsia="仿宋" w:cs="仿宋"/>
                <w:color w:val="auto"/>
                <w:sz w:val="28"/>
                <w:szCs w:val="28"/>
                <w:highlight w:val="none"/>
              </w:rPr>
            </w:pPr>
          </w:p>
        </w:tc>
      </w:tr>
      <w:tr w14:paraId="3715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2647" w:type="dxa"/>
            <w:gridSpan w:val="2"/>
            <w:noWrap w:val="0"/>
            <w:vAlign w:val="center"/>
          </w:tcPr>
          <w:p w14:paraId="71FC667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690" w:type="dxa"/>
            <w:noWrap w:val="0"/>
            <w:vAlign w:val="center"/>
          </w:tcPr>
          <w:p w14:paraId="1ED0823E">
            <w:pPr>
              <w:shd w:val="clear"/>
              <w:spacing w:line="440" w:lineRule="exact"/>
              <w:jc w:val="center"/>
              <w:rPr>
                <w:rFonts w:hint="eastAsia" w:ascii="仿宋" w:hAnsi="仿宋" w:eastAsia="仿宋" w:cs="仿宋"/>
                <w:color w:val="auto"/>
                <w:sz w:val="28"/>
                <w:szCs w:val="28"/>
                <w:highlight w:val="none"/>
              </w:rPr>
            </w:pPr>
          </w:p>
        </w:tc>
        <w:tc>
          <w:tcPr>
            <w:tcW w:w="1840" w:type="dxa"/>
            <w:gridSpan w:val="2"/>
            <w:noWrap w:val="0"/>
            <w:vAlign w:val="center"/>
          </w:tcPr>
          <w:p w14:paraId="178E8D5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r>
              <w:rPr>
                <w:rFonts w:hint="eastAsia" w:ascii="仿宋" w:hAnsi="仿宋" w:eastAsia="仿宋" w:cs="仿宋"/>
                <w:color w:val="auto"/>
                <w:sz w:val="28"/>
                <w:szCs w:val="28"/>
                <w:highlight w:val="none"/>
                <w:lang w:eastAsia="zh-CN"/>
              </w:rPr>
              <w:t>平方</w:t>
            </w:r>
            <w:r>
              <w:rPr>
                <w:rFonts w:hint="eastAsia" w:ascii="仿宋" w:hAnsi="仿宋" w:eastAsia="仿宋" w:cs="仿宋"/>
                <w:color w:val="auto"/>
                <w:sz w:val="28"/>
                <w:szCs w:val="28"/>
                <w:highlight w:val="none"/>
              </w:rPr>
              <w:t>米）</w:t>
            </w:r>
          </w:p>
        </w:tc>
        <w:tc>
          <w:tcPr>
            <w:tcW w:w="2321" w:type="dxa"/>
            <w:gridSpan w:val="2"/>
            <w:noWrap w:val="0"/>
            <w:vAlign w:val="center"/>
          </w:tcPr>
          <w:p w14:paraId="573E1354">
            <w:pPr>
              <w:shd w:val="clear"/>
              <w:spacing w:line="440" w:lineRule="exact"/>
              <w:jc w:val="center"/>
              <w:rPr>
                <w:rFonts w:hint="eastAsia" w:ascii="仿宋" w:hAnsi="仿宋" w:eastAsia="仿宋" w:cs="仿宋"/>
                <w:color w:val="auto"/>
                <w:sz w:val="28"/>
                <w:szCs w:val="28"/>
                <w:highlight w:val="none"/>
              </w:rPr>
            </w:pPr>
          </w:p>
        </w:tc>
      </w:tr>
      <w:tr w14:paraId="0D72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606" w:type="dxa"/>
            <w:vMerge w:val="restart"/>
            <w:noWrap w:val="0"/>
            <w:vAlign w:val="center"/>
          </w:tcPr>
          <w:p w14:paraId="062211E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41" w:type="dxa"/>
            <w:noWrap w:val="0"/>
            <w:vAlign w:val="center"/>
          </w:tcPr>
          <w:p w14:paraId="75613A3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851" w:type="dxa"/>
            <w:gridSpan w:val="5"/>
            <w:noWrap w:val="0"/>
            <w:vAlign w:val="center"/>
          </w:tcPr>
          <w:p w14:paraId="60B1646E">
            <w:pPr>
              <w:shd w:val="clear"/>
              <w:spacing w:line="440" w:lineRule="exact"/>
              <w:jc w:val="center"/>
              <w:rPr>
                <w:rFonts w:hint="eastAsia" w:ascii="仿宋" w:hAnsi="仿宋" w:eastAsia="仿宋" w:cs="仿宋"/>
                <w:color w:val="auto"/>
                <w:sz w:val="28"/>
                <w:szCs w:val="28"/>
                <w:highlight w:val="none"/>
              </w:rPr>
            </w:pPr>
          </w:p>
        </w:tc>
      </w:tr>
      <w:tr w14:paraId="3332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606" w:type="dxa"/>
            <w:vMerge w:val="continue"/>
            <w:noWrap w:val="0"/>
            <w:textDirection w:val="tbRlV"/>
            <w:vAlign w:val="center"/>
          </w:tcPr>
          <w:p w14:paraId="53C99680">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7D7E80F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851" w:type="dxa"/>
            <w:gridSpan w:val="5"/>
            <w:noWrap w:val="0"/>
            <w:vAlign w:val="center"/>
          </w:tcPr>
          <w:p w14:paraId="600D3ADB">
            <w:pPr>
              <w:shd w:val="clear"/>
              <w:spacing w:line="440" w:lineRule="exact"/>
              <w:jc w:val="center"/>
              <w:rPr>
                <w:rFonts w:hint="eastAsia" w:ascii="仿宋" w:hAnsi="仿宋" w:eastAsia="仿宋" w:cs="仿宋"/>
                <w:color w:val="auto"/>
                <w:sz w:val="28"/>
                <w:szCs w:val="28"/>
                <w:highlight w:val="none"/>
              </w:rPr>
            </w:pPr>
          </w:p>
        </w:tc>
      </w:tr>
      <w:tr w14:paraId="4D57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479A20A7">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6D47DD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690" w:type="dxa"/>
            <w:noWrap w:val="0"/>
            <w:vAlign w:val="center"/>
          </w:tcPr>
          <w:p w14:paraId="061E676C">
            <w:pPr>
              <w:shd w:val="clear"/>
              <w:spacing w:line="440" w:lineRule="exact"/>
              <w:jc w:val="center"/>
              <w:rPr>
                <w:rFonts w:hint="eastAsia" w:ascii="仿宋" w:hAnsi="仿宋" w:eastAsia="仿宋" w:cs="仿宋"/>
                <w:color w:val="auto"/>
                <w:sz w:val="28"/>
                <w:szCs w:val="28"/>
                <w:highlight w:val="none"/>
              </w:rPr>
            </w:pPr>
          </w:p>
        </w:tc>
        <w:tc>
          <w:tcPr>
            <w:tcW w:w="1790" w:type="dxa"/>
            <w:noWrap w:val="0"/>
            <w:vAlign w:val="center"/>
          </w:tcPr>
          <w:p w14:paraId="2458325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371" w:type="dxa"/>
            <w:gridSpan w:val="3"/>
            <w:noWrap w:val="0"/>
            <w:vAlign w:val="center"/>
          </w:tcPr>
          <w:p w14:paraId="5798AAA5">
            <w:pPr>
              <w:shd w:val="clear"/>
              <w:spacing w:line="440" w:lineRule="exact"/>
              <w:jc w:val="center"/>
              <w:rPr>
                <w:rFonts w:hint="eastAsia" w:ascii="仿宋" w:hAnsi="仿宋" w:eastAsia="仿宋" w:cs="仿宋"/>
                <w:color w:val="auto"/>
                <w:sz w:val="28"/>
                <w:szCs w:val="28"/>
                <w:highlight w:val="none"/>
              </w:rPr>
            </w:pPr>
          </w:p>
        </w:tc>
      </w:tr>
      <w:tr w14:paraId="65A6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21FAF3C6">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42F0DAD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690" w:type="dxa"/>
            <w:noWrap w:val="0"/>
            <w:vAlign w:val="center"/>
          </w:tcPr>
          <w:p w14:paraId="66D00043">
            <w:pPr>
              <w:shd w:val="clear"/>
              <w:spacing w:line="440" w:lineRule="exact"/>
              <w:jc w:val="center"/>
              <w:rPr>
                <w:rFonts w:hint="eastAsia" w:ascii="仿宋" w:hAnsi="仿宋" w:eastAsia="仿宋" w:cs="仿宋"/>
                <w:color w:val="auto"/>
                <w:sz w:val="28"/>
                <w:szCs w:val="28"/>
                <w:highlight w:val="none"/>
              </w:rPr>
            </w:pPr>
          </w:p>
        </w:tc>
        <w:tc>
          <w:tcPr>
            <w:tcW w:w="1790" w:type="dxa"/>
            <w:noWrap w:val="0"/>
            <w:vAlign w:val="center"/>
          </w:tcPr>
          <w:p w14:paraId="7C3B901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371" w:type="dxa"/>
            <w:gridSpan w:val="3"/>
            <w:noWrap w:val="0"/>
            <w:vAlign w:val="center"/>
          </w:tcPr>
          <w:p w14:paraId="70BB13F6">
            <w:pPr>
              <w:shd w:val="clear"/>
              <w:spacing w:line="440" w:lineRule="exact"/>
              <w:jc w:val="center"/>
              <w:rPr>
                <w:rFonts w:hint="eastAsia" w:ascii="仿宋" w:hAnsi="仿宋" w:eastAsia="仿宋" w:cs="仿宋"/>
                <w:color w:val="auto"/>
                <w:sz w:val="28"/>
                <w:szCs w:val="28"/>
                <w:highlight w:val="none"/>
              </w:rPr>
            </w:pPr>
          </w:p>
        </w:tc>
      </w:tr>
      <w:tr w14:paraId="31CD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606" w:type="dxa"/>
            <w:vMerge w:val="continue"/>
            <w:noWrap w:val="0"/>
            <w:textDirection w:val="tbRlV"/>
            <w:vAlign w:val="center"/>
          </w:tcPr>
          <w:p w14:paraId="5C0D9F38">
            <w:pPr>
              <w:shd w:val="clear"/>
              <w:spacing w:line="440" w:lineRule="exact"/>
              <w:jc w:val="center"/>
              <w:rPr>
                <w:rFonts w:hint="eastAsia" w:ascii="仿宋" w:hAnsi="仿宋" w:eastAsia="仿宋" w:cs="仿宋"/>
                <w:color w:val="auto"/>
                <w:sz w:val="28"/>
                <w:szCs w:val="28"/>
                <w:highlight w:val="none"/>
              </w:rPr>
            </w:pPr>
          </w:p>
        </w:tc>
        <w:tc>
          <w:tcPr>
            <w:tcW w:w="2041" w:type="dxa"/>
            <w:noWrap w:val="0"/>
            <w:vAlign w:val="center"/>
          </w:tcPr>
          <w:p w14:paraId="0F6AA8B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851" w:type="dxa"/>
            <w:gridSpan w:val="5"/>
            <w:noWrap w:val="0"/>
            <w:vAlign w:val="center"/>
          </w:tcPr>
          <w:p w14:paraId="43E73AF6">
            <w:pPr>
              <w:shd w:val="clear"/>
              <w:spacing w:line="440" w:lineRule="exact"/>
              <w:jc w:val="center"/>
              <w:rPr>
                <w:rFonts w:hint="eastAsia" w:ascii="仿宋" w:hAnsi="仿宋" w:eastAsia="仿宋" w:cs="仿宋"/>
                <w:color w:val="auto"/>
                <w:sz w:val="28"/>
                <w:szCs w:val="28"/>
                <w:highlight w:val="none"/>
              </w:rPr>
            </w:pPr>
          </w:p>
        </w:tc>
      </w:tr>
      <w:tr w14:paraId="1705B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9498" w:type="dxa"/>
            <w:gridSpan w:val="7"/>
            <w:noWrap w:val="0"/>
            <w:vAlign w:val="center"/>
          </w:tcPr>
          <w:p w14:paraId="46BB0A7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生产商情况简介</w:t>
            </w:r>
          </w:p>
        </w:tc>
      </w:tr>
      <w:tr w14:paraId="1B06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3" w:hRule="atLeast"/>
          <w:jc w:val="center"/>
        </w:trPr>
        <w:tc>
          <w:tcPr>
            <w:tcW w:w="9498" w:type="dxa"/>
            <w:gridSpan w:val="7"/>
            <w:noWrap w:val="0"/>
            <w:vAlign w:val="center"/>
          </w:tcPr>
          <w:p w14:paraId="72E732C8">
            <w:pPr>
              <w:shd w:val="clear"/>
              <w:spacing w:line="440" w:lineRule="exact"/>
              <w:jc w:val="center"/>
              <w:rPr>
                <w:rFonts w:hint="eastAsia" w:ascii="仿宋" w:hAnsi="仿宋" w:eastAsia="仿宋" w:cs="仿宋"/>
                <w:color w:val="auto"/>
                <w:sz w:val="28"/>
                <w:szCs w:val="28"/>
                <w:highlight w:val="none"/>
              </w:rPr>
            </w:pPr>
          </w:p>
        </w:tc>
      </w:tr>
    </w:tbl>
    <w:p w14:paraId="1C261228">
      <w:pPr>
        <w:shd w:val="clear"/>
        <w:spacing w:line="360" w:lineRule="auto"/>
        <w:jc w:val="left"/>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备注：1.投标人若为生产商仅需填写“生产商基本情况表”并后附本企业法人</w:t>
      </w:r>
      <w:bookmarkStart w:id="98" w:name="OLE_LINK5"/>
      <w:r>
        <w:rPr>
          <w:rFonts w:hint="eastAsia" w:ascii="仿宋" w:hAnsi="仿宋" w:eastAsia="仿宋" w:cs="仿宋"/>
          <w:b/>
          <w:bCs w:val="0"/>
          <w:color w:val="auto"/>
          <w:sz w:val="24"/>
          <w:szCs w:val="24"/>
          <w:highlight w:val="none"/>
        </w:rPr>
        <w:t>营业执照</w:t>
      </w:r>
      <w:r>
        <w:rPr>
          <w:rFonts w:hint="eastAsia" w:ascii="仿宋" w:hAnsi="仿宋" w:eastAsia="仿宋" w:cs="仿宋"/>
          <w:b/>
          <w:bCs w:val="0"/>
          <w:color w:val="auto"/>
          <w:sz w:val="24"/>
          <w:szCs w:val="24"/>
          <w:highlight w:val="none"/>
          <w:lang w:val="en-US" w:eastAsia="zh-CN"/>
        </w:rPr>
        <w:t>等材料的扫描件</w:t>
      </w:r>
      <w:r>
        <w:rPr>
          <w:rFonts w:hint="eastAsia" w:ascii="仿宋" w:hAnsi="仿宋" w:eastAsia="仿宋" w:cs="仿宋"/>
          <w:b/>
          <w:bCs w:val="0"/>
          <w:color w:val="auto"/>
          <w:sz w:val="24"/>
          <w:szCs w:val="24"/>
          <w:highlight w:val="none"/>
        </w:rPr>
        <w:t>。</w:t>
      </w:r>
    </w:p>
    <w:bookmarkEnd w:id="98"/>
    <w:p w14:paraId="4303622B">
      <w:pPr>
        <w:shd w:val="clear"/>
        <w:spacing w:line="360" w:lineRule="auto"/>
        <w:jc w:val="left"/>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2.</w:t>
      </w:r>
      <w:r>
        <w:rPr>
          <w:rFonts w:hint="eastAsia" w:ascii="仿宋" w:hAnsi="仿宋" w:eastAsia="仿宋" w:cs="仿宋"/>
          <w:b/>
          <w:bCs w:val="0"/>
          <w:color w:val="auto"/>
          <w:sz w:val="24"/>
          <w:szCs w:val="24"/>
          <w:highlight w:val="none"/>
        </w:rPr>
        <w:t>投标人若为经销商需填写“投标人基本情况表”和“生产商基本情况表”并后附营业执照、</w:t>
      </w:r>
      <w:r>
        <w:rPr>
          <w:rFonts w:hint="eastAsia" w:ascii="仿宋" w:hAnsi="仿宋" w:eastAsia="仿宋" w:cs="仿宋"/>
          <w:b/>
          <w:bCs w:val="0"/>
          <w:color w:val="auto"/>
          <w:sz w:val="24"/>
          <w:szCs w:val="24"/>
          <w:highlight w:val="none"/>
          <w:lang w:val="en-US" w:eastAsia="zh-CN"/>
        </w:rPr>
        <w:t>生产商授权书</w:t>
      </w:r>
      <w:r>
        <w:rPr>
          <w:rFonts w:hint="eastAsia" w:ascii="仿宋" w:hAnsi="仿宋" w:eastAsia="仿宋" w:cs="仿宋"/>
          <w:b/>
          <w:bCs w:val="0"/>
          <w:color w:val="auto"/>
          <w:sz w:val="24"/>
          <w:szCs w:val="24"/>
          <w:highlight w:val="none"/>
        </w:rPr>
        <w:t>等材料的扫描件。</w:t>
      </w:r>
    </w:p>
    <w:p w14:paraId="78F829B5">
      <w:pPr>
        <w:shd w:val="clear"/>
        <w:snapToGrid w:val="0"/>
        <w:spacing w:line="360" w:lineRule="auto"/>
        <w:ind w:firstLine="240" w:firstLineChars="100"/>
        <w:rPr>
          <w:rFonts w:hint="eastAsia" w:ascii="仿宋" w:hAnsi="仿宋" w:eastAsia="仿宋" w:cs="仿宋"/>
          <w:color w:val="auto"/>
          <w:sz w:val="24"/>
          <w:szCs w:val="24"/>
          <w:highlight w:val="none"/>
          <w:lang w:val="en-US" w:eastAsia="zh-CN"/>
        </w:rPr>
      </w:pPr>
    </w:p>
    <w:p w14:paraId="6CAD9E7C">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D15C063">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2C071DB8">
      <w:pPr>
        <w:shd w:val="clea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br w:type="page"/>
      </w:r>
    </w:p>
    <w:p w14:paraId="068D96CC">
      <w:pPr>
        <w:pStyle w:val="30"/>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投标人（或生产商）2023年1月1日至今</w:t>
      </w:r>
    </w:p>
    <w:p w14:paraId="17DDA298">
      <w:pPr>
        <w:pStyle w:val="30"/>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承揽的类似项目业绩表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868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C21C61E">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5A5359F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371396C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45D480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2B98CF7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064EC8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28A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DA9382D">
            <w:pPr>
              <w:shd w:val="clear"/>
              <w:spacing w:line="360" w:lineRule="auto"/>
              <w:rPr>
                <w:rFonts w:hint="eastAsia" w:ascii="仿宋" w:hAnsi="仿宋" w:eastAsia="仿宋" w:cs="仿宋"/>
                <w:color w:val="auto"/>
                <w:sz w:val="28"/>
                <w:szCs w:val="28"/>
                <w:highlight w:val="none"/>
              </w:rPr>
            </w:pPr>
          </w:p>
        </w:tc>
        <w:tc>
          <w:tcPr>
            <w:tcW w:w="2115" w:type="dxa"/>
            <w:vAlign w:val="center"/>
          </w:tcPr>
          <w:p w14:paraId="61A6BD0C">
            <w:pPr>
              <w:shd w:val="clear"/>
              <w:spacing w:line="360" w:lineRule="auto"/>
              <w:rPr>
                <w:rFonts w:hint="eastAsia" w:ascii="仿宋" w:hAnsi="仿宋" w:eastAsia="仿宋" w:cs="仿宋"/>
                <w:color w:val="auto"/>
                <w:sz w:val="28"/>
                <w:szCs w:val="28"/>
                <w:highlight w:val="none"/>
              </w:rPr>
            </w:pPr>
          </w:p>
        </w:tc>
        <w:tc>
          <w:tcPr>
            <w:tcW w:w="2019" w:type="dxa"/>
            <w:vAlign w:val="center"/>
          </w:tcPr>
          <w:p w14:paraId="39844EC4">
            <w:pPr>
              <w:shd w:val="clear"/>
              <w:spacing w:line="360" w:lineRule="auto"/>
              <w:rPr>
                <w:rFonts w:hint="eastAsia" w:ascii="仿宋" w:hAnsi="仿宋" w:eastAsia="仿宋" w:cs="仿宋"/>
                <w:color w:val="auto"/>
                <w:sz w:val="28"/>
                <w:szCs w:val="28"/>
                <w:highlight w:val="none"/>
              </w:rPr>
            </w:pPr>
          </w:p>
        </w:tc>
        <w:tc>
          <w:tcPr>
            <w:tcW w:w="1169" w:type="dxa"/>
            <w:vAlign w:val="center"/>
          </w:tcPr>
          <w:p w14:paraId="4E3F8806">
            <w:pPr>
              <w:shd w:val="clear"/>
              <w:spacing w:line="360" w:lineRule="auto"/>
              <w:rPr>
                <w:rFonts w:hint="eastAsia" w:ascii="仿宋" w:hAnsi="仿宋" w:eastAsia="仿宋" w:cs="仿宋"/>
                <w:color w:val="auto"/>
                <w:sz w:val="28"/>
                <w:szCs w:val="28"/>
                <w:highlight w:val="none"/>
              </w:rPr>
            </w:pPr>
          </w:p>
        </w:tc>
        <w:tc>
          <w:tcPr>
            <w:tcW w:w="1426" w:type="dxa"/>
            <w:vAlign w:val="center"/>
          </w:tcPr>
          <w:p w14:paraId="0FFBB93E">
            <w:pPr>
              <w:shd w:val="clear"/>
              <w:spacing w:line="360" w:lineRule="auto"/>
              <w:rPr>
                <w:rFonts w:hint="eastAsia" w:ascii="仿宋" w:hAnsi="仿宋" w:eastAsia="仿宋" w:cs="仿宋"/>
                <w:color w:val="auto"/>
                <w:sz w:val="28"/>
                <w:szCs w:val="28"/>
                <w:highlight w:val="none"/>
              </w:rPr>
            </w:pPr>
          </w:p>
        </w:tc>
        <w:tc>
          <w:tcPr>
            <w:tcW w:w="1602" w:type="dxa"/>
            <w:vAlign w:val="center"/>
          </w:tcPr>
          <w:p w14:paraId="51E810E0">
            <w:pPr>
              <w:shd w:val="clear"/>
              <w:spacing w:line="360" w:lineRule="auto"/>
              <w:rPr>
                <w:rFonts w:hint="eastAsia" w:ascii="仿宋" w:hAnsi="仿宋" w:eastAsia="仿宋" w:cs="仿宋"/>
                <w:color w:val="auto"/>
                <w:sz w:val="28"/>
                <w:szCs w:val="28"/>
                <w:highlight w:val="none"/>
              </w:rPr>
            </w:pPr>
          </w:p>
        </w:tc>
      </w:tr>
      <w:tr w14:paraId="24E3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82AC8ED">
            <w:pPr>
              <w:shd w:val="clear"/>
              <w:spacing w:line="360" w:lineRule="auto"/>
              <w:rPr>
                <w:rFonts w:hint="eastAsia" w:ascii="仿宋" w:hAnsi="仿宋" w:eastAsia="仿宋" w:cs="仿宋"/>
                <w:color w:val="auto"/>
                <w:sz w:val="28"/>
                <w:szCs w:val="28"/>
                <w:highlight w:val="none"/>
              </w:rPr>
            </w:pPr>
          </w:p>
        </w:tc>
        <w:tc>
          <w:tcPr>
            <w:tcW w:w="2115" w:type="dxa"/>
            <w:vAlign w:val="center"/>
          </w:tcPr>
          <w:p w14:paraId="05A4B746">
            <w:pPr>
              <w:shd w:val="clear"/>
              <w:spacing w:line="360" w:lineRule="auto"/>
              <w:rPr>
                <w:rFonts w:hint="eastAsia" w:ascii="仿宋" w:hAnsi="仿宋" w:eastAsia="仿宋" w:cs="仿宋"/>
                <w:color w:val="auto"/>
                <w:sz w:val="28"/>
                <w:szCs w:val="28"/>
                <w:highlight w:val="none"/>
              </w:rPr>
            </w:pPr>
          </w:p>
        </w:tc>
        <w:tc>
          <w:tcPr>
            <w:tcW w:w="2019" w:type="dxa"/>
            <w:vAlign w:val="center"/>
          </w:tcPr>
          <w:p w14:paraId="07973551">
            <w:pPr>
              <w:shd w:val="clear"/>
              <w:spacing w:line="360" w:lineRule="auto"/>
              <w:rPr>
                <w:rFonts w:hint="eastAsia" w:ascii="仿宋" w:hAnsi="仿宋" w:eastAsia="仿宋" w:cs="仿宋"/>
                <w:color w:val="auto"/>
                <w:sz w:val="28"/>
                <w:szCs w:val="28"/>
                <w:highlight w:val="none"/>
              </w:rPr>
            </w:pPr>
          </w:p>
        </w:tc>
        <w:tc>
          <w:tcPr>
            <w:tcW w:w="1169" w:type="dxa"/>
            <w:vAlign w:val="center"/>
          </w:tcPr>
          <w:p w14:paraId="0A2B5F5E">
            <w:pPr>
              <w:shd w:val="clear"/>
              <w:spacing w:line="360" w:lineRule="auto"/>
              <w:rPr>
                <w:rFonts w:hint="eastAsia" w:ascii="仿宋" w:hAnsi="仿宋" w:eastAsia="仿宋" w:cs="仿宋"/>
                <w:color w:val="auto"/>
                <w:sz w:val="28"/>
                <w:szCs w:val="28"/>
                <w:highlight w:val="none"/>
              </w:rPr>
            </w:pPr>
          </w:p>
        </w:tc>
        <w:tc>
          <w:tcPr>
            <w:tcW w:w="1426" w:type="dxa"/>
            <w:vAlign w:val="center"/>
          </w:tcPr>
          <w:p w14:paraId="012B8128">
            <w:pPr>
              <w:shd w:val="clear"/>
              <w:spacing w:line="360" w:lineRule="auto"/>
              <w:rPr>
                <w:rFonts w:hint="eastAsia" w:ascii="仿宋" w:hAnsi="仿宋" w:eastAsia="仿宋" w:cs="仿宋"/>
                <w:color w:val="auto"/>
                <w:sz w:val="28"/>
                <w:szCs w:val="28"/>
                <w:highlight w:val="none"/>
              </w:rPr>
            </w:pPr>
          </w:p>
        </w:tc>
        <w:tc>
          <w:tcPr>
            <w:tcW w:w="1602" w:type="dxa"/>
            <w:vAlign w:val="center"/>
          </w:tcPr>
          <w:p w14:paraId="3E433D06">
            <w:pPr>
              <w:shd w:val="clear"/>
              <w:spacing w:line="360" w:lineRule="auto"/>
              <w:rPr>
                <w:rFonts w:hint="eastAsia" w:ascii="仿宋" w:hAnsi="仿宋" w:eastAsia="仿宋" w:cs="仿宋"/>
                <w:color w:val="auto"/>
                <w:sz w:val="28"/>
                <w:szCs w:val="28"/>
                <w:highlight w:val="none"/>
              </w:rPr>
            </w:pPr>
          </w:p>
        </w:tc>
      </w:tr>
      <w:tr w14:paraId="56F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B40CE02">
            <w:pPr>
              <w:shd w:val="clear"/>
              <w:spacing w:line="360" w:lineRule="auto"/>
              <w:rPr>
                <w:rFonts w:hint="eastAsia" w:ascii="仿宋" w:hAnsi="仿宋" w:eastAsia="仿宋" w:cs="仿宋"/>
                <w:color w:val="auto"/>
                <w:sz w:val="28"/>
                <w:szCs w:val="28"/>
                <w:highlight w:val="none"/>
              </w:rPr>
            </w:pPr>
          </w:p>
        </w:tc>
        <w:tc>
          <w:tcPr>
            <w:tcW w:w="2115" w:type="dxa"/>
            <w:vAlign w:val="center"/>
          </w:tcPr>
          <w:p w14:paraId="7ED738F5">
            <w:pPr>
              <w:shd w:val="clear"/>
              <w:spacing w:line="360" w:lineRule="auto"/>
              <w:rPr>
                <w:rFonts w:hint="eastAsia" w:ascii="仿宋" w:hAnsi="仿宋" w:eastAsia="仿宋" w:cs="仿宋"/>
                <w:color w:val="auto"/>
                <w:sz w:val="28"/>
                <w:szCs w:val="28"/>
                <w:highlight w:val="none"/>
              </w:rPr>
            </w:pPr>
          </w:p>
        </w:tc>
        <w:tc>
          <w:tcPr>
            <w:tcW w:w="2019" w:type="dxa"/>
            <w:vAlign w:val="center"/>
          </w:tcPr>
          <w:p w14:paraId="0EC6AEA5">
            <w:pPr>
              <w:shd w:val="clear"/>
              <w:spacing w:line="360" w:lineRule="auto"/>
              <w:rPr>
                <w:rFonts w:hint="eastAsia" w:ascii="仿宋" w:hAnsi="仿宋" w:eastAsia="仿宋" w:cs="仿宋"/>
                <w:color w:val="auto"/>
                <w:sz w:val="28"/>
                <w:szCs w:val="28"/>
                <w:highlight w:val="none"/>
              </w:rPr>
            </w:pPr>
          </w:p>
        </w:tc>
        <w:tc>
          <w:tcPr>
            <w:tcW w:w="1169" w:type="dxa"/>
            <w:vAlign w:val="center"/>
          </w:tcPr>
          <w:p w14:paraId="211D0DAB">
            <w:pPr>
              <w:shd w:val="clear"/>
              <w:spacing w:line="360" w:lineRule="auto"/>
              <w:rPr>
                <w:rFonts w:hint="eastAsia" w:ascii="仿宋" w:hAnsi="仿宋" w:eastAsia="仿宋" w:cs="仿宋"/>
                <w:color w:val="auto"/>
                <w:sz w:val="28"/>
                <w:szCs w:val="28"/>
                <w:highlight w:val="none"/>
              </w:rPr>
            </w:pPr>
          </w:p>
        </w:tc>
        <w:tc>
          <w:tcPr>
            <w:tcW w:w="1426" w:type="dxa"/>
            <w:vAlign w:val="center"/>
          </w:tcPr>
          <w:p w14:paraId="2416AAB7">
            <w:pPr>
              <w:shd w:val="clear"/>
              <w:spacing w:line="360" w:lineRule="auto"/>
              <w:rPr>
                <w:rFonts w:hint="eastAsia" w:ascii="仿宋" w:hAnsi="仿宋" w:eastAsia="仿宋" w:cs="仿宋"/>
                <w:color w:val="auto"/>
                <w:sz w:val="28"/>
                <w:szCs w:val="28"/>
                <w:highlight w:val="none"/>
              </w:rPr>
            </w:pPr>
          </w:p>
        </w:tc>
        <w:tc>
          <w:tcPr>
            <w:tcW w:w="1602" w:type="dxa"/>
            <w:vAlign w:val="center"/>
          </w:tcPr>
          <w:p w14:paraId="7979DFAA">
            <w:pPr>
              <w:shd w:val="clear"/>
              <w:spacing w:line="360" w:lineRule="auto"/>
              <w:rPr>
                <w:rFonts w:hint="eastAsia" w:ascii="仿宋" w:hAnsi="仿宋" w:eastAsia="仿宋" w:cs="仿宋"/>
                <w:color w:val="auto"/>
                <w:sz w:val="28"/>
                <w:szCs w:val="28"/>
                <w:highlight w:val="none"/>
              </w:rPr>
            </w:pPr>
          </w:p>
        </w:tc>
      </w:tr>
      <w:tr w14:paraId="7182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7685D1B">
            <w:pPr>
              <w:shd w:val="clear"/>
              <w:spacing w:line="360" w:lineRule="auto"/>
              <w:rPr>
                <w:rFonts w:hint="eastAsia" w:ascii="仿宋" w:hAnsi="仿宋" w:eastAsia="仿宋" w:cs="仿宋"/>
                <w:color w:val="auto"/>
                <w:sz w:val="28"/>
                <w:szCs w:val="28"/>
                <w:highlight w:val="none"/>
              </w:rPr>
            </w:pPr>
          </w:p>
        </w:tc>
        <w:tc>
          <w:tcPr>
            <w:tcW w:w="2115" w:type="dxa"/>
            <w:vAlign w:val="center"/>
          </w:tcPr>
          <w:p w14:paraId="4E1A33F1">
            <w:pPr>
              <w:shd w:val="clear"/>
              <w:spacing w:line="360" w:lineRule="auto"/>
              <w:rPr>
                <w:rFonts w:hint="eastAsia" w:ascii="仿宋" w:hAnsi="仿宋" w:eastAsia="仿宋" w:cs="仿宋"/>
                <w:color w:val="auto"/>
                <w:sz w:val="28"/>
                <w:szCs w:val="28"/>
                <w:highlight w:val="none"/>
              </w:rPr>
            </w:pPr>
          </w:p>
        </w:tc>
        <w:tc>
          <w:tcPr>
            <w:tcW w:w="2019" w:type="dxa"/>
            <w:vAlign w:val="center"/>
          </w:tcPr>
          <w:p w14:paraId="18F9DB5D">
            <w:pPr>
              <w:shd w:val="clear"/>
              <w:spacing w:line="360" w:lineRule="auto"/>
              <w:rPr>
                <w:rFonts w:hint="eastAsia" w:ascii="仿宋" w:hAnsi="仿宋" w:eastAsia="仿宋" w:cs="仿宋"/>
                <w:color w:val="auto"/>
                <w:sz w:val="28"/>
                <w:szCs w:val="28"/>
                <w:highlight w:val="none"/>
              </w:rPr>
            </w:pPr>
          </w:p>
        </w:tc>
        <w:tc>
          <w:tcPr>
            <w:tcW w:w="1169" w:type="dxa"/>
            <w:vAlign w:val="center"/>
          </w:tcPr>
          <w:p w14:paraId="5D4EA8F2">
            <w:pPr>
              <w:shd w:val="clear"/>
              <w:spacing w:line="360" w:lineRule="auto"/>
              <w:rPr>
                <w:rFonts w:hint="eastAsia" w:ascii="仿宋" w:hAnsi="仿宋" w:eastAsia="仿宋" w:cs="仿宋"/>
                <w:color w:val="auto"/>
                <w:sz w:val="28"/>
                <w:szCs w:val="28"/>
                <w:highlight w:val="none"/>
              </w:rPr>
            </w:pPr>
          </w:p>
        </w:tc>
        <w:tc>
          <w:tcPr>
            <w:tcW w:w="1426" w:type="dxa"/>
            <w:vAlign w:val="center"/>
          </w:tcPr>
          <w:p w14:paraId="4C3C9AE5">
            <w:pPr>
              <w:shd w:val="clear"/>
              <w:spacing w:line="360" w:lineRule="auto"/>
              <w:rPr>
                <w:rFonts w:hint="eastAsia" w:ascii="仿宋" w:hAnsi="仿宋" w:eastAsia="仿宋" w:cs="仿宋"/>
                <w:color w:val="auto"/>
                <w:sz w:val="28"/>
                <w:szCs w:val="28"/>
                <w:highlight w:val="none"/>
              </w:rPr>
            </w:pPr>
          </w:p>
        </w:tc>
        <w:tc>
          <w:tcPr>
            <w:tcW w:w="1602" w:type="dxa"/>
            <w:vAlign w:val="center"/>
          </w:tcPr>
          <w:p w14:paraId="749D4A4C">
            <w:pPr>
              <w:shd w:val="clear"/>
              <w:spacing w:line="360" w:lineRule="auto"/>
              <w:rPr>
                <w:rFonts w:hint="eastAsia" w:ascii="仿宋" w:hAnsi="仿宋" w:eastAsia="仿宋" w:cs="仿宋"/>
                <w:color w:val="auto"/>
                <w:sz w:val="28"/>
                <w:szCs w:val="28"/>
                <w:highlight w:val="none"/>
              </w:rPr>
            </w:pPr>
          </w:p>
        </w:tc>
      </w:tr>
      <w:tr w14:paraId="2A6D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FFDD963">
            <w:pPr>
              <w:shd w:val="clear"/>
              <w:spacing w:line="360" w:lineRule="auto"/>
              <w:rPr>
                <w:rFonts w:hint="eastAsia" w:ascii="仿宋" w:hAnsi="仿宋" w:eastAsia="仿宋" w:cs="仿宋"/>
                <w:color w:val="auto"/>
                <w:sz w:val="28"/>
                <w:szCs w:val="28"/>
                <w:highlight w:val="none"/>
              </w:rPr>
            </w:pPr>
          </w:p>
        </w:tc>
        <w:tc>
          <w:tcPr>
            <w:tcW w:w="2115" w:type="dxa"/>
            <w:vAlign w:val="center"/>
          </w:tcPr>
          <w:p w14:paraId="0DCE2A19">
            <w:pPr>
              <w:shd w:val="clear"/>
              <w:spacing w:line="360" w:lineRule="auto"/>
              <w:rPr>
                <w:rFonts w:hint="eastAsia" w:ascii="仿宋" w:hAnsi="仿宋" w:eastAsia="仿宋" w:cs="仿宋"/>
                <w:color w:val="auto"/>
                <w:sz w:val="28"/>
                <w:szCs w:val="28"/>
                <w:highlight w:val="none"/>
              </w:rPr>
            </w:pPr>
          </w:p>
        </w:tc>
        <w:tc>
          <w:tcPr>
            <w:tcW w:w="2019" w:type="dxa"/>
            <w:vAlign w:val="center"/>
          </w:tcPr>
          <w:p w14:paraId="3216E57C">
            <w:pPr>
              <w:shd w:val="clear"/>
              <w:spacing w:line="360" w:lineRule="auto"/>
              <w:rPr>
                <w:rFonts w:hint="eastAsia" w:ascii="仿宋" w:hAnsi="仿宋" w:eastAsia="仿宋" w:cs="仿宋"/>
                <w:color w:val="auto"/>
                <w:sz w:val="28"/>
                <w:szCs w:val="28"/>
                <w:highlight w:val="none"/>
              </w:rPr>
            </w:pPr>
          </w:p>
        </w:tc>
        <w:tc>
          <w:tcPr>
            <w:tcW w:w="1169" w:type="dxa"/>
            <w:vAlign w:val="center"/>
          </w:tcPr>
          <w:p w14:paraId="09732C34">
            <w:pPr>
              <w:shd w:val="clear"/>
              <w:spacing w:line="360" w:lineRule="auto"/>
              <w:rPr>
                <w:rFonts w:hint="eastAsia" w:ascii="仿宋" w:hAnsi="仿宋" w:eastAsia="仿宋" w:cs="仿宋"/>
                <w:color w:val="auto"/>
                <w:sz w:val="28"/>
                <w:szCs w:val="28"/>
                <w:highlight w:val="none"/>
              </w:rPr>
            </w:pPr>
          </w:p>
        </w:tc>
        <w:tc>
          <w:tcPr>
            <w:tcW w:w="1426" w:type="dxa"/>
            <w:vAlign w:val="center"/>
          </w:tcPr>
          <w:p w14:paraId="60332529">
            <w:pPr>
              <w:shd w:val="clear"/>
              <w:spacing w:line="360" w:lineRule="auto"/>
              <w:rPr>
                <w:rFonts w:hint="eastAsia" w:ascii="仿宋" w:hAnsi="仿宋" w:eastAsia="仿宋" w:cs="仿宋"/>
                <w:color w:val="auto"/>
                <w:sz w:val="28"/>
                <w:szCs w:val="28"/>
                <w:highlight w:val="none"/>
              </w:rPr>
            </w:pPr>
          </w:p>
        </w:tc>
        <w:tc>
          <w:tcPr>
            <w:tcW w:w="1602" w:type="dxa"/>
            <w:vAlign w:val="center"/>
          </w:tcPr>
          <w:p w14:paraId="4A34E065">
            <w:pPr>
              <w:shd w:val="clear"/>
              <w:spacing w:line="360" w:lineRule="auto"/>
              <w:rPr>
                <w:rFonts w:hint="eastAsia" w:ascii="仿宋" w:hAnsi="仿宋" w:eastAsia="仿宋" w:cs="仿宋"/>
                <w:color w:val="auto"/>
                <w:sz w:val="28"/>
                <w:szCs w:val="28"/>
                <w:highlight w:val="none"/>
              </w:rPr>
            </w:pPr>
          </w:p>
        </w:tc>
      </w:tr>
      <w:tr w14:paraId="37C7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D7EAE4B">
            <w:pPr>
              <w:shd w:val="clear"/>
              <w:spacing w:line="360" w:lineRule="auto"/>
              <w:rPr>
                <w:rFonts w:hint="eastAsia" w:ascii="仿宋" w:hAnsi="仿宋" w:eastAsia="仿宋" w:cs="仿宋"/>
                <w:color w:val="auto"/>
                <w:sz w:val="28"/>
                <w:szCs w:val="28"/>
                <w:highlight w:val="none"/>
              </w:rPr>
            </w:pPr>
          </w:p>
        </w:tc>
        <w:tc>
          <w:tcPr>
            <w:tcW w:w="2115" w:type="dxa"/>
            <w:vAlign w:val="center"/>
          </w:tcPr>
          <w:p w14:paraId="60C8ABBB">
            <w:pPr>
              <w:shd w:val="clear"/>
              <w:spacing w:line="360" w:lineRule="auto"/>
              <w:rPr>
                <w:rFonts w:hint="eastAsia" w:ascii="仿宋" w:hAnsi="仿宋" w:eastAsia="仿宋" w:cs="仿宋"/>
                <w:color w:val="auto"/>
                <w:sz w:val="28"/>
                <w:szCs w:val="28"/>
                <w:highlight w:val="none"/>
              </w:rPr>
            </w:pPr>
          </w:p>
        </w:tc>
        <w:tc>
          <w:tcPr>
            <w:tcW w:w="2019" w:type="dxa"/>
            <w:vAlign w:val="center"/>
          </w:tcPr>
          <w:p w14:paraId="7071ADEA">
            <w:pPr>
              <w:shd w:val="clear"/>
              <w:spacing w:line="360" w:lineRule="auto"/>
              <w:rPr>
                <w:rFonts w:hint="eastAsia" w:ascii="仿宋" w:hAnsi="仿宋" w:eastAsia="仿宋" w:cs="仿宋"/>
                <w:color w:val="auto"/>
                <w:sz w:val="28"/>
                <w:szCs w:val="28"/>
                <w:highlight w:val="none"/>
              </w:rPr>
            </w:pPr>
          </w:p>
        </w:tc>
        <w:tc>
          <w:tcPr>
            <w:tcW w:w="1169" w:type="dxa"/>
            <w:vAlign w:val="center"/>
          </w:tcPr>
          <w:p w14:paraId="08BEA9C1">
            <w:pPr>
              <w:shd w:val="clear"/>
              <w:spacing w:line="360" w:lineRule="auto"/>
              <w:rPr>
                <w:rFonts w:hint="eastAsia" w:ascii="仿宋" w:hAnsi="仿宋" w:eastAsia="仿宋" w:cs="仿宋"/>
                <w:color w:val="auto"/>
                <w:sz w:val="28"/>
                <w:szCs w:val="28"/>
                <w:highlight w:val="none"/>
              </w:rPr>
            </w:pPr>
          </w:p>
        </w:tc>
        <w:tc>
          <w:tcPr>
            <w:tcW w:w="1426" w:type="dxa"/>
            <w:vAlign w:val="center"/>
          </w:tcPr>
          <w:p w14:paraId="13A03E6B">
            <w:pPr>
              <w:shd w:val="clear"/>
              <w:spacing w:line="360" w:lineRule="auto"/>
              <w:rPr>
                <w:rFonts w:hint="eastAsia" w:ascii="仿宋" w:hAnsi="仿宋" w:eastAsia="仿宋" w:cs="仿宋"/>
                <w:color w:val="auto"/>
                <w:sz w:val="28"/>
                <w:szCs w:val="28"/>
                <w:highlight w:val="none"/>
              </w:rPr>
            </w:pPr>
          </w:p>
        </w:tc>
        <w:tc>
          <w:tcPr>
            <w:tcW w:w="1602" w:type="dxa"/>
            <w:vAlign w:val="center"/>
          </w:tcPr>
          <w:p w14:paraId="240C20C0">
            <w:pPr>
              <w:shd w:val="clear"/>
              <w:spacing w:line="360" w:lineRule="auto"/>
              <w:rPr>
                <w:rFonts w:hint="eastAsia" w:ascii="仿宋" w:hAnsi="仿宋" w:eastAsia="仿宋" w:cs="仿宋"/>
                <w:color w:val="auto"/>
                <w:sz w:val="28"/>
                <w:szCs w:val="28"/>
                <w:highlight w:val="none"/>
              </w:rPr>
            </w:pPr>
          </w:p>
        </w:tc>
      </w:tr>
      <w:tr w14:paraId="59F5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801CD6">
            <w:pPr>
              <w:shd w:val="clear"/>
              <w:spacing w:line="360" w:lineRule="auto"/>
              <w:rPr>
                <w:rFonts w:hint="eastAsia" w:ascii="仿宋" w:hAnsi="仿宋" w:eastAsia="仿宋" w:cs="仿宋"/>
                <w:color w:val="auto"/>
                <w:sz w:val="28"/>
                <w:szCs w:val="28"/>
                <w:highlight w:val="none"/>
              </w:rPr>
            </w:pPr>
          </w:p>
        </w:tc>
        <w:tc>
          <w:tcPr>
            <w:tcW w:w="2115" w:type="dxa"/>
            <w:vAlign w:val="center"/>
          </w:tcPr>
          <w:p w14:paraId="48FA9DBE">
            <w:pPr>
              <w:shd w:val="clear"/>
              <w:spacing w:line="360" w:lineRule="auto"/>
              <w:rPr>
                <w:rFonts w:hint="eastAsia" w:ascii="仿宋" w:hAnsi="仿宋" w:eastAsia="仿宋" w:cs="仿宋"/>
                <w:color w:val="auto"/>
                <w:sz w:val="28"/>
                <w:szCs w:val="28"/>
                <w:highlight w:val="none"/>
              </w:rPr>
            </w:pPr>
          </w:p>
        </w:tc>
        <w:tc>
          <w:tcPr>
            <w:tcW w:w="2019" w:type="dxa"/>
            <w:vAlign w:val="center"/>
          </w:tcPr>
          <w:p w14:paraId="6E7F8C56">
            <w:pPr>
              <w:shd w:val="clear"/>
              <w:spacing w:line="360" w:lineRule="auto"/>
              <w:rPr>
                <w:rFonts w:hint="eastAsia" w:ascii="仿宋" w:hAnsi="仿宋" w:eastAsia="仿宋" w:cs="仿宋"/>
                <w:color w:val="auto"/>
                <w:sz w:val="28"/>
                <w:szCs w:val="28"/>
                <w:highlight w:val="none"/>
              </w:rPr>
            </w:pPr>
          </w:p>
        </w:tc>
        <w:tc>
          <w:tcPr>
            <w:tcW w:w="1169" w:type="dxa"/>
            <w:vAlign w:val="center"/>
          </w:tcPr>
          <w:p w14:paraId="466E2FD4">
            <w:pPr>
              <w:shd w:val="clear"/>
              <w:spacing w:line="360" w:lineRule="auto"/>
              <w:rPr>
                <w:rFonts w:hint="eastAsia" w:ascii="仿宋" w:hAnsi="仿宋" w:eastAsia="仿宋" w:cs="仿宋"/>
                <w:color w:val="auto"/>
                <w:sz w:val="28"/>
                <w:szCs w:val="28"/>
                <w:highlight w:val="none"/>
              </w:rPr>
            </w:pPr>
          </w:p>
        </w:tc>
        <w:tc>
          <w:tcPr>
            <w:tcW w:w="1426" w:type="dxa"/>
            <w:vAlign w:val="center"/>
          </w:tcPr>
          <w:p w14:paraId="1823A1C6">
            <w:pPr>
              <w:shd w:val="clear"/>
              <w:spacing w:line="360" w:lineRule="auto"/>
              <w:rPr>
                <w:rFonts w:hint="eastAsia" w:ascii="仿宋" w:hAnsi="仿宋" w:eastAsia="仿宋" w:cs="仿宋"/>
                <w:color w:val="auto"/>
                <w:sz w:val="28"/>
                <w:szCs w:val="28"/>
                <w:highlight w:val="none"/>
              </w:rPr>
            </w:pPr>
          </w:p>
        </w:tc>
        <w:tc>
          <w:tcPr>
            <w:tcW w:w="1602" w:type="dxa"/>
            <w:vAlign w:val="center"/>
          </w:tcPr>
          <w:p w14:paraId="2DBEB78C">
            <w:pPr>
              <w:shd w:val="clear"/>
              <w:spacing w:line="360" w:lineRule="auto"/>
              <w:rPr>
                <w:rFonts w:hint="eastAsia" w:ascii="仿宋" w:hAnsi="仿宋" w:eastAsia="仿宋" w:cs="仿宋"/>
                <w:color w:val="auto"/>
                <w:sz w:val="28"/>
                <w:szCs w:val="28"/>
                <w:highlight w:val="none"/>
              </w:rPr>
            </w:pPr>
          </w:p>
        </w:tc>
      </w:tr>
      <w:tr w14:paraId="6D4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A92E060">
            <w:pPr>
              <w:shd w:val="clear"/>
              <w:spacing w:line="360" w:lineRule="auto"/>
              <w:rPr>
                <w:rFonts w:hint="eastAsia" w:ascii="仿宋" w:hAnsi="仿宋" w:eastAsia="仿宋" w:cs="仿宋"/>
                <w:color w:val="auto"/>
                <w:sz w:val="28"/>
                <w:szCs w:val="28"/>
                <w:highlight w:val="none"/>
              </w:rPr>
            </w:pPr>
          </w:p>
        </w:tc>
        <w:tc>
          <w:tcPr>
            <w:tcW w:w="2115" w:type="dxa"/>
            <w:vAlign w:val="center"/>
          </w:tcPr>
          <w:p w14:paraId="21D86461">
            <w:pPr>
              <w:shd w:val="clear"/>
              <w:spacing w:line="360" w:lineRule="auto"/>
              <w:rPr>
                <w:rFonts w:hint="eastAsia" w:ascii="仿宋" w:hAnsi="仿宋" w:eastAsia="仿宋" w:cs="仿宋"/>
                <w:color w:val="auto"/>
                <w:sz w:val="28"/>
                <w:szCs w:val="28"/>
                <w:highlight w:val="none"/>
              </w:rPr>
            </w:pPr>
          </w:p>
        </w:tc>
        <w:tc>
          <w:tcPr>
            <w:tcW w:w="2019" w:type="dxa"/>
            <w:vAlign w:val="center"/>
          </w:tcPr>
          <w:p w14:paraId="1F937635">
            <w:pPr>
              <w:shd w:val="clear"/>
              <w:spacing w:line="360" w:lineRule="auto"/>
              <w:rPr>
                <w:rFonts w:hint="eastAsia" w:ascii="仿宋" w:hAnsi="仿宋" w:eastAsia="仿宋" w:cs="仿宋"/>
                <w:color w:val="auto"/>
                <w:sz w:val="28"/>
                <w:szCs w:val="28"/>
                <w:highlight w:val="none"/>
              </w:rPr>
            </w:pPr>
          </w:p>
        </w:tc>
        <w:tc>
          <w:tcPr>
            <w:tcW w:w="1169" w:type="dxa"/>
            <w:vAlign w:val="center"/>
          </w:tcPr>
          <w:p w14:paraId="12775ABF">
            <w:pPr>
              <w:shd w:val="clear"/>
              <w:spacing w:line="360" w:lineRule="auto"/>
              <w:rPr>
                <w:rFonts w:hint="eastAsia" w:ascii="仿宋" w:hAnsi="仿宋" w:eastAsia="仿宋" w:cs="仿宋"/>
                <w:color w:val="auto"/>
                <w:sz w:val="28"/>
                <w:szCs w:val="28"/>
                <w:highlight w:val="none"/>
              </w:rPr>
            </w:pPr>
          </w:p>
        </w:tc>
        <w:tc>
          <w:tcPr>
            <w:tcW w:w="1426" w:type="dxa"/>
            <w:vAlign w:val="center"/>
          </w:tcPr>
          <w:p w14:paraId="1F6A8429">
            <w:pPr>
              <w:shd w:val="clear"/>
              <w:spacing w:line="360" w:lineRule="auto"/>
              <w:rPr>
                <w:rFonts w:hint="eastAsia" w:ascii="仿宋" w:hAnsi="仿宋" w:eastAsia="仿宋" w:cs="仿宋"/>
                <w:color w:val="auto"/>
                <w:sz w:val="28"/>
                <w:szCs w:val="28"/>
                <w:highlight w:val="none"/>
              </w:rPr>
            </w:pPr>
          </w:p>
        </w:tc>
        <w:tc>
          <w:tcPr>
            <w:tcW w:w="1602" w:type="dxa"/>
            <w:vAlign w:val="center"/>
          </w:tcPr>
          <w:p w14:paraId="71CF4059">
            <w:pPr>
              <w:shd w:val="clear"/>
              <w:spacing w:line="360" w:lineRule="auto"/>
              <w:rPr>
                <w:rFonts w:hint="eastAsia" w:ascii="仿宋" w:hAnsi="仿宋" w:eastAsia="仿宋" w:cs="仿宋"/>
                <w:color w:val="auto"/>
                <w:sz w:val="28"/>
                <w:szCs w:val="28"/>
                <w:highlight w:val="none"/>
              </w:rPr>
            </w:pPr>
          </w:p>
        </w:tc>
      </w:tr>
    </w:tbl>
    <w:p w14:paraId="662C69C6">
      <w:pPr>
        <w:shd w:val="clear"/>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评标办法要求的</w:t>
      </w:r>
      <w:r>
        <w:rPr>
          <w:rFonts w:hint="eastAsia" w:ascii="仿宋" w:hAnsi="仿宋" w:eastAsia="仿宋" w:cs="仿宋"/>
          <w:bCs/>
          <w:color w:val="auto"/>
          <w:sz w:val="28"/>
          <w:szCs w:val="28"/>
          <w:highlight w:val="none"/>
        </w:rPr>
        <w:t>证明材料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否则不得分</w:t>
      </w:r>
      <w:r>
        <w:rPr>
          <w:rFonts w:hint="eastAsia" w:ascii="仿宋" w:hAnsi="仿宋" w:eastAsia="仿宋" w:cs="仿宋"/>
          <w:bCs/>
          <w:color w:val="auto"/>
          <w:sz w:val="28"/>
          <w:szCs w:val="28"/>
          <w:highlight w:val="none"/>
        </w:rPr>
        <w:t>。</w:t>
      </w:r>
    </w:p>
    <w:p w14:paraId="3731E675">
      <w:pPr>
        <w:shd w:val="clear"/>
        <w:spacing w:line="360" w:lineRule="auto"/>
        <w:rPr>
          <w:rFonts w:hint="eastAsia" w:ascii="仿宋" w:hAnsi="仿宋" w:eastAsia="仿宋" w:cs="仿宋"/>
          <w:color w:val="auto"/>
          <w:sz w:val="24"/>
          <w:highlight w:val="none"/>
        </w:rPr>
      </w:pPr>
    </w:p>
    <w:p w14:paraId="1A69C87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3BD97F9">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12D3B36">
      <w:pPr>
        <w:pStyle w:val="30"/>
        <w:shd w:val="clear"/>
        <w:spacing w:line="360" w:lineRule="auto"/>
        <w:jc w:val="center"/>
        <w:rPr>
          <w:rFonts w:hint="eastAsia" w:ascii="仿宋" w:hAnsi="仿宋" w:eastAsia="仿宋" w:cs="仿宋"/>
          <w:bCs/>
          <w:color w:val="auto"/>
          <w:sz w:val="44"/>
          <w:szCs w:val="32"/>
          <w:highlight w:val="none"/>
        </w:rPr>
      </w:pPr>
    </w:p>
    <w:p w14:paraId="7C938B7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0D06693A">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产品检测报告</w:t>
      </w:r>
    </w:p>
    <w:p w14:paraId="0890D694">
      <w:pPr>
        <w:shd w:val="clear"/>
        <w:jc w:val="center"/>
        <w:rPr>
          <w:rFonts w:hint="eastAsia" w:ascii="仿宋" w:hAnsi="仿宋" w:eastAsia="仿宋" w:cs="仿宋"/>
          <w:color w:val="auto"/>
          <w:spacing w:val="8"/>
          <w:kern w:val="0"/>
          <w:sz w:val="28"/>
          <w:szCs w:val="28"/>
          <w:highlight w:val="green"/>
          <w:lang w:val="en-US" w:eastAsia="zh-CN"/>
        </w:rPr>
      </w:pPr>
    </w:p>
    <w:p w14:paraId="3FB82473">
      <w:pPr>
        <w:shd w:val="clear"/>
        <w:jc w:val="center"/>
        <w:rPr>
          <w:rFonts w:hint="eastAsia" w:ascii="仿宋" w:hAnsi="仿宋" w:eastAsia="仿宋" w:cs="仿宋"/>
          <w:color w:val="auto"/>
          <w:spacing w:val="8"/>
          <w:kern w:val="0"/>
          <w:sz w:val="28"/>
          <w:szCs w:val="28"/>
          <w:highlight w:val="green"/>
          <w:lang w:val="en-US" w:eastAsia="zh-CN"/>
        </w:rPr>
      </w:pPr>
    </w:p>
    <w:p w14:paraId="76CEEC84">
      <w:pPr>
        <w:shd w:val="clear"/>
        <w:jc w:val="center"/>
        <w:rPr>
          <w:rFonts w:hint="eastAsia" w:ascii="仿宋" w:hAnsi="仿宋" w:eastAsia="仿宋" w:cs="仿宋"/>
          <w:color w:val="auto"/>
          <w:spacing w:val="8"/>
          <w:kern w:val="0"/>
          <w:sz w:val="28"/>
          <w:szCs w:val="28"/>
          <w:highlight w:val="green"/>
          <w:lang w:val="en-US" w:eastAsia="zh-CN"/>
        </w:rPr>
      </w:pPr>
    </w:p>
    <w:p w14:paraId="635C661B">
      <w:pPr>
        <w:shd w:val="clear"/>
        <w:jc w:val="center"/>
        <w:rPr>
          <w:rFonts w:hint="eastAsia" w:ascii="仿宋" w:hAnsi="仿宋" w:eastAsia="仿宋" w:cs="仿宋"/>
          <w:color w:val="auto"/>
          <w:spacing w:val="8"/>
          <w:kern w:val="0"/>
          <w:sz w:val="28"/>
          <w:szCs w:val="28"/>
          <w:highlight w:val="green"/>
          <w:lang w:val="en-US" w:eastAsia="zh-CN"/>
        </w:rPr>
      </w:pPr>
    </w:p>
    <w:p w14:paraId="7E47999E">
      <w:pPr>
        <w:shd w:val="clear"/>
        <w:jc w:val="center"/>
        <w:rPr>
          <w:rFonts w:hint="eastAsia" w:ascii="仿宋" w:hAnsi="仿宋" w:eastAsia="仿宋" w:cs="仿宋"/>
          <w:color w:val="auto"/>
          <w:spacing w:val="8"/>
          <w:kern w:val="0"/>
          <w:sz w:val="28"/>
          <w:szCs w:val="28"/>
          <w:highlight w:val="green"/>
          <w:lang w:val="en-US" w:eastAsia="zh-CN"/>
        </w:rPr>
      </w:pPr>
    </w:p>
    <w:p w14:paraId="52F167A4">
      <w:pPr>
        <w:shd w:val="clear"/>
        <w:jc w:val="center"/>
        <w:rPr>
          <w:rFonts w:hint="eastAsia" w:ascii="仿宋" w:hAnsi="仿宋" w:eastAsia="仿宋" w:cs="仿宋"/>
          <w:color w:val="auto"/>
          <w:spacing w:val="8"/>
          <w:kern w:val="0"/>
          <w:sz w:val="28"/>
          <w:szCs w:val="28"/>
          <w:highlight w:val="green"/>
          <w:lang w:val="en-US" w:eastAsia="zh-CN"/>
        </w:rPr>
      </w:pPr>
    </w:p>
    <w:p w14:paraId="267E4758">
      <w:pPr>
        <w:shd w:val="clear"/>
        <w:jc w:val="center"/>
        <w:rPr>
          <w:rFonts w:hint="eastAsia" w:ascii="仿宋" w:hAnsi="仿宋" w:eastAsia="仿宋" w:cs="仿宋"/>
          <w:color w:val="auto"/>
          <w:spacing w:val="8"/>
          <w:kern w:val="0"/>
          <w:sz w:val="28"/>
          <w:szCs w:val="28"/>
          <w:highlight w:val="green"/>
          <w:lang w:val="en-US" w:eastAsia="zh-CN"/>
        </w:rPr>
      </w:pPr>
    </w:p>
    <w:p w14:paraId="1FEFF034">
      <w:pPr>
        <w:shd w:val="clear"/>
        <w:jc w:val="center"/>
        <w:rPr>
          <w:rFonts w:hint="eastAsia" w:ascii="仿宋" w:hAnsi="仿宋" w:eastAsia="仿宋" w:cs="仿宋"/>
          <w:color w:val="auto"/>
          <w:spacing w:val="8"/>
          <w:kern w:val="0"/>
          <w:sz w:val="28"/>
          <w:szCs w:val="28"/>
          <w:highlight w:val="green"/>
          <w:lang w:val="en-US" w:eastAsia="zh-CN"/>
        </w:rPr>
      </w:pPr>
    </w:p>
    <w:p w14:paraId="5F335933">
      <w:pPr>
        <w:shd w:val="clear"/>
        <w:jc w:val="center"/>
        <w:rPr>
          <w:rFonts w:hint="eastAsia" w:ascii="仿宋" w:hAnsi="仿宋" w:eastAsia="仿宋" w:cs="仿宋"/>
          <w:color w:val="auto"/>
          <w:spacing w:val="8"/>
          <w:kern w:val="0"/>
          <w:sz w:val="28"/>
          <w:szCs w:val="28"/>
          <w:highlight w:val="green"/>
          <w:lang w:val="en-US" w:eastAsia="zh-CN"/>
        </w:rPr>
      </w:pPr>
    </w:p>
    <w:p w14:paraId="736FEB32">
      <w:pPr>
        <w:shd w:val="clear"/>
        <w:jc w:val="center"/>
        <w:rPr>
          <w:rFonts w:hint="eastAsia" w:ascii="仿宋" w:hAnsi="仿宋" w:eastAsia="仿宋" w:cs="仿宋"/>
          <w:color w:val="auto"/>
          <w:spacing w:val="8"/>
          <w:kern w:val="0"/>
          <w:sz w:val="28"/>
          <w:szCs w:val="28"/>
          <w:highlight w:val="green"/>
          <w:lang w:val="en-US" w:eastAsia="zh-CN"/>
        </w:rPr>
      </w:pPr>
    </w:p>
    <w:p w14:paraId="4BACCE54">
      <w:pPr>
        <w:shd w:val="clear"/>
        <w:jc w:val="center"/>
        <w:rPr>
          <w:rFonts w:hint="eastAsia" w:ascii="仿宋" w:hAnsi="仿宋" w:eastAsia="仿宋" w:cs="仿宋"/>
          <w:color w:val="auto"/>
          <w:spacing w:val="8"/>
          <w:kern w:val="0"/>
          <w:sz w:val="28"/>
          <w:szCs w:val="28"/>
          <w:highlight w:val="green"/>
          <w:lang w:val="en-US" w:eastAsia="zh-CN"/>
        </w:rPr>
      </w:pPr>
    </w:p>
    <w:p w14:paraId="32617A42">
      <w:pPr>
        <w:shd w:val="clear"/>
        <w:jc w:val="center"/>
        <w:rPr>
          <w:rFonts w:hint="eastAsia" w:ascii="仿宋" w:hAnsi="仿宋" w:eastAsia="仿宋" w:cs="仿宋"/>
          <w:color w:val="auto"/>
          <w:spacing w:val="8"/>
          <w:kern w:val="0"/>
          <w:sz w:val="28"/>
          <w:szCs w:val="28"/>
          <w:highlight w:val="green"/>
          <w:lang w:val="en-US" w:eastAsia="zh-CN"/>
        </w:rPr>
      </w:pPr>
    </w:p>
    <w:p w14:paraId="21271084">
      <w:pPr>
        <w:shd w:val="clear"/>
        <w:jc w:val="center"/>
        <w:rPr>
          <w:rFonts w:hint="eastAsia" w:ascii="仿宋" w:hAnsi="仿宋" w:eastAsia="仿宋" w:cs="仿宋"/>
          <w:color w:val="auto"/>
          <w:spacing w:val="8"/>
          <w:kern w:val="0"/>
          <w:sz w:val="28"/>
          <w:szCs w:val="28"/>
          <w:highlight w:val="green"/>
          <w:lang w:val="en-US" w:eastAsia="zh-CN"/>
        </w:rPr>
      </w:pPr>
    </w:p>
    <w:p w14:paraId="600237FE">
      <w:pPr>
        <w:shd w:val="clear"/>
        <w:jc w:val="center"/>
        <w:rPr>
          <w:rFonts w:hint="eastAsia" w:ascii="仿宋" w:hAnsi="仿宋" w:eastAsia="仿宋" w:cs="仿宋"/>
          <w:color w:val="auto"/>
          <w:spacing w:val="8"/>
          <w:kern w:val="0"/>
          <w:sz w:val="28"/>
          <w:szCs w:val="28"/>
          <w:highlight w:val="green"/>
          <w:lang w:val="en-US" w:eastAsia="zh-CN"/>
        </w:rPr>
      </w:pPr>
    </w:p>
    <w:p w14:paraId="0D16C3D3">
      <w:pPr>
        <w:shd w:val="clear"/>
        <w:jc w:val="center"/>
        <w:rPr>
          <w:rFonts w:hint="eastAsia" w:ascii="仿宋" w:hAnsi="仿宋" w:eastAsia="仿宋" w:cs="仿宋"/>
          <w:color w:val="auto"/>
          <w:spacing w:val="8"/>
          <w:kern w:val="0"/>
          <w:sz w:val="28"/>
          <w:szCs w:val="28"/>
          <w:highlight w:val="green"/>
          <w:lang w:val="en-US" w:eastAsia="zh-CN"/>
        </w:rPr>
      </w:pPr>
    </w:p>
    <w:p w14:paraId="141EF575">
      <w:pPr>
        <w:shd w:val="clear"/>
        <w:jc w:val="center"/>
        <w:rPr>
          <w:rFonts w:hint="eastAsia" w:ascii="仿宋" w:hAnsi="仿宋" w:eastAsia="仿宋" w:cs="仿宋"/>
          <w:color w:val="auto"/>
          <w:spacing w:val="8"/>
          <w:kern w:val="0"/>
          <w:sz w:val="28"/>
          <w:szCs w:val="28"/>
          <w:highlight w:val="green"/>
          <w:lang w:val="en-US" w:eastAsia="zh-CN"/>
        </w:rPr>
      </w:pPr>
    </w:p>
    <w:p w14:paraId="268CD98D">
      <w:pPr>
        <w:shd w:val="clear"/>
        <w:jc w:val="center"/>
        <w:rPr>
          <w:rFonts w:hint="eastAsia" w:ascii="仿宋" w:hAnsi="仿宋" w:eastAsia="仿宋" w:cs="仿宋"/>
          <w:color w:val="auto"/>
          <w:spacing w:val="8"/>
          <w:kern w:val="0"/>
          <w:sz w:val="28"/>
          <w:szCs w:val="28"/>
          <w:highlight w:val="green"/>
          <w:lang w:val="en-US" w:eastAsia="zh-CN"/>
        </w:rPr>
      </w:pPr>
    </w:p>
    <w:p w14:paraId="419B045D">
      <w:pPr>
        <w:shd w:val="clear"/>
        <w:jc w:val="center"/>
        <w:rPr>
          <w:rFonts w:hint="eastAsia" w:ascii="仿宋" w:hAnsi="仿宋" w:eastAsia="仿宋" w:cs="仿宋"/>
          <w:color w:val="auto"/>
          <w:spacing w:val="8"/>
          <w:kern w:val="0"/>
          <w:sz w:val="28"/>
          <w:szCs w:val="28"/>
          <w:highlight w:val="green"/>
          <w:lang w:val="en-US" w:eastAsia="zh-CN"/>
        </w:rPr>
      </w:pPr>
    </w:p>
    <w:p w14:paraId="0AB0105D">
      <w:pPr>
        <w:shd w:val="clear"/>
        <w:jc w:val="center"/>
        <w:rPr>
          <w:rFonts w:hint="eastAsia" w:ascii="仿宋" w:hAnsi="仿宋" w:eastAsia="仿宋" w:cs="仿宋"/>
          <w:color w:val="auto"/>
          <w:spacing w:val="8"/>
          <w:kern w:val="0"/>
          <w:sz w:val="28"/>
          <w:szCs w:val="28"/>
          <w:highlight w:val="green"/>
          <w:lang w:val="en-US" w:eastAsia="zh-CN"/>
        </w:rPr>
      </w:pPr>
    </w:p>
    <w:p w14:paraId="52C0AFA9">
      <w:pPr>
        <w:shd w:val="clear"/>
        <w:jc w:val="center"/>
        <w:rPr>
          <w:rFonts w:hint="eastAsia" w:ascii="仿宋" w:hAnsi="仿宋" w:eastAsia="仿宋" w:cs="仿宋"/>
          <w:color w:val="auto"/>
          <w:spacing w:val="8"/>
          <w:kern w:val="0"/>
          <w:sz w:val="28"/>
          <w:szCs w:val="28"/>
          <w:highlight w:val="green"/>
          <w:lang w:val="en-US" w:eastAsia="zh-CN"/>
        </w:rPr>
      </w:pPr>
    </w:p>
    <w:p w14:paraId="3BA447A7">
      <w:pPr>
        <w:shd w:val="clear"/>
        <w:jc w:val="center"/>
        <w:rPr>
          <w:rFonts w:hint="eastAsia" w:ascii="仿宋" w:hAnsi="仿宋" w:eastAsia="仿宋" w:cs="仿宋"/>
          <w:color w:val="auto"/>
          <w:spacing w:val="8"/>
          <w:kern w:val="0"/>
          <w:sz w:val="28"/>
          <w:szCs w:val="28"/>
          <w:highlight w:val="green"/>
          <w:lang w:val="en-US" w:eastAsia="zh-CN"/>
        </w:rPr>
      </w:pPr>
    </w:p>
    <w:p w14:paraId="1BCB0BF1">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97"/>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45111786">
      <w:pPr>
        <w:numPr>
          <w:ilvl w:val="0"/>
          <w:numId w:val="0"/>
        </w:num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1.</w:t>
      </w:r>
      <w:r>
        <w:rPr>
          <w:rFonts w:hint="eastAsia" w:ascii="仿宋" w:hAnsi="仿宋" w:eastAsia="仿宋" w:cs="仿宋"/>
          <w:color w:val="auto"/>
          <w:sz w:val="28"/>
          <w:szCs w:val="28"/>
          <w:highlight w:val="none"/>
        </w:rPr>
        <w:t>产品质量</w:t>
      </w:r>
    </w:p>
    <w:p w14:paraId="32D947CC">
      <w:pPr>
        <w:numPr>
          <w:ilvl w:val="0"/>
          <w:numId w:val="0"/>
        </w:numPr>
        <w:shd w:val="clear"/>
        <w:spacing w:line="360" w:lineRule="auto"/>
        <w:rPr>
          <w:rFonts w:hint="eastAsia" w:ascii="仿宋" w:hAnsi="仿宋" w:eastAsia="仿宋" w:cs="仿宋"/>
          <w:color w:val="auto"/>
          <w:sz w:val="28"/>
          <w:szCs w:val="28"/>
          <w:highlight w:val="none"/>
        </w:rPr>
      </w:pPr>
    </w:p>
    <w:p w14:paraId="7FE875C1">
      <w:pPr>
        <w:numPr>
          <w:ilvl w:val="0"/>
          <w:numId w:val="0"/>
        </w:num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2.</w:t>
      </w:r>
      <w:r>
        <w:rPr>
          <w:rFonts w:hint="eastAsia" w:ascii="仿宋" w:hAnsi="仿宋" w:eastAsia="仿宋" w:cs="仿宋"/>
          <w:color w:val="auto"/>
          <w:sz w:val="28"/>
          <w:szCs w:val="28"/>
          <w:highlight w:val="none"/>
        </w:rPr>
        <w:t>供货方案</w:t>
      </w: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083FF8A">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3.售后服务承诺</w:t>
      </w: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18"/>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99" w:name="_Toc66864056"/>
      <w:r>
        <w:rPr>
          <w:rFonts w:hint="eastAsia" w:ascii="仿宋" w:hAnsi="仿宋" w:eastAsia="仿宋" w:cs="仿宋"/>
          <w:color w:val="auto"/>
          <w:highlight w:val="none"/>
        </w:rPr>
        <w:br w:type="page"/>
      </w:r>
    </w:p>
    <w:p w14:paraId="5B1BA841">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100" w:name="_Toc10642"/>
      <w:r>
        <w:rPr>
          <w:rFonts w:hint="eastAsia" w:ascii="仿宋" w:hAnsi="仿宋" w:eastAsia="仿宋" w:cs="仿宋"/>
          <w:color w:val="auto"/>
          <w:highlight w:val="none"/>
        </w:rPr>
        <w:t>第六章  合同（范本）</w:t>
      </w:r>
      <w:bookmarkEnd w:id="99"/>
      <w:bookmarkEnd w:id="100"/>
    </w:p>
    <w:bookmarkEnd w:id="87"/>
    <w:p w14:paraId="2508B47C">
      <w:pPr>
        <w:pStyle w:val="51"/>
        <w:pageBreakBefore w:val="0"/>
        <w:kinsoku/>
        <w:wordWrap/>
        <w:overflowPunct/>
        <w:topLinePunct w:val="0"/>
        <w:autoSpaceDE/>
        <w:autoSpaceDN/>
        <w:bidi w:val="0"/>
        <w:adjustRightInd/>
        <w:snapToGrid/>
        <w:spacing w:before="0" w:beforeAutospacing="0" w:after="0" w:afterAutospacing="0" w:line="480" w:lineRule="exact"/>
        <w:ind w:left="10150" w:leftChars="1900" w:hanging="6160" w:hangingChars="2200"/>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w:t>
      </w:r>
    </w:p>
    <w:p w14:paraId="15C99EC9">
      <w:pPr>
        <w:pStyle w:val="51"/>
        <w:pageBreakBefore w:val="0"/>
        <w:kinsoku/>
        <w:wordWrap/>
        <w:overflowPunct/>
        <w:topLinePunct w:val="0"/>
        <w:autoSpaceDE/>
        <w:autoSpaceDN/>
        <w:bidi w:val="0"/>
        <w:adjustRightInd/>
        <w:snapToGrid/>
        <w:spacing w:before="0" w:beforeAutospacing="0" w:after="0" w:afterAutospacing="0" w:line="480" w:lineRule="exact"/>
        <w:ind w:left="10150" w:leftChars="1900" w:hanging="6160" w:hangingChars="2200"/>
        <w:jc w:val="center"/>
        <w:outlineLvl w:val="9"/>
        <w:rPr>
          <w:rFonts w:hint="eastAsia" w:ascii="仿宋" w:hAnsi="仿宋" w:eastAsia="仿宋" w:cs="仿宋"/>
          <w:b/>
          <w:bCs/>
          <w:color w:val="auto"/>
          <w:kern w:val="44"/>
          <w:sz w:val="28"/>
          <w:szCs w:val="28"/>
          <w:highlight w:val="none"/>
          <w:lang w:val="en-US" w:eastAsia="zh-CN"/>
        </w:rPr>
      </w:pPr>
      <w:r>
        <w:rPr>
          <w:rFonts w:hint="eastAsia" w:ascii="仿宋" w:hAnsi="仿宋" w:eastAsia="仿宋" w:cs="仿宋"/>
          <w:b w:val="0"/>
          <w:bCs w:val="0"/>
          <w:color w:val="auto"/>
          <w:kern w:val="44"/>
          <w:sz w:val="28"/>
          <w:szCs w:val="28"/>
          <w:highlight w:val="none"/>
          <w:lang w:val="en-US" w:eastAsia="zh-CN"/>
        </w:rPr>
        <w:t>招标编号：</w:t>
      </w:r>
    </w:p>
    <w:p w14:paraId="266FC842">
      <w:pPr>
        <w:pStyle w:val="51"/>
        <w:pageBreakBefore w:val="0"/>
        <w:kinsoku/>
        <w:wordWrap/>
        <w:overflowPunct/>
        <w:topLinePunct w:val="0"/>
        <w:autoSpaceDE/>
        <w:autoSpaceDN/>
        <w:bidi w:val="0"/>
        <w:adjustRightInd/>
        <w:snapToGrid/>
        <w:spacing w:before="0" w:beforeAutospacing="0" w:after="0" w:afterAutospacing="0" w:line="480" w:lineRule="exact"/>
        <w:jc w:val="both"/>
        <w:outlineLvl w:val="9"/>
        <w:rPr>
          <w:rFonts w:hint="eastAsia" w:ascii="宋体" w:hAnsi="宋体" w:eastAsia="宋体" w:cs="宋体"/>
          <w:b/>
          <w:bCs/>
          <w:kern w:val="44"/>
          <w:sz w:val="24"/>
          <w:szCs w:val="24"/>
          <w:highlight w:val="none"/>
        </w:rPr>
      </w:pPr>
    </w:p>
    <w:p w14:paraId="2208CFD0">
      <w:pPr>
        <w:pStyle w:val="51"/>
        <w:pageBreakBefore w:val="0"/>
        <w:kinsoku/>
        <w:wordWrap/>
        <w:overflowPunct/>
        <w:topLinePunct w:val="0"/>
        <w:autoSpaceDE/>
        <w:autoSpaceDN/>
        <w:bidi w:val="0"/>
        <w:adjustRightInd/>
        <w:snapToGrid/>
        <w:spacing w:before="0" w:beforeAutospacing="0" w:after="0" w:afterAutospacing="0" w:line="480" w:lineRule="exact"/>
        <w:jc w:val="center"/>
        <w:outlineLvl w:val="9"/>
        <w:rPr>
          <w:rStyle w:val="57"/>
          <w:rFonts w:hint="eastAsia" w:ascii="仿宋" w:hAnsi="仿宋" w:eastAsia="仿宋" w:cs="仿宋"/>
          <w:sz w:val="32"/>
          <w:szCs w:val="32"/>
          <w:highlight w:val="none"/>
        </w:rPr>
      </w:pPr>
      <w:r>
        <w:rPr>
          <w:rFonts w:hint="eastAsia" w:ascii="仿宋" w:hAnsi="仿宋" w:eastAsia="仿宋" w:cs="仿宋"/>
          <w:b/>
          <w:bCs/>
          <w:kern w:val="44"/>
          <w:sz w:val="32"/>
          <w:szCs w:val="32"/>
          <w:highlight w:val="none"/>
          <w:lang w:eastAsia="zh-CN"/>
        </w:rPr>
        <w:t>威海市水务集团有限公司选定塑料井年度供应商</w:t>
      </w:r>
      <w:r>
        <w:rPr>
          <w:rFonts w:hint="eastAsia" w:ascii="仿宋" w:hAnsi="仿宋" w:eastAsia="仿宋" w:cs="仿宋"/>
          <w:b/>
          <w:bCs/>
          <w:kern w:val="44"/>
          <w:sz w:val="32"/>
          <w:szCs w:val="32"/>
          <w:highlight w:val="none"/>
        </w:rPr>
        <w:t>合同</w:t>
      </w:r>
    </w:p>
    <w:p w14:paraId="4DB8C785">
      <w:pPr>
        <w:pStyle w:val="51"/>
        <w:pageBreakBefore w:val="0"/>
        <w:kinsoku/>
        <w:wordWrap/>
        <w:overflowPunct/>
        <w:topLinePunct w:val="0"/>
        <w:autoSpaceDE/>
        <w:autoSpaceDN/>
        <w:bidi w:val="0"/>
        <w:adjustRightInd/>
        <w:snapToGrid/>
        <w:spacing w:before="0" w:beforeAutospacing="0" w:after="0" w:afterAutospacing="0" w:line="480" w:lineRule="exact"/>
        <w:outlineLvl w:val="9"/>
        <w:rPr>
          <w:rStyle w:val="57"/>
          <w:rFonts w:hint="eastAsia" w:ascii="宋体" w:hAnsi="宋体" w:eastAsia="宋体" w:cs="宋体"/>
          <w:sz w:val="24"/>
          <w:szCs w:val="24"/>
          <w:highlight w:val="none"/>
        </w:rPr>
      </w:pPr>
    </w:p>
    <w:p w14:paraId="23CED7F1">
      <w:pPr>
        <w:pStyle w:val="51"/>
        <w:pageBreakBefore w:val="0"/>
        <w:kinsoku/>
        <w:wordWrap/>
        <w:overflowPunct/>
        <w:topLinePunct w:val="0"/>
        <w:autoSpaceDE/>
        <w:autoSpaceDN/>
        <w:bidi w:val="0"/>
        <w:adjustRightInd/>
        <w:snapToGrid/>
        <w:spacing w:before="0" w:beforeAutospacing="0" w:after="0" w:afterAutospacing="0" w:line="360" w:lineRule="auto"/>
        <w:ind w:firstLine="562" w:firstLineChars="200"/>
        <w:textAlignment w:val="auto"/>
        <w:outlineLvl w:val="9"/>
        <w:rPr>
          <w:rFonts w:hint="eastAsia" w:ascii="仿宋" w:hAnsi="仿宋" w:eastAsia="仿宋" w:cs="仿宋"/>
          <w:sz w:val="28"/>
          <w:szCs w:val="28"/>
          <w:highlight w:val="none"/>
        </w:rPr>
      </w:pPr>
      <w:r>
        <w:rPr>
          <w:rStyle w:val="57"/>
          <w:rFonts w:hint="eastAsia" w:ascii="仿宋" w:hAnsi="仿宋" w:eastAsia="仿宋" w:cs="仿宋"/>
          <w:sz w:val="28"/>
          <w:szCs w:val="28"/>
          <w:highlight w:val="none"/>
        </w:rPr>
        <w:t>甲方（买方）：</w:t>
      </w:r>
    </w:p>
    <w:p w14:paraId="0385E1C6">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2" w:firstLineChars="200"/>
        <w:textAlignment w:val="auto"/>
        <w:outlineLvl w:val="9"/>
        <w:rPr>
          <w:rStyle w:val="57"/>
          <w:rFonts w:hint="eastAsia" w:ascii="仿宋" w:hAnsi="仿宋" w:eastAsia="仿宋" w:cs="仿宋"/>
          <w:sz w:val="28"/>
          <w:szCs w:val="28"/>
          <w:highlight w:val="none"/>
        </w:rPr>
      </w:pPr>
      <w:r>
        <w:rPr>
          <w:rStyle w:val="57"/>
          <w:rFonts w:hint="eastAsia" w:ascii="仿宋" w:hAnsi="仿宋" w:eastAsia="仿宋" w:cs="仿宋"/>
          <w:sz w:val="28"/>
          <w:szCs w:val="28"/>
          <w:highlight w:val="none"/>
        </w:rPr>
        <w:t>乙方（卖方）：</w:t>
      </w:r>
    </w:p>
    <w:p w14:paraId="40D176D9">
      <w:pPr>
        <w:pageBreakBefore w:val="0"/>
        <w:widowControl/>
        <w:numPr>
          <w:ilvl w:val="0"/>
          <w:numId w:val="0"/>
        </w:numPr>
        <w:tabs>
          <w:tab w:val="left" w:pos="720"/>
        </w:tabs>
        <w:kinsoku/>
        <w:wordWrap/>
        <w:overflowPunct/>
        <w:topLinePunct w:val="0"/>
        <w:autoSpaceDE/>
        <w:autoSpaceDN/>
        <w:bidi w:val="0"/>
        <w:adjustRightInd/>
        <w:snapToGrid/>
        <w:spacing w:before="0" w:after="0" w:line="360" w:lineRule="auto"/>
        <w:ind w:leftChars="0" w:firstLine="560" w:firstLineChars="200"/>
        <w:textAlignment w:val="auto"/>
        <w:outlineLvl w:val="9"/>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甲乙双方根据《中华人民共和国民法典》等相关法律、法规和政策的规定，在平等互利、协商一致的基础上，约定甲方不定期向乙方购买本合同项下产品，签订本合同。</w:t>
      </w:r>
    </w:p>
    <w:p w14:paraId="2D04F957">
      <w:pPr>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720"/>
        </w:tabs>
        <w:kinsoku/>
        <w:wordWrap/>
        <w:overflowPunct/>
        <w:topLinePunct w:val="0"/>
        <w:autoSpaceDE/>
        <w:autoSpaceDN/>
        <w:bidi w:val="0"/>
        <w:adjustRightInd/>
        <w:snapToGrid/>
        <w:spacing w:before="0" w:after="0" w:line="360" w:lineRule="auto"/>
        <w:ind w:left="0" w:leftChars="0" w:firstLine="562" w:firstLineChars="200"/>
        <w:textAlignment w:val="auto"/>
        <w:outlineLvl w:val="9"/>
        <w:rPr>
          <w:rStyle w:val="57"/>
          <w:rFonts w:hint="eastAsia" w:ascii="仿宋" w:hAnsi="仿宋" w:eastAsia="仿宋" w:cs="仿宋"/>
          <w:b/>
          <w:bCs/>
          <w:sz w:val="28"/>
          <w:szCs w:val="28"/>
          <w:highlight w:val="none"/>
        </w:rPr>
      </w:pPr>
      <w:r>
        <w:rPr>
          <w:rFonts w:hint="eastAsia" w:ascii="仿宋" w:hAnsi="仿宋" w:eastAsia="仿宋" w:cs="仿宋"/>
          <w:b/>
          <w:bCs/>
          <w:kern w:val="2"/>
          <w:sz w:val="28"/>
          <w:szCs w:val="28"/>
          <w:lang w:val="en-US" w:eastAsia="zh-CN" w:bidi="ar-SA"/>
        </w:rPr>
        <w:t xml:space="preserve">第1条 </w:t>
      </w:r>
      <w:r>
        <w:rPr>
          <w:rStyle w:val="57"/>
          <w:rFonts w:hint="eastAsia" w:ascii="仿宋" w:hAnsi="仿宋" w:eastAsia="仿宋" w:cs="仿宋"/>
          <w:b/>
          <w:bCs/>
          <w:sz w:val="28"/>
          <w:szCs w:val="28"/>
          <w:highlight w:val="none"/>
        </w:rPr>
        <w:t>产品规格及价格</w:t>
      </w:r>
    </w:p>
    <w:tbl>
      <w:tblPr>
        <w:tblStyle w:val="55"/>
        <w:tblW w:w="9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620"/>
        <w:gridCol w:w="915"/>
        <w:gridCol w:w="765"/>
        <w:gridCol w:w="870"/>
        <w:gridCol w:w="1131"/>
        <w:gridCol w:w="1358"/>
        <w:gridCol w:w="675"/>
        <w:gridCol w:w="1451"/>
      </w:tblGrid>
      <w:tr w14:paraId="5FAA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66" w:type="dxa"/>
            <w:noWrap w:val="0"/>
            <w:vAlign w:val="center"/>
          </w:tcPr>
          <w:p w14:paraId="270C1833">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序号</w:t>
            </w:r>
          </w:p>
        </w:tc>
        <w:tc>
          <w:tcPr>
            <w:tcW w:w="1620" w:type="dxa"/>
            <w:noWrap w:val="0"/>
            <w:vAlign w:val="center"/>
          </w:tcPr>
          <w:p w14:paraId="447FD0ED">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产品名称</w:t>
            </w:r>
          </w:p>
        </w:tc>
        <w:tc>
          <w:tcPr>
            <w:tcW w:w="915" w:type="dxa"/>
            <w:noWrap w:val="0"/>
            <w:vAlign w:val="center"/>
          </w:tcPr>
          <w:p w14:paraId="0BF5FDE6">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规格</w:t>
            </w:r>
          </w:p>
          <w:p w14:paraId="7CD597C1">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型号</w:t>
            </w:r>
          </w:p>
        </w:tc>
        <w:tc>
          <w:tcPr>
            <w:tcW w:w="765" w:type="dxa"/>
            <w:noWrap w:val="0"/>
            <w:vAlign w:val="center"/>
          </w:tcPr>
          <w:p w14:paraId="04C03088">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单位</w:t>
            </w:r>
          </w:p>
        </w:tc>
        <w:tc>
          <w:tcPr>
            <w:tcW w:w="870" w:type="dxa"/>
            <w:noWrap w:val="0"/>
            <w:vAlign w:val="center"/>
          </w:tcPr>
          <w:p w14:paraId="72A53981">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暂定</w:t>
            </w:r>
          </w:p>
          <w:p w14:paraId="51537C7D">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数量</w:t>
            </w:r>
          </w:p>
        </w:tc>
        <w:tc>
          <w:tcPr>
            <w:tcW w:w="1131" w:type="dxa"/>
            <w:noWrap w:val="0"/>
            <w:vAlign w:val="center"/>
          </w:tcPr>
          <w:p w14:paraId="145E5053">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含税单价</w:t>
            </w:r>
          </w:p>
          <w:p w14:paraId="42221F6C">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（元）</w:t>
            </w:r>
          </w:p>
        </w:tc>
        <w:tc>
          <w:tcPr>
            <w:tcW w:w="1358" w:type="dxa"/>
            <w:noWrap w:val="0"/>
            <w:vAlign w:val="center"/>
          </w:tcPr>
          <w:p w14:paraId="2E16AF36">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en-US" w:eastAsia="zh-CN"/>
              </w:rPr>
              <w:t>暂定</w:t>
            </w:r>
            <w:r>
              <w:rPr>
                <w:rFonts w:hint="eastAsia" w:ascii="仿宋" w:hAnsi="仿宋" w:eastAsia="仿宋" w:cs="仿宋"/>
                <w:kern w:val="0"/>
                <w:sz w:val="28"/>
                <w:szCs w:val="28"/>
                <w:highlight w:val="none"/>
              </w:rPr>
              <w:t>含税</w:t>
            </w:r>
            <w:r>
              <w:rPr>
                <w:rFonts w:hint="eastAsia" w:ascii="仿宋" w:hAnsi="仿宋" w:eastAsia="仿宋" w:cs="仿宋"/>
                <w:kern w:val="0"/>
                <w:sz w:val="28"/>
                <w:szCs w:val="28"/>
                <w:highlight w:val="none"/>
                <w:lang w:val="en-US" w:eastAsia="zh-CN"/>
              </w:rPr>
              <w:t>合</w:t>
            </w:r>
            <w:r>
              <w:rPr>
                <w:rFonts w:hint="eastAsia" w:ascii="仿宋" w:hAnsi="仿宋" w:eastAsia="仿宋" w:cs="仿宋"/>
                <w:kern w:val="0"/>
                <w:sz w:val="28"/>
                <w:szCs w:val="28"/>
                <w:highlight w:val="none"/>
              </w:rPr>
              <w:t>价（元）</w:t>
            </w:r>
          </w:p>
        </w:tc>
        <w:tc>
          <w:tcPr>
            <w:tcW w:w="675" w:type="dxa"/>
            <w:noWrap w:val="0"/>
            <w:vAlign w:val="center"/>
          </w:tcPr>
          <w:p w14:paraId="6761931E">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品牌</w:t>
            </w:r>
          </w:p>
        </w:tc>
        <w:tc>
          <w:tcPr>
            <w:tcW w:w="1451" w:type="dxa"/>
            <w:noWrap w:val="0"/>
            <w:vAlign w:val="center"/>
          </w:tcPr>
          <w:p w14:paraId="06771CE8">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生产厂家</w:t>
            </w:r>
          </w:p>
        </w:tc>
      </w:tr>
      <w:tr w14:paraId="7850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76F7826A">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1</w:t>
            </w:r>
          </w:p>
        </w:tc>
        <w:tc>
          <w:tcPr>
            <w:tcW w:w="1620" w:type="dxa"/>
            <w:noWrap w:val="0"/>
            <w:vAlign w:val="center"/>
          </w:tcPr>
          <w:p w14:paraId="03085AAD">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915" w:type="dxa"/>
            <w:noWrap w:val="0"/>
            <w:vAlign w:val="center"/>
          </w:tcPr>
          <w:p w14:paraId="164D7627">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765" w:type="dxa"/>
            <w:noWrap w:val="0"/>
            <w:vAlign w:val="center"/>
          </w:tcPr>
          <w:p w14:paraId="457BD19E">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870" w:type="dxa"/>
            <w:noWrap w:val="0"/>
            <w:vAlign w:val="center"/>
          </w:tcPr>
          <w:p w14:paraId="707CBB3D">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131" w:type="dxa"/>
            <w:noWrap w:val="0"/>
            <w:vAlign w:val="center"/>
          </w:tcPr>
          <w:p w14:paraId="0B5E2D80">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1358" w:type="dxa"/>
            <w:noWrap w:val="0"/>
            <w:vAlign w:val="center"/>
          </w:tcPr>
          <w:p w14:paraId="6E3DC1D2">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675" w:type="dxa"/>
            <w:noWrap w:val="0"/>
            <w:vAlign w:val="center"/>
          </w:tcPr>
          <w:p w14:paraId="45F5C30B">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451" w:type="dxa"/>
            <w:noWrap w:val="0"/>
            <w:vAlign w:val="center"/>
          </w:tcPr>
          <w:p w14:paraId="4C137295">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0"/>
                <w:sz w:val="28"/>
                <w:szCs w:val="28"/>
                <w:highlight w:val="none"/>
              </w:rPr>
            </w:pPr>
          </w:p>
        </w:tc>
      </w:tr>
      <w:tr w14:paraId="134E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31BFB4B0">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2</w:t>
            </w:r>
          </w:p>
        </w:tc>
        <w:tc>
          <w:tcPr>
            <w:tcW w:w="1620" w:type="dxa"/>
            <w:noWrap w:val="0"/>
            <w:vAlign w:val="center"/>
          </w:tcPr>
          <w:p w14:paraId="07FA6DBB">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915" w:type="dxa"/>
            <w:noWrap w:val="0"/>
            <w:vAlign w:val="center"/>
          </w:tcPr>
          <w:p w14:paraId="482724AB">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765" w:type="dxa"/>
            <w:noWrap w:val="0"/>
            <w:vAlign w:val="center"/>
          </w:tcPr>
          <w:p w14:paraId="43129F4C">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870" w:type="dxa"/>
            <w:noWrap w:val="0"/>
            <w:vAlign w:val="center"/>
          </w:tcPr>
          <w:p w14:paraId="743F5BBF">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131" w:type="dxa"/>
            <w:noWrap w:val="0"/>
            <w:vAlign w:val="center"/>
          </w:tcPr>
          <w:p w14:paraId="1E0E2EFE">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1358" w:type="dxa"/>
            <w:noWrap w:val="0"/>
            <w:vAlign w:val="center"/>
          </w:tcPr>
          <w:p w14:paraId="6B836CC1">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675" w:type="dxa"/>
            <w:noWrap w:val="0"/>
            <w:vAlign w:val="center"/>
          </w:tcPr>
          <w:p w14:paraId="45002AD1">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451" w:type="dxa"/>
            <w:noWrap w:val="0"/>
            <w:vAlign w:val="center"/>
          </w:tcPr>
          <w:p w14:paraId="2BC4958D">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r>
      <w:tr w14:paraId="3D97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66" w:type="dxa"/>
            <w:noWrap w:val="0"/>
            <w:vAlign w:val="center"/>
          </w:tcPr>
          <w:p w14:paraId="07CDEEDA">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3</w:t>
            </w:r>
          </w:p>
        </w:tc>
        <w:tc>
          <w:tcPr>
            <w:tcW w:w="1620" w:type="dxa"/>
            <w:noWrap w:val="0"/>
            <w:vAlign w:val="center"/>
          </w:tcPr>
          <w:p w14:paraId="78D99B7B">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915" w:type="dxa"/>
            <w:noWrap w:val="0"/>
            <w:vAlign w:val="center"/>
          </w:tcPr>
          <w:p w14:paraId="3CA2CD23">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765" w:type="dxa"/>
            <w:noWrap w:val="0"/>
            <w:vAlign w:val="center"/>
          </w:tcPr>
          <w:p w14:paraId="7ADB79D0">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870" w:type="dxa"/>
            <w:noWrap w:val="0"/>
            <w:vAlign w:val="center"/>
          </w:tcPr>
          <w:p w14:paraId="2AC1DA0C">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131" w:type="dxa"/>
            <w:noWrap w:val="0"/>
            <w:vAlign w:val="center"/>
          </w:tcPr>
          <w:p w14:paraId="5F542C92">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1358" w:type="dxa"/>
            <w:noWrap w:val="0"/>
            <w:vAlign w:val="center"/>
          </w:tcPr>
          <w:p w14:paraId="7843C124">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lang w:val="en-US"/>
              </w:rPr>
            </w:pPr>
          </w:p>
        </w:tc>
        <w:tc>
          <w:tcPr>
            <w:tcW w:w="675" w:type="dxa"/>
            <w:noWrap w:val="0"/>
            <w:vAlign w:val="center"/>
          </w:tcPr>
          <w:p w14:paraId="72C79466">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c>
          <w:tcPr>
            <w:tcW w:w="1451" w:type="dxa"/>
            <w:noWrap w:val="0"/>
            <w:vAlign w:val="center"/>
          </w:tcPr>
          <w:p w14:paraId="6A161318">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p>
        </w:tc>
      </w:tr>
      <w:tr w14:paraId="2B44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exact"/>
          <w:jc w:val="center"/>
        </w:trPr>
        <w:tc>
          <w:tcPr>
            <w:tcW w:w="2286" w:type="dxa"/>
            <w:gridSpan w:val="2"/>
            <w:noWrap w:val="0"/>
            <w:vAlign w:val="center"/>
          </w:tcPr>
          <w:p w14:paraId="3E1C3584">
            <w:pPr>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备注</w:t>
            </w:r>
          </w:p>
        </w:tc>
        <w:tc>
          <w:tcPr>
            <w:tcW w:w="7165" w:type="dxa"/>
            <w:gridSpan w:val="7"/>
            <w:noWrap w:val="0"/>
            <w:vAlign w:val="center"/>
          </w:tcPr>
          <w:p w14:paraId="5D2982D5">
            <w:pPr>
              <w:pageBreakBefore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sz w:val="28"/>
                <w:szCs w:val="28"/>
                <w:highlight w:val="none"/>
              </w:rPr>
            </w:pPr>
            <w:r>
              <w:rPr>
                <w:rFonts w:hint="eastAsia" w:ascii="仿宋" w:hAnsi="仿宋" w:eastAsia="仿宋" w:cs="仿宋"/>
                <w:kern w:val="0"/>
                <w:sz w:val="28"/>
                <w:szCs w:val="28"/>
                <w:highlight w:val="none"/>
              </w:rPr>
              <w:t>合同有效期限内由甲方根据实际需求而调整采购数量，不排除在服务期限内甲方对乙方零采购情况的风险，乙方对此谅解且不追究责任。</w:t>
            </w:r>
          </w:p>
        </w:tc>
      </w:tr>
    </w:tbl>
    <w:p w14:paraId="75D5AA97">
      <w:pPr>
        <w:pStyle w:val="158"/>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49B0F21A">
      <w:pPr>
        <w:pageBreakBefore w:val="0"/>
        <w:tabs>
          <w:tab w:val="left" w:pos="720"/>
        </w:tabs>
        <w:kinsoku/>
        <w:wordWrap/>
        <w:overflowPunct/>
        <w:topLinePunct w:val="0"/>
        <w:autoSpaceDE/>
        <w:autoSpaceDN/>
        <w:bidi w:val="0"/>
        <w:adjustRightInd/>
        <w:snapToGrid/>
        <w:spacing w:before="0" w:after="0" w:line="360" w:lineRule="auto"/>
        <w:ind w:firstLine="562" w:firstLineChars="200"/>
        <w:textAlignment w:val="auto"/>
        <w:outlineLvl w:val="9"/>
        <w:rPr>
          <w:rStyle w:val="57"/>
          <w:rFonts w:hint="eastAsia" w:ascii="仿宋" w:hAnsi="仿宋" w:eastAsia="仿宋" w:cs="仿宋"/>
          <w:b/>
          <w:bCs/>
          <w:sz w:val="28"/>
          <w:szCs w:val="28"/>
          <w:highlight w:val="none"/>
        </w:rPr>
      </w:pPr>
      <w:r>
        <w:rPr>
          <w:rStyle w:val="57"/>
          <w:rFonts w:hint="eastAsia" w:ascii="仿宋" w:hAnsi="仿宋" w:eastAsia="仿宋" w:cs="仿宋"/>
          <w:b/>
          <w:bCs/>
          <w:sz w:val="28"/>
          <w:szCs w:val="28"/>
          <w:highlight w:val="none"/>
        </w:rPr>
        <w:t>第2条 合同价款及支付方式</w:t>
      </w:r>
    </w:p>
    <w:p w14:paraId="10E00A9D">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
          <w:bCs/>
          <w:sz w:val="28"/>
          <w:szCs w:val="28"/>
          <w:highlight w:val="none"/>
          <w:lang w:val="en-US" w:eastAsia="zh-CN"/>
        </w:rPr>
        <w:t>2.1本合同暂定总价款：人民币（大写）</w:t>
      </w:r>
      <w:r>
        <w:rPr>
          <w:rFonts w:hint="eastAsia" w:ascii="仿宋" w:hAnsi="仿宋" w:eastAsia="仿宋" w:cs="仿宋"/>
          <w:b/>
          <w:bCs/>
          <w:sz w:val="28"/>
          <w:szCs w:val="28"/>
          <w:highlight w:val="none"/>
          <w:u w:val="single"/>
          <w:lang w:val="en-US" w:eastAsia="zh-CN"/>
        </w:rPr>
        <w:t xml:space="preserve">       （¥       </w:t>
      </w:r>
      <w:r>
        <w:rPr>
          <w:rFonts w:hint="eastAsia" w:ascii="仿宋" w:hAnsi="仿宋" w:eastAsia="仿宋" w:cs="仿宋"/>
          <w:b/>
          <w:bCs/>
          <w:sz w:val="28"/>
          <w:szCs w:val="28"/>
          <w:highlight w:val="none"/>
          <w:lang w:val="en-US" w:eastAsia="zh-CN"/>
        </w:rPr>
        <w:t>）。</w:t>
      </w:r>
    </w:p>
    <w:p w14:paraId="565B4A3F">
      <w:pPr>
        <w:pStyle w:val="5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lang w:val="en-US" w:eastAsia="zh-CN"/>
        </w:rPr>
        <w:t>2产品</w:t>
      </w:r>
      <w:r>
        <w:rPr>
          <w:rFonts w:hint="eastAsia" w:ascii="仿宋" w:hAnsi="仿宋" w:eastAsia="仿宋" w:cs="仿宋"/>
          <w:bCs/>
          <w:color w:val="auto"/>
          <w:sz w:val="28"/>
          <w:szCs w:val="28"/>
          <w:highlight w:val="none"/>
          <w:lang w:eastAsia="zh-CN"/>
        </w:rPr>
        <w:t>验收合格后甲方办理入库手续，乙方按照</w:t>
      </w:r>
      <w:r>
        <w:rPr>
          <w:rFonts w:hint="eastAsia" w:ascii="仿宋" w:hAnsi="仿宋" w:eastAsia="仿宋" w:cs="仿宋"/>
          <w:bCs/>
          <w:color w:val="auto"/>
          <w:sz w:val="28"/>
          <w:szCs w:val="28"/>
          <w:highlight w:val="none"/>
          <w:lang w:val="en-US" w:eastAsia="zh-CN"/>
        </w:rPr>
        <w:t>甲方出具的</w:t>
      </w:r>
      <w:r>
        <w:rPr>
          <w:rFonts w:hint="eastAsia" w:ascii="仿宋" w:hAnsi="仿宋" w:eastAsia="仿宋" w:cs="仿宋"/>
          <w:bCs/>
          <w:color w:val="auto"/>
          <w:sz w:val="28"/>
          <w:szCs w:val="28"/>
          <w:highlight w:val="none"/>
          <w:lang w:eastAsia="zh-CN"/>
        </w:rPr>
        <w:t>入库单开具增值税发票。甲方每年付款三次，每次付款比例不超过账面应付账款的</w:t>
      </w:r>
      <w:r>
        <w:rPr>
          <w:rFonts w:hint="eastAsia" w:ascii="仿宋" w:hAnsi="仿宋" w:eastAsia="仿宋" w:cs="仿宋"/>
          <w:bCs/>
          <w:color w:val="auto"/>
          <w:sz w:val="28"/>
          <w:szCs w:val="28"/>
          <w:highlight w:val="none"/>
          <w:lang w:val="en-US" w:eastAsia="zh-CN"/>
        </w:rPr>
        <w:t>25</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甲方付至挂账总金额的95%时暂停付款，剩余5%款项待甲乙双方合作到期且最后一批货物质保期满</w:t>
      </w:r>
      <w:r>
        <w:rPr>
          <w:rFonts w:hint="eastAsia" w:ascii="仿宋" w:hAnsi="仿宋" w:eastAsia="仿宋" w:cs="仿宋"/>
          <w:bCs/>
          <w:color w:val="auto"/>
          <w:sz w:val="28"/>
          <w:szCs w:val="28"/>
          <w:highlight w:val="none"/>
          <w:lang w:eastAsia="zh-CN"/>
        </w:rPr>
        <w:t>后无息付清。</w:t>
      </w:r>
    </w:p>
    <w:p w14:paraId="56513525">
      <w:pPr>
        <w:pStyle w:val="5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lang w:eastAsia="zh-CN"/>
        </w:rPr>
        <w:t>甲方付款前，乙方应提供</w:t>
      </w:r>
      <w:r>
        <w:rPr>
          <w:rFonts w:hint="eastAsia" w:ascii="仿宋" w:hAnsi="仿宋" w:eastAsia="仿宋" w:cs="仿宋"/>
          <w:bCs/>
          <w:color w:val="auto"/>
          <w:sz w:val="28"/>
          <w:szCs w:val="28"/>
          <w:highlight w:val="none"/>
          <w:u w:val="single"/>
          <w:lang w:val="en-US" w:eastAsia="zh-CN"/>
        </w:rPr>
        <w:t>增值税专用</w:t>
      </w:r>
      <w:r>
        <w:rPr>
          <w:rFonts w:hint="eastAsia" w:ascii="仿宋" w:hAnsi="仿宋" w:eastAsia="仿宋" w:cs="仿宋"/>
          <w:bCs/>
          <w:color w:val="auto"/>
          <w:sz w:val="28"/>
          <w:szCs w:val="28"/>
          <w:highlight w:val="none"/>
          <w:lang w:eastAsia="zh-CN"/>
        </w:rPr>
        <w:t>发票，税率为</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税率根据国家政策适时调整，</w:t>
      </w:r>
      <w:r>
        <w:rPr>
          <w:rFonts w:hint="eastAsia" w:ascii="仿宋" w:hAnsi="仿宋" w:eastAsia="仿宋" w:cs="仿宋"/>
          <w:bCs/>
          <w:color w:val="auto"/>
          <w:sz w:val="28"/>
          <w:szCs w:val="28"/>
          <w:highlight w:val="none"/>
          <w:lang w:eastAsia="zh-CN"/>
        </w:rPr>
        <w:t>否则甲方的付款期限顺延，</w:t>
      </w:r>
      <w:r>
        <w:rPr>
          <w:rFonts w:hint="eastAsia" w:ascii="仿宋" w:hAnsi="仿宋" w:eastAsia="仿宋" w:cs="仿宋"/>
          <w:bCs/>
          <w:color w:val="auto"/>
          <w:sz w:val="28"/>
          <w:szCs w:val="28"/>
          <w:highlight w:val="none"/>
          <w:lang w:val="en-US" w:eastAsia="zh-CN"/>
        </w:rPr>
        <w:t>税率调整产生的损益由甲方承担</w:t>
      </w:r>
      <w:r>
        <w:rPr>
          <w:rFonts w:hint="eastAsia" w:ascii="仿宋" w:hAnsi="仿宋" w:eastAsia="仿宋" w:cs="仿宋"/>
          <w:bCs/>
          <w:color w:val="auto"/>
          <w:sz w:val="28"/>
          <w:szCs w:val="28"/>
          <w:highlight w:val="none"/>
          <w:lang w:eastAsia="zh-CN"/>
        </w:rPr>
        <w:t>。乙方应当确保发票真实无误且合法有效，如发票出现任何问题由乙方承担责任，赔偿甲方由此遭受的全部损失。如因乙方发票未按期提供或发票不合规等原因，导致甲方增值税无法正常抵扣的，乙方同意承担由此对甲方造成的一切损失（包括但不限于因票据问题导致甲方无法抵扣的税款，以及由此产生的须由甲方支付的滞纳金、行政罚款等）。</w:t>
      </w:r>
    </w:p>
    <w:p w14:paraId="373A2405">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2.4本合同价款包括但不限于采购、加工、包装、运输、保管、装卸、</w:t>
      </w:r>
      <w:r>
        <w:rPr>
          <w:rFonts w:hint="eastAsia" w:ascii="仿宋" w:hAnsi="仿宋" w:eastAsia="仿宋" w:cs="仿宋"/>
          <w:b w:val="0"/>
          <w:bCs/>
          <w:color w:val="auto"/>
          <w:sz w:val="28"/>
          <w:szCs w:val="28"/>
          <w:highlight w:val="none"/>
          <w:lang w:val="en-US" w:eastAsia="zh-CN"/>
        </w:rPr>
        <w:t>指导安装</w:t>
      </w:r>
      <w:r>
        <w:rPr>
          <w:rFonts w:hint="eastAsia" w:ascii="仿宋" w:hAnsi="仿宋" w:eastAsia="仿宋" w:cs="仿宋"/>
          <w:bCs/>
          <w:color w:val="auto"/>
          <w:sz w:val="28"/>
          <w:szCs w:val="28"/>
          <w:highlight w:val="none"/>
          <w:lang w:val="en-US" w:eastAsia="zh-CN"/>
        </w:rPr>
        <w:t>、检测、验收、税费、培训、售后服务及其他服务，以及在质量保证期内发生的任何缺陷的修复工作等与合同有关的所有内容。</w:t>
      </w:r>
    </w:p>
    <w:p w14:paraId="0593D48E">
      <w:pPr>
        <w:pStyle w:val="51"/>
        <w:pageBreakBefore w:val="0"/>
        <w:numPr>
          <w:ilvl w:val="0"/>
          <w:numId w:val="0"/>
        </w:numPr>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2.5</w:t>
      </w:r>
      <w:r>
        <w:rPr>
          <w:rFonts w:hint="eastAsia" w:ascii="仿宋" w:hAnsi="仿宋" w:eastAsia="仿宋" w:cs="仿宋"/>
          <w:bCs/>
          <w:color w:val="auto"/>
          <w:sz w:val="28"/>
          <w:szCs w:val="28"/>
          <w:highlight w:val="none"/>
        </w:rPr>
        <w:t>由于市场不确定因素等造成价格上调或下调超过5%时，甲乙双方协商并提交书面调价函，经市场调研并上报</w:t>
      </w:r>
      <w:r>
        <w:rPr>
          <w:rFonts w:hint="eastAsia" w:ascii="仿宋" w:hAnsi="仿宋" w:eastAsia="仿宋" w:cs="仿宋"/>
          <w:bCs/>
          <w:color w:val="auto"/>
          <w:sz w:val="28"/>
          <w:szCs w:val="28"/>
          <w:highlight w:val="none"/>
          <w:lang w:val="en-US" w:eastAsia="zh-CN"/>
        </w:rPr>
        <w:t>甲方</w:t>
      </w:r>
      <w:r>
        <w:rPr>
          <w:rFonts w:hint="eastAsia" w:ascii="仿宋" w:hAnsi="仿宋" w:eastAsia="仿宋" w:cs="仿宋"/>
          <w:bCs/>
          <w:color w:val="auto"/>
          <w:sz w:val="28"/>
          <w:szCs w:val="28"/>
          <w:highlight w:val="none"/>
        </w:rPr>
        <w:t>同意方可调整。</w:t>
      </w:r>
    </w:p>
    <w:p w14:paraId="3A201210">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sz w:val="28"/>
          <w:szCs w:val="28"/>
          <w:highlight w:val="none"/>
          <w:lang w:val="en-US" w:eastAsia="zh-CN"/>
        </w:rPr>
        <w:t>2.6甲方有权选择通过电汇、支票、网上支付、银行承兑汇票等方式对乙方进行付款，如果甲方通过银行承兑汇票付款，除合同另有约定外，贴现费由乙方承担。</w:t>
      </w:r>
    </w:p>
    <w:p w14:paraId="5FE97D27">
      <w:pPr>
        <w:pageBreakBefore w:val="0"/>
        <w:numPr>
          <w:ilvl w:val="0"/>
          <w:numId w:val="0"/>
        </w:numPr>
        <w:kinsoku/>
        <w:wordWrap/>
        <w:overflowPunct/>
        <w:topLinePunct w:val="0"/>
        <w:autoSpaceDE/>
        <w:autoSpaceDN/>
        <w:bidi w:val="0"/>
        <w:adjustRightInd/>
        <w:snapToGrid/>
        <w:spacing w:before="0" w:after="0" w:line="360" w:lineRule="auto"/>
        <w:ind w:leftChars="0" w:firstLine="562" w:firstLineChars="200"/>
        <w:jc w:val="both"/>
        <w:textAlignment w:val="auto"/>
        <w:outlineLvl w:val="9"/>
        <w:rPr>
          <w:rStyle w:val="57"/>
          <w:rFonts w:hint="eastAsia" w:ascii="仿宋" w:hAnsi="仿宋" w:eastAsia="仿宋" w:cs="仿宋"/>
          <w:b/>
          <w:bCs w:val="0"/>
          <w:color w:val="auto"/>
          <w:sz w:val="28"/>
          <w:szCs w:val="28"/>
          <w:highlight w:val="none"/>
        </w:rPr>
      </w:pPr>
      <w:r>
        <w:rPr>
          <w:rStyle w:val="57"/>
          <w:rFonts w:hint="eastAsia" w:ascii="仿宋" w:hAnsi="仿宋" w:eastAsia="仿宋" w:cs="仿宋"/>
          <w:b/>
          <w:bCs w:val="0"/>
          <w:color w:val="auto"/>
          <w:sz w:val="28"/>
          <w:szCs w:val="28"/>
          <w:highlight w:val="none"/>
          <w:lang w:val="en-US" w:eastAsia="zh-CN"/>
        </w:rPr>
        <w:t xml:space="preserve">第3条 </w:t>
      </w:r>
      <w:r>
        <w:rPr>
          <w:rStyle w:val="57"/>
          <w:rFonts w:hint="eastAsia" w:ascii="仿宋" w:hAnsi="仿宋" w:eastAsia="仿宋" w:cs="仿宋"/>
          <w:b/>
          <w:bCs w:val="0"/>
          <w:color w:val="auto"/>
          <w:sz w:val="28"/>
          <w:szCs w:val="28"/>
          <w:highlight w:val="none"/>
        </w:rPr>
        <w:t>运输</w:t>
      </w:r>
      <w:r>
        <w:rPr>
          <w:rStyle w:val="57"/>
          <w:rFonts w:hint="eastAsia" w:ascii="仿宋" w:hAnsi="仿宋" w:eastAsia="仿宋" w:cs="仿宋"/>
          <w:b/>
          <w:bCs w:val="0"/>
          <w:color w:val="auto"/>
          <w:sz w:val="28"/>
          <w:szCs w:val="28"/>
          <w:highlight w:val="none"/>
          <w:lang w:val="en-US" w:eastAsia="zh-CN"/>
        </w:rPr>
        <w:t>及到货</w:t>
      </w:r>
      <w:r>
        <w:rPr>
          <w:rStyle w:val="57"/>
          <w:rFonts w:hint="eastAsia" w:ascii="仿宋" w:hAnsi="仿宋" w:eastAsia="仿宋" w:cs="仿宋"/>
          <w:b/>
          <w:bCs w:val="0"/>
          <w:color w:val="auto"/>
          <w:sz w:val="28"/>
          <w:szCs w:val="28"/>
          <w:highlight w:val="none"/>
        </w:rPr>
        <w:t>验收</w:t>
      </w:r>
    </w:p>
    <w:p w14:paraId="1AE40631">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3.1乙方应按国家标准或行业标准对产品进行包装，包装应确保货物安全，装卸、运输方便，符合安全、环保、卫生标准要求，由此产生的费用由乙方承担，且包装物原则上不予回收。</w:t>
      </w:r>
    </w:p>
    <w:p w14:paraId="4EE8B7E1">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bCs/>
          <w:color w:val="auto"/>
          <w:sz w:val="28"/>
          <w:szCs w:val="28"/>
          <w:highlight w:val="none"/>
        </w:rPr>
        <w:t>合同有效期内，</w:t>
      </w:r>
      <w:r>
        <w:rPr>
          <w:rFonts w:hint="eastAsia" w:ascii="仿宋" w:hAnsi="仿宋" w:eastAsia="仿宋" w:cs="仿宋"/>
          <w:bCs/>
          <w:color w:val="auto"/>
          <w:sz w:val="28"/>
          <w:szCs w:val="28"/>
          <w:highlight w:val="none"/>
          <w:lang w:val="en-US" w:eastAsia="zh-CN"/>
        </w:rPr>
        <w:t>乙方按照甲方要求分批次供货。</w:t>
      </w:r>
      <w:r>
        <w:rPr>
          <w:rFonts w:hint="eastAsia" w:ascii="仿宋" w:hAnsi="仿宋" w:eastAsia="仿宋" w:cs="仿宋"/>
          <w:bCs/>
          <w:color w:val="auto"/>
          <w:sz w:val="28"/>
          <w:szCs w:val="28"/>
          <w:highlight w:val="none"/>
        </w:rPr>
        <w:t>乙方应自甲方通知之日起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w:t>
      </w:r>
      <w:r>
        <w:rPr>
          <w:rFonts w:hint="eastAsia" w:ascii="仿宋" w:hAnsi="仿宋" w:eastAsia="仿宋" w:cs="仿宋"/>
          <w:bCs/>
          <w:color w:val="auto"/>
          <w:sz w:val="28"/>
          <w:szCs w:val="28"/>
          <w:highlight w:val="none"/>
        </w:rPr>
        <w:t>内，按照通知的要求将</w:t>
      </w:r>
      <w:r>
        <w:rPr>
          <w:rFonts w:hint="eastAsia" w:ascii="仿宋" w:hAnsi="仿宋" w:eastAsia="仿宋" w:cs="仿宋"/>
          <w:bCs/>
          <w:color w:val="auto"/>
          <w:sz w:val="28"/>
          <w:szCs w:val="28"/>
          <w:highlight w:val="none"/>
          <w:lang w:val="en-US" w:eastAsia="zh-CN"/>
        </w:rPr>
        <w:t>产品</w:t>
      </w:r>
      <w:r>
        <w:rPr>
          <w:rFonts w:hint="eastAsia" w:ascii="仿宋" w:hAnsi="仿宋" w:eastAsia="仿宋" w:cs="仿宋"/>
          <w:bCs/>
          <w:color w:val="auto"/>
          <w:sz w:val="28"/>
          <w:szCs w:val="28"/>
          <w:highlight w:val="none"/>
        </w:rPr>
        <w:t>运抵甲方指定地点，</w:t>
      </w:r>
      <w:r>
        <w:rPr>
          <w:rFonts w:hint="eastAsia" w:ascii="仿宋" w:hAnsi="仿宋" w:eastAsia="仿宋" w:cs="仿宋"/>
          <w:bCs/>
          <w:color w:val="auto"/>
          <w:sz w:val="28"/>
          <w:szCs w:val="28"/>
          <w:highlight w:val="none"/>
          <w:lang w:val="en-US" w:eastAsia="zh-CN"/>
        </w:rPr>
        <w:t>甲方不再另行支付其他任何费用</w:t>
      </w:r>
      <w:r>
        <w:rPr>
          <w:rFonts w:hint="eastAsia" w:ascii="仿宋" w:hAnsi="仿宋" w:eastAsia="仿宋" w:cs="仿宋"/>
          <w:bCs/>
          <w:color w:val="auto"/>
          <w:sz w:val="28"/>
          <w:szCs w:val="28"/>
          <w:highlight w:val="none"/>
        </w:rPr>
        <w:t>。逾期将按照第</w:t>
      </w:r>
      <w:r>
        <w:rPr>
          <w:rFonts w:hint="eastAsia" w:ascii="仿宋" w:hAnsi="仿宋" w:eastAsia="仿宋" w:cs="仿宋"/>
          <w:bCs/>
          <w:color w:val="auto"/>
          <w:sz w:val="28"/>
          <w:szCs w:val="28"/>
          <w:highlight w:val="none"/>
          <w:lang w:val="en-US" w:eastAsia="zh-CN"/>
        </w:rPr>
        <w:t>7</w:t>
      </w:r>
      <w:r>
        <w:rPr>
          <w:rFonts w:hint="eastAsia" w:ascii="仿宋" w:hAnsi="仿宋" w:eastAsia="仿宋" w:cs="仿宋"/>
          <w:bCs/>
          <w:color w:val="auto"/>
          <w:sz w:val="28"/>
          <w:szCs w:val="28"/>
          <w:highlight w:val="none"/>
        </w:rPr>
        <w:t>条规定执行。</w:t>
      </w:r>
    </w:p>
    <w:p w14:paraId="16ACC2D3">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每批次产品</w:t>
      </w:r>
      <w:r>
        <w:rPr>
          <w:rFonts w:hint="eastAsia" w:ascii="仿宋" w:hAnsi="仿宋" w:eastAsia="仿宋" w:cs="仿宋"/>
          <w:color w:val="auto"/>
          <w:sz w:val="28"/>
          <w:szCs w:val="28"/>
          <w:highlight w:val="none"/>
        </w:rPr>
        <w:t>到达</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指定地点后</w:t>
      </w:r>
      <w:r>
        <w:rPr>
          <w:rFonts w:hint="eastAsia" w:ascii="仿宋" w:hAnsi="仿宋" w:eastAsia="仿宋" w:cs="仿宋"/>
          <w:color w:val="auto"/>
          <w:sz w:val="28"/>
          <w:szCs w:val="28"/>
          <w:highlight w:val="none"/>
          <w:u w:val="single"/>
          <w:lang w:val="en-US" w:eastAsia="zh-CN"/>
        </w:rPr>
        <w:t xml:space="preserve"> 3 </w:t>
      </w:r>
      <w:r>
        <w:rPr>
          <w:rFonts w:hint="eastAsia" w:ascii="仿宋" w:hAnsi="仿宋" w:eastAsia="仿宋" w:cs="仿宋"/>
          <w:color w:val="auto"/>
          <w:sz w:val="28"/>
          <w:szCs w:val="28"/>
          <w:highlight w:val="none"/>
          <w:lang w:val="en-US" w:eastAsia="zh-CN"/>
        </w:rPr>
        <w:t>日内</w:t>
      </w:r>
      <w:r>
        <w:rPr>
          <w:rFonts w:hint="eastAsia" w:ascii="仿宋" w:hAnsi="仿宋" w:eastAsia="仿宋" w:cs="仿宋"/>
          <w:color w:val="auto"/>
          <w:sz w:val="28"/>
          <w:szCs w:val="28"/>
          <w:highlight w:val="none"/>
        </w:rPr>
        <w:t>，甲方有权对产品的数量、包装、规格、品牌、质量、随付单证等</w:t>
      </w:r>
      <w:r>
        <w:rPr>
          <w:rFonts w:hint="eastAsia" w:ascii="仿宋" w:hAnsi="仿宋" w:eastAsia="仿宋" w:cs="仿宋"/>
          <w:color w:val="auto"/>
          <w:sz w:val="28"/>
          <w:szCs w:val="28"/>
          <w:highlight w:val="none"/>
          <w:lang w:val="en-US" w:eastAsia="zh-CN"/>
        </w:rPr>
        <w:t>完成</w:t>
      </w:r>
      <w:r>
        <w:rPr>
          <w:rFonts w:hint="eastAsia" w:ascii="仿宋" w:hAnsi="仿宋" w:eastAsia="仿宋" w:cs="仿宋"/>
          <w:color w:val="auto"/>
          <w:sz w:val="28"/>
          <w:szCs w:val="28"/>
          <w:highlight w:val="none"/>
        </w:rPr>
        <w:t>清点验收，验收合格后甲方需指定员工向乙方签署《产品到货验收单》</w:t>
      </w:r>
      <w:r>
        <w:rPr>
          <w:rFonts w:hint="eastAsia" w:ascii="仿宋" w:hAnsi="仿宋" w:eastAsia="仿宋" w:cs="仿宋"/>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该验收不代表产品质量的最终确认，双方还应按照合同约定进行后续的检验和验收，质量验收确认不能免除乙方的质量保证责任</w:t>
      </w:r>
      <w:r>
        <w:rPr>
          <w:rFonts w:hint="eastAsia" w:ascii="仿宋" w:hAnsi="仿宋" w:eastAsia="仿宋" w:cs="仿宋"/>
          <w:b w:val="0"/>
          <w:bCs w:val="0"/>
          <w:color w:val="auto"/>
          <w:sz w:val="28"/>
          <w:szCs w:val="28"/>
          <w:highlight w:val="none"/>
        </w:rPr>
        <w:t>。</w:t>
      </w:r>
      <w:r>
        <w:rPr>
          <w:rFonts w:hint="eastAsia" w:ascii="仿宋" w:hAnsi="仿宋" w:eastAsia="仿宋" w:cs="仿宋"/>
          <w:color w:val="auto"/>
          <w:sz w:val="28"/>
          <w:szCs w:val="28"/>
          <w:highlight w:val="none"/>
        </w:rPr>
        <w:t>如果产品数量、包装、规格、品牌、质量、随附单证等与合同约定不一致的，视为交付不合格，甲方有权拒绝接受不合格产品。乙方需在甲方要求的时间内无条件更换、补足，由此产生的费用由乙方承担；或者甲方有权直接退货，乙方应退还甲方已支付的全部价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给甲方造成损失的，乙方还应另行赔付甲方的实际损失。</w:t>
      </w:r>
    </w:p>
    <w:p w14:paraId="23DED701">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eastAsiaTheme="minorEastAsia"/>
          <w:highlight w:val="none"/>
          <w:lang w:eastAsia="zh-CN"/>
        </w:rPr>
      </w:pPr>
      <w:r>
        <w:rPr>
          <w:rFonts w:hint="eastAsia" w:ascii="仿宋" w:hAnsi="仿宋" w:eastAsia="仿宋" w:cs="仿宋"/>
          <w:color w:val="auto"/>
          <w:sz w:val="28"/>
          <w:szCs w:val="28"/>
          <w:highlight w:val="none"/>
          <w:lang w:val="en-US" w:eastAsia="zh-CN"/>
        </w:rPr>
        <w:t>3.4甲方安装完成后，乙方须到场进行验收并予以最终确认。如甲方安装未达标准，乙方有权要求其进行重新安装，直至符合要求。乙方验收通过后，必须严格按照本合同约定的产品质保期履行质保义务，不得以安装问题为由推诿或拒绝承担质保责任。</w:t>
      </w:r>
    </w:p>
    <w:p w14:paraId="150A0F48">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对甲方提出的质量异议，乙方有权将相关产品送国家检测部门检测。如检测合格的，检测费用由甲方承担，并承担由此给乙方造成的损失；如检测不合格的，则由乙方承担检测费用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并承担由此给</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造成的损失。</w:t>
      </w:r>
    </w:p>
    <w:p w14:paraId="4C0B0E1C">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3.6甲方有权随机抽取部分货物送至第三方检测机构进行检测（具体检测项目按照甲方要求执行），如果抽取货物数量影响甲方使用的，乙方应无条件补足给甲方，由此产生的一切费用均由乙方承担。</w:t>
      </w:r>
    </w:p>
    <w:p w14:paraId="4732DCC7">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3.7交货完毕并经甲方验收合格前产品毁损、灭失的全部风险与相关费用均由乙方自行承担。</w:t>
      </w:r>
    </w:p>
    <w:p w14:paraId="556D1DA8">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3.8乙方若采取第三方运输，须向甲方提供相应的物流运输凭证。</w:t>
      </w:r>
    </w:p>
    <w:p w14:paraId="3479048A">
      <w:pPr>
        <w:pageBreakBefore w:val="0"/>
        <w:numPr>
          <w:ilvl w:val="0"/>
          <w:numId w:val="0"/>
        </w:numPr>
        <w:kinsoku/>
        <w:wordWrap/>
        <w:overflowPunct/>
        <w:topLinePunct w:val="0"/>
        <w:autoSpaceDE/>
        <w:autoSpaceDN/>
        <w:bidi w:val="0"/>
        <w:adjustRightInd/>
        <w:snapToGrid/>
        <w:spacing w:before="0" w:after="0" w:line="360" w:lineRule="auto"/>
        <w:ind w:leftChars="0" w:firstLine="562" w:firstLineChars="200"/>
        <w:jc w:val="both"/>
        <w:textAlignment w:val="auto"/>
        <w:outlineLvl w:val="9"/>
        <w:rPr>
          <w:rFonts w:hint="eastAsia" w:ascii="仿宋" w:hAnsi="仿宋" w:eastAsia="仿宋" w:cs="仿宋"/>
          <w:color w:val="auto"/>
          <w:sz w:val="28"/>
          <w:szCs w:val="28"/>
          <w:highlight w:val="none"/>
        </w:rPr>
      </w:pPr>
      <w:r>
        <w:rPr>
          <w:rStyle w:val="57"/>
          <w:rFonts w:hint="eastAsia" w:ascii="仿宋" w:hAnsi="仿宋" w:eastAsia="仿宋" w:cs="仿宋"/>
          <w:b/>
          <w:bCs w:val="0"/>
          <w:color w:val="auto"/>
          <w:sz w:val="28"/>
          <w:szCs w:val="28"/>
          <w:highlight w:val="none"/>
        </w:rPr>
        <w:t>第</w:t>
      </w:r>
      <w:r>
        <w:rPr>
          <w:rStyle w:val="57"/>
          <w:rFonts w:hint="eastAsia" w:ascii="仿宋" w:hAnsi="仿宋" w:eastAsia="仿宋" w:cs="仿宋"/>
          <w:b/>
          <w:bCs w:val="0"/>
          <w:color w:val="auto"/>
          <w:sz w:val="28"/>
          <w:szCs w:val="28"/>
          <w:highlight w:val="none"/>
          <w:lang w:val="en-US" w:eastAsia="zh-CN"/>
        </w:rPr>
        <w:t>4</w:t>
      </w:r>
      <w:r>
        <w:rPr>
          <w:rStyle w:val="57"/>
          <w:rFonts w:hint="eastAsia" w:ascii="仿宋" w:hAnsi="仿宋" w:eastAsia="仿宋" w:cs="仿宋"/>
          <w:b/>
          <w:bCs w:val="0"/>
          <w:color w:val="auto"/>
          <w:sz w:val="28"/>
          <w:szCs w:val="28"/>
          <w:highlight w:val="none"/>
        </w:rPr>
        <w:t>条 伴随服务</w:t>
      </w:r>
    </w:p>
    <w:p w14:paraId="728F86D6">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.1乙方应提供本产品的各类认证证明、质量检测报告、产品合格证书、产品注册证、保修单、使用说明书、授权代理书、服务指南等，这些文件应随同</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一起交至甲方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否则视为产品不合格，甲方有权拒收产品</w:t>
      </w:r>
      <w:r>
        <w:rPr>
          <w:rFonts w:hint="eastAsia" w:ascii="仿宋" w:hAnsi="仿宋" w:eastAsia="仿宋" w:cs="仿宋"/>
          <w:color w:val="auto"/>
          <w:sz w:val="28"/>
          <w:szCs w:val="28"/>
          <w:highlight w:val="none"/>
        </w:rPr>
        <w:t>。同时，乙方确认提供的相关所有材料的真实性，否则造成的一切后果以及产生的相关费用均由乙方承担。</w:t>
      </w:r>
    </w:p>
    <w:p w14:paraId="279493D9">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.2乙方应派专业技术人员在项目现场对甲方使用人员进行产品的使用、维护等的培训或指导，并按要求安排培训计划</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所需任何费用均由乙方自行承担</w:t>
      </w:r>
      <w:r>
        <w:rPr>
          <w:rFonts w:hint="eastAsia" w:ascii="仿宋" w:hAnsi="仿宋" w:eastAsia="仿宋" w:cs="仿宋"/>
          <w:color w:val="auto"/>
          <w:sz w:val="28"/>
          <w:szCs w:val="28"/>
          <w:highlight w:val="none"/>
        </w:rPr>
        <w:t>。</w:t>
      </w:r>
    </w:p>
    <w:p w14:paraId="6E4CB042">
      <w:pPr>
        <w:pStyle w:val="15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outlineLvl w:val="9"/>
        <w:rPr>
          <w:rStyle w:val="57"/>
          <w:rFonts w:hint="eastAsia" w:ascii="仿宋" w:hAnsi="仿宋" w:eastAsia="仿宋" w:cs="仿宋"/>
          <w:b/>
          <w:color w:val="auto"/>
          <w:sz w:val="28"/>
          <w:szCs w:val="28"/>
          <w:highlight w:val="none"/>
        </w:rPr>
      </w:pPr>
      <w:r>
        <w:rPr>
          <w:rStyle w:val="57"/>
          <w:rFonts w:hint="eastAsia" w:ascii="仿宋" w:hAnsi="仿宋" w:eastAsia="仿宋" w:cs="仿宋"/>
          <w:b/>
          <w:color w:val="auto"/>
          <w:sz w:val="28"/>
          <w:szCs w:val="28"/>
          <w:highlight w:val="none"/>
        </w:rPr>
        <w:t>第</w:t>
      </w:r>
      <w:r>
        <w:rPr>
          <w:rStyle w:val="57"/>
          <w:rFonts w:hint="eastAsia" w:ascii="仿宋" w:hAnsi="仿宋" w:eastAsia="仿宋" w:cs="仿宋"/>
          <w:b/>
          <w:color w:val="auto"/>
          <w:sz w:val="28"/>
          <w:szCs w:val="28"/>
          <w:highlight w:val="none"/>
          <w:lang w:val="en-US" w:eastAsia="zh-CN"/>
        </w:rPr>
        <w:t>5</w:t>
      </w:r>
      <w:r>
        <w:rPr>
          <w:rStyle w:val="57"/>
          <w:rFonts w:hint="eastAsia" w:ascii="仿宋" w:hAnsi="仿宋" w:eastAsia="仿宋" w:cs="仿宋"/>
          <w:b/>
          <w:color w:val="auto"/>
          <w:sz w:val="28"/>
          <w:szCs w:val="28"/>
          <w:highlight w:val="none"/>
        </w:rPr>
        <w:t>条 质量保证及售后服务</w:t>
      </w:r>
    </w:p>
    <w:p w14:paraId="5D1E375D">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.1乙方向甲方提供的产品应当符合国家有关标准、制造厂标准及合同技术标准的要求及《产品质量法》的有关规定并且乙方应保证所供产品是全新的、未使用过的</w:t>
      </w:r>
      <w:r>
        <w:rPr>
          <w:rFonts w:hint="eastAsia" w:ascii="仿宋" w:hAnsi="仿宋" w:eastAsia="仿宋" w:cs="仿宋"/>
          <w:color w:val="auto"/>
          <w:sz w:val="28"/>
          <w:szCs w:val="28"/>
          <w:highlight w:val="none"/>
          <w:lang w:val="en-US" w:eastAsia="zh-CN"/>
        </w:rPr>
        <w:t>原生产厂家生产的合格正品。</w:t>
      </w:r>
      <w:r>
        <w:rPr>
          <w:rFonts w:hint="eastAsia" w:ascii="仿宋" w:hAnsi="仿宋" w:eastAsia="仿宋" w:cs="仿宋"/>
          <w:color w:val="auto"/>
          <w:sz w:val="28"/>
          <w:szCs w:val="28"/>
          <w:highlight w:val="none"/>
        </w:rPr>
        <w:t>若甲方要求，乙方需提供产品样本供甲方留存，该样本作为本合同的附件。若产品交付后其质量或规格与合同要求或样本不符，或证实其是有缺陷的，包括潜在的缺陷或使用不符合要求的材料等，乙方应在接到甲方通知后</w:t>
      </w:r>
      <w:r>
        <w:rPr>
          <w:rFonts w:hint="eastAsia" w:ascii="仿宋" w:hAnsi="仿宋" w:eastAsia="仿宋" w:cs="仿宋"/>
          <w:color w:val="auto"/>
          <w:sz w:val="28"/>
          <w:szCs w:val="28"/>
          <w:highlight w:val="none"/>
          <w:u w:val="single"/>
          <w:lang w:val="en-US" w:eastAsia="zh-CN"/>
        </w:rPr>
        <w:t xml:space="preserve"> 3 </w:t>
      </w:r>
      <w:r>
        <w:rPr>
          <w:rFonts w:hint="eastAsia" w:ascii="仿宋" w:hAnsi="仿宋" w:eastAsia="仿宋" w:cs="仿宋"/>
          <w:color w:val="auto"/>
          <w:sz w:val="28"/>
          <w:szCs w:val="28"/>
          <w:highlight w:val="none"/>
          <w:lang w:val="en-US" w:eastAsia="zh-CN"/>
        </w:rPr>
        <w:t>日</w:t>
      </w:r>
      <w:r>
        <w:rPr>
          <w:rFonts w:hint="eastAsia" w:ascii="仿宋" w:hAnsi="仿宋" w:eastAsia="仿宋" w:cs="仿宋"/>
          <w:color w:val="auto"/>
          <w:sz w:val="28"/>
          <w:szCs w:val="28"/>
          <w:highlight w:val="none"/>
        </w:rPr>
        <w:t>内负责采用符合合同约定的规格、质量和性能要求的新产品来更换有缺陷的部分或修补缺陷部分，其费用由乙方负担。</w:t>
      </w:r>
    </w:p>
    <w:p w14:paraId="18420CE0">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.2产品的质保期：自</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验收合格之日起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b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乙方应保证所供货物在使用寿命期内一直具有符合甲方实现合同目的所需求的性能参数</w:t>
      </w:r>
      <w:r>
        <w:rPr>
          <w:rFonts w:hint="eastAsia" w:ascii="仿宋" w:hAnsi="仿宋" w:eastAsia="仿宋" w:cs="仿宋"/>
          <w:color w:val="auto"/>
          <w:sz w:val="28"/>
          <w:szCs w:val="28"/>
          <w:highlight w:val="none"/>
        </w:rPr>
        <w:t>。在质保期内，货物出现质量问题，乙方应当在甲方通知之日起</w:t>
      </w:r>
      <w:r>
        <w:rPr>
          <w:rFonts w:hint="eastAsia" w:ascii="仿宋" w:hAnsi="仿宋" w:eastAsia="仿宋" w:cs="仿宋"/>
          <w:b/>
          <w:bCs/>
          <w:color w:val="auto"/>
          <w:sz w:val="28"/>
          <w:szCs w:val="28"/>
          <w:highlight w:val="none"/>
          <w:u w:val="single"/>
        </w:rPr>
        <w:t>24</w:t>
      </w:r>
      <w:r>
        <w:rPr>
          <w:rFonts w:hint="eastAsia" w:ascii="仿宋" w:hAnsi="仿宋" w:eastAsia="仿宋" w:cs="仿宋"/>
          <w:color w:val="auto"/>
          <w:sz w:val="28"/>
          <w:szCs w:val="28"/>
          <w:highlight w:val="none"/>
        </w:rPr>
        <w:t>小时内免费上门进行维修、更换，如产品质量问题严重，影响甲方正常使用的，甲方有权要求乙方无条件退货</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给甲方造成损失的，乙方还应另行赔付甲方的实际损失</w:t>
      </w:r>
      <w:r>
        <w:rPr>
          <w:rFonts w:hint="eastAsia" w:ascii="仿宋" w:hAnsi="仿宋" w:eastAsia="仿宋" w:cs="仿宋"/>
          <w:color w:val="auto"/>
          <w:sz w:val="28"/>
          <w:szCs w:val="28"/>
          <w:highlight w:val="none"/>
        </w:rPr>
        <w:t>。</w:t>
      </w:r>
    </w:p>
    <w:p w14:paraId="4E822C99">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.3乙方响应时间</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single"/>
        </w:rPr>
        <w:t>1</w:t>
      </w:r>
      <w:r>
        <w:rPr>
          <w:rFonts w:hint="eastAsia" w:ascii="仿宋" w:hAnsi="仿宋" w:eastAsia="仿宋" w:cs="仿宋"/>
          <w:color w:val="auto"/>
          <w:sz w:val="28"/>
          <w:szCs w:val="28"/>
          <w:highlight w:val="none"/>
        </w:rPr>
        <w:t>小时，到场时间</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single"/>
        </w:rPr>
        <w:t>12</w:t>
      </w:r>
      <w:r>
        <w:rPr>
          <w:rFonts w:hint="eastAsia" w:ascii="仿宋" w:hAnsi="仿宋" w:eastAsia="仿宋" w:cs="仿宋"/>
          <w:color w:val="auto"/>
          <w:sz w:val="28"/>
          <w:szCs w:val="28"/>
          <w:highlight w:val="none"/>
        </w:rPr>
        <w:t>小时（战争、地震及海啸等不可抗拒力量下除外）。</w:t>
      </w:r>
    </w:p>
    <w:p w14:paraId="67173F12">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5.4验收合格后，在正常使用过程中，无论是在质保期内还是质保期外，甲方发现产品存在隐蔽性缺陷、材质不合格或不符合合同约定的技术标准等质量问题，乙方仍应承担全部责任。</w:t>
      </w:r>
    </w:p>
    <w:p w14:paraId="0DFF41D5">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甲方有权利立即终止本</w:t>
      </w:r>
      <w:r>
        <w:rPr>
          <w:rFonts w:hint="eastAsia" w:ascii="仿宋" w:hAnsi="仿宋" w:eastAsia="仿宋" w:cs="仿宋"/>
          <w:color w:val="auto"/>
          <w:sz w:val="28"/>
          <w:szCs w:val="28"/>
          <w:highlight w:val="none"/>
          <w:lang w:val="en-US" w:eastAsia="zh-CN"/>
        </w:rPr>
        <w:t>合同</w:t>
      </w:r>
      <w:r>
        <w:rPr>
          <w:rFonts w:hint="eastAsia" w:ascii="仿宋" w:hAnsi="仿宋" w:eastAsia="仿宋" w:cs="仿宋"/>
          <w:color w:val="auto"/>
          <w:sz w:val="28"/>
          <w:szCs w:val="28"/>
          <w:highlight w:val="none"/>
        </w:rPr>
        <w:t>，并根据对甲方造成的影响，追究乙方违约赔偿的权利。</w:t>
      </w:r>
    </w:p>
    <w:p w14:paraId="7D28C0AD">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产品经过维修后，自维修合格送还</w:t>
      </w:r>
      <w:r>
        <w:rPr>
          <w:rFonts w:hint="eastAsia" w:ascii="仿宋" w:hAnsi="仿宋" w:eastAsia="仿宋" w:cs="仿宋"/>
          <w:color w:val="auto"/>
          <w:sz w:val="28"/>
          <w:szCs w:val="28"/>
          <w:highlight w:val="none"/>
          <w:lang w:val="en-US" w:eastAsia="zh-CN"/>
        </w:rPr>
        <w:t>至</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lang w:val="en-US" w:eastAsia="zh-CN"/>
        </w:rPr>
        <w:t>并保证甲方正常使用</w:t>
      </w:r>
      <w:r>
        <w:rPr>
          <w:rFonts w:hint="eastAsia" w:ascii="仿宋" w:hAnsi="仿宋" w:eastAsia="仿宋" w:cs="仿宋"/>
          <w:color w:val="auto"/>
          <w:sz w:val="28"/>
          <w:szCs w:val="28"/>
          <w:highlight w:val="none"/>
        </w:rPr>
        <w:t>之日起，</w:t>
      </w:r>
      <w:r>
        <w:rPr>
          <w:rFonts w:hint="eastAsia" w:ascii="仿宋" w:hAnsi="仿宋" w:eastAsia="仿宋" w:cs="仿宋"/>
          <w:color w:val="auto"/>
          <w:sz w:val="28"/>
          <w:szCs w:val="28"/>
          <w:highlight w:val="none"/>
          <w:lang w:val="en-US" w:eastAsia="zh-CN"/>
        </w:rPr>
        <w:t>维修部分的质保期按5.2条约定的质保期</w:t>
      </w:r>
      <w:r>
        <w:rPr>
          <w:rFonts w:hint="eastAsia" w:ascii="仿宋" w:hAnsi="仿宋" w:eastAsia="仿宋" w:cs="仿宋"/>
          <w:color w:val="auto"/>
          <w:sz w:val="28"/>
          <w:szCs w:val="28"/>
          <w:highlight w:val="none"/>
        </w:rPr>
        <w:t>重新开始计算。</w:t>
      </w:r>
    </w:p>
    <w:p w14:paraId="3121F087">
      <w:pPr>
        <w:pageBreakBefore w:val="0"/>
        <w:numPr>
          <w:ilvl w:val="0"/>
          <w:numId w:val="0"/>
        </w:numPr>
        <w:kinsoku/>
        <w:wordWrap/>
        <w:overflowPunct/>
        <w:topLinePunct w:val="0"/>
        <w:autoSpaceDE/>
        <w:autoSpaceDN/>
        <w:bidi w:val="0"/>
        <w:adjustRightInd/>
        <w:snapToGrid/>
        <w:spacing w:before="0" w:after="0" w:line="360" w:lineRule="auto"/>
        <w:ind w:leftChars="0" w:firstLine="562" w:firstLineChars="200"/>
        <w:jc w:val="both"/>
        <w:textAlignment w:val="auto"/>
        <w:outlineLvl w:val="9"/>
        <w:rPr>
          <w:rFonts w:hint="eastAsia" w:ascii="仿宋" w:hAnsi="仿宋" w:eastAsia="仿宋" w:cs="仿宋"/>
          <w:color w:val="auto"/>
          <w:sz w:val="28"/>
          <w:szCs w:val="28"/>
          <w:highlight w:val="none"/>
        </w:rPr>
      </w:pPr>
      <w:r>
        <w:rPr>
          <w:rStyle w:val="57"/>
          <w:rFonts w:hint="eastAsia" w:ascii="仿宋" w:hAnsi="仿宋" w:eastAsia="仿宋" w:cs="仿宋"/>
          <w:b/>
          <w:bCs w:val="0"/>
          <w:color w:val="auto"/>
          <w:sz w:val="28"/>
          <w:szCs w:val="28"/>
          <w:highlight w:val="none"/>
        </w:rPr>
        <w:t>第</w:t>
      </w:r>
      <w:r>
        <w:rPr>
          <w:rStyle w:val="57"/>
          <w:rFonts w:hint="eastAsia" w:ascii="仿宋" w:hAnsi="仿宋" w:eastAsia="仿宋" w:cs="仿宋"/>
          <w:b/>
          <w:bCs w:val="0"/>
          <w:color w:val="auto"/>
          <w:sz w:val="28"/>
          <w:szCs w:val="28"/>
          <w:highlight w:val="none"/>
          <w:lang w:val="en-US" w:eastAsia="zh-CN"/>
        </w:rPr>
        <w:t>6</w:t>
      </w:r>
      <w:r>
        <w:rPr>
          <w:rStyle w:val="57"/>
          <w:rFonts w:hint="eastAsia" w:ascii="仿宋" w:hAnsi="仿宋" w:eastAsia="仿宋" w:cs="仿宋"/>
          <w:b/>
          <w:bCs w:val="0"/>
          <w:color w:val="auto"/>
          <w:sz w:val="28"/>
          <w:szCs w:val="28"/>
          <w:highlight w:val="none"/>
        </w:rPr>
        <w:t>条 特别约定</w:t>
      </w:r>
    </w:p>
    <w:p w14:paraId="34BC9185">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.1甲乙双方必须严格遵守国家法律、</w:t>
      </w:r>
      <w:r>
        <w:rPr>
          <w:rFonts w:hint="eastAsia" w:ascii="仿宋" w:hAnsi="仿宋" w:eastAsia="仿宋" w:cs="仿宋"/>
          <w:color w:val="auto"/>
          <w:sz w:val="28"/>
          <w:szCs w:val="28"/>
          <w:highlight w:val="none"/>
          <w:lang w:val="en-US" w:eastAsia="zh-CN"/>
        </w:rPr>
        <w:t>法规</w:t>
      </w:r>
      <w:r>
        <w:rPr>
          <w:rFonts w:hint="eastAsia" w:ascii="仿宋" w:hAnsi="仿宋" w:eastAsia="仿宋" w:cs="仿宋"/>
          <w:color w:val="auto"/>
          <w:sz w:val="28"/>
          <w:szCs w:val="28"/>
          <w:highlight w:val="none"/>
        </w:rPr>
        <w:t>和相关政策</w:t>
      </w:r>
      <w:r>
        <w:rPr>
          <w:rFonts w:hint="eastAsia" w:ascii="仿宋" w:hAnsi="仿宋" w:eastAsia="仿宋" w:cs="仿宋"/>
          <w:color w:val="auto"/>
          <w:sz w:val="28"/>
          <w:szCs w:val="28"/>
          <w:highlight w:val="none"/>
          <w:lang w:val="en-US" w:eastAsia="zh-CN"/>
        </w:rPr>
        <w:t>的规定</w:t>
      </w:r>
      <w:r>
        <w:rPr>
          <w:rFonts w:hint="eastAsia" w:ascii="仿宋" w:hAnsi="仿宋" w:eastAsia="仿宋" w:cs="仿宋"/>
          <w:color w:val="auto"/>
          <w:sz w:val="28"/>
          <w:szCs w:val="28"/>
          <w:highlight w:val="none"/>
        </w:rPr>
        <w:t>，诚实守信，严格执行双方确定的合同。甲方工作人员不得以任何形式向乙方索要和收受回扣等好处费。乙方不得向甲方工作人员送“红包”，如遇甲方工作人员提出索要好处费等违规要求，乙方应坚决予以拒绝。</w:t>
      </w:r>
    </w:p>
    <w:p w14:paraId="65195480">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.2乙方不可擅自接收甲方除</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采购</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部门以外的部门及个人订单，否则甲方可单方面解除合同并取消其在甲方的继续供应权。</w:t>
      </w:r>
    </w:p>
    <w:p w14:paraId="31A34D97">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6.3乙方应严格遵守</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规定，如有违反其规定的情形，甲方有权按照</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w:t>
      </w:r>
      <w:r>
        <w:rPr>
          <w:rFonts w:hint="eastAsia" w:ascii="仿宋" w:hAnsi="仿宋" w:eastAsia="仿宋" w:cs="仿宋"/>
          <w:color w:val="auto"/>
          <w:sz w:val="28"/>
          <w:szCs w:val="28"/>
          <w:highlight w:val="none"/>
          <w:lang w:val="en-US" w:eastAsia="zh-CN"/>
        </w:rPr>
        <w:t>对乙方进行处理，乙方应无条件接受。</w:t>
      </w:r>
    </w:p>
    <w:p w14:paraId="13056E6A">
      <w:pPr>
        <w:pageBreakBefore w:val="0"/>
        <w:numPr>
          <w:ilvl w:val="0"/>
          <w:numId w:val="0"/>
        </w:numPr>
        <w:kinsoku/>
        <w:wordWrap/>
        <w:overflowPunct/>
        <w:topLinePunct w:val="0"/>
        <w:autoSpaceDE/>
        <w:autoSpaceDN/>
        <w:bidi w:val="0"/>
        <w:adjustRightInd/>
        <w:snapToGrid/>
        <w:spacing w:before="0" w:after="0" w:line="360" w:lineRule="auto"/>
        <w:ind w:leftChars="0" w:firstLine="562" w:firstLineChars="200"/>
        <w:jc w:val="both"/>
        <w:textAlignment w:val="auto"/>
        <w:outlineLvl w:val="9"/>
        <w:rPr>
          <w:rFonts w:hint="eastAsia" w:ascii="仿宋" w:hAnsi="仿宋" w:eastAsia="仿宋" w:cs="仿宋"/>
          <w:color w:val="auto"/>
          <w:sz w:val="28"/>
          <w:szCs w:val="28"/>
          <w:highlight w:val="none"/>
          <w:lang w:val="en-US" w:eastAsia="zh-CN"/>
        </w:rPr>
      </w:pPr>
      <w:r>
        <w:rPr>
          <w:rStyle w:val="57"/>
          <w:rFonts w:hint="eastAsia" w:ascii="仿宋" w:hAnsi="仿宋" w:eastAsia="仿宋" w:cs="仿宋"/>
          <w:b/>
          <w:bCs w:val="0"/>
          <w:color w:val="auto"/>
          <w:sz w:val="28"/>
          <w:szCs w:val="28"/>
          <w:highlight w:val="none"/>
        </w:rPr>
        <w:t>第</w:t>
      </w:r>
      <w:r>
        <w:rPr>
          <w:rStyle w:val="57"/>
          <w:rFonts w:hint="eastAsia" w:ascii="仿宋" w:hAnsi="仿宋" w:eastAsia="仿宋" w:cs="仿宋"/>
          <w:b/>
          <w:bCs w:val="0"/>
          <w:color w:val="auto"/>
          <w:sz w:val="28"/>
          <w:szCs w:val="28"/>
          <w:highlight w:val="none"/>
          <w:lang w:val="en-US" w:eastAsia="zh-CN"/>
        </w:rPr>
        <w:t>7</w:t>
      </w:r>
      <w:r>
        <w:rPr>
          <w:rStyle w:val="57"/>
          <w:rFonts w:hint="eastAsia" w:ascii="仿宋" w:hAnsi="仿宋" w:eastAsia="仿宋" w:cs="仿宋"/>
          <w:b/>
          <w:bCs w:val="0"/>
          <w:color w:val="auto"/>
          <w:sz w:val="28"/>
          <w:szCs w:val="28"/>
          <w:highlight w:val="none"/>
        </w:rPr>
        <w:t xml:space="preserve">条 </w:t>
      </w:r>
      <w:r>
        <w:rPr>
          <w:rStyle w:val="57"/>
          <w:rFonts w:hint="eastAsia" w:ascii="仿宋" w:hAnsi="仿宋" w:eastAsia="仿宋" w:cs="仿宋"/>
          <w:b/>
          <w:bCs w:val="0"/>
          <w:color w:val="auto"/>
          <w:sz w:val="28"/>
          <w:szCs w:val="28"/>
          <w:highlight w:val="none"/>
          <w:lang w:val="en-US" w:eastAsia="zh-CN"/>
        </w:rPr>
        <w:t>违约责任及索赔条款</w:t>
      </w:r>
    </w:p>
    <w:p w14:paraId="6CB5EFC5">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.1如果乙方没有按照合同约定或甲方通知要求的时间交货或因为产品质量不合格造成交货日期延误的（战争、地震及海啸等不可抗拒力量下除外），甲方可从乙方的货款中扣除延期违约金，每延期一日，按应交付</w:t>
      </w:r>
      <w:r>
        <w:rPr>
          <w:rFonts w:hint="eastAsia" w:ascii="仿宋" w:hAnsi="仿宋" w:eastAsia="仿宋" w:cs="仿宋"/>
          <w:color w:val="auto"/>
          <w:sz w:val="28"/>
          <w:szCs w:val="28"/>
          <w:highlight w:val="none"/>
          <w:lang w:val="en-US" w:eastAsia="zh-CN"/>
        </w:rPr>
        <w:t>该批次产品总价款的</w:t>
      </w:r>
      <w:r>
        <w:rPr>
          <w:rFonts w:hint="eastAsia" w:ascii="仿宋" w:hAnsi="仿宋" w:eastAsia="仿宋" w:cs="仿宋"/>
          <w:color w:val="auto"/>
          <w:sz w:val="28"/>
          <w:szCs w:val="28"/>
          <w:highlight w:val="none"/>
          <w:u w:val="single"/>
          <w:lang w:val="en-US" w:eastAsia="zh-CN"/>
        </w:rPr>
        <w:t xml:space="preserve"> 0.05 </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计收，但延期违约金的最高限额不超过</w:t>
      </w:r>
      <w:r>
        <w:rPr>
          <w:rFonts w:hint="eastAsia" w:ascii="仿宋" w:hAnsi="仿宋" w:eastAsia="仿宋" w:cs="仿宋"/>
          <w:color w:val="auto"/>
          <w:sz w:val="28"/>
          <w:szCs w:val="28"/>
          <w:highlight w:val="none"/>
          <w:lang w:val="en-US" w:eastAsia="zh-CN"/>
        </w:rPr>
        <w:t>该批次产品总价款的</w:t>
      </w:r>
      <w:r>
        <w:rPr>
          <w:rFonts w:hint="eastAsia" w:ascii="仿宋" w:hAnsi="仿宋" w:eastAsia="仿宋" w:cs="仿宋"/>
          <w:color w:val="auto"/>
          <w:sz w:val="28"/>
          <w:szCs w:val="28"/>
          <w:highlight w:val="none"/>
        </w:rPr>
        <w:t>20%，一旦达到延期违约金的最高限额，甲方有权终止合同。</w:t>
      </w:r>
    </w:p>
    <w:p w14:paraId="650DB951">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2乙方提供产品质量不合格或不满足合同的约定或甲方的实际需要，甲方有权要求乙方按照</w:t>
      </w:r>
      <w:r>
        <w:rPr>
          <w:rFonts w:hint="eastAsia" w:ascii="仿宋" w:hAnsi="仿宋" w:eastAsia="仿宋" w:cs="仿宋"/>
          <w:color w:val="auto"/>
          <w:sz w:val="28"/>
          <w:szCs w:val="28"/>
          <w:highlight w:val="none"/>
        </w:rPr>
        <w:t>下列一种或多种方式解决：</w:t>
      </w:r>
    </w:p>
    <w:p w14:paraId="4FCED2D9">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7.2.1甲方有权</w:t>
      </w:r>
      <w:r>
        <w:rPr>
          <w:rFonts w:hint="eastAsia" w:ascii="仿宋" w:hAnsi="仿宋" w:eastAsia="仿宋" w:cs="仿宋"/>
          <w:color w:val="auto"/>
          <w:sz w:val="28"/>
          <w:szCs w:val="28"/>
          <w:highlight w:val="none"/>
          <w:lang w:eastAsia="zh-CN"/>
        </w:rPr>
        <w:t>拒绝接收不合格产品，乙方</w:t>
      </w:r>
      <w:r>
        <w:rPr>
          <w:rFonts w:hint="eastAsia" w:ascii="仿宋" w:hAnsi="仿宋" w:eastAsia="仿宋" w:cs="仿宋"/>
          <w:color w:val="auto"/>
          <w:sz w:val="28"/>
          <w:szCs w:val="28"/>
          <w:highlight w:val="none"/>
          <w:lang w:val="en-US" w:eastAsia="zh-CN"/>
        </w:rPr>
        <w:t>应</w:t>
      </w:r>
      <w:r>
        <w:rPr>
          <w:rFonts w:hint="eastAsia" w:ascii="仿宋" w:hAnsi="仿宋" w:eastAsia="仿宋" w:cs="仿宋"/>
          <w:color w:val="auto"/>
          <w:sz w:val="28"/>
          <w:szCs w:val="28"/>
          <w:highlight w:val="none"/>
          <w:lang w:eastAsia="zh-CN"/>
        </w:rPr>
        <w:t>按照甲方要求无条件更换、补足</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lang w:eastAsia="zh-CN"/>
        </w:rPr>
        <w:t>修理，由此产生的费用由乙方承担，因此延误交货期的乙方承担相应的违约责任，</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逾期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日仍未更换、</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lang w:eastAsia="zh-CN"/>
        </w:rPr>
        <w:t>或更换、</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lang w:eastAsia="zh-CN"/>
        </w:rPr>
        <w:t>后仍不符合合同约定的，甲方有权选择单方解除本合同或部分解除本合同。</w:t>
      </w:r>
    </w:p>
    <w:p w14:paraId="1834788D">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同意甲方退货并将全额货款</w:t>
      </w:r>
      <w:r>
        <w:rPr>
          <w:rFonts w:hint="eastAsia" w:ascii="仿宋" w:hAnsi="仿宋" w:eastAsia="仿宋" w:cs="仿宋"/>
          <w:color w:val="auto"/>
          <w:sz w:val="28"/>
          <w:szCs w:val="28"/>
          <w:highlight w:val="none"/>
          <w:lang w:val="en-US" w:eastAsia="zh-CN"/>
        </w:rPr>
        <w:t>在5日内日</w:t>
      </w:r>
      <w:r>
        <w:rPr>
          <w:rFonts w:hint="eastAsia" w:ascii="仿宋" w:hAnsi="仿宋" w:eastAsia="仿宋" w:cs="仿宋"/>
          <w:color w:val="auto"/>
          <w:sz w:val="28"/>
          <w:szCs w:val="28"/>
          <w:highlight w:val="none"/>
        </w:rPr>
        <w:t>退还甲方，并负担因退货而发生的一切直接损失和费用。</w:t>
      </w:r>
      <w:r>
        <w:rPr>
          <w:rFonts w:hint="eastAsia" w:ascii="仿宋" w:hAnsi="仿宋" w:eastAsia="仿宋" w:cs="仿宋"/>
          <w:color w:val="auto"/>
          <w:sz w:val="28"/>
          <w:szCs w:val="28"/>
          <w:highlight w:val="none"/>
          <w:lang w:val="en-US" w:eastAsia="zh-CN"/>
        </w:rPr>
        <w:t>产品</w:t>
      </w:r>
      <w:r>
        <w:rPr>
          <w:rFonts w:hint="eastAsia" w:ascii="仿宋" w:hAnsi="仿宋" w:eastAsia="仿宋" w:cs="仿宋"/>
          <w:color w:val="auto"/>
          <w:sz w:val="28"/>
          <w:szCs w:val="28"/>
          <w:highlight w:val="none"/>
        </w:rPr>
        <w:t>无法退货的，乙方应当向甲方支付</w:t>
      </w:r>
      <w:r>
        <w:rPr>
          <w:rFonts w:hint="eastAsia" w:ascii="仿宋" w:hAnsi="仿宋" w:eastAsia="仿宋" w:cs="仿宋"/>
          <w:color w:val="auto"/>
          <w:sz w:val="28"/>
          <w:szCs w:val="28"/>
          <w:highlight w:val="none"/>
          <w:lang w:val="en-US" w:eastAsia="zh-CN"/>
        </w:rPr>
        <w:t>本批次产品</w:t>
      </w:r>
      <w:r>
        <w:rPr>
          <w:rFonts w:hint="eastAsia" w:ascii="仿宋" w:hAnsi="仿宋" w:eastAsia="仿宋" w:cs="仿宋"/>
          <w:color w:val="auto"/>
          <w:sz w:val="28"/>
          <w:szCs w:val="28"/>
          <w:highlight w:val="none"/>
        </w:rPr>
        <w:t>总金额的</w:t>
      </w:r>
      <w:r>
        <w:rPr>
          <w:rFonts w:hint="eastAsia" w:ascii="仿宋" w:hAnsi="仿宋" w:eastAsia="仿宋" w:cs="仿宋"/>
          <w:color w:val="auto"/>
          <w:sz w:val="28"/>
          <w:szCs w:val="28"/>
          <w:highlight w:val="none"/>
          <w:u w:val="single"/>
        </w:rPr>
        <w:t>10%</w:t>
      </w:r>
      <w:r>
        <w:rPr>
          <w:rFonts w:hint="eastAsia" w:ascii="仿宋" w:hAnsi="仿宋" w:eastAsia="仿宋" w:cs="仿宋"/>
          <w:color w:val="auto"/>
          <w:sz w:val="28"/>
          <w:szCs w:val="28"/>
          <w:highlight w:val="none"/>
        </w:rPr>
        <w:t>作为违约金</w:t>
      </w:r>
      <w:r>
        <w:rPr>
          <w:rFonts w:hint="eastAsia" w:ascii="仿宋" w:hAnsi="仿宋" w:eastAsia="仿宋" w:cs="仿宋"/>
          <w:color w:val="auto"/>
          <w:sz w:val="28"/>
          <w:szCs w:val="28"/>
          <w:highlight w:val="none"/>
          <w:lang w:eastAsia="zh-CN"/>
        </w:rPr>
        <w:t>。</w:t>
      </w:r>
    </w:p>
    <w:p w14:paraId="3A5BC9C9">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根据本产品的质量状况以及甲方所遭受的损失，经过甲乙双方商定降低本产品的价格。</w:t>
      </w:r>
    </w:p>
    <w:p w14:paraId="6C47C2E6">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甲方按《</w:t>
      </w:r>
      <w:r>
        <w:rPr>
          <w:rFonts w:hint="eastAsia" w:ascii="仿宋" w:hAnsi="仿宋" w:eastAsia="仿宋" w:cs="仿宋"/>
          <w:color w:val="auto"/>
          <w:sz w:val="28"/>
          <w:szCs w:val="28"/>
          <w:highlight w:val="none"/>
          <w:lang w:val="en-US" w:eastAsia="zh-CN"/>
        </w:rPr>
        <w:t>威海市水务集团有限公司</w:t>
      </w:r>
      <w:r>
        <w:rPr>
          <w:rFonts w:hint="eastAsia" w:ascii="仿宋" w:hAnsi="仿宋" w:eastAsia="仿宋" w:cs="仿宋"/>
          <w:color w:val="auto"/>
          <w:sz w:val="28"/>
          <w:szCs w:val="28"/>
          <w:highlight w:val="none"/>
        </w:rPr>
        <w:t>供应商管理办法》对乙方进行处理。乙方应缴纳质量违约金，质量违约金为问题批次款项的五倍。</w:t>
      </w:r>
    </w:p>
    <w:p w14:paraId="746B3A44">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乙方逾期未按</w:t>
      </w:r>
      <w:r>
        <w:rPr>
          <w:rFonts w:hint="eastAsia" w:ascii="仿宋" w:hAnsi="仿宋" w:eastAsia="仿宋" w:cs="仿宋"/>
          <w:color w:val="auto"/>
          <w:sz w:val="28"/>
          <w:szCs w:val="28"/>
          <w:highlight w:val="none"/>
          <w:lang w:val="en-US" w:eastAsia="zh-CN"/>
        </w:rPr>
        <w:t>本合同7.2.1</w:t>
      </w:r>
      <w:r>
        <w:rPr>
          <w:rFonts w:hint="eastAsia" w:ascii="仿宋" w:hAnsi="仿宋" w:eastAsia="仿宋" w:cs="仿宋"/>
          <w:color w:val="auto"/>
          <w:sz w:val="28"/>
          <w:szCs w:val="28"/>
          <w:highlight w:val="none"/>
        </w:rPr>
        <w:t>约定进行更换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rPr>
        <w:t>或更换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w:t>
      </w:r>
      <w:r>
        <w:rPr>
          <w:rFonts w:hint="eastAsia" w:ascii="仿宋" w:hAnsi="仿宋" w:eastAsia="仿宋" w:cs="仿宋"/>
          <w:color w:val="auto"/>
          <w:sz w:val="28"/>
          <w:szCs w:val="28"/>
          <w:highlight w:val="none"/>
        </w:rPr>
        <w:t>后仍不符合合同约定的，甲方有权自行或委托第三人进行更换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补足或维修或其他服务</w:t>
      </w:r>
      <w:r>
        <w:rPr>
          <w:rFonts w:hint="eastAsia" w:ascii="仿宋" w:hAnsi="仿宋" w:eastAsia="仿宋" w:cs="仿宋"/>
          <w:color w:val="auto"/>
          <w:sz w:val="28"/>
          <w:szCs w:val="28"/>
          <w:highlight w:val="none"/>
        </w:rPr>
        <w:t>，由此产生的费用由乙方承担。经过甲方或第三人更换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补足或</w:t>
      </w:r>
      <w:r>
        <w:rPr>
          <w:rFonts w:hint="eastAsia" w:ascii="仿宋" w:hAnsi="仿宋" w:eastAsia="仿宋" w:cs="仿宋"/>
          <w:color w:val="auto"/>
          <w:sz w:val="28"/>
          <w:szCs w:val="28"/>
          <w:highlight w:val="none"/>
        </w:rPr>
        <w:t>维修后的产品，乙方继续按本合同约定承担质量保修责任。乙方未及时履行保修义务导致的损失均由乙方承担。</w:t>
      </w:r>
      <w:r>
        <w:rPr>
          <w:rFonts w:hint="eastAsia" w:ascii="仿宋" w:hAnsi="仿宋" w:eastAsia="仿宋" w:cs="仿宋"/>
          <w:color w:val="auto"/>
          <w:sz w:val="28"/>
          <w:szCs w:val="28"/>
          <w:highlight w:val="none"/>
          <w:lang w:val="en-US" w:eastAsia="zh-CN"/>
        </w:rPr>
        <w:t>甲方有权从乙方应付款项中直接扣除相应费用，如果乙方应付款项不足以支付该费用，乙方应予以现金补足。</w:t>
      </w:r>
    </w:p>
    <w:p w14:paraId="1F696B6F">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7.3乙方未按照合同的约定完成售后服务，每出现一次，乙方应向甲方支付该批次产品价款</w:t>
      </w:r>
      <w:r>
        <w:rPr>
          <w:rFonts w:hint="eastAsia" w:ascii="仿宋" w:hAnsi="仿宋" w:eastAsia="仿宋" w:cs="仿宋"/>
          <w:color w:val="auto"/>
          <w:sz w:val="28"/>
          <w:szCs w:val="28"/>
          <w:highlight w:val="none"/>
          <w:u w:val="single"/>
          <w:lang w:val="en-US" w:eastAsia="zh-CN"/>
        </w:rPr>
        <w:t xml:space="preserve"> 10 </w:t>
      </w:r>
      <w:r>
        <w:rPr>
          <w:rFonts w:hint="eastAsia" w:ascii="仿宋" w:hAnsi="仿宋" w:eastAsia="仿宋" w:cs="仿宋"/>
          <w:color w:val="auto"/>
          <w:sz w:val="28"/>
          <w:szCs w:val="28"/>
          <w:highlight w:val="none"/>
          <w:lang w:val="en-US" w:eastAsia="zh-CN"/>
        </w:rPr>
        <w:t>%的违约金。上述情况出现2次，甲方有权解除合同并要求乙方承担损失。</w:t>
      </w:r>
    </w:p>
    <w:p w14:paraId="79220CCD">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乙方对其交付产品的质量承担保证责任，因产品生产工艺、材料缺陷、安装不当等原因发生质量故障的，无论产品</w:t>
      </w:r>
      <w:r>
        <w:rPr>
          <w:rFonts w:hint="eastAsia" w:ascii="仿宋" w:hAnsi="仿宋" w:eastAsia="仿宋" w:cs="仿宋"/>
          <w:color w:val="auto"/>
          <w:sz w:val="28"/>
          <w:szCs w:val="28"/>
          <w:highlight w:val="none"/>
          <w:lang w:val="en-US" w:eastAsia="zh-CN"/>
        </w:rPr>
        <w:t>是否在</w:t>
      </w:r>
      <w:r>
        <w:rPr>
          <w:rFonts w:hint="eastAsia" w:ascii="仿宋" w:hAnsi="仿宋" w:eastAsia="仿宋" w:cs="仿宋"/>
          <w:color w:val="auto"/>
          <w:sz w:val="28"/>
          <w:szCs w:val="28"/>
          <w:highlight w:val="none"/>
        </w:rPr>
        <w:t>保修期</w:t>
      </w:r>
      <w:r>
        <w:rPr>
          <w:rFonts w:hint="eastAsia" w:ascii="仿宋" w:hAnsi="仿宋" w:eastAsia="仿宋" w:cs="仿宋"/>
          <w:color w:val="auto"/>
          <w:sz w:val="28"/>
          <w:szCs w:val="28"/>
          <w:highlight w:val="none"/>
          <w:lang w:val="en-US" w:eastAsia="zh-CN"/>
        </w:rPr>
        <w:t>内</w:t>
      </w:r>
      <w:r>
        <w:rPr>
          <w:rFonts w:hint="eastAsia" w:ascii="仿宋" w:hAnsi="仿宋" w:eastAsia="仿宋" w:cs="仿宋"/>
          <w:color w:val="auto"/>
          <w:sz w:val="28"/>
          <w:szCs w:val="28"/>
          <w:highlight w:val="none"/>
        </w:rPr>
        <w:t>，均由乙方承担责任，赔偿由此给甲方、第三人造成的全部损失。</w:t>
      </w:r>
    </w:p>
    <w:p w14:paraId="2EAD3669">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7.5</w:t>
      </w:r>
      <w:r>
        <w:rPr>
          <w:rFonts w:hint="eastAsia" w:ascii="仿宋" w:hAnsi="仿宋" w:eastAsia="仿宋" w:cs="仿宋"/>
          <w:color w:val="auto"/>
          <w:sz w:val="28"/>
          <w:szCs w:val="28"/>
          <w:highlight w:val="none"/>
        </w:rPr>
        <w:t>乙方应保证甲方和使用部门在使用该产品或其任何一部分时</w:t>
      </w:r>
      <w:r>
        <w:rPr>
          <w:rFonts w:hint="eastAsia" w:ascii="仿宋" w:hAnsi="仿宋" w:eastAsia="仿宋" w:cs="仿宋"/>
          <w:color w:val="auto"/>
          <w:sz w:val="28"/>
          <w:szCs w:val="28"/>
          <w:highlight w:val="none"/>
          <w:lang w:eastAsia="zh-CN"/>
        </w:rPr>
        <w:t>，不会因此侵犯到第三人的所有权、知识产权等一切权利，属于第三人拥有知识产权的已经取得第三人合法授权，甲方有权不受限制地使用。</w:t>
      </w:r>
      <w:r>
        <w:rPr>
          <w:rFonts w:hint="eastAsia" w:ascii="仿宋" w:hAnsi="仿宋" w:eastAsia="仿宋" w:cs="仿宋"/>
          <w:color w:val="auto"/>
          <w:sz w:val="28"/>
          <w:szCs w:val="28"/>
          <w:highlight w:val="none"/>
          <w:lang w:val="en-US" w:eastAsia="zh-CN"/>
        </w:rPr>
        <w:t>如果任何第三方提出关于知识产权侵权指控均与甲方无关，乙方需与第三方交涉并承担可能发生的一切责任与费用（包括但不限于诉讼费、律师费、公证费、保全费、担保费、鉴定费、评估费、赔偿费等全部费用）。</w:t>
      </w:r>
      <w:r>
        <w:rPr>
          <w:rFonts w:hint="eastAsia" w:ascii="仿宋" w:hAnsi="仿宋" w:eastAsia="仿宋" w:cs="仿宋"/>
          <w:color w:val="auto"/>
          <w:sz w:val="28"/>
          <w:szCs w:val="28"/>
          <w:highlight w:val="none"/>
        </w:rPr>
        <w:t>如果不能取得使用许可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需要另行购买产品的，所需费用由乙方承担，并赔偿甲方因此受到的损失。</w:t>
      </w:r>
    </w:p>
    <w:p w14:paraId="1DCCDB80">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7.6乙方违反本合同约定或</w:t>
      </w:r>
      <w:r>
        <w:rPr>
          <w:rFonts w:hint="eastAsia" w:ascii="仿宋" w:hAnsi="仿宋" w:eastAsia="仿宋" w:cs="仿宋"/>
          <w:color w:val="auto"/>
          <w:sz w:val="28"/>
          <w:szCs w:val="28"/>
          <w:highlight w:val="none"/>
        </w:rPr>
        <w:t>法律、</w:t>
      </w:r>
      <w:r>
        <w:rPr>
          <w:rFonts w:hint="eastAsia" w:ascii="仿宋" w:hAnsi="仿宋" w:eastAsia="仿宋" w:cs="仿宋"/>
          <w:color w:val="auto"/>
          <w:sz w:val="28"/>
          <w:szCs w:val="28"/>
          <w:highlight w:val="none"/>
          <w:lang w:val="en-US" w:eastAsia="zh-CN"/>
        </w:rPr>
        <w:t>法规</w:t>
      </w:r>
      <w:r>
        <w:rPr>
          <w:rFonts w:hint="eastAsia" w:ascii="仿宋" w:hAnsi="仿宋" w:eastAsia="仿宋" w:cs="仿宋"/>
          <w:color w:val="auto"/>
          <w:sz w:val="28"/>
          <w:szCs w:val="28"/>
          <w:highlight w:val="none"/>
        </w:rPr>
        <w:t>和相关政策</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规定，应当赔偿给甲方造成的全部损失，包括但不限于直接损失、预期利益损失、甲方向第三人支付的违约金、赔偿金及甲方为索赔支出的诉讼费、律师费、公证费、保全费、担保费、鉴定费、评估费等全部费用。</w:t>
      </w:r>
    </w:p>
    <w:p w14:paraId="75BA6688">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7.7本合同签订及履行过程中，未经甲方书面同意，乙方不得将本合同的权利义务以任何方式转让给第三人，否则甲方有权选择单方解除本合同并要求乙方支付合同总价款的</w:t>
      </w:r>
      <w:r>
        <w:rPr>
          <w:rFonts w:hint="eastAsia" w:ascii="仿宋" w:hAnsi="仿宋" w:eastAsia="仿宋" w:cs="仿宋"/>
          <w:color w:val="auto"/>
          <w:sz w:val="28"/>
          <w:szCs w:val="28"/>
          <w:highlight w:val="none"/>
          <w:u w:val="single"/>
          <w:lang w:val="en-US" w:eastAsia="zh-CN"/>
        </w:rPr>
        <w:t>20%</w:t>
      </w:r>
      <w:r>
        <w:rPr>
          <w:rFonts w:hint="eastAsia" w:ascii="仿宋" w:hAnsi="仿宋" w:eastAsia="仿宋" w:cs="仿宋"/>
          <w:color w:val="auto"/>
          <w:sz w:val="28"/>
          <w:szCs w:val="28"/>
          <w:highlight w:val="none"/>
          <w:lang w:val="en-US" w:eastAsia="zh-CN"/>
        </w:rPr>
        <w:t>作为违约金。</w:t>
      </w:r>
    </w:p>
    <w:p w14:paraId="0889B5C0">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7.8本合同签订后，乙方在合同履行期间无不正当理由单方面解除合同的(或明确表示不履约或其行为表明不再履行合同的)，视为乙方严重违约，甲方有权解除合同，乙方需支付签约合同总价款的</w:t>
      </w:r>
      <w:r>
        <w:rPr>
          <w:rFonts w:hint="eastAsia" w:ascii="仿宋" w:hAnsi="仿宋" w:eastAsia="仿宋" w:cs="仿宋"/>
          <w:color w:val="auto"/>
          <w:sz w:val="28"/>
          <w:szCs w:val="28"/>
          <w:highlight w:val="none"/>
          <w:u w:val="single"/>
          <w:lang w:val="en-US" w:eastAsia="zh-CN"/>
        </w:rPr>
        <w:t>20%</w:t>
      </w:r>
      <w:r>
        <w:rPr>
          <w:rFonts w:hint="eastAsia" w:ascii="仿宋" w:hAnsi="仿宋" w:eastAsia="仿宋" w:cs="仿宋"/>
          <w:color w:val="auto"/>
          <w:sz w:val="28"/>
          <w:szCs w:val="28"/>
          <w:highlight w:val="none"/>
          <w:u w:val="none"/>
          <w:lang w:val="en-US" w:eastAsia="zh-CN"/>
        </w:rPr>
        <w:t>作为</w:t>
      </w:r>
      <w:r>
        <w:rPr>
          <w:rFonts w:hint="eastAsia" w:ascii="仿宋" w:hAnsi="仿宋" w:eastAsia="仿宋" w:cs="仿宋"/>
          <w:color w:val="auto"/>
          <w:sz w:val="28"/>
          <w:szCs w:val="28"/>
          <w:highlight w:val="none"/>
          <w:lang w:val="en-US" w:eastAsia="zh-CN"/>
        </w:rPr>
        <w:t>违约金，给甲方造成损失的，乙方还应另行赔付甲方的实际损失。</w:t>
      </w:r>
    </w:p>
    <w:p w14:paraId="5DC252F7">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7.9甲方逾期付款的，每逾期一日，甲方按照1年期贷款市场报价利率计算违约金。</w:t>
      </w:r>
    </w:p>
    <w:p w14:paraId="545C44EB">
      <w:pPr>
        <w:pageBreakBefore w:val="0"/>
        <w:numPr>
          <w:ilvl w:val="0"/>
          <w:numId w:val="0"/>
        </w:numPr>
        <w:kinsoku/>
        <w:wordWrap/>
        <w:overflowPunct/>
        <w:topLinePunct w:val="0"/>
        <w:autoSpaceDE/>
        <w:autoSpaceDN/>
        <w:bidi w:val="0"/>
        <w:adjustRightInd/>
        <w:snapToGrid/>
        <w:spacing w:before="0" w:after="0" w:line="360" w:lineRule="auto"/>
        <w:ind w:leftChars="0" w:firstLine="562" w:firstLineChars="200"/>
        <w:jc w:val="both"/>
        <w:textAlignment w:val="auto"/>
        <w:outlineLvl w:val="9"/>
        <w:rPr>
          <w:rFonts w:hint="eastAsia" w:ascii="仿宋" w:hAnsi="仿宋" w:eastAsia="仿宋" w:cs="仿宋"/>
          <w:color w:val="auto"/>
          <w:sz w:val="28"/>
          <w:szCs w:val="28"/>
          <w:highlight w:val="none"/>
        </w:rPr>
      </w:pPr>
      <w:r>
        <w:rPr>
          <w:rStyle w:val="57"/>
          <w:rFonts w:hint="eastAsia" w:ascii="仿宋" w:hAnsi="仿宋" w:eastAsia="仿宋" w:cs="仿宋"/>
          <w:b/>
          <w:bCs w:val="0"/>
          <w:color w:val="auto"/>
          <w:sz w:val="28"/>
          <w:szCs w:val="28"/>
          <w:highlight w:val="none"/>
        </w:rPr>
        <w:t>第</w:t>
      </w:r>
      <w:r>
        <w:rPr>
          <w:rStyle w:val="57"/>
          <w:rFonts w:hint="eastAsia" w:ascii="仿宋" w:hAnsi="仿宋" w:eastAsia="仿宋" w:cs="仿宋"/>
          <w:b/>
          <w:bCs w:val="0"/>
          <w:color w:val="auto"/>
          <w:sz w:val="28"/>
          <w:szCs w:val="28"/>
          <w:highlight w:val="none"/>
          <w:lang w:val="en-US" w:eastAsia="zh-CN"/>
        </w:rPr>
        <w:t>8</w:t>
      </w:r>
      <w:r>
        <w:rPr>
          <w:rStyle w:val="57"/>
          <w:rFonts w:hint="eastAsia" w:ascii="仿宋" w:hAnsi="仿宋" w:eastAsia="仿宋" w:cs="仿宋"/>
          <w:b/>
          <w:bCs w:val="0"/>
          <w:color w:val="auto"/>
          <w:sz w:val="28"/>
          <w:szCs w:val="28"/>
          <w:highlight w:val="none"/>
        </w:rPr>
        <w:t>条 争端的解决</w:t>
      </w:r>
    </w:p>
    <w:p w14:paraId="019C4DF4">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8.1本合同的签订、解释及其在履行过程中出现的、或与本合同有关的纠纷的解决，受中华人民共和国现行有效的法律约束。</w:t>
      </w:r>
    </w:p>
    <w:p w14:paraId="0E1DD21C">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8.2</w:t>
      </w:r>
      <w:r>
        <w:rPr>
          <w:rFonts w:hint="eastAsia" w:ascii="仿宋" w:hAnsi="仿宋" w:eastAsia="仿宋" w:cs="仿宋"/>
          <w:color w:val="auto"/>
          <w:sz w:val="28"/>
          <w:szCs w:val="28"/>
          <w:highlight w:val="none"/>
        </w:rPr>
        <w:t>因本合同引起的或与本合同有关的任何争议，由合同各方协商解决，也可由有关部门调解。协商或调解不成的，应向</w:t>
      </w:r>
      <w:r>
        <w:rPr>
          <w:rFonts w:hint="eastAsia" w:ascii="仿宋" w:hAnsi="仿宋" w:eastAsia="仿宋" w:cs="仿宋"/>
          <w:color w:val="auto"/>
          <w:sz w:val="28"/>
          <w:szCs w:val="28"/>
          <w:highlight w:val="none"/>
          <w:u w:val="single"/>
        </w:rPr>
        <w:t> 甲方 </w:t>
      </w:r>
      <w:r>
        <w:rPr>
          <w:rFonts w:hint="eastAsia" w:ascii="仿宋" w:hAnsi="仿宋" w:eastAsia="仿宋" w:cs="仿宋"/>
          <w:color w:val="auto"/>
          <w:sz w:val="28"/>
          <w:szCs w:val="28"/>
          <w:highlight w:val="none"/>
        </w:rPr>
        <w:t>所在地有管辖权的人民法院起诉。</w:t>
      </w:r>
    </w:p>
    <w:p w14:paraId="39A495EE">
      <w:pPr>
        <w:pageBreakBefore w:val="0"/>
        <w:tabs>
          <w:tab w:val="left" w:pos="720"/>
        </w:tabs>
        <w:kinsoku/>
        <w:wordWrap/>
        <w:overflowPunct/>
        <w:topLinePunct w:val="0"/>
        <w:autoSpaceDE/>
        <w:autoSpaceDN/>
        <w:bidi w:val="0"/>
        <w:adjustRightInd/>
        <w:snapToGrid/>
        <w:spacing w:before="0" w:after="0" w:line="360" w:lineRule="auto"/>
        <w:ind w:firstLine="562" w:firstLineChars="200"/>
        <w:textAlignment w:val="auto"/>
        <w:outlineLvl w:val="9"/>
        <w:rPr>
          <w:rFonts w:hint="eastAsia" w:ascii="仿宋" w:hAnsi="仿宋" w:eastAsia="仿宋" w:cs="仿宋"/>
          <w:sz w:val="28"/>
          <w:szCs w:val="28"/>
          <w:highlight w:val="none"/>
        </w:rPr>
      </w:pPr>
      <w:r>
        <w:rPr>
          <w:rStyle w:val="57"/>
          <w:rFonts w:hint="eastAsia" w:ascii="仿宋" w:hAnsi="仿宋" w:eastAsia="仿宋" w:cs="仿宋"/>
          <w:b/>
          <w:bCs/>
          <w:sz w:val="28"/>
          <w:szCs w:val="28"/>
          <w:highlight w:val="none"/>
        </w:rPr>
        <w:t>第9条 通知送达</w:t>
      </w:r>
    </w:p>
    <w:p w14:paraId="6752EAEA">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为更好的履行本合同，双方提供如下联系方式：</w:t>
      </w:r>
    </w:p>
    <w:p w14:paraId="6623D5D7">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9.1甲方联系方式</w:t>
      </w:r>
    </w:p>
    <w:p w14:paraId="04920E05">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邮寄地址：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306FE526">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61C81C51">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288D2609">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9.2乙方联系方式</w:t>
      </w:r>
    </w:p>
    <w:p w14:paraId="0943B15A">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邮寄地址：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7C36FC6A">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193306A0">
      <w:pPr>
        <w:pStyle w:val="5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5D7AAAD3">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双方通过上述联系方式就本合同有关事项向对方发送相关书面通知等，均视为有效送达与告知对方。无论对方是否实际查阅，上述邮寄送达地址同时作为有效司法送达地址。一方变更通知或通讯地址，应自变更之日起三日内，以书面形式通知对方；否则，由未通知方承担由此而产生的相关责任。</w:t>
      </w:r>
    </w:p>
    <w:p w14:paraId="7AF9B4AB">
      <w:pPr>
        <w:pageBreakBefore w:val="0"/>
        <w:tabs>
          <w:tab w:val="left" w:pos="720"/>
        </w:tabs>
        <w:kinsoku/>
        <w:wordWrap/>
        <w:overflowPunct/>
        <w:topLinePunct w:val="0"/>
        <w:autoSpaceDE/>
        <w:autoSpaceDN/>
        <w:bidi w:val="0"/>
        <w:adjustRightInd/>
        <w:snapToGrid/>
        <w:spacing w:before="0" w:after="0" w:line="360" w:lineRule="auto"/>
        <w:ind w:firstLine="562" w:firstLineChars="200"/>
        <w:textAlignment w:val="auto"/>
        <w:outlineLvl w:val="9"/>
        <w:rPr>
          <w:rStyle w:val="57"/>
          <w:rFonts w:hint="eastAsia" w:ascii="仿宋" w:hAnsi="仿宋" w:eastAsia="仿宋" w:cs="仿宋"/>
          <w:b/>
          <w:bCs/>
          <w:sz w:val="28"/>
          <w:szCs w:val="28"/>
          <w:highlight w:val="none"/>
        </w:rPr>
      </w:pPr>
      <w:r>
        <w:rPr>
          <w:rStyle w:val="57"/>
          <w:rFonts w:hint="eastAsia" w:ascii="仿宋" w:hAnsi="仿宋" w:eastAsia="仿宋" w:cs="仿宋"/>
          <w:b/>
          <w:bCs/>
          <w:sz w:val="28"/>
          <w:szCs w:val="28"/>
          <w:highlight w:val="none"/>
        </w:rPr>
        <w:t>第10条 不可抗力</w:t>
      </w:r>
    </w:p>
    <w:p w14:paraId="2041C3E0">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10.1不可抗力是指合同当事人在签订合同时不可预见，在合同履行过程中不可避免且不能克服的自然灾害和社会性突发事件，如地震、海啸、瘟疫、骚乱、戒严、暴动、战争和因政府重大活动或重污染天气通知暂停生产、施工以及其他情形。</w:t>
      </w:r>
    </w:p>
    <w:p w14:paraId="57563813">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10.2不可抗力发生后，合同当事人均应采取措施尽量避免和减少损失的扩大，任何一方当事人没有采取有效措施导致损失扩大的，应对扩大的损失承担责任。</w:t>
      </w:r>
    </w:p>
    <w:p w14:paraId="33D38AFD">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10.3合同一方当事人遇到不可抗力事件，使其履行合同义务受到阻碍时，应立即通知合同另一方当事人，书面说明不可抗力和受阻碍的详细情况，并提供必要的证明；不可抗力持续发生的，合同一方当事人应及时向合同另一方当事人提交中间报告，说明不可抗力和履行合同受阻的情况，并于不可抗力事件结束后28天内提交最终报告及有关资料。</w:t>
      </w:r>
    </w:p>
    <w:p w14:paraId="5F85E0A5">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10.4因不可抗力导致合同无法履行连续超过30天或累计超过90天的，甲方和乙方均有权单方面解除合同。</w:t>
      </w:r>
    </w:p>
    <w:p w14:paraId="0AA1C0EA">
      <w:pPr>
        <w:pageBreakBefore w:val="0"/>
        <w:tabs>
          <w:tab w:val="left" w:pos="720"/>
        </w:tabs>
        <w:kinsoku/>
        <w:wordWrap/>
        <w:overflowPunct/>
        <w:topLinePunct w:val="0"/>
        <w:autoSpaceDE/>
        <w:autoSpaceDN/>
        <w:bidi w:val="0"/>
        <w:adjustRightInd/>
        <w:snapToGrid/>
        <w:spacing w:before="0" w:after="0" w:line="360" w:lineRule="auto"/>
        <w:ind w:firstLine="562" w:firstLineChars="200"/>
        <w:textAlignment w:val="auto"/>
        <w:outlineLvl w:val="9"/>
        <w:rPr>
          <w:rFonts w:hint="eastAsia" w:ascii="仿宋" w:hAnsi="仿宋" w:eastAsia="仿宋" w:cs="仿宋"/>
          <w:sz w:val="28"/>
          <w:szCs w:val="28"/>
          <w:highlight w:val="none"/>
        </w:rPr>
      </w:pPr>
      <w:r>
        <w:rPr>
          <w:rStyle w:val="57"/>
          <w:rFonts w:hint="eastAsia" w:ascii="仿宋" w:hAnsi="仿宋" w:eastAsia="仿宋" w:cs="仿宋"/>
          <w:b/>
          <w:bCs/>
          <w:sz w:val="28"/>
          <w:szCs w:val="28"/>
          <w:highlight w:val="none"/>
        </w:rPr>
        <w:t>第11条 合同生效</w:t>
      </w:r>
    </w:p>
    <w:p w14:paraId="3EC5D5BC">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11.1本合同在甲、乙双方法定代表人或授权代理人签字并加盖公章后生效。</w:t>
      </w:r>
    </w:p>
    <w:p w14:paraId="15F37C19">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11.2本合同壹式:</w:t>
      </w:r>
      <w:r>
        <w:rPr>
          <w:rFonts w:hint="eastAsia" w:ascii="仿宋" w:hAnsi="仿宋" w:eastAsia="仿宋" w:cs="仿宋"/>
          <w:sz w:val="28"/>
          <w:szCs w:val="28"/>
          <w:highlight w:val="none"/>
          <w:u w:val="single"/>
        </w:rPr>
        <w:t xml:space="preserve"> 叁 </w:t>
      </w:r>
      <w:r>
        <w:rPr>
          <w:rFonts w:hint="eastAsia" w:ascii="仿宋" w:hAnsi="仿宋" w:eastAsia="仿宋" w:cs="仿宋"/>
          <w:sz w:val="28"/>
          <w:szCs w:val="28"/>
          <w:highlight w:val="none"/>
        </w:rPr>
        <w:t>份，以中文书就，签约后甲方执</w:t>
      </w:r>
      <w:r>
        <w:rPr>
          <w:rFonts w:hint="eastAsia" w:ascii="仿宋" w:hAnsi="仿宋" w:eastAsia="仿宋" w:cs="仿宋"/>
          <w:sz w:val="28"/>
          <w:szCs w:val="28"/>
          <w:highlight w:val="none"/>
          <w:u w:val="single"/>
        </w:rPr>
        <w:t xml:space="preserve"> 贰 </w:t>
      </w:r>
      <w:r>
        <w:rPr>
          <w:rFonts w:hint="eastAsia" w:ascii="仿宋" w:hAnsi="仿宋" w:eastAsia="仿宋" w:cs="仿宋"/>
          <w:sz w:val="28"/>
          <w:szCs w:val="28"/>
          <w:highlight w:val="none"/>
        </w:rPr>
        <w:t>份，乙方执</w:t>
      </w:r>
      <w:r>
        <w:rPr>
          <w:rFonts w:hint="eastAsia" w:ascii="仿宋" w:hAnsi="仿宋" w:eastAsia="仿宋" w:cs="仿宋"/>
          <w:sz w:val="28"/>
          <w:szCs w:val="28"/>
          <w:highlight w:val="none"/>
          <w:u w:val="single"/>
        </w:rPr>
        <w:t xml:space="preserve"> 壹 </w:t>
      </w:r>
      <w:r>
        <w:rPr>
          <w:rFonts w:hint="eastAsia" w:ascii="仿宋" w:hAnsi="仿宋" w:eastAsia="仿宋" w:cs="仿宋"/>
          <w:sz w:val="28"/>
          <w:szCs w:val="28"/>
          <w:highlight w:val="none"/>
        </w:rPr>
        <w:t>份，具有相同的法律效力。</w:t>
      </w:r>
    </w:p>
    <w:p w14:paraId="69267C24">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11.3在本合同有效期内，乙方销售产品的授权到期，本合同将自动终止，乙方须负责产品的保修直至质保期满为止。</w:t>
      </w:r>
    </w:p>
    <w:p w14:paraId="2E23032A">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11.4乙方未按甲方要求及时维护产品或未及时办理有关产品相关证照及登记手续的，甲方有权单方面终止本合同。</w:t>
      </w:r>
    </w:p>
    <w:p w14:paraId="12C469F5">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11.5本合同有效期自</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日至</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33E8AA2">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11.6</w:t>
      </w:r>
      <w:r>
        <w:rPr>
          <w:rFonts w:hint="eastAsia" w:ascii="仿宋" w:hAnsi="仿宋" w:eastAsia="仿宋" w:cs="仿宋"/>
          <w:sz w:val="28"/>
          <w:szCs w:val="28"/>
          <w:highlight w:val="none"/>
          <w:lang w:val="en-US" w:eastAsia="zh-CN"/>
        </w:rPr>
        <w:t>本</w:t>
      </w:r>
      <w:r>
        <w:rPr>
          <w:rFonts w:hint="eastAsia" w:ascii="仿宋" w:hAnsi="仿宋" w:eastAsia="仿宋" w:cs="仿宋"/>
          <w:sz w:val="28"/>
          <w:szCs w:val="28"/>
          <w:highlight w:val="none"/>
        </w:rPr>
        <w:t>合同终止前，已确认或完成的交易，双方仍需按照本合同的约定继续履行相应的权利和义务。</w:t>
      </w:r>
    </w:p>
    <w:p w14:paraId="2354E098">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11.7附件 信用承诺书，与本合同具有同等法律效力。</w:t>
      </w:r>
    </w:p>
    <w:p w14:paraId="52BFC08A">
      <w:pPr>
        <w:pStyle w:val="51"/>
        <w:pageBreakBefore w:val="0"/>
        <w:kinsoku/>
        <w:wordWrap/>
        <w:overflowPunct/>
        <w:topLinePunct w:val="0"/>
        <w:autoSpaceDE/>
        <w:autoSpaceDN/>
        <w:bidi w:val="0"/>
        <w:adjustRightInd/>
        <w:snapToGrid/>
        <w:spacing w:before="0" w:beforeAutospacing="0" w:after="0" w:afterAutospacing="0" w:line="360" w:lineRule="auto"/>
        <w:ind w:firstLine="560" w:firstLineChars="200"/>
        <w:textAlignment w:val="auto"/>
        <w:outlineLvl w:val="9"/>
        <w:rPr>
          <w:rStyle w:val="57"/>
          <w:rFonts w:hint="eastAsia" w:ascii="仿宋" w:hAnsi="仿宋" w:eastAsia="仿宋" w:cs="仿宋"/>
          <w:b w:val="0"/>
          <w:bCs w:val="0"/>
          <w:sz w:val="28"/>
          <w:szCs w:val="28"/>
          <w:highlight w:val="none"/>
          <w:u w:val="single"/>
        </w:rPr>
      </w:pPr>
      <w:r>
        <w:rPr>
          <w:rFonts w:hint="eastAsia" w:ascii="仿宋" w:hAnsi="仿宋" w:eastAsia="仿宋" w:cs="仿宋"/>
          <w:sz w:val="28"/>
          <w:szCs w:val="28"/>
          <w:highlight w:val="none"/>
        </w:rPr>
        <w:t>签署地点：</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36EAF07A">
      <w:pPr>
        <w:pStyle w:val="51"/>
        <w:pageBreakBefore w:val="0"/>
        <w:kinsoku/>
        <w:wordWrap/>
        <w:overflowPunct/>
        <w:topLinePunct w:val="0"/>
        <w:autoSpaceDE/>
        <w:autoSpaceDN/>
        <w:bidi w:val="0"/>
        <w:adjustRightInd/>
        <w:snapToGrid/>
        <w:spacing w:before="0" w:beforeAutospacing="0" w:after="0" w:afterAutospacing="0" w:line="360" w:lineRule="auto"/>
        <w:textAlignment w:val="auto"/>
        <w:outlineLvl w:val="9"/>
        <w:rPr>
          <w:rStyle w:val="57"/>
          <w:rFonts w:hint="eastAsia" w:ascii="仿宋" w:hAnsi="仿宋" w:eastAsia="仿宋" w:cs="仿宋"/>
          <w:sz w:val="28"/>
          <w:szCs w:val="28"/>
          <w:highlight w:val="none"/>
        </w:rPr>
      </w:pPr>
    </w:p>
    <w:p w14:paraId="7C2437E3">
      <w:pPr>
        <w:pStyle w:val="51"/>
        <w:pageBreakBefore w:val="0"/>
        <w:kinsoku/>
        <w:wordWrap/>
        <w:overflowPunct/>
        <w:topLinePunct w:val="0"/>
        <w:autoSpaceDE/>
        <w:autoSpaceDN/>
        <w:bidi w:val="0"/>
        <w:adjustRightInd/>
        <w:snapToGrid/>
        <w:spacing w:before="0" w:beforeAutospacing="0" w:after="0" w:afterAutospacing="0" w:line="360" w:lineRule="auto"/>
        <w:textAlignment w:val="auto"/>
        <w:outlineLvl w:val="9"/>
        <w:rPr>
          <w:rStyle w:val="57"/>
          <w:rFonts w:hint="eastAsia" w:ascii="仿宋" w:hAnsi="仿宋" w:eastAsia="仿宋" w:cs="仿宋"/>
          <w:sz w:val="28"/>
          <w:szCs w:val="28"/>
          <w:highlight w:val="none"/>
        </w:rPr>
      </w:pPr>
      <w:r>
        <w:rPr>
          <w:rStyle w:val="57"/>
          <w:rFonts w:hint="eastAsia" w:ascii="仿宋" w:hAnsi="仿宋" w:eastAsia="仿宋" w:cs="仿宋"/>
          <w:sz w:val="28"/>
          <w:szCs w:val="28"/>
          <w:highlight w:val="none"/>
        </w:rPr>
        <w:t xml:space="preserve">甲方（盖章）：                           </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乙方（盖章）：</w:t>
      </w:r>
    </w:p>
    <w:p w14:paraId="66C79D79">
      <w:pPr>
        <w:pStyle w:val="158"/>
        <w:pageBreakBefore w:val="0"/>
        <w:kinsoku/>
        <w:wordWrap/>
        <w:overflowPunct/>
        <w:topLinePunct w:val="0"/>
        <w:autoSpaceDE/>
        <w:autoSpaceDN/>
        <w:bidi w:val="0"/>
        <w:adjustRightInd/>
        <w:snapToGrid/>
        <w:spacing w:before="0" w:beforeAutospacing="0" w:after="0" w:afterAutospacing="0" w:line="360" w:lineRule="auto"/>
        <w:textAlignment w:val="auto"/>
        <w:outlineLvl w:val="9"/>
        <w:rPr>
          <w:rStyle w:val="57"/>
          <w:rFonts w:hint="eastAsia" w:ascii="仿宋" w:hAnsi="仿宋" w:eastAsia="仿宋" w:cs="仿宋"/>
          <w:sz w:val="28"/>
          <w:szCs w:val="28"/>
          <w:highlight w:val="none"/>
        </w:rPr>
      </w:pPr>
      <w:r>
        <w:rPr>
          <w:rStyle w:val="57"/>
          <w:rFonts w:hint="eastAsia" w:ascii="仿宋" w:hAnsi="仿宋" w:eastAsia="仿宋" w:cs="仿宋"/>
          <w:sz w:val="28"/>
          <w:szCs w:val="28"/>
          <w:highlight w:val="none"/>
        </w:rPr>
        <w:t xml:space="preserve">法定代表人                               </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 xml:space="preserve"> 法定代表人</w:t>
      </w:r>
    </w:p>
    <w:p w14:paraId="0EC3BA67">
      <w:pPr>
        <w:pStyle w:val="158"/>
        <w:pageBreakBefore w:val="0"/>
        <w:kinsoku/>
        <w:wordWrap/>
        <w:overflowPunct/>
        <w:topLinePunct w:val="0"/>
        <w:autoSpaceDE/>
        <w:autoSpaceDN/>
        <w:bidi w:val="0"/>
        <w:adjustRightInd/>
        <w:snapToGrid/>
        <w:spacing w:before="0" w:beforeAutospacing="0" w:after="0" w:afterAutospacing="0" w:line="360" w:lineRule="auto"/>
        <w:textAlignment w:val="auto"/>
        <w:outlineLvl w:val="9"/>
        <w:rPr>
          <w:rStyle w:val="57"/>
          <w:rFonts w:hint="eastAsia" w:ascii="仿宋" w:hAnsi="仿宋" w:eastAsia="仿宋" w:cs="仿宋"/>
          <w:sz w:val="28"/>
          <w:szCs w:val="28"/>
          <w:highlight w:val="none"/>
        </w:rPr>
      </w:pPr>
      <w:r>
        <w:rPr>
          <w:rStyle w:val="57"/>
          <w:rFonts w:hint="eastAsia" w:ascii="仿宋" w:hAnsi="仿宋" w:eastAsia="仿宋" w:cs="仿宋"/>
          <w:sz w:val="28"/>
          <w:szCs w:val="28"/>
          <w:highlight w:val="none"/>
        </w:rPr>
        <w:t xml:space="preserve">或授权委托人（签字）：           </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 xml:space="preserve"> 或授权委托人（签字）：</w:t>
      </w:r>
    </w:p>
    <w:p w14:paraId="6428799C">
      <w:pPr>
        <w:pageBreakBefore w:val="0"/>
        <w:kinsoku/>
        <w:wordWrap/>
        <w:overflowPunct/>
        <w:topLinePunct w:val="0"/>
        <w:autoSpaceDE/>
        <w:autoSpaceDN/>
        <w:bidi w:val="0"/>
        <w:adjustRightInd/>
        <w:snapToGrid/>
        <w:spacing w:line="360" w:lineRule="auto"/>
        <w:textAlignment w:val="auto"/>
        <w:outlineLvl w:val="9"/>
        <w:rPr>
          <w:rStyle w:val="57"/>
          <w:rFonts w:hint="eastAsia" w:ascii="仿宋" w:hAnsi="仿宋" w:eastAsia="仿宋" w:cs="仿宋"/>
          <w:sz w:val="28"/>
          <w:szCs w:val="28"/>
          <w:highlight w:val="none"/>
        </w:rPr>
      </w:pPr>
    </w:p>
    <w:p w14:paraId="0AFC9995">
      <w:pPr>
        <w:pageBreakBefore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8"/>
          <w:szCs w:val="28"/>
          <w:highlight w:val="none"/>
        </w:rPr>
      </w:pPr>
      <w:r>
        <w:rPr>
          <w:rStyle w:val="57"/>
          <w:rFonts w:hint="eastAsia" w:ascii="仿宋" w:hAnsi="仿宋" w:eastAsia="仿宋" w:cs="仿宋"/>
          <w:sz w:val="28"/>
          <w:szCs w:val="28"/>
          <w:highlight w:val="none"/>
        </w:rPr>
        <w:t>签订时间</w:t>
      </w:r>
      <w:r>
        <w:rPr>
          <w:rStyle w:val="57"/>
          <w:rFonts w:hint="eastAsia" w:ascii="仿宋" w:hAnsi="仿宋" w:eastAsia="仿宋" w:cs="仿宋"/>
          <w:sz w:val="28"/>
          <w:szCs w:val="28"/>
          <w:highlight w:val="none"/>
          <w:lang w:eastAsia="zh-CN"/>
        </w:rPr>
        <w:t>：</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年</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 xml:space="preserve">月  </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 xml:space="preserve"> </w:t>
      </w:r>
      <w:r>
        <w:rPr>
          <w:rStyle w:val="57"/>
          <w:rFonts w:hint="eastAsia" w:ascii="仿宋" w:hAnsi="仿宋" w:eastAsia="仿宋" w:cs="仿宋"/>
          <w:sz w:val="28"/>
          <w:szCs w:val="28"/>
          <w:highlight w:val="none"/>
          <w:lang w:val="en-US" w:eastAsia="zh-CN"/>
        </w:rPr>
        <w:t xml:space="preserve">  </w:t>
      </w:r>
      <w:r>
        <w:rPr>
          <w:rStyle w:val="57"/>
          <w:rFonts w:hint="eastAsia" w:ascii="仿宋" w:hAnsi="仿宋" w:eastAsia="仿宋" w:cs="仿宋"/>
          <w:sz w:val="28"/>
          <w:szCs w:val="28"/>
          <w:highlight w:val="none"/>
        </w:rPr>
        <w:t>日</w:t>
      </w:r>
    </w:p>
    <w:p w14:paraId="2C8C2E39">
      <w:pPr>
        <w:outlineLvl w:val="9"/>
        <w:rPr>
          <w:rStyle w:val="57"/>
          <w:rFonts w:hint="eastAsia" w:ascii="宋体" w:hAnsi="宋体" w:cs="宋体"/>
          <w:sz w:val="24"/>
          <w:szCs w:val="24"/>
          <w:highlight w:val="none"/>
          <w:lang w:val="en-US" w:eastAsia="zh-CN"/>
        </w:rPr>
      </w:pPr>
      <w:r>
        <w:rPr>
          <w:rStyle w:val="57"/>
          <w:rFonts w:hint="eastAsia" w:ascii="宋体" w:hAnsi="宋体" w:cs="宋体"/>
          <w:sz w:val="24"/>
          <w:szCs w:val="24"/>
          <w:highlight w:val="none"/>
          <w:lang w:val="en-US" w:eastAsia="zh-CN"/>
        </w:rPr>
        <w:br w:type="page"/>
      </w:r>
    </w:p>
    <w:p w14:paraId="6B34E21F">
      <w:pPr>
        <w:pStyle w:val="30"/>
        <w:pageBreakBefore w:val="0"/>
        <w:kinsoku/>
        <w:wordWrap/>
        <w:overflowPunct/>
        <w:topLinePunct w:val="0"/>
        <w:autoSpaceDE/>
        <w:autoSpaceDN/>
        <w:bidi w:val="0"/>
        <w:adjustRightInd/>
        <w:snapToGrid/>
        <w:spacing w:line="480" w:lineRule="exact"/>
        <w:jc w:val="both"/>
        <w:rPr>
          <w:rStyle w:val="57"/>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30"/>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77C5C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7606B955">
      <w:pPr>
        <w:keepNext w:val="0"/>
        <w:keepLines w:val="0"/>
        <w:pageBreakBefore w:val="0"/>
        <w:widowControl w:val="0"/>
        <w:kinsoku/>
        <w:wordWrap/>
        <w:overflowPunct/>
        <w:topLinePunct w:val="0"/>
        <w:autoSpaceDE/>
        <w:autoSpaceDN/>
        <w:bidi w:val="0"/>
        <w:adjustRightInd/>
        <w:snapToGrid/>
        <w:spacing w:line="360" w:lineRule="auto"/>
        <w:ind w:firstLine="3080" w:firstLineChars="11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企业负责人：              （签字）</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sectPr>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方正楷体简体">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Bdr>
        <w:top w:val="single" w:color="auto" w:sz="4" w:space="1"/>
      </w:pBdr>
      <w:tabs>
        <w:tab w:val="left" w:pos="3165"/>
        <w:tab w:val="center" w:pos="4876"/>
      </w:tabs>
      <w:jc w:val="center"/>
      <w:rPr>
        <w:rFonts w:hint="eastAsia" w:eastAsiaTheme="minorEastAsia"/>
        <w:lang w:eastAsia="zh-CN"/>
      </w:rPr>
    </w:pPr>
    <w:r>
      <w:rPr>
        <w:rFonts w:hint="eastAsia" w:ascii="仿宋" w:hAnsi="仿宋" w:eastAsia="仿宋"/>
        <w:lang w:eastAsia="zh-CN"/>
      </w:rPr>
      <w:t>山东同力建设项目管理有限公司</w:t>
    </w:r>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ascii="仿宋" w:hAnsi="仿宋" w:eastAsia="仿宋"/>
        <w:lang w:eastAsia="zh-CN"/>
      </w:rPr>
      <w:t>0631-5812098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5"/>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14:paraId="19DEB5EB">
                <w:pPr>
                  <w:pStyle w:val="35"/>
                  <w:jc w:val="center"/>
                </w:pPr>
                <w:r>
                  <w:fldChar w:fldCharType="begin"/>
                </w:r>
                <w:r>
                  <w:instrText xml:space="preserve"> PAGE   \* MERGEFORMAT </w:instrText>
                </w:r>
                <w:r>
                  <w:fldChar w:fldCharType="separate"/>
                </w:r>
                <w:r>
                  <w:rPr>
                    <w:lang w:val="zh-CN"/>
                  </w:rPr>
                  <w:t>30</w:t>
                </w:r>
                <w:r>
                  <w:fldChar w:fldCharType="end"/>
                </w:r>
              </w:p>
            </w:txbxContent>
          </v:textbox>
        </v:shape>
      </w:pict>
    </w:r>
  </w:p>
  <w:p w14:paraId="3D26E7F3">
    <w:pPr>
      <w:pStyle w:val="3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6"/>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6"/>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6"/>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6"/>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FC4995"/>
    <w:rsid w:val="021119E1"/>
    <w:rsid w:val="0257529A"/>
    <w:rsid w:val="02B01361"/>
    <w:rsid w:val="02D436B7"/>
    <w:rsid w:val="02D768EE"/>
    <w:rsid w:val="02E01C47"/>
    <w:rsid w:val="03027A29"/>
    <w:rsid w:val="03196F07"/>
    <w:rsid w:val="03433A17"/>
    <w:rsid w:val="034D0F5A"/>
    <w:rsid w:val="036024F9"/>
    <w:rsid w:val="039E57AB"/>
    <w:rsid w:val="03B35391"/>
    <w:rsid w:val="03C52BEB"/>
    <w:rsid w:val="03DD552C"/>
    <w:rsid w:val="03F84D6E"/>
    <w:rsid w:val="044C0C16"/>
    <w:rsid w:val="044C2800"/>
    <w:rsid w:val="045D203A"/>
    <w:rsid w:val="047409B7"/>
    <w:rsid w:val="047B6C88"/>
    <w:rsid w:val="04B022C0"/>
    <w:rsid w:val="04FE7F15"/>
    <w:rsid w:val="053A4855"/>
    <w:rsid w:val="05876466"/>
    <w:rsid w:val="05A56F81"/>
    <w:rsid w:val="05AF02CF"/>
    <w:rsid w:val="05B475CC"/>
    <w:rsid w:val="05C515F4"/>
    <w:rsid w:val="05E23C57"/>
    <w:rsid w:val="06001B27"/>
    <w:rsid w:val="060C2D53"/>
    <w:rsid w:val="061F5354"/>
    <w:rsid w:val="06212C74"/>
    <w:rsid w:val="062D4F46"/>
    <w:rsid w:val="067032E2"/>
    <w:rsid w:val="06761D63"/>
    <w:rsid w:val="068218E0"/>
    <w:rsid w:val="06A25842"/>
    <w:rsid w:val="06AF5670"/>
    <w:rsid w:val="06B331CE"/>
    <w:rsid w:val="06E76218"/>
    <w:rsid w:val="06EC66E0"/>
    <w:rsid w:val="07252F8A"/>
    <w:rsid w:val="07283BBC"/>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F4AD0"/>
    <w:rsid w:val="09A0026F"/>
    <w:rsid w:val="09D34CA3"/>
    <w:rsid w:val="09EF3306"/>
    <w:rsid w:val="0A122F35"/>
    <w:rsid w:val="0A455201"/>
    <w:rsid w:val="0A545D73"/>
    <w:rsid w:val="0A6601F9"/>
    <w:rsid w:val="0A8D4287"/>
    <w:rsid w:val="0A9E1C57"/>
    <w:rsid w:val="0ACB5664"/>
    <w:rsid w:val="0AFC3827"/>
    <w:rsid w:val="0B183F48"/>
    <w:rsid w:val="0B1F0E32"/>
    <w:rsid w:val="0B9121BF"/>
    <w:rsid w:val="0B977C2D"/>
    <w:rsid w:val="0BCD4AD4"/>
    <w:rsid w:val="0BF95130"/>
    <w:rsid w:val="0C060244"/>
    <w:rsid w:val="0C1A6E93"/>
    <w:rsid w:val="0C4501CE"/>
    <w:rsid w:val="0C60163F"/>
    <w:rsid w:val="0C6142E8"/>
    <w:rsid w:val="0C822C5E"/>
    <w:rsid w:val="0CBA1E31"/>
    <w:rsid w:val="0CDD0BB5"/>
    <w:rsid w:val="0D1F336B"/>
    <w:rsid w:val="0D2B508F"/>
    <w:rsid w:val="0D2D79BF"/>
    <w:rsid w:val="0D374AC5"/>
    <w:rsid w:val="0D4B42C1"/>
    <w:rsid w:val="0DA10224"/>
    <w:rsid w:val="0E155384"/>
    <w:rsid w:val="0E16317A"/>
    <w:rsid w:val="0E185CCA"/>
    <w:rsid w:val="0E5232CD"/>
    <w:rsid w:val="0E62693A"/>
    <w:rsid w:val="0E813BB2"/>
    <w:rsid w:val="0E892E41"/>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C16C73"/>
    <w:rsid w:val="12DE15D3"/>
    <w:rsid w:val="12E51F30"/>
    <w:rsid w:val="136D5594"/>
    <w:rsid w:val="13B83351"/>
    <w:rsid w:val="13CA2479"/>
    <w:rsid w:val="147E3368"/>
    <w:rsid w:val="14A97630"/>
    <w:rsid w:val="14BD7728"/>
    <w:rsid w:val="14D87C97"/>
    <w:rsid w:val="14E804E7"/>
    <w:rsid w:val="151F2C18"/>
    <w:rsid w:val="158F7CD8"/>
    <w:rsid w:val="15D53161"/>
    <w:rsid w:val="15DF7948"/>
    <w:rsid w:val="15F64745"/>
    <w:rsid w:val="1601481A"/>
    <w:rsid w:val="16113335"/>
    <w:rsid w:val="16186717"/>
    <w:rsid w:val="162D1CE2"/>
    <w:rsid w:val="165357D3"/>
    <w:rsid w:val="166A76FB"/>
    <w:rsid w:val="166C73ED"/>
    <w:rsid w:val="169522D7"/>
    <w:rsid w:val="16967BC5"/>
    <w:rsid w:val="169E79F7"/>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135ED6"/>
    <w:rsid w:val="189C3747"/>
    <w:rsid w:val="18A64B89"/>
    <w:rsid w:val="18B8199E"/>
    <w:rsid w:val="18CD2331"/>
    <w:rsid w:val="18D06062"/>
    <w:rsid w:val="18F97167"/>
    <w:rsid w:val="18FB50C6"/>
    <w:rsid w:val="19353CD3"/>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77B09"/>
    <w:rsid w:val="1C504E03"/>
    <w:rsid w:val="1C7B0D9F"/>
    <w:rsid w:val="1C7B4336"/>
    <w:rsid w:val="1CD67AA5"/>
    <w:rsid w:val="1D6E655D"/>
    <w:rsid w:val="1D8A5D38"/>
    <w:rsid w:val="1DAA2521"/>
    <w:rsid w:val="1DB26718"/>
    <w:rsid w:val="1DC02695"/>
    <w:rsid w:val="1E0D442D"/>
    <w:rsid w:val="1E1E4201"/>
    <w:rsid w:val="1E280FE5"/>
    <w:rsid w:val="1E2B5DA6"/>
    <w:rsid w:val="1E5D26EB"/>
    <w:rsid w:val="1E780B2E"/>
    <w:rsid w:val="1E796654"/>
    <w:rsid w:val="1EA44ABF"/>
    <w:rsid w:val="1EB34CBB"/>
    <w:rsid w:val="1ED513BA"/>
    <w:rsid w:val="1F1F544D"/>
    <w:rsid w:val="1F214722"/>
    <w:rsid w:val="1F334A54"/>
    <w:rsid w:val="1F3D3B25"/>
    <w:rsid w:val="1F3D5393"/>
    <w:rsid w:val="1F6751C9"/>
    <w:rsid w:val="1FE725CB"/>
    <w:rsid w:val="20224D55"/>
    <w:rsid w:val="204B1492"/>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344A81"/>
    <w:rsid w:val="224376A4"/>
    <w:rsid w:val="224B4DCD"/>
    <w:rsid w:val="22531CF7"/>
    <w:rsid w:val="225517D6"/>
    <w:rsid w:val="226E178F"/>
    <w:rsid w:val="227B6E4F"/>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C407FC"/>
    <w:rsid w:val="28C933DC"/>
    <w:rsid w:val="28D27225"/>
    <w:rsid w:val="28E54779"/>
    <w:rsid w:val="28EF3807"/>
    <w:rsid w:val="290635E7"/>
    <w:rsid w:val="29235E38"/>
    <w:rsid w:val="29372DC9"/>
    <w:rsid w:val="29412387"/>
    <w:rsid w:val="294B3490"/>
    <w:rsid w:val="29516ED1"/>
    <w:rsid w:val="29783213"/>
    <w:rsid w:val="29A313AF"/>
    <w:rsid w:val="29B136FE"/>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46594"/>
    <w:rsid w:val="2C7A1F15"/>
    <w:rsid w:val="2CC1070D"/>
    <w:rsid w:val="2CCA2EB4"/>
    <w:rsid w:val="2CD7666F"/>
    <w:rsid w:val="2CED0939"/>
    <w:rsid w:val="2D10148D"/>
    <w:rsid w:val="2D151291"/>
    <w:rsid w:val="2D2E06DC"/>
    <w:rsid w:val="2D473EB8"/>
    <w:rsid w:val="2D665AAB"/>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3E14AB"/>
    <w:rsid w:val="306759C0"/>
    <w:rsid w:val="307A6987"/>
    <w:rsid w:val="30D342E9"/>
    <w:rsid w:val="30E503E0"/>
    <w:rsid w:val="31336387"/>
    <w:rsid w:val="313476C8"/>
    <w:rsid w:val="31440242"/>
    <w:rsid w:val="31466EBB"/>
    <w:rsid w:val="314A64EF"/>
    <w:rsid w:val="315E0067"/>
    <w:rsid w:val="317C64BC"/>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F19E0"/>
    <w:rsid w:val="33BF3586"/>
    <w:rsid w:val="33D34197"/>
    <w:rsid w:val="33DA7B3A"/>
    <w:rsid w:val="33E36CF5"/>
    <w:rsid w:val="33EC194A"/>
    <w:rsid w:val="3406111F"/>
    <w:rsid w:val="347055A6"/>
    <w:rsid w:val="348C5706"/>
    <w:rsid w:val="349E0E40"/>
    <w:rsid w:val="34C60443"/>
    <w:rsid w:val="34C61963"/>
    <w:rsid w:val="34CE1050"/>
    <w:rsid w:val="34D2441F"/>
    <w:rsid w:val="34D523DE"/>
    <w:rsid w:val="34D96007"/>
    <w:rsid w:val="34E46AC5"/>
    <w:rsid w:val="350C25E8"/>
    <w:rsid w:val="351A6714"/>
    <w:rsid w:val="351F5D4F"/>
    <w:rsid w:val="354B26A0"/>
    <w:rsid w:val="35523C1E"/>
    <w:rsid w:val="35643EBB"/>
    <w:rsid w:val="357C0F07"/>
    <w:rsid w:val="358926E6"/>
    <w:rsid w:val="3590148A"/>
    <w:rsid w:val="35951B6D"/>
    <w:rsid w:val="3596638C"/>
    <w:rsid w:val="35E0728C"/>
    <w:rsid w:val="35E860DC"/>
    <w:rsid w:val="36423762"/>
    <w:rsid w:val="36826E9D"/>
    <w:rsid w:val="36A74218"/>
    <w:rsid w:val="36D81F00"/>
    <w:rsid w:val="373714B0"/>
    <w:rsid w:val="37490E61"/>
    <w:rsid w:val="377F3CCF"/>
    <w:rsid w:val="379E1B31"/>
    <w:rsid w:val="37CD052A"/>
    <w:rsid w:val="37F83D4F"/>
    <w:rsid w:val="38153FD4"/>
    <w:rsid w:val="38235E87"/>
    <w:rsid w:val="3852536B"/>
    <w:rsid w:val="38A907AC"/>
    <w:rsid w:val="38E251C0"/>
    <w:rsid w:val="390E775E"/>
    <w:rsid w:val="3922119F"/>
    <w:rsid w:val="39447B32"/>
    <w:rsid w:val="395F3AEA"/>
    <w:rsid w:val="396D605C"/>
    <w:rsid w:val="39732C58"/>
    <w:rsid w:val="398443D3"/>
    <w:rsid w:val="399B0A74"/>
    <w:rsid w:val="39BB3F14"/>
    <w:rsid w:val="39E6508D"/>
    <w:rsid w:val="39F124B6"/>
    <w:rsid w:val="3A0F1648"/>
    <w:rsid w:val="3A1A01BF"/>
    <w:rsid w:val="3A850402"/>
    <w:rsid w:val="3AA34D2C"/>
    <w:rsid w:val="3ABC194A"/>
    <w:rsid w:val="3ACD3C53"/>
    <w:rsid w:val="3ADF778E"/>
    <w:rsid w:val="3B20302E"/>
    <w:rsid w:val="3BB75B4D"/>
    <w:rsid w:val="3BB970C6"/>
    <w:rsid w:val="3BCE02F2"/>
    <w:rsid w:val="3BDE1E0E"/>
    <w:rsid w:val="3BEE6B19"/>
    <w:rsid w:val="3C585200"/>
    <w:rsid w:val="3C66769A"/>
    <w:rsid w:val="3C776471"/>
    <w:rsid w:val="3CAD1E92"/>
    <w:rsid w:val="3CAF5FCA"/>
    <w:rsid w:val="3CC11E03"/>
    <w:rsid w:val="3D1F5F39"/>
    <w:rsid w:val="3D26492B"/>
    <w:rsid w:val="3D273A07"/>
    <w:rsid w:val="3D2A2388"/>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8D14D1"/>
    <w:rsid w:val="40F167F2"/>
    <w:rsid w:val="40F26D6A"/>
    <w:rsid w:val="40F63E08"/>
    <w:rsid w:val="41181A3D"/>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6C03B1"/>
    <w:rsid w:val="437B23A2"/>
    <w:rsid w:val="439A7250"/>
    <w:rsid w:val="43CE2E1A"/>
    <w:rsid w:val="441712F2"/>
    <w:rsid w:val="44192907"/>
    <w:rsid w:val="44296A38"/>
    <w:rsid w:val="442E38B9"/>
    <w:rsid w:val="44382ADF"/>
    <w:rsid w:val="444A6D77"/>
    <w:rsid w:val="44534092"/>
    <w:rsid w:val="44894759"/>
    <w:rsid w:val="44A731CE"/>
    <w:rsid w:val="44EA2EF1"/>
    <w:rsid w:val="451C0B79"/>
    <w:rsid w:val="455A784A"/>
    <w:rsid w:val="45C269A9"/>
    <w:rsid w:val="45D47A85"/>
    <w:rsid w:val="45F51841"/>
    <w:rsid w:val="461E57BF"/>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695B00"/>
    <w:rsid w:val="48861F15"/>
    <w:rsid w:val="4886248F"/>
    <w:rsid w:val="488E737E"/>
    <w:rsid w:val="489F2FD7"/>
    <w:rsid w:val="48B62A1D"/>
    <w:rsid w:val="498D4884"/>
    <w:rsid w:val="49BF56FF"/>
    <w:rsid w:val="49E40AA8"/>
    <w:rsid w:val="4A1470AD"/>
    <w:rsid w:val="4A226926"/>
    <w:rsid w:val="4A42444F"/>
    <w:rsid w:val="4A473AC0"/>
    <w:rsid w:val="4A49780E"/>
    <w:rsid w:val="4A642207"/>
    <w:rsid w:val="4A7C7F8F"/>
    <w:rsid w:val="4A9C3992"/>
    <w:rsid w:val="4AA50D50"/>
    <w:rsid w:val="4ACB34E4"/>
    <w:rsid w:val="4ADD514D"/>
    <w:rsid w:val="4AE235D1"/>
    <w:rsid w:val="4AF35B9A"/>
    <w:rsid w:val="4AF94389"/>
    <w:rsid w:val="4AFF1B0B"/>
    <w:rsid w:val="4B15206C"/>
    <w:rsid w:val="4BCD3D4C"/>
    <w:rsid w:val="4BD37849"/>
    <w:rsid w:val="4BDE20BC"/>
    <w:rsid w:val="4C4D4E87"/>
    <w:rsid w:val="4C5A55C7"/>
    <w:rsid w:val="4C8668CB"/>
    <w:rsid w:val="4CC2216C"/>
    <w:rsid w:val="4CF43948"/>
    <w:rsid w:val="4D4B2F88"/>
    <w:rsid w:val="4D7367E0"/>
    <w:rsid w:val="4DB62832"/>
    <w:rsid w:val="4DCB6A8C"/>
    <w:rsid w:val="4DFC67D6"/>
    <w:rsid w:val="4E4F2DA9"/>
    <w:rsid w:val="4E5370E8"/>
    <w:rsid w:val="4E88094B"/>
    <w:rsid w:val="4E90333A"/>
    <w:rsid w:val="4EB17794"/>
    <w:rsid w:val="4EB4110F"/>
    <w:rsid w:val="4EE2728B"/>
    <w:rsid w:val="4EE74947"/>
    <w:rsid w:val="4EF14FE4"/>
    <w:rsid w:val="4F3526FA"/>
    <w:rsid w:val="4F4E1791"/>
    <w:rsid w:val="4F665D03"/>
    <w:rsid w:val="4F6C4459"/>
    <w:rsid w:val="4F756840"/>
    <w:rsid w:val="4FA9023A"/>
    <w:rsid w:val="4FDC241B"/>
    <w:rsid w:val="4FF41947"/>
    <w:rsid w:val="500B7EA2"/>
    <w:rsid w:val="503B7E59"/>
    <w:rsid w:val="503E4E84"/>
    <w:rsid w:val="5057019F"/>
    <w:rsid w:val="509A57EA"/>
    <w:rsid w:val="509D05C4"/>
    <w:rsid w:val="50A638B9"/>
    <w:rsid w:val="50DD1205"/>
    <w:rsid w:val="50F66621"/>
    <w:rsid w:val="513F516F"/>
    <w:rsid w:val="515D0AE0"/>
    <w:rsid w:val="516A50E8"/>
    <w:rsid w:val="51B11DEA"/>
    <w:rsid w:val="5264443D"/>
    <w:rsid w:val="52E42074"/>
    <w:rsid w:val="52E57838"/>
    <w:rsid w:val="533A1C0F"/>
    <w:rsid w:val="53537A59"/>
    <w:rsid w:val="535421F8"/>
    <w:rsid w:val="535E583D"/>
    <w:rsid w:val="537D2167"/>
    <w:rsid w:val="53826A19"/>
    <w:rsid w:val="53F475A6"/>
    <w:rsid w:val="53FD6E04"/>
    <w:rsid w:val="54006F56"/>
    <w:rsid w:val="54130738"/>
    <w:rsid w:val="541F6D7A"/>
    <w:rsid w:val="547804BD"/>
    <w:rsid w:val="547A6D00"/>
    <w:rsid w:val="547F5A6B"/>
    <w:rsid w:val="54834037"/>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360568"/>
    <w:rsid w:val="57527466"/>
    <w:rsid w:val="57552BC8"/>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A85A64"/>
    <w:rsid w:val="59BA481A"/>
    <w:rsid w:val="59BE1569"/>
    <w:rsid w:val="5A255189"/>
    <w:rsid w:val="5A4730FA"/>
    <w:rsid w:val="5A5A0B0C"/>
    <w:rsid w:val="5A6B0F6B"/>
    <w:rsid w:val="5A9D30EE"/>
    <w:rsid w:val="5AB346C0"/>
    <w:rsid w:val="5ABA15AB"/>
    <w:rsid w:val="5AD85CC7"/>
    <w:rsid w:val="5AF967B6"/>
    <w:rsid w:val="5B1038C0"/>
    <w:rsid w:val="5B1C44F3"/>
    <w:rsid w:val="5B432757"/>
    <w:rsid w:val="5B514A88"/>
    <w:rsid w:val="5B5E7A47"/>
    <w:rsid w:val="5B876C81"/>
    <w:rsid w:val="5BD07B07"/>
    <w:rsid w:val="5BD15191"/>
    <w:rsid w:val="5BD743DE"/>
    <w:rsid w:val="5BDE0299"/>
    <w:rsid w:val="5BF1683C"/>
    <w:rsid w:val="5C242774"/>
    <w:rsid w:val="5C4330EC"/>
    <w:rsid w:val="5C5D3ABD"/>
    <w:rsid w:val="5C831C73"/>
    <w:rsid w:val="5CAC13C7"/>
    <w:rsid w:val="5CBB4565"/>
    <w:rsid w:val="5D036F9A"/>
    <w:rsid w:val="5D2A024C"/>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E037AB"/>
    <w:rsid w:val="60F22B08"/>
    <w:rsid w:val="61034A38"/>
    <w:rsid w:val="61063914"/>
    <w:rsid w:val="610B4254"/>
    <w:rsid w:val="610D0383"/>
    <w:rsid w:val="615E5992"/>
    <w:rsid w:val="61824E5C"/>
    <w:rsid w:val="61D63568"/>
    <w:rsid w:val="61E87D1B"/>
    <w:rsid w:val="620A3D16"/>
    <w:rsid w:val="62172E25"/>
    <w:rsid w:val="623C290D"/>
    <w:rsid w:val="623C4F9B"/>
    <w:rsid w:val="623F6DF9"/>
    <w:rsid w:val="62502FAC"/>
    <w:rsid w:val="6295542A"/>
    <w:rsid w:val="629B51AB"/>
    <w:rsid w:val="62AC30A7"/>
    <w:rsid w:val="62F30C4D"/>
    <w:rsid w:val="63640AD8"/>
    <w:rsid w:val="63672AD2"/>
    <w:rsid w:val="6368016D"/>
    <w:rsid w:val="639C7912"/>
    <w:rsid w:val="63E5654B"/>
    <w:rsid w:val="640D6206"/>
    <w:rsid w:val="64361EE4"/>
    <w:rsid w:val="643B19AE"/>
    <w:rsid w:val="647E2B97"/>
    <w:rsid w:val="64A07281"/>
    <w:rsid w:val="64E47E41"/>
    <w:rsid w:val="64FA3A2E"/>
    <w:rsid w:val="64FC55D6"/>
    <w:rsid w:val="65396842"/>
    <w:rsid w:val="65414E39"/>
    <w:rsid w:val="65574617"/>
    <w:rsid w:val="655820EC"/>
    <w:rsid w:val="65725F92"/>
    <w:rsid w:val="657F1BC3"/>
    <w:rsid w:val="658074C8"/>
    <w:rsid w:val="65907AD8"/>
    <w:rsid w:val="65AE1260"/>
    <w:rsid w:val="65C63A09"/>
    <w:rsid w:val="65E246FB"/>
    <w:rsid w:val="66006F50"/>
    <w:rsid w:val="6627269B"/>
    <w:rsid w:val="66556532"/>
    <w:rsid w:val="66790C73"/>
    <w:rsid w:val="66B04A92"/>
    <w:rsid w:val="66E70059"/>
    <w:rsid w:val="67346B89"/>
    <w:rsid w:val="67505C4C"/>
    <w:rsid w:val="67694C5E"/>
    <w:rsid w:val="676F2E0B"/>
    <w:rsid w:val="677920C5"/>
    <w:rsid w:val="67EC0641"/>
    <w:rsid w:val="67ED1F99"/>
    <w:rsid w:val="67F16D38"/>
    <w:rsid w:val="67F53B1D"/>
    <w:rsid w:val="67FC2632"/>
    <w:rsid w:val="67FC4FEA"/>
    <w:rsid w:val="682C0D62"/>
    <w:rsid w:val="68524288"/>
    <w:rsid w:val="6852735E"/>
    <w:rsid w:val="68EB0D59"/>
    <w:rsid w:val="690B51B9"/>
    <w:rsid w:val="690B73F7"/>
    <w:rsid w:val="69171787"/>
    <w:rsid w:val="692B64DE"/>
    <w:rsid w:val="694C08C3"/>
    <w:rsid w:val="69594E76"/>
    <w:rsid w:val="695A0EC4"/>
    <w:rsid w:val="695E7070"/>
    <w:rsid w:val="698544C9"/>
    <w:rsid w:val="69D00EF1"/>
    <w:rsid w:val="69E113F6"/>
    <w:rsid w:val="6A34211E"/>
    <w:rsid w:val="6A5621A9"/>
    <w:rsid w:val="6A8D061C"/>
    <w:rsid w:val="6AD00976"/>
    <w:rsid w:val="6ADC1DCC"/>
    <w:rsid w:val="6AEE1328"/>
    <w:rsid w:val="6B040620"/>
    <w:rsid w:val="6B2667E8"/>
    <w:rsid w:val="6B2A277C"/>
    <w:rsid w:val="6B491AE3"/>
    <w:rsid w:val="6B542067"/>
    <w:rsid w:val="6B80287A"/>
    <w:rsid w:val="6B817170"/>
    <w:rsid w:val="6BA22313"/>
    <w:rsid w:val="6BB55E5C"/>
    <w:rsid w:val="6C413741"/>
    <w:rsid w:val="6C9440E6"/>
    <w:rsid w:val="6CA13246"/>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E3511C"/>
    <w:rsid w:val="6EEB2223"/>
    <w:rsid w:val="6F010B22"/>
    <w:rsid w:val="6F173018"/>
    <w:rsid w:val="6F337B84"/>
    <w:rsid w:val="6F43357F"/>
    <w:rsid w:val="6F8142E5"/>
    <w:rsid w:val="6FD66A2F"/>
    <w:rsid w:val="6FFA4A79"/>
    <w:rsid w:val="70022762"/>
    <w:rsid w:val="70432686"/>
    <w:rsid w:val="70A46529"/>
    <w:rsid w:val="70A771A6"/>
    <w:rsid w:val="70A857DC"/>
    <w:rsid w:val="71072C18"/>
    <w:rsid w:val="711E1E4B"/>
    <w:rsid w:val="713F2A2B"/>
    <w:rsid w:val="71524DCB"/>
    <w:rsid w:val="716A5681"/>
    <w:rsid w:val="71A37B39"/>
    <w:rsid w:val="71FE52CE"/>
    <w:rsid w:val="72190AC4"/>
    <w:rsid w:val="7241371E"/>
    <w:rsid w:val="72470BEC"/>
    <w:rsid w:val="727C248C"/>
    <w:rsid w:val="72927AE7"/>
    <w:rsid w:val="72A82F95"/>
    <w:rsid w:val="72B02137"/>
    <w:rsid w:val="72B96622"/>
    <w:rsid w:val="72C07522"/>
    <w:rsid w:val="73134981"/>
    <w:rsid w:val="731B027F"/>
    <w:rsid w:val="733D2946"/>
    <w:rsid w:val="7345528C"/>
    <w:rsid w:val="7367532B"/>
    <w:rsid w:val="73907D5F"/>
    <w:rsid w:val="73C0127B"/>
    <w:rsid w:val="73DC038C"/>
    <w:rsid w:val="73EF2BAE"/>
    <w:rsid w:val="73FA4A9D"/>
    <w:rsid w:val="743714FB"/>
    <w:rsid w:val="7439085E"/>
    <w:rsid w:val="74880120"/>
    <w:rsid w:val="748A7E1A"/>
    <w:rsid w:val="74EF0E42"/>
    <w:rsid w:val="74F03F49"/>
    <w:rsid w:val="750F518A"/>
    <w:rsid w:val="751433E2"/>
    <w:rsid w:val="752D5280"/>
    <w:rsid w:val="754316AF"/>
    <w:rsid w:val="756568C4"/>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3D09B5"/>
    <w:rsid w:val="785F205D"/>
    <w:rsid w:val="787014DF"/>
    <w:rsid w:val="7892370F"/>
    <w:rsid w:val="79A73093"/>
    <w:rsid w:val="7A0568BE"/>
    <w:rsid w:val="7A0B5527"/>
    <w:rsid w:val="7A0E0CC9"/>
    <w:rsid w:val="7A2B3505"/>
    <w:rsid w:val="7A716CBC"/>
    <w:rsid w:val="7A7350E8"/>
    <w:rsid w:val="7AB27881"/>
    <w:rsid w:val="7AC04656"/>
    <w:rsid w:val="7AC8338F"/>
    <w:rsid w:val="7ADE4D99"/>
    <w:rsid w:val="7ADF5D39"/>
    <w:rsid w:val="7AF34939"/>
    <w:rsid w:val="7B330D36"/>
    <w:rsid w:val="7B5D1DB2"/>
    <w:rsid w:val="7B7F1D83"/>
    <w:rsid w:val="7BBC6686"/>
    <w:rsid w:val="7BDE140A"/>
    <w:rsid w:val="7BE26BF7"/>
    <w:rsid w:val="7C0F7305"/>
    <w:rsid w:val="7C171FF4"/>
    <w:rsid w:val="7C1D391E"/>
    <w:rsid w:val="7C2576DD"/>
    <w:rsid w:val="7C33293B"/>
    <w:rsid w:val="7C9B6FAA"/>
    <w:rsid w:val="7CA51C63"/>
    <w:rsid w:val="7CAE708C"/>
    <w:rsid w:val="7CBE5277"/>
    <w:rsid w:val="7CC37EA5"/>
    <w:rsid w:val="7D1376E8"/>
    <w:rsid w:val="7D762E87"/>
    <w:rsid w:val="7D871368"/>
    <w:rsid w:val="7DB87774"/>
    <w:rsid w:val="7E2343CF"/>
    <w:rsid w:val="7E320591"/>
    <w:rsid w:val="7E5D2D91"/>
    <w:rsid w:val="7E6A69FB"/>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7"/>
    <w:qFormat/>
    <w:uiPriority w:val="0"/>
    <w:pPr>
      <w:keepNext/>
      <w:keepLines/>
      <w:spacing w:before="260" w:after="260" w:line="416" w:lineRule="auto"/>
      <w:outlineLvl w:val="2"/>
    </w:pPr>
    <w:rPr>
      <w:b/>
      <w:bCs/>
      <w:sz w:val="32"/>
      <w:szCs w:val="32"/>
    </w:rPr>
  </w:style>
  <w:style w:type="paragraph" w:styleId="5">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89"/>
    <w:qFormat/>
    <w:uiPriority w:val="0"/>
    <w:pPr>
      <w:keepNext/>
      <w:keepLines/>
      <w:spacing w:before="280" w:after="290" w:line="372" w:lineRule="auto"/>
      <w:outlineLvl w:val="4"/>
    </w:pPr>
    <w:rPr>
      <w:b/>
      <w:bCs/>
      <w:sz w:val="28"/>
      <w:szCs w:val="28"/>
    </w:rPr>
  </w:style>
  <w:style w:type="paragraph" w:styleId="7">
    <w:name w:val="heading 6"/>
    <w:basedOn w:val="1"/>
    <w:next w:val="1"/>
    <w:link w:val="114"/>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5"/>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link w:val="148"/>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5"/>
    <w:qFormat/>
    <w:uiPriority w:val="99"/>
    <w:pPr>
      <w:shd w:val="clear" w:color="auto" w:fill="000080"/>
    </w:pPr>
  </w:style>
  <w:style w:type="paragraph" w:styleId="16">
    <w:name w:val="annotation text"/>
    <w:basedOn w:val="1"/>
    <w:link w:val="322"/>
    <w:qFormat/>
    <w:uiPriority w:val="99"/>
    <w:pPr>
      <w:jc w:val="left"/>
    </w:pPr>
  </w:style>
  <w:style w:type="paragraph" w:styleId="17">
    <w:name w:val="Body Text 3"/>
    <w:basedOn w:val="1"/>
    <w:link w:val="66"/>
    <w:qFormat/>
    <w:uiPriority w:val="99"/>
    <w:pPr>
      <w:spacing w:after="120"/>
    </w:pPr>
    <w:rPr>
      <w:sz w:val="16"/>
      <w:szCs w:val="16"/>
    </w:rPr>
  </w:style>
  <w:style w:type="paragraph" w:styleId="18">
    <w:name w:val="Body Text"/>
    <w:basedOn w:val="1"/>
    <w:next w:val="19"/>
    <w:link w:val="480"/>
    <w:qFormat/>
    <w:uiPriority w:val="99"/>
    <w:pPr>
      <w:spacing w:after="120"/>
    </w:pPr>
    <w:rPr>
      <w:sz w:val="24"/>
    </w:rPr>
  </w:style>
  <w:style w:type="paragraph" w:customStyle="1" w:styleId="19">
    <w:name w:val="Default"/>
    <w:next w:val="20"/>
    <w:link w:val="205"/>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
    <w:name w:val="大标题"/>
    <w:basedOn w:val="21"/>
    <w:next w:val="2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styleId="21">
    <w:name w:val="Title"/>
    <w:basedOn w:val="1"/>
    <w:next w:val="1"/>
    <w:link w:val="68"/>
    <w:qFormat/>
    <w:uiPriority w:val="99"/>
    <w:pPr>
      <w:spacing w:before="240" w:after="60"/>
      <w:jc w:val="center"/>
      <w:outlineLvl w:val="0"/>
    </w:pPr>
    <w:rPr>
      <w:rFonts w:ascii="Cambria" w:hAnsi="Cambria" w:eastAsia="方正小标宋简体"/>
      <w:b/>
      <w:bCs/>
      <w:sz w:val="32"/>
      <w:szCs w:val="32"/>
    </w:rPr>
  </w:style>
  <w:style w:type="paragraph" w:styleId="22">
    <w:name w:val="Body Text First Indent 2"/>
    <w:basedOn w:val="23"/>
    <w:next w:val="1"/>
    <w:link w:val="221"/>
    <w:qFormat/>
    <w:uiPriority w:val="0"/>
    <w:pPr>
      <w:spacing w:after="120"/>
      <w:ind w:left="420" w:leftChars="200" w:firstLine="420" w:firstLineChars="200"/>
    </w:pPr>
    <w:rPr>
      <w:rFonts w:ascii="Calibri" w:hAnsi="Calibri"/>
      <w:kern w:val="2"/>
      <w:sz w:val="21"/>
      <w:szCs w:val="24"/>
    </w:rPr>
  </w:style>
  <w:style w:type="paragraph" w:styleId="23">
    <w:name w:val="Body Text Indent"/>
    <w:basedOn w:val="1"/>
    <w:next w:val="24"/>
    <w:link w:val="120"/>
    <w:qFormat/>
    <w:uiPriority w:val="99"/>
    <w:pPr>
      <w:ind w:firstLine="830" w:firstLineChars="352"/>
    </w:pPr>
    <w:rPr>
      <w:rFonts w:ascii="仿宋_GB2312" w:eastAsia="仿宋_GB2312"/>
      <w:kern w:val="0"/>
      <w:sz w:val="32"/>
      <w:szCs w:val="32"/>
    </w:rPr>
  </w:style>
  <w:style w:type="paragraph" w:styleId="24">
    <w:name w:val="envelope return"/>
    <w:basedOn w:val="1"/>
    <w:qFormat/>
    <w:uiPriority w:val="0"/>
    <w:pPr>
      <w:snapToGrid w:val="0"/>
      <w:spacing w:line="360" w:lineRule="auto"/>
      <w:ind w:firstLine="200" w:firstLineChars="200"/>
    </w:pPr>
    <w:rPr>
      <w:rFonts w:ascii="Arial" w:hAnsi="Arial" w:cs="Arial"/>
      <w:sz w:val="24"/>
    </w:rPr>
  </w:style>
  <w:style w:type="paragraph" w:styleId="25">
    <w:name w:val="List 2"/>
    <w:basedOn w:val="1"/>
    <w:qFormat/>
    <w:uiPriority w:val="0"/>
    <w:pPr>
      <w:ind w:left="100" w:leftChars="200" w:hanging="200" w:hangingChars="200"/>
    </w:pPr>
  </w:style>
  <w:style w:type="paragraph" w:styleId="26">
    <w:name w:val="Block Text"/>
    <w:basedOn w:val="1"/>
    <w:link w:val="195"/>
    <w:qFormat/>
    <w:uiPriority w:val="0"/>
    <w:pPr>
      <w:autoSpaceDE w:val="0"/>
      <w:autoSpaceDN w:val="0"/>
      <w:adjustRightInd w:val="0"/>
      <w:spacing w:line="500" w:lineRule="exact"/>
      <w:ind w:left="391" w:right="246"/>
    </w:pPr>
    <w:rPr>
      <w:rFonts w:ascii="仿宋_GB2312" w:eastAsia="仿宋_GB2312"/>
      <w:kern w:val="0"/>
      <w:sz w:val="24"/>
    </w:rPr>
  </w:style>
  <w:style w:type="paragraph" w:styleId="27">
    <w:name w:val="index 4"/>
    <w:basedOn w:val="1"/>
    <w:next w:val="1"/>
    <w:qFormat/>
    <w:uiPriority w:val="0"/>
    <w:pPr>
      <w:ind w:left="600" w:leftChars="600"/>
    </w:pPr>
  </w:style>
  <w:style w:type="paragraph" w:styleId="28">
    <w:name w:val="toc 5"/>
    <w:basedOn w:val="1"/>
    <w:next w:val="1"/>
    <w:qFormat/>
    <w:uiPriority w:val="39"/>
    <w:pPr>
      <w:ind w:left="1680" w:leftChars="800"/>
    </w:pPr>
  </w:style>
  <w:style w:type="paragraph" w:styleId="29">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30">
    <w:name w:val="Plain Text"/>
    <w:basedOn w:val="1"/>
    <w:link w:val="442"/>
    <w:qFormat/>
    <w:uiPriority w:val="0"/>
    <w:rPr>
      <w:rFonts w:ascii="宋体" w:hAnsi="Courier New"/>
      <w:kern w:val="0"/>
      <w:szCs w:val="21"/>
    </w:rPr>
  </w:style>
  <w:style w:type="paragraph" w:styleId="31">
    <w:name w:val="toc 8"/>
    <w:basedOn w:val="1"/>
    <w:next w:val="1"/>
    <w:qFormat/>
    <w:uiPriority w:val="39"/>
    <w:pPr>
      <w:ind w:left="1470"/>
      <w:jc w:val="left"/>
    </w:pPr>
    <w:rPr>
      <w:sz w:val="18"/>
      <w:szCs w:val="18"/>
    </w:rPr>
  </w:style>
  <w:style w:type="paragraph" w:styleId="32">
    <w:name w:val="Date"/>
    <w:basedOn w:val="1"/>
    <w:next w:val="1"/>
    <w:link w:val="147"/>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3">
    <w:name w:val="Body Text Indent 2"/>
    <w:basedOn w:val="1"/>
    <w:link w:val="259"/>
    <w:qFormat/>
    <w:uiPriority w:val="99"/>
    <w:pPr>
      <w:spacing w:after="120" w:line="480" w:lineRule="auto"/>
      <w:ind w:left="420" w:leftChars="200"/>
    </w:pPr>
    <w:rPr>
      <w:kern w:val="0"/>
      <w:sz w:val="24"/>
    </w:rPr>
  </w:style>
  <w:style w:type="paragraph" w:styleId="34">
    <w:name w:val="Balloon Text"/>
    <w:basedOn w:val="1"/>
    <w:link w:val="266"/>
    <w:qFormat/>
    <w:uiPriority w:val="99"/>
    <w:rPr>
      <w:sz w:val="18"/>
      <w:szCs w:val="18"/>
    </w:rPr>
  </w:style>
  <w:style w:type="paragraph" w:styleId="35">
    <w:name w:val="footer"/>
    <w:basedOn w:val="1"/>
    <w:link w:val="146"/>
    <w:qFormat/>
    <w:uiPriority w:val="99"/>
    <w:pPr>
      <w:tabs>
        <w:tab w:val="center" w:pos="4153"/>
        <w:tab w:val="right" w:pos="8306"/>
      </w:tabs>
      <w:snapToGrid w:val="0"/>
      <w:jc w:val="left"/>
    </w:pPr>
    <w:rPr>
      <w:sz w:val="18"/>
      <w:szCs w:val="18"/>
    </w:rPr>
  </w:style>
  <w:style w:type="paragraph" w:styleId="36">
    <w:name w:val="header"/>
    <w:basedOn w:val="1"/>
    <w:link w:val="124"/>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39"/>
    <w:pPr>
      <w:tabs>
        <w:tab w:val="right" w:leader="dot" w:pos="8834"/>
      </w:tabs>
      <w:spacing w:before="120" w:after="120"/>
      <w:jc w:val="left"/>
    </w:pPr>
    <w:rPr>
      <w:b/>
      <w:bCs/>
      <w:caps/>
      <w:sz w:val="28"/>
      <w:szCs w:val="28"/>
    </w:rPr>
  </w:style>
  <w:style w:type="paragraph" w:styleId="38">
    <w:name w:val="toc 4"/>
    <w:basedOn w:val="1"/>
    <w:next w:val="1"/>
    <w:qFormat/>
    <w:uiPriority w:val="39"/>
    <w:pPr>
      <w:ind w:left="630"/>
      <w:jc w:val="left"/>
    </w:pPr>
    <w:rPr>
      <w:sz w:val="18"/>
      <w:szCs w:val="18"/>
    </w:rPr>
  </w:style>
  <w:style w:type="paragraph" w:styleId="39">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40">
    <w:name w:val="List"/>
    <w:basedOn w:val="1"/>
    <w:qFormat/>
    <w:uiPriority w:val="0"/>
    <w:pPr>
      <w:ind w:left="200" w:hanging="200" w:hangingChars="200"/>
    </w:pPr>
  </w:style>
  <w:style w:type="paragraph" w:styleId="41">
    <w:name w:val="footnote text"/>
    <w:basedOn w:val="1"/>
    <w:link w:val="367"/>
    <w:qFormat/>
    <w:uiPriority w:val="0"/>
    <w:rPr>
      <w:rFonts w:ascii="Calibri" w:hAnsi="Calibri"/>
      <w:szCs w:val="22"/>
    </w:rPr>
  </w:style>
  <w:style w:type="paragraph" w:styleId="42">
    <w:name w:val="toc 6"/>
    <w:basedOn w:val="1"/>
    <w:next w:val="1"/>
    <w:qFormat/>
    <w:uiPriority w:val="39"/>
    <w:pPr>
      <w:ind w:left="1050"/>
      <w:jc w:val="left"/>
    </w:pPr>
    <w:rPr>
      <w:sz w:val="18"/>
      <w:szCs w:val="18"/>
    </w:rPr>
  </w:style>
  <w:style w:type="paragraph" w:styleId="43">
    <w:name w:val="Body Text Indent 3"/>
    <w:basedOn w:val="1"/>
    <w:link w:val="135"/>
    <w:qFormat/>
    <w:uiPriority w:val="99"/>
    <w:pPr>
      <w:spacing w:after="120"/>
      <w:ind w:left="420" w:leftChars="200"/>
    </w:pPr>
    <w:rPr>
      <w:kern w:val="0"/>
      <w:sz w:val="16"/>
      <w:szCs w:val="16"/>
    </w:rPr>
  </w:style>
  <w:style w:type="paragraph" w:styleId="44">
    <w:name w:val="table of figures"/>
    <w:basedOn w:val="1"/>
    <w:next w:val="1"/>
    <w:qFormat/>
    <w:uiPriority w:val="0"/>
    <w:pPr>
      <w:ind w:left="200" w:leftChars="200" w:hanging="200" w:hangingChars="200"/>
    </w:pPr>
  </w:style>
  <w:style w:type="paragraph" w:styleId="45">
    <w:name w:val="toc 2"/>
    <w:basedOn w:val="1"/>
    <w:next w:val="1"/>
    <w:qFormat/>
    <w:uiPriority w:val="39"/>
    <w:pPr>
      <w:ind w:left="420" w:leftChars="200"/>
    </w:pPr>
    <w:rPr>
      <w:szCs w:val="21"/>
    </w:rPr>
  </w:style>
  <w:style w:type="paragraph" w:styleId="46">
    <w:name w:val="toc 9"/>
    <w:basedOn w:val="1"/>
    <w:next w:val="1"/>
    <w:qFormat/>
    <w:uiPriority w:val="39"/>
    <w:pPr>
      <w:ind w:left="1680"/>
      <w:jc w:val="left"/>
    </w:pPr>
    <w:rPr>
      <w:sz w:val="18"/>
      <w:szCs w:val="18"/>
    </w:rPr>
  </w:style>
  <w:style w:type="paragraph" w:styleId="47">
    <w:name w:val="Body Text 2"/>
    <w:basedOn w:val="1"/>
    <w:link w:val="461"/>
    <w:qFormat/>
    <w:uiPriority w:val="0"/>
    <w:pPr>
      <w:jc w:val="center"/>
    </w:pPr>
    <w:rPr>
      <w:rFonts w:ascii="Calibri" w:hAnsi="Calibri"/>
      <w:sz w:val="24"/>
      <w:szCs w:val="22"/>
    </w:rPr>
  </w:style>
  <w:style w:type="paragraph" w:styleId="48">
    <w:name w:val="List 4"/>
    <w:basedOn w:val="1"/>
    <w:qFormat/>
    <w:uiPriority w:val="0"/>
    <w:pPr>
      <w:ind w:left="100" w:leftChars="600" w:hanging="200" w:hangingChars="200"/>
    </w:pPr>
  </w:style>
  <w:style w:type="paragraph" w:styleId="49">
    <w:name w:val="List Continue 2"/>
    <w:basedOn w:val="1"/>
    <w:qFormat/>
    <w:uiPriority w:val="0"/>
    <w:pPr>
      <w:spacing w:after="120"/>
      <w:ind w:left="840" w:leftChars="400"/>
    </w:pPr>
  </w:style>
  <w:style w:type="paragraph" w:styleId="50">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51">
    <w:name w:val="Normal (Web)"/>
    <w:basedOn w:val="1"/>
    <w:link w:val="497"/>
    <w:qFormat/>
    <w:uiPriority w:val="0"/>
    <w:pPr>
      <w:spacing w:before="100" w:beforeAutospacing="1" w:after="100" w:afterAutospacing="1"/>
    </w:pPr>
    <w:rPr>
      <w:rFonts w:ascii="宋体" w:hAnsi="宋体" w:cs="宋体"/>
      <w:sz w:val="24"/>
    </w:rPr>
  </w:style>
  <w:style w:type="paragraph" w:styleId="52">
    <w:name w:val="annotation subject"/>
    <w:basedOn w:val="16"/>
    <w:next w:val="16"/>
    <w:link w:val="460"/>
    <w:qFormat/>
    <w:uiPriority w:val="99"/>
    <w:rPr>
      <w:b/>
      <w:bCs/>
      <w:szCs w:val="21"/>
    </w:rPr>
  </w:style>
  <w:style w:type="paragraph" w:styleId="53">
    <w:name w:val="Body Text First Indent"/>
    <w:basedOn w:val="18"/>
    <w:link w:val="159"/>
    <w:qFormat/>
    <w:uiPriority w:val="99"/>
    <w:pPr>
      <w:spacing w:line="560" w:lineRule="exact"/>
      <w:ind w:firstLine="420" w:firstLineChars="100"/>
    </w:pPr>
    <w:rPr>
      <w:sz w:val="21"/>
      <w:szCs w:val="22"/>
    </w:rPr>
  </w:style>
  <w:style w:type="table" w:styleId="55">
    <w:name w:val="Table Grid"/>
    <w:basedOn w:val="5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7">
    <w:name w:val="Strong"/>
    <w:basedOn w:val="56"/>
    <w:qFormat/>
    <w:uiPriority w:val="22"/>
    <w:rPr>
      <w:b/>
      <w:bCs/>
    </w:rPr>
  </w:style>
  <w:style w:type="character" w:styleId="58">
    <w:name w:val="page number"/>
    <w:qFormat/>
    <w:uiPriority w:val="0"/>
  </w:style>
  <w:style w:type="character" w:styleId="59">
    <w:name w:val="FollowedHyperlink"/>
    <w:basedOn w:val="56"/>
    <w:qFormat/>
    <w:uiPriority w:val="99"/>
    <w:rPr>
      <w:color w:val="800080"/>
      <w:u w:val="none"/>
    </w:rPr>
  </w:style>
  <w:style w:type="character" w:styleId="60">
    <w:name w:val="Emphasis"/>
    <w:qFormat/>
    <w:uiPriority w:val="0"/>
    <w:rPr>
      <w:i/>
    </w:rPr>
  </w:style>
  <w:style w:type="character" w:styleId="61">
    <w:name w:val="Hyperlink"/>
    <w:basedOn w:val="56"/>
    <w:qFormat/>
    <w:uiPriority w:val="99"/>
    <w:rPr>
      <w:color w:val="0000FF"/>
      <w:u w:val="non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character" w:customStyle="1" w:styleId="64">
    <w:name w:val="Char Char16"/>
    <w:qFormat/>
    <w:uiPriority w:val="0"/>
    <w:rPr>
      <w:rFonts w:eastAsia="宋体"/>
      <w:b/>
      <w:bCs/>
      <w:kern w:val="44"/>
      <w:sz w:val="44"/>
      <w:szCs w:val="44"/>
      <w:lang w:val="en-US" w:eastAsia="zh-CN" w:bidi="ar-SA"/>
    </w:rPr>
  </w:style>
  <w:style w:type="character" w:customStyle="1" w:styleId="65">
    <w:name w:val="标题 7 Char1"/>
    <w:link w:val="8"/>
    <w:qFormat/>
    <w:uiPriority w:val="0"/>
    <w:rPr>
      <w:b/>
      <w:bCs/>
      <w:sz w:val="24"/>
      <w:szCs w:val="24"/>
    </w:rPr>
  </w:style>
  <w:style w:type="character" w:customStyle="1" w:styleId="66">
    <w:name w:val="正文文本 3 Char2"/>
    <w:link w:val="17"/>
    <w:qFormat/>
    <w:uiPriority w:val="99"/>
    <w:rPr>
      <w:kern w:val="2"/>
      <w:sz w:val="16"/>
      <w:szCs w:val="16"/>
    </w:rPr>
  </w:style>
  <w:style w:type="character" w:customStyle="1" w:styleId="67">
    <w:name w:val="书籍标题2"/>
    <w:qFormat/>
    <w:uiPriority w:val="0"/>
    <w:rPr>
      <w:b/>
      <w:bCs/>
      <w:smallCaps/>
      <w:spacing w:val="5"/>
    </w:rPr>
  </w:style>
  <w:style w:type="character" w:customStyle="1" w:styleId="68">
    <w:name w:val="标题 Char2"/>
    <w:link w:val="21"/>
    <w:qFormat/>
    <w:uiPriority w:val="10"/>
    <w:rPr>
      <w:rFonts w:ascii="Cambria" w:hAnsi="Cambria" w:eastAsia="方正小标宋简体"/>
      <w:b/>
      <w:bCs/>
      <w:kern w:val="2"/>
      <w:sz w:val="32"/>
      <w:szCs w:val="32"/>
    </w:rPr>
  </w:style>
  <w:style w:type="character" w:customStyle="1" w:styleId="69">
    <w:name w:val="Char Char17"/>
    <w:qFormat/>
    <w:uiPriority w:val="0"/>
    <w:rPr>
      <w:rFonts w:ascii="Cambria" w:hAnsi="Cambria" w:eastAsia="宋体" w:cs="Times New Roman"/>
      <w:b/>
      <w:bCs/>
      <w:kern w:val="2"/>
      <w:sz w:val="32"/>
      <w:szCs w:val="32"/>
    </w:rPr>
  </w:style>
  <w:style w:type="character" w:customStyle="1" w:styleId="70">
    <w:name w:val="Char Char151"/>
    <w:qFormat/>
    <w:uiPriority w:val="0"/>
    <w:rPr>
      <w:rFonts w:ascii="Arial" w:hAnsi="Arial" w:eastAsia="黑体"/>
      <w:b/>
      <w:bCs/>
      <w:kern w:val="2"/>
      <w:sz w:val="32"/>
      <w:szCs w:val="32"/>
      <w:lang w:val="en-US" w:eastAsia="zh-CN" w:bidi="ar-SA"/>
    </w:rPr>
  </w:style>
  <w:style w:type="paragraph" w:customStyle="1" w:styleId="71">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2">
    <w:name w:val="页眉 Char"/>
    <w:qFormat/>
    <w:uiPriority w:val="99"/>
    <w:rPr>
      <w:rFonts w:eastAsia="宋体"/>
      <w:kern w:val="2"/>
      <w:sz w:val="18"/>
      <w:szCs w:val="18"/>
      <w:lang w:val="en-US" w:eastAsia="zh-CN" w:bidi="ar-SA"/>
    </w:rPr>
  </w:style>
  <w:style w:type="paragraph" w:customStyle="1" w:styleId="73">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4">
    <w:name w:val="明显强调1"/>
    <w:qFormat/>
    <w:uiPriority w:val="0"/>
    <w:rPr>
      <w:rFonts w:cs="Times New Roman"/>
      <w:b/>
      <w:i/>
      <w:color w:val="4F81BD"/>
    </w:rPr>
  </w:style>
  <w:style w:type="paragraph" w:customStyle="1" w:styleId="75">
    <w:name w:val="Char Char Char1 Char Char Char Char Char Char Char1"/>
    <w:basedOn w:val="1"/>
    <w:qFormat/>
    <w:uiPriority w:val="0"/>
    <w:rPr>
      <w:sz w:val="28"/>
      <w:szCs w:val="28"/>
    </w:rPr>
  </w:style>
  <w:style w:type="paragraph" w:customStyle="1" w:styleId="76">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7">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8">
    <w:name w:val="0"/>
    <w:basedOn w:val="1"/>
    <w:qFormat/>
    <w:uiPriority w:val="0"/>
    <w:pPr>
      <w:widowControl/>
      <w:snapToGrid w:val="0"/>
      <w:spacing w:line="365" w:lineRule="atLeast"/>
      <w:ind w:left="1"/>
      <w:textAlignment w:val="bottom"/>
    </w:pPr>
    <w:rPr>
      <w:kern w:val="0"/>
      <w:sz w:val="20"/>
      <w:szCs w:val="20"/>
    </w:rPr>
  </w:style>
  <w:style w:type="paragraph" w:customStyle="1" w:styleId="79">
    <w:name w:val="批注主题1"/>
    <w:basedOn w:val="16"/>
    <w:next w:val="16"/>
    <w:qFormat/>
    <w:uiPriority w:val="0"/>
    <w:rPr>
      <w:rFonts w:ascii="宋体" w:hAnsi="Calibri"/>
      <w:b/>
      <w:bCs/>
      <w:kern w:val="0"/>
      <w:sz w:val="28"/>
      <w:szCs w:val="20"/>
    </w:rPr>
  </w:style>
  <w:style w:type="character" w:customStyle="1" w:styleId="80">
    <w:name w:val="标题 2李洪 Char"/>
    <w:qFormat/>
    <w:uiPriority w:val="0"/>
    <w:rPr>
      <w:rFonts w:hint="eastAsia" w:ascii="宋体" w:hAnsi="宋体" w:eastAsia="宋体"/>
      <w:kern w:val="2"/>
      <w:sz w:val="21"/>
      <w:szCs w:val="24"/>
      <w:lang w:val="en-US" w:eastAsia="zh-CN" w:bidi="ar-SA"/>
    </w:rPr>
  </w:style>
  <w:style w:type="character" w:customStyle="1" w:styleId="81">
    <w:name w:val="不明显强调1"/>
    <w:qFormat/>
    <w:uiPriority w:val="0"/>
    <w:rPr>
      <w:i/>
      <w:iCs/>
      <w:color w:val="808080"/>
    </w:rPr>
  </w:style>
  <w:style w:type="paragraph" w:customStyle="1" w:styleId="82">
    <w:name w:val="正文要点"/>
    <w:basedOn w:val="1"/>
    <w:next w:val="83"/>
    <w:link w:val="472"/>
    <w:qFormat/>
    <w:uiPriority w:val="0"/>
    <w:pPr>
      <w:tabs>
        <w:tab w:val="left" w:pos="420"/>
      </w:tabs>
      <w:spacing w:line="360" w:lineRule="auto"/>
      <w:ind w:left="840" w:hanging="420"/>
    </w:pPr>
    <w:rPr>
      <w:szCs w:val="21"/>
    </w:rPr>
  </w:style>
  <w:style w:type="paragraph" w:customStyle="1" w:styleId="83">
    <w:name w:val="正文要点内容"/>
    <w:basedOn w:val="82"/>
    <w:link w:val="346"/>
    <w:qFormat/>
    <w:uiPriority w:val="0"/>
    <w:pPr>
      <w:tabs>
        <w:tab w:val="left" w:pos="840"/>
        <w:tab w:val="clear" w:pos="420"/>
      </w:tabs>
      <w:ind w:left="400" w:leftChars="400" w:firstLine="200" w:firstLineChars="200"/>
    </w:pPr>
  </w:style>
  <w:style w:type="paragraph" w:customStyle="1" w:styleId="8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6">
    <w:name w:val="Char Char1 Char Char Char Char1"/>
    <w:basedOn w:val="15"/>
    <w:qFormat/>
    <w:uiPriority w:val="0"/>
    <w:rPr>
      <w:rFonts w:ascii="宋体" w:hAnsi="Calibri"/>
      <w:kern w:val="0"/>
    </w:rPr>
  </w:style>
  <w:style w:type="character" w:customStyle="1" w:styleId="87">
    <w:name w:val="标题 6 Char"/>
    <w:qFormat/>
    <w:uiPriority w:val="99"/>
    <w:rPr>
      <w:rFonts w:ascii="Arial" w:hAnsi="Arial" w:eastAsia="黑体"/>
      <w:b/>
      <w:bCs/>
      <w:sz w:val="24"/>
      <w:szCs w:val="24"/>
      <w:lang w:val="en-US" w:eastAsia="zh-CN" w:bidi="ar-SA"/>
    </w:rPr>
  </w:style>
  <w:style w:type="paragraph" w:customStyle="1" w:styleId="88">
    <w:name w:val="Char Char1 Char Char Char Char Char Char2"/>
    <w:basedOn w:val="15"/>
    <w:qFormat/>
    <w:uiPriority w:val="0"/>
    <w:rPr>
      <w:rFonts w:ascii="Calibri" w:hAnsi="Calibri"/>
      <w:szCs w:val="22"/>
    </w:rPr>
  </w:style>
  <w:style w:type="paragraph" w:customStyle="1" w:styleId="89">
    <w:name w:val="Blockquote"/>
    <w:basedOn w:val="1"/>
    <w:link w:val="238"/>
    <w:qFormat/>
    <w:uiPriority w:val="99"/>
    <w:pPr>
      <w:autoSpaceDE w:val="0"/>
      <w:autoSpaceDN w:val="0"/>
      <w:adjustRightInd w:val="0"/>
      <w:spacing w:before="100" w:after="100"/>
      <w:ind w:left="360" w:right="360"/>
      <w:jc w:val="left"/>
    </w:pPr>
    <w:rPr>
      <w:kern w:val="0"/>
      <w:sz w:val="24"/>
      <w:szCs w:val="20"/>
    </w:rPr>
  </w:style>
  <w:style w:type="paragraph" w:customStyle="1" w:styleId="90">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91">
    <w:name w:val="Plain Text Char"/>
    <w:qFormat/>
    <w:locked/>
    <w:uiPriority w:val="0"/>
    <w:rPr>
      <w:rFonts w:ascii="宋体" w:hAnsi="Courier New" w:cs="宋体"/>
      <w:sz w:val="21"/>
      <w:szCs w:val="21"/>
    </w:rPr>
  </w:style>
  <w:style w:type="character" w:customStyle="1" w:styleId="92">
    <w:name w:val="批注主题 Char2"/>
    <w:qFormat/>
    <w:uiPriority w:val="99"/>
    <w:rPr>
      <w:rFonts w:ascii="Times New Roman" w:hAnsi="Times New Roman" w:eastAsia="宋体" w:cs="Times New Roman"/>
      <w:b/>
      <w:bCs/>
      <w:kern w:val="2"/>
      <w:sz w:val="21"/>
      <w:szCs w:val="24"/>
    </w:rPr>
  </w:style>
  <w:style w:type="character" w:customStyle="1" w:styleId="93">
    <w:name w:val="页眉 Char2"/>
    <w:semiHidden/>
    <w:qFormat/>
    <w:uiPriority w:val="99"/>
    <w:rPr>
      <w:rFonts w:ascii="Times New Roman" w:hAnsi="Times New Roman" w:eastAsia="宋体" w:cs="Times New Roman"/>
      <w:sz w:val="18"/>
      <w:szCs w:val="18"/>
    </w:rPr>
  </w:style>
  <w:style w:type="paragraph" w:customStyle="1" w:styleId="94">
    <w:name w:val="文档结构图2"/>
    <w:basedOn w:val="1"/>
    <w:qFormat/>
    <w:uiPriority w:val="0"/>
    <w:pPr>
      <w:shd w:val="clear" w:color="auto" w:fill="000080"/>
    </w:pPr>
    <w:rPr>
      <w:kern w:val="0"/>
      <w:sz w:val="20"/>
      <w:shd w:val="clear" w:color="auto" w:fill="000080"/>
    </w:rPr>
  </w:style>
  <w:style w:type="character" w:customStyle="1" w:styleId="95">
    <w:name w:val="正文文本缩进 3 Char"/>
    <w:qFormat/>
    <w:locked/>
    <w:uiPriority w:val="99"/>
    <w:rPr>
      <w:rFonts w:eastAsia="宋体"/>
      <w:sz w:val="16"/>
      <w:szCs w:val="16"/>
    </w:rPr>
  </w:style>
  <w:style w:type="character" w:customStyle="1" w:styleId="96">
    <w:name w:val="脚注文本 Char"/>
    <w:qFormat/>
    <w:locked/>
    <w:uiPriority w:val="99"/>
    <w:rPr>
      <w:rFonts w:eastAsia="宋体"/>
    </w:rPr>
  </w:style>
  <w:style w:type="character" w:customStyle="1" w:styleId="97">
    <w:name w:val="批注框文本 Char1"/>
    <w:qFormat/>
    <w:uiPriority w:val="0"/>
    <w:rPr>
      <w:kern w:val="2"/>
      <w:sz w:val="18"/>
    </w:rPr>
  </w:style>
  <w:style w:type="character" w:customStyle="1" w:styleId="98">
    <w:name w:val="t-in"/>
    <w:qFormat/>
    <w:uiPriority w:val="0"/>
    <w:rPr>
      <w:u w:val="none"/>
    </w:rPr>
  </w:style>
  <w:style w:type="character" w:customStyle="1" w:styleId="99">
    <w:name w:val="明显强调211"/>
    <w:qFormat/>
    <w:uiPriority w:val="0"/>
    <w:rPr>
      <w:b/>
      <w:i/>
      <w:color w:val="4F81BD"/>
    </w:rPr>
  </w:style>
  <w:style w:type="character" w:customStyle="1" w:styleId="100">
    <w:name w:val="Body Text Indent 3 Char"/>
    <w:qFormat/>
    <w:locked/>
    <w:uiPriority w:val="0"/>
    <w:rPr>
      <w:rFonts w:ascii="Times New Roman" w:hAnsi="Times New Roman" w:cs="Times New Roman"/>
      <w:sz w:val="16"/>
      <w:szCs w:val="16"/>
    </w:rPr>
  </w:style>
  <w:style w:type="character" w:customStyle="1" w:styleId="101">
    <w:name w:val="正文文本 3 Char1"/>
    <w:semiHidden/>
    <w:qFormat/>
    <w:uiPriority w:val="99"/>
    <w:rPr>
      <w:rFonts w:ascii="Times New Roman" w:hAnsi="Times New Roman" w:eastAsia="宋体" w:cs="Times New Roman"/>
      <w:sz w:val="16"/>
      <w:szCs w:val="16"/>
    </w:rPr>
  </w:style>
  <w:style w:type="paragraph" w:customStyle="1" w:styleId="102">
    <w:name w:val="索引 411"/>
    <w:basedOn w:val="1"/>
    <w:next w:val="1"/>
    <w:qFormat/>
    <w:uiPriority w:val="0"/>
    <w:pPr>
      <w:ind w:left="600" w:leftChars="600"/>
    </w:pPr>
  </w:style>
  <w:style w:type="paragraph" w:customStyle="1" w:styleId="103">
    <w:name w:val="Char Char Char Char Char Char"/>
    <w:basedOn w:val="1"/>
    <w:qFormat/>
    <w:uiPriority w:val="0"/>
    <w:pPr>
      <w:ind w:firstLine="200" w:firstLineChars="200"/>
    </w:pPr>
    <w:rPr>
      <w:rFonts w:ascii="Tahoma" w:hAnsi="Tahoma"/>
      <w:sz w:val="24"/>
      <w:szCs w:val="20"/>
    </w:rPr>
  </w:style>
  <w:style w:type="character" w:customStyle="1" w:styleId="104">
    <w:name w:val="明显参考21"/>
    <w:qFormat/>
    <w:uiPriority w:val="0"/>
    <w:rPr>
      <w:b/>
      <w:bCs/>
      <w:smallCaps/>
      <w:color w:val="C0504D"/>
      <w:spacing w:val="5"/>
      <w:u w:val="single"/>
    </w:rPr>
  </w:style>
  <w:style w:type="paragraph" w:customStyle="1" w:styleId="10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6">
    <w:name w:val="标题 1 字符"/>
    <w:qFormat/>
    <w:uiPriority w:val="0"/>
    <w:rPr>
      <w:b/>
      <w:kern w:val="44"/>
      <w:sz w:val="44"/>
    </w:rPr>
  </w:style>
  <w:style w:type="paragraph" w:customStyle="1" w:styleId="10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8">
    <w:name w:val="Char Char181"/>
    <w:qFormat/>
    <w:uiPriority w:val="0"/>
    <w:rPr>
      <w:b/>
      <w:bCs/>
      <w:kern w:val="44"/>
      <w:sz w:val="44"/>
      <w:szCs w:val="44"/>
    </w:rPr>
  </w:style>
  <w:style w:type="character" w:customStyle="1" w:styleId="109">
    <w:name w:val="Char Char12"/>
    <w:semiHidden/>
    <w:qFormat/>
    <w:locked/>
    <w:uiPriority w:val="0"/>
    <w:rPr>
      <w:rFonts w:ascii="Courier New" w:hAnsi="Courier New" w:eastAsia="宋体"/>
      <w:kern w:val="2"/>
      <w:sz w:val="21"/>
      <w:lang w:val="en-US" w:eastAsia="zh-CN" w:bidi="ar-SA"/>
    </w:rPr>
  </w:style>
  <w:style w:type="paragraph" w:customStyle="1" w:styleId="110">
    <w:name w:val="正文文本 31"/>
    <w:basedOn w:val="1"/>
    <w:qFormat/>
    <w:uiPriority w:val="0"/>
    <w:pPr>
      <w:spacing w:after="120"/>
    </w:pPr>
    <w:rPr>
      <w:sz w:val="16"/>
      <w:szCs w:val="16"/>
    </w:rPr>
  </w:style>
  <w:style w:type="character" w:customStyle="1" w:styleId="111">
    <w:name w:val="明显强调2"/>
    <w:qFormat/>
    <w:uiPriority w:val="99"/>
    <w:rPr>
      <w:b/>
      <w:bCs/>
      <w:i/>
      <w:iCs/>
      <w:color w:val="4F81BD"/>
    </w:rPr>
  </w:style>
  <w:style w:type="character" w:customStyle="1" w:styleId="112">
    <w:name w:val="Char Char23"/>
    <w:qFormat/>
    <w:locked/>
    <w:uiPriority w:val="0"/>
    <w:rPr>
      <w:rFonts w:eastAsia="宋体"/>
      <w:b/>
      <w:bCs/>
      <w:sz w:val="28"/>
      <w:szCs w:val="32"/>
      <w:lang w:val="en-US" w:eastAsia="zh-CN" w:bidi="ar-SA"/>
    </w:rPr>
  </w:style>
  <w:style w:type="paragraph" w:customStyle="1" w:styleId="113">
    <w:name w:val="列表段落1"/>
    <w:basedOn w:val="1"/>
    <w:qFormat/>
    <w:uiPriority w:val="0"/>
    <w:pPr>
      <w:ind w:firstLine="420" w:firstLineChars="200"/>
    </w:pPr>
    <w:rPr>
      <w:rFonts w:ascii="Calibri" w:hAnsi="Calibri"/>
      <w:szCs w:val="22"/>
    </w:rPr>
  </w:style>
  <w:style w:type="character" w:customStyle="1" w:styleId="114">
    <w:name w:val="标题 6 Char1"/>
    <w:link w:val="7"/>
    <w:qFormat/>
    <w:uiPriority w:val="0"/>
    <w:rPr>
      <w:rFonts w:ascii="Arial" w:hAnsi="Arial" w:eastAsia="黑体"/>
      <w:b/>
      <w:bCs/>
      <w:sz w:val="24"/>
      <w:szCs w:val="24"/>
    </w:rPr>
  </w:style>
  <w:style w:type="character" w:customStyle="1" w:styleId="115">
    <w:name w:val="标题 2 Char Char Char Char Char Char Char Char Char Char Char Char Char Char Char Char Char Char Char Char Char"/>
    <w:qFormat/>
    <w:uiPriority w:val="0"/>
  </w:style>
  <w:style w:type="paragraph" w:customStyle="1" w:styleId="116">
    <w:name w:val="font6"/>
    <w:basedOn w:val="1"/>
    <w:qFormat/>
    <w:uiPriority w:val="0"/>
    <w:pPr>
      <w:widowControl/>
      <w:spacing w:before="100" w:beforeAutospacing="1" w:after="100" w:afterAutospacing="1"/>
      <w:jc w:val="left"/>
    </w:pPr>
    <w:rPr>
      <w:kern w:val="0"/>
      <w:szCs w:val="21"/>
    </w:rPr>
  </w:style>
  <w:style w:type="character" w:customStyle="1" w:styleId="117">
    <w:name w:val="正文缩进 Char1"/>
    <w:qFormat/>
    <w:uiPriority w:val="0"/>
    <w:rPr>
      <w:kern w:val="2"/>
      <w:sz w:val="21"/>
      <w:szCs w:val="21"/>
    </w:rPr>
  </w:style>
  <w:style w:type="paragraph" w:customStyle="1" w:styleId="118">
    <w:name w:val="Char Char Char1 Char Char Char Char Char Char Char"/>
    <w:basedOn w:val="1"/>
    <w:qFormat/>
    <w:uiPriority w:val="0"/>
    <w:rPr>
      <w:sz w:val="28"/>
      <w:szCs w:val="28"/>
    </w:rPr>
  </w:style>
  <w:style w:type="character" w:customStyle="1" w:styleId="119">
    <w:name w:val="标题 Char"/>
    <w:qFormat/>
    <w:locked/>
    <w:uiPriority w:val="99"/>
    <w:rPr>
      <w:rFonts w:ascii="Arial" w:hAnsi="Arial" w:eastAsia="宋体"/>
      <w:b/>
      <w:sz w:val="32"/>
    </w:rPr>
  </w:style>
  <w:style w:type="character" w:customStyle="1" w:styleId="120">
    <w:name w:val="正文文本缩进 Char2"/>
    <w:link w:val="23"/>
    <w:qFormat/>
    <w:uiPriority w:val="99"/>
    <w:rPr>
      <w:rFonts w:ascii="仿宋_GB2312" w:eastAsia="仿宋_GB2312"/>
      <w:sz w:val="32"/>
      <w:szCs w:val="32"/>
    </w:rPr>
  </w:style>
  <w:style w:type="character" w:customStyle="1" w:styleId="121">
    <w:name w:val="正文文本 2 Char1"/>
    <w:qFormat/>
    <w:uiPriority w:val="0"/>
    <w:rPr>
      <w:rFonts w:ascii="Times New Roman" w:hAnsi="Times New Roman" w:eastAsia="宋体" w:cs="Times New Roman"/>
      <w:szCs w:val="24"/>
    </w:rPr>
  </w:style>
  <w:style w:type="paragraph" w:customStyle="1" w:styleId="122">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3">
    <w:name w:val="纯文本 字符2"/>
    <w:qFormat/>
    <w:locked/>
    <w:uiPriority w:val="0"/>
    <w:rPr>
      <w:rFonts w:ascii="宋体" w:hAnsi="Courier New" w:eastAsia="宋体" w:cs="Times New Roman"/>
      <w:kern w:val="0"/>
      <w:szCs w:val="21"/>
    </w:rPr>
  </w:style>
  <w:style w:type="character" w:customStyle="1" w:styleId="124">
    <w:name w:val="页眉 Char3"/>
    <w:link w:val="36"/>
    <w:qFormat/>
    <w:uiPriority w:val="99"/>
    <w:rPr>
      <w:kern w:val="2"/>
      <w:sz w:val="18"/>
      <w:szCs w:val="18"/>
    </w:rPr>
  </w:style>
  <w:style w:type="paragraph" w:customStyle="1" w:styleId="125">
    <w:name w:val="Char"/>
    <w:basedOn w:val="1"/>
    <w:qFormat/>
    <w:uiPriority w:val="0"/>
    <w:rPr>
      <w:szCs w:val="21"/>
    </w:rPr>
  </w:style>
  <w:style w:type="character" w:customStyle="1" w:styleId="126">
    <w:name w:val="批注主题 Char1"/>
    <w:qFormat/>
    <w:uiPriority w:val="0"/>
    <w:rPr>
      <w:b/>
      <w:bCs/>
      <w:kern w:val="2"/>
      <w:sz w:val="21"/>
      <w:szCs w:val="22"/>
    </w:rPr>
  </w:style>
  <w:style w:type="character" w:customStyle="1" w:styleId="127">
    <w:name w:val="副标题 Char2"/>
    <w:qFormat/>
    <w:uiPriority w:val="11"/>
    <w:rPr>
      <w:rFonts w:ascii="Cambria" w:hAnsi="Cambria" w:eastAsia="宋体" w:cs="Times New Roman"/>
      <w:b/>
      <w:bCs/>
      <w:kern w:val="28"/>
      <w:sz w:val="32"/>
      <w:szCs w:val="32"/>
    </w:rPr>
  </w:style>
  <w:style w:type="paragraph" w:customStyle="1" w:styleId="12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9">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0">
    <w:name w:val="Footer Char"/>
    <w:qFormat/>
    <w:locked/>
    <w:uiPriority w:val="0"/>
    <w:rPr>
      <w:rFonts w:ascii="Times New Roman" w:hAnsi="Times New Roman" w:cs="Times New Roman"/>
      <w:sz w:val="18"/>
      <w:szCs w:val="18"/>
    </w:rPr>
  </w:style>
  <w:style w:type="paragraph" w:customStyle="1" w:styleId="131">
    <w:name w:val="正文文本 311"/>
    <w:basedOn w:val="1"/>
    <w:qFormat/>
    <w:uiPriority w:val="0"/>
    <w:pPr>
      <w:spacing w:after="120"/>
    </w:pPr>
    <w:rPr>
      <w:sz w:val="16"/>
      <w:szCs w:val="16"/>
    </w:rPr>
  </w:style>
  <w:style w:type="paragraph" w:customStyle="1" w:styleId="132">
    <w:name w:val="标题4"/>
    <w:basedOn w:val="133"/>
    <w:next w:val="27"/>
    <w:link w:val="231"/>
    <w:qFormat/>
    <w:uiPriority w:val="99"/>
    <w:pPr>
      <w:spacing w:line="413" w:lineRule="auto"/>
    </w:pPr>
  </w:style>
  <w:style w:type="paragraph" w:customStyle="1" w:styleId="133">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4">
    <w:name w:val="Char Char7"/>
    <w:qFormat/>
    <w:uiPriority w:val="0"/>
    <w:rPr>
      <w:rFonts w:ascii="Arial" w:hAnsi="Arial" w:eastAsia="黑体"/>
      <w:b/>
      <w:bCs/>
      <w:kern w:val="2"/>
      <w:sz w:val="32"/>
      <w:szCs w:val="32"/>
      <w:lang w:val="en-US" w:eastAsia="zh-CN" w:bidi="ar-SA"/>
    </w:rPr>
  </w:style>
  <w:style w:type="character" w:customStyle="1" w:styleId="135">
    <w:name w:val="正文文本缩进 3 Char2"/>
    <w:link w:val="43"/>
    <w:qFormat/>
    <w:uiPriority w:val="99"/>
    <w:rPr>
      <w:sz w:val="16"/>
      <w:szCs w:val="16"/>
    </w:rPr>
  </w:style>
  <w:style w:type="paragraph" w:customStyle="1" w:styleId="136">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7">
    <w:name w:val="文档结构图 Char2"/>
    <w:qFormat/>
    <w:uiPriority w:val="0"/>
    <w:rPr>
      <w:rFonts w:eastAsia="宋体"/>
      <w:szCs w:val="24"/>
      <w:shd w:val="clear" w:color="auto" w:fill="000080"/>
    </w:rPr>
  </w:style>
  <w:style w:type="paragraph" w:customStyle="1" w:styleId="138">
    <w:name w:val="Char Char 字元 字元 字元 Char Char Char Char"/>
    <w:basedOn w:val="1"/>
    <w:qFormat/>
    <w:uiPriority w:val="0"/>
    <w:pPr>
      <w:adjustRightInd w:val="0"/>
      <w:spacing w:line="360" w:lineRule="auto"/>
    </w:pPr>
    <w:rPr>
      <w:szCs w:val="20"/>
    </w:rPr>
  </w:style>
  <w:style w:type="character" w:customStyle="1" w:styleId="139">
    <w:name w:val="font71"/>
    <w:qFormat/>
    <w:uiPriority w:val="0"/>
    <w:rPr>
      <w:rFonts w:hint="default" w:ascii="Times New Roman" w:hAnsi="Times New Roman" w:cs="Times New Roman"/>
      <w:color w:val="000000"/>
      <w:sz w:val="22"/>
      <w:szCs w:val="22"/>
      <w:u w:val="none"/>
    </w:rPr>
  </w:style>
  <w:style w:type="paragraph" w:customStyle="1" w:styleId="140">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2">
    <w:name w:val="TOC 标题11"/>
    <w:basedOn w:val="2"/>
    <w:next w:val="1"/>
    <w:qFormat/>
    <w:uiPriority w:val="0"/>
    <w:pPr>
      <w:spacing w:line="576" w:lineRule="auto"/>
      <w:jc w:val="center"/>
      <w:outlineLvl w:val="9"/>
    </w:pPr>
    <w:rPr>
      <w:rFonts w:ascii="Calibri" w:hAnsi="Calibri"/>
    </w:rPr>
  </w:style>
  <w:style w:type="character" w:customStyle="1" w:styleId="143">
    <w:name w:val="批注主题 Char"/>
    <w:qFormat/>
    <w:locked/>
    <w:uiPriority w:val="99"/>
    <w:rPr>
      <w:rFonts w:eastAsia="宋体"/>
      <w:b/>
      <w:bCs/>
      <w:sz w:val="24"/>
      <w:szCs w:val="24"/>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6">
    <w:name w:val="页脚 Char3"/>
    <w:link w:val="35"/>
    <w:qFormat/>
    <w:uiPriority w:val="99"/>
    <w:rPr>
      <w:kern w:val="2"/>
      <w:sz w:val="18"/>
      <w:szCs w:val="18"/>
    </w:rPr>
  </w:style>
  <w:style w:type="character" w:customStyle="1" w:styleId="147">
    <w:name w:val="日期 Char3"/>
    <w:link w:val="32"/>
    <w:qFormat/>
    <w:uiPriority w:val="99"/>
    <w:rPr>
      <w:rFonts w:ascii="宋体" w:hAnsi="Courier New"/>
      <w:sz w:val="21"/>
      <w:szCs w:val="21"/>
    </w:rPr>
  </w:style>
  <w:style w:type="character" w:customStyle="1" w:styleId="148">
    <w:name w:val="正文缩进 Char2"/>
    <w:link w:val="13"/>
    <w:qFormat/>
    <w:uiPriority w:val="0"/>
    <w:rPr>
      <w:kern w:val="2"/>
      <w:sz w:val="21"/>
      <w:szCs w:val="21"/>
    </w:rPr>
  </w:style>
  <w:style w:type="character" w:customStyle="1" w:styleId="149">
    <w:name w:val="HTML 预设格式 Char"/>
    <w:qFormat/>
    <w:uiPriority w:val="0"/>
    <w:rPr>
      <w:rFonts w:ascii="Arial" w:hAnsi="Arial"/>
      <w:szCs w:val="24"/>
    </w:rPr>
  </w:style>
  <w:style w:type="paragraph" w:customStyle="1" w:styleId="150">
    <w:name w:val="Char11"/>
    <w:basedOn w:val="1"/>
    <w:qFormat/>
    <w:uiPriority w:val="0"/>
    <w:pPr>
      <w:tabs>
        <w:tab w:val="left" w:pos="360"/>
      </w:tabs>
    </w:pPr>
    <w:rPr>
      <w:sz w:val="24"/>
    </w:rPr>
  </w:style>
  <w:style w:type="character" w:customStyle="1" w:styleId="151">
    <w:name w:val="纯文本 Char"/>
    <w:qFormat/>
    <w:locked/>
    <w:uiPriority w:val="0"/>
    <w:rPr>
      <w:rFonts w:ascii="Courier New" w:hAnsi="Courier New" w:eastAsia="宋体"/>
    </w:rPr>
  </w:style>
  <w:style w:type="paragraph" w:customStyle="1" w:styleId="152">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3">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4">
    <w:name w:val="书籍标题1"/>
    <w:qFormat/>
    <w:uiPriority w:val="99"/>
    <w:rPr>
      <w:b/>
      <w:bCs/>
      <w:smallCaps/>
      <w:spacing w:val="5"/>
    </w:rPr>
  </w:style>
  <w:style w:type="character" w:customStyle="1" w:styleId="155">
    <w:name w:val="标题 4 Char"/>
    <w:qFormat/>
    <w:uiPriority w:val="0"/>
    <w:rPr>
      <w:rFonts w:ascii="Arial" w:hAnsi="Arial" w:eastAsia="黑体"/>
      <w:b/>
      <w:bCs/>
      <w:kern w:val="2"/>
      <w:sz w:val="28"/>
      <w:szCs w:val="28"/>
      <w:lang w:val="en-US" w:eastAsia="zh-CN" w:bidi="ar-SA"/>
    </w:rPr>
  </w:style>
  <w:style w:type="paragraph" w:customStyle="1" w:styleId="156">
    <w:name w:val="引用11"/>
    <w:basedOn w:val="1"/>
    <w:next w:val="1"/>
    <w:qFormat/>
    <w:uiPriority w:val="0"/>
    <w:rPr>
      <w:rFonts w:ascii="Calibri" w:hAnsi="Calibri"/>
      <w:i/>
      <w:color w:val="000000"/>
      <w:kern w:val="0"/>
      <w:sz w:val="22"/>
      <w:szCs w:val="20"/>
    </w:rPr>
  </w:style>
  <w:style w:type="character" w:customStyle="1" w:styleId="157">
    <w:name w:val="正文文本缩进 Char"/>
    <w:qFormat/>
    <w:locked/>
    <w:uiPriority w:val="99"/>
    <w:rPr>
      <w:rFonts w:eastAsia="宋体"/>
      <w:szCs w:val="24"/>
    </w:rPr>
  </w:style>
  <w:style w:type="paragraph" w:customStyle="1" w:styleId="15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9">
    <w:name w:val="正文首行缩进 Char2"/>
    <w:link w:val="53"/>
    <w:qFormat/>
    <w:uiPriority w:val="99"/>
    <w:rPr>
      <w:kern w:val="2"/>
      <w:sz w:val="21"/>
      <w:szCs w:val="22"/>
    </w:rPr>
  </w:style>
  <w:style w:type="character" w:customStyle="1" w:styleId="160">
    <w:name w:val="批注框文本 Char2"/>
    <w:semiHidden/>
    <w:qFormat/>
    <w:uiPriority w:val="99"/>
    <w:rPr>
      <w:sz w:val="18"/>
      <w:szCs w:val="18"/>
    </w:rPr>
  </w:style>
  <w:style w:type="character" w:customStyle="1" w:styleId="161">
    <w:name w:val="font21"/>
    <w:qFormat/>
    <w:uiPriority w:val="0"/>
    <w:rPr>
      <w:rFonts w:hint="eastAsia" w:ascii="宋体" w:hAnsi="宋体" w:eastAsia="宋体" w:cs="宋体"/>
      <w:color w:val="000000"/>
      <w:sz w:val="20"/>
      <w:szCs w:val="20"/>
      <w:u w:val="none"/>
    </w:rPr>
  </w:style>
  <w:style w:type="character" w:customStyle="1" w:styleId="162">
    <w:name w:val="正文缩进 字符"/>
    <w:qFormat/>
    <w:uiPriority w:val="0"/>
    <w:rPr>
      <w:kern w:val="2"/>
      <w:sz w:val="21"/>
      <w:szCs w:val="21"/>
    </w:rPr>
  </w:style>
  <w:style w:type="character" w:customStyle="1" w:styleId="163">
    <w:name w:val="文档结构图 Char Char"/>
    <w:qFormat/>
    <w:uiPriority w:val="0"/>
    <w:rPr>
      <w:szCs w:val="24"/>
      <w:shd w:val="clear" w:color="auto" w:fill="000080"/>
      <w:lang w:bidi="ar-SA"/>
    </w:rPr>
  </w:style>
  <w:style w:type="paragraph" w:customStyle="1" w:styleId="16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5">
    <w:name w:val="无间隔 Char1"/>
    <w:link w:val="166"/>
    <w:qFormat/>
    <w:uiPriority w:val="99"/>
    <w:rPr>
      <w:rFonts w:cs="Calibri"/>
      <w:sz w:val="22"/>
      <w:szCs w:val="22"/>
      <w:lang w:val="en-US" w:eastAsia="zh-CN" w:bidi="ar-SA"/>
    </w:rPr>
  </w:style>
  <w:style w:type="paragraph" w:styleId="166">
    <w:name w:val="No Spacing"/>
    <w:link w:val="165"/>
    <w:qFormat/>
    <w:uiPriority w:val="99"/>
    <w:rPr>
      <w:rFonts w:cs="Calibri" w:asciiTheme="minorHAnsi" w:hAnsiTheme="minorHAnsi" w:eastAsiaTheme="minorEastAsia"/>
      <w:kern w:val="2"/>
      <w:sz w:val="22"/>
      <w:szCs w:val="22"/>
      <w:lang w:val="en-US" w:eastAsia="zh-CN" w:bidi="ar-SA"/>
    </w:rPr>
  </w:style>
  <w:style w:type="character" w:customStyle="1" w:styleId="167">
    <w:name w:val="标题 3 Char1"/>
    <w:link w:val="4"/>
    <w:qFormat/>
    <w:uiPriority w:val="0"/>
    <w:rPr>
      <w:b/>
      <w:bCs/>
      <w:kern w:val="2"/>
      <w:sz w:val="32"/>
      <w:szCs w:val="32"/>
    </w:rPr>
  </w:style>
  <w:style w:type="paragraph" w:customStyle="1" w:styleId="168">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9">
    <w:name w:val="Char Char29"/>
    <w:qFormat/>
    <w:uiPriority w:val="0"/>
    <w:rPr>
      <w:rFonts w:eastAsia="宋体"/>
      <w:b/>
      <w:bCs/>
      <w:kern w:val="2"/>
      <w:sz w:val="32"/>
      <w:szCs w:val="32"/>
      <w:lang w:val="en-US" w:eastAsia="zh-CN" w:bidi="ar-SA"/>
    </w:rPr>
  </w:style>
  <w:style w:type="paragraph" w:customStyle="1" w:styleId="17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1">
    <w:name w:val="Char Char30"/>
    <w:qFormat/>
    <w:uiPriority w:val="0"/>
    <w:rPr>
      <w:rFonts w:ascii="Arial" w:hAnsi="Arial" w:eastAsia="黑体"/>
      <w:b/>
      <w:bCs/>
      <w:kern w:val="2"/>
      <w:sz w:val="32"/>
      <w:szCs w:val="32"/>
      <w:lang w:val="en-US" w:eastAsia="zh-CN" w:bidi="ar-SA"/>
    </w:rPr>
  </w:style>
  <w:style w:type="paragraph" w:customStyle="1" w:styleId="172">
    <w:name w:val="图注"/>
    <w:basedOn w:val="14"/>
    <w:qFormat/>
    <w:uiPriority w:val="0"/>
    <w:pPr>
      <w:jc w:val="center"/>
    </w:pPr>
    <w:rPr>
      <w:rFonts w:ascii="Times New Roman" w:hAnsi="Times New Roman" w:eastAsia="宋体"/>
      <w:spacing w:val="20"/>
      <w:sz w:val="21"/>
    </w:rPr>
  </w:style>
  <w:style w:type="paragraph" w:customStyle="1" w:styleId="173">
    <w:name w:val="列出段落2"/>
    <w:basedOn w:val="1"/>
    <w:qFormat/>
    <w:uiPriority w:val="34"/>
    <w:pPr>
      <w:ind w:firstLine="420" w:firstLineChars="200"/>
    </w:pPr>
    <w:rPr>
      <w:rFonts w:ascii="Calibri" w:hAnsi="Calibri"/>
      <w:szCs w:val="22"/>
    </w:rPr>
  </w:style>
  <w:style w:type="paragraph" w:customStyle="1" w:styleId="174">
    <w:name w:val="Char81"/>
    <w:basedOn w:val="15"/>
    <w:qFormat/>
    <w:uiPriority w:val="0"/>
    <w:rPr>
      <w:rFonts w:ascii="Calibri" w:hAnsi="Calibri"/>
    </w:rPr>
  </w:style>
  <w:style w:type="character" w:customStyle="1" w:styleId="175">
    <w:name w:val="fontstyle01"/>
    <w:qFormat/>
    <w:uiPriority w:val="0"/>
    <w:rPr>
      <w:rFonts w:ascii="宋体" w:eastAsia="宋体"/>
      <w:color w:val="000000"/>
      <w:sz w:val="24"/>
      <w:szCs w:val="24"/>
    </w:rPr>
  </w:style>
  <w:style w:type="paragraph" w:customStyle="1" w:styleId="17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7">
    <w:name w:val="批注框文本 Char"/>
    <w:qFormat/>
    <w:locked/>
    <w:uiPriority w:val="99"/>
    <w:rPr>
      <w:rFonts w:eastAsia="宋体"/>
      <w:sz w:val="18"/>
      <w:szCs w:val="18"/>
    </w:rPr>
  </w:style>
  <w:style w:type="character" w:customStyle="1" w:styleId="178">
    <w:name w:val="页脚 Char"/>
    <w:qFormat/>
    <w:uiPriority w:val="99"/>
    <w:rPr>
      <w:kern w:val="2"/>
      <w:sz w:val="18"/>
      <w:szCs w:val="18"/>
    </w:rPr>
  </w:style>
  <w:style w:type="character" w:customStyle="1" w:styleId="179">
    <w:name w:val="Char Char"/>
    <w:qFormat/>
    <w:uiPriority w:val="0"/>
    <w:rPr>
      <w:rFonts w:ascii="Arial" w:hAnsi="Arial" w:eastAsia="黑体"/>
      <w:b/>
      <w:bCs/>
      <w:kern w:val="2"/>
      <w:sz w:val="32"/>
      <w:szCs w:val="32"/>
      <w:lang w:val="en-US" w:eastAsia="zh-CN" w:bidi="ar-SA"/>
    </w:rPr>
  </w:style>
  <w:style w:type="paragraph" w:customStyle="1" w:styleId="180">
    <w:name w:val="Char Char1 Char Char Char Char"/>
    <w:basedOn w:val="15"/>
    <w:qFormat/>
    <w:uiPriority w:val="0"/>
    <w:rPr>
      <w:rFonts w:ascii="Calibri" w:hAnsi="Calibri"/>
    </w:rPr>
  </w:style>
  <w:style w:type="paragraph" w:customStyle="1" w:styleId="181">
    <w:name w:val="样式4"/>
    <w:basedOn w:val="4"/>
    <w:qFormat/>
    <w:uiPriority w:val="0"/>
    <w:pPr>
      <w:spacing w:line="415" w:lineRule="auto"/>
    </w:pPr>
    <w:rPr>
      <w:rFonts w:eastAsia="Arial"/>
    </w:rPr>
  </w:style>
  <w:style w:type="paragraph" w:customStyle="1" w:styleId="182">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4">
    <w:name w:val="批注框文本 Char3"/>
    <w:semiHidden/>
    <w:qFormat/>
    <w:uiPriority w:val="99"/>
    <w:rPr>
      <w:rFonts w:ascii="Times New Roman" w:hAnsi="Times New Roman" w:eastAsia="宋体" w:cs="Times New Roman"/>
      <w:sz w:val="18"/>
      <w:szCs w:val="18"/>
    </w:rPr>
  </w:style>
  <w:style w:type="paragraph" w:customStyle="1" w:styleId="185">
    <w:name w:val="_Style 33"/>
    <w:basedOn w:val="15"/>
    <w:qFormat/>
    <w:uiPriority w:val="0"/>
    <w:rPr>
      <w:rFonts w:ascii="Calibri" w:hAnsi="Calibri"/>
      <w:szCs w:val="22"/>
    </w:rPr>
  </w:style>
  <w:style w:type="paragraph" w:customStyle="1" w:styleId="186">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7">
    <w:name w:val="Char Char Char1"/>
    <w:qFormat/>
    <w:locked/>
    <w:uiPriority w:val="0"/>
    <w:rPr>
      <w:rFonts w:eastAsia="宋体"/>
      <w:b/>
      <w:bCs/>
      <w:kern w:val="44"/>
      <w:sz w:val="44"/>
      <w:szCs w:val="44"/>
      <w:lang w:val="en-US" w:eastAsia="zh-CN" w:bidi="ar-SA"/>
    </w:rPr>
  </w:style>
  <w:style w:type="paragraph" w:customStyle="1" w:styleId="188">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引用1"/>
    <w:basedOn w:val="1"/>
    <w:next w:val="1"/>
    <w:link w:val="286"/>
    <w:qFormat/>
    <w:uiPriority w:val="0"/>
    <w:rPr>
      <w:i/>
      <w:color w:val="000000"/>
      <w:kern w:val="0"/>
      <w:sz w:val="22"/>
      <w:szCs w:val="20"/>
    </w:rPr>
  </w:style>
  <w:style w:type="paragraph" w:customStyle="1" w:styleId="190">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1">
    <w:name w:val="apple-style-span"/>
    <w:qFormat/>
    <w:uiPriority w:val="0"/>
  </w:style>
  <w:style w:type="paragraph" w:customStyle="1" w:styleId="192">
    <w:name w:val="Char2"/>
    <w:basedOn w:val="15"/>
    <w:qFormat/>
    <w:uiPriority w:val="0"/>
    <w:pPr>
      <w:widowControl/>
    </w:pPr>
    <w:rPr>
      <w:rFonts w:ascii="Tahoma" w:hAnsi="Tahoma" w:cs="Tahoma"/>
      <w:kern w:val="0"/>
      <w:sz w:val="18"/>
    </w:rPr>
  </w:style>
  <w:style w:type="character" w:customStyle="1" w:styleId="193">
    <w:name w:val="Char Char291"/>
    <w:qFormat/>
    <w:uiPriority w:val="0"/>
    <w:rPr>
      <w:rFonts w:eastAsia="宋体"/>
      <w:b/>
      <w:bCs/>
      <w:kern w:val="2"/>
      <w:sz w:val="32"/>
      <w:szCs w:val="32"/>
      <w:lang w:val="en-US" w:eastAsia="zh-CN" w:bidi="ar-SA"/>
    </w:rPr>
  </w:style>
  <w:style w:type="paragraph" w:customStyle="1" w:styleId="194">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5">
    <w:name w:val="文本块 Char"/>
    <w:link w:val="26"/>
    <w:qFormat/>
    <w:uiPriority w:val="0"/>
    <w:rPr>
      <w:rFonts w:ascii="仿宋_GB2312" w:eastAsia="仿宋_GB2312" w:cs="仿宋_GB2312"/>
      <w:sz w:val="24"/>
      <w:szCs w:val="24"/>
    </w:rPr>
  </w:style>
  <w:style w:type="character" w:customStyle="1" w:styleId="196">
    <w:name w:val="Body Text Indent 2 Char"/>
    <w:qFormat/>
    <w:locked/>
    <w:uiPriority w:val="0"/>
    <w:rPr>
      <w:rFonts w:ascii="Times New Roman" w:hAnsi="Times New Roman" w:cs="Times New Roman"/>
      <w:sz w:val="24"/>
      <w:szCs w:val="24"/>
    </w:rPr>
  </w:style>
  <w:style w:type="character" w:customStyle="1" w:styleId="197">
    <w:name w:val="Date Char"/>
    <w:qFormat/>
    <w:locked/>
    <w:uiPriority w:val="0"/>
    <w:rPr>
      <w:rFonts w:ascii="宋体" w:hAnsi="Courier New" w:cs="宋体"/>
      <w:sz w:val="21"/>
      <w:szCs w:val="21"/>
    </w:rPr>
  </w:style>
  <w:style w:type="character" w:customStyle="1" w:styleId="198">
    <w:name w:val="Char Char311"/>
    <w:qFormat/>
    <w:locked/>
    <w:uiPriority w:val="0"/>
    <w:rPr>
      <w:rFonts w:ascii="Arial" w:hAnsi="Arial" w:eastAsia="黑体"/>
      <w:b/>
      <w:bCs/>
      <w:kern w:val="2"/>
      <w:sz w:val="32"/>
      <w:szCs w:val="32"/>
      <w:lang w:val="en-US" w:eastAsia="zh-CN" w:bidi="ar-SA"/>
    </w:rPr>
  </w:style>
  <w:style w:type="paragraph" w:customStyle="1" w:styleId="199">
    <w:name w:val="二级标题"/>
    <w:basedOn w:val="168"/>
    <w:qFormat/>
    <w:uiPriority w:val="0"/>
    <w:pPr>
      <w:spacing w:beforeLines="50"/>
    </w:pPr>
    <w:rPr>
      <w:b/>
      <w:sz w:val="28"/>
    </w:rPr>
  </w:style>
  <w:style w:type="paragraph" w:customStyle="1" w:styleId="200">
    <w:name w:val="Char Char Char1 Char Char Char Char Char Char Char2"/>
    <w:basedOn w:val="1"/>
    <w:qFormat/>
    <w:uiPriority w:val="0"/>
    <w:rPr>
      <w:sz w:val="28"/>
      <w:szCs w:val="28"/>
    </w:rPr>
  </w:style>
  <w:style w:type="paragraph" w:customStyle="1" w:styleId="201">
    <w:name w:val="Char Char11"/>
    <w:basedOn w:val="15"/>
    <w:qFormat/>
    <w:uiPriority w:val="0"/>
    <w:rPr>
      <w:rFonts w:ascii="宋体" w:hAnsi="Calibri"/>
      <w:kern w:val="0"/>
      <w:szCs w:val="18"/>
    </w:rPr>
  </w:style>
  <w:style w:type="character" w:customStyle="1" w:styleId="202">
    <w:name w:val="Char Char25"/>
    <w:qFormat/>
    <w:uiPriority w:val="0"/>
    <w:rPr>
      <w:rFonts w:ascii="Times New Roman" w:hAnsi="Times New Roman" w:eastAsia="宋体" w:cs="Times New Roman"/>
      <w:b/>
      <w:bCs/>
      <w:kern w:val="0"/>
      <w:sz w:val="28"/>
      <w:szCs w:val="32"/>
    </w:rPr>
  </w:style>
  <w:style w:type="paragraph" w:customStyle="1" w:styleId="203">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4">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5">
    <w:name w:val="Default Char"/>
    <w:link w:val="19"/>
    <w:qFormat/>
    <w:locked/>
    <w:uiPriority w:val="0"/>
    <w:rPr>
      <w:rFonts w:ascii="......." w:eastAsia="......."/>
      <w:color w:val="000000"/>
      <w:sz w:val="24"/>
      <w:szCs w:val="24"/>
      <w:lang w:val="en-US" w:eastAsia="zh-CN" w:bidi="ar-SA"/>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9"/>
    <w:qFormat/>
    <w:uiPriority w:val="11"/>
    <w:rPr>
      <w:rFonts w:ascii="Cambria" w:hAnsi="Cambria" w:eastAsia="方正楷体简体"/>
      <w:kern w:val="28"/>
      <w:sz w:val="32"/>
      <w:szCs w:val="32"/>
    </w:rPr>
  </w:style>
  <w:style w:type="paragraph" w:customStyle="1" w:styleId="217">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22"/>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5"/>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5"/>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2"/>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9"/>
    <w:qFormat/>
    <w:locked/>
    <w:uiPriority w:val="99"/>
    <w:rPr>
      <w:sz w:val="24"/>
    </w:rPr>
  </w:style>
  <w:style w:type="character" w:customStyle="1" w:styleId="239">
    <w:name w:val="标题 1 Char1"/>
    <w:link w:val="2"/>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90"/>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33"/>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6"/>
    <w:next w:val="16"/>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34"/>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3"/>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4"/>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9"/>
    <w:qFormat/>
    <w:locked/>
    <w:uiPriority w:val="0"/>
    <w:rPr>
      <w:i/>
      <w:color w:val="000000"/>
      <w:sz w:val="22"/>
    </w:rPr>
  </w:style>
  <w:style w:type="character" w:customStyle="1" w:styleId="287">
    <w:name w:val="标题 9 Char1"/>
    <w:link w:val="10"/>
    <w:qFormat/>
    <w:uiPriority w:val="0"/>
    <w:rPr>
      <w:rFonts w:ascii="Arial" w:hAnsi="Arial" w:eastAsia="黑体"/>
      <w:sz w:val="21"/>
      <w:szCs w:val="21"/>
    </w:rPr>
  </w:style>
  <w:style w:type="character" w:customStyle="1" w:styleId="288">
    <w:name w:val="标题 2 字符"/>
    <w:link w:val="133"/>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5"/>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5"/>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5"/>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6"/>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5"/>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5"/>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3"/>
    <w:qFormat/>
    <w:locked/>
    <w:uiPriority w:val="0"/>
    <w:rPr>
      <w:kern w:val="2"/>
      <w:sz w:val="21"/>
      <w:szCs w:val="21"/>
    </w:rPr>
  </w:style>
  <w:style w:type="paragraph" w:customStyle="1" w:styleId="347">
    <w:name w:val="样式 纯文本 + 行距: 固定值 20 磅"/>
    <w:basedOn w:val="30"/>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5"/>
    <w:qFormat/>
    <w:uiPriority w:val="0"/>
    <w:rPr>
      <w:rFonts w:ascii="Calibri" w:hAnsi="Calibri"/>
      <w:szCs w:val="22"/>
    </w:rPr>
  </w:style>
  <w:style w:type="paragraph" w:customStyle="1" w:styleId="359">
    <w:name w:val="Char Char1 Char"/>
    <w:basedOn w:val="15"/>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5"/>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41"/>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4"/>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2"/>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6"/>
    <w:next w:val="16"/>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6"/>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5"/>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9"/>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5"/>
    <w:qFormat/>
    <w:uiPriority w:val="0"/>
    <w:rPr>
      <w:rFonts w:ascii="Calibri" w:hAnsi="Calibri"/>
      <w:szCs w:val="22"/>
    </w:rPr>
  </w:style>
  <w:style w:type="paragraph" w:customStyle="1" w:styleId="398">
    <w:name w:val="Char13"/>
    <w:basedOn w:val="15"/>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2"/>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50"/>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18"/>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30"/>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5"/>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52"/>
    <w:qFormat/>
    <w:uiPriority w:val="99"/>
    <w:rPr>
      <w:b/>
      <w:bCs/>
      <w:kern w:val="2"/>
      <w:sz w:val="21"/>
      <w:szCs w:val="21"/>
    </w:rPr>
  </w:style>
  <w:style w:type="character" w:customStyle="1" w:styleId="461">
    <w:name w:val="正文文本 2 Char2"/>
    <w:link w:val="47"/>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2"/>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18"/>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6"/>
    <w:link w:val="3"/>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6"/>
    <w:qFormat/>
    <w:uiPriority w:val="0"/>
  </w:style>
  <w:style w:type="character" w:customStyle="1" w:styleId="494">
    <w:name w:val="flatpickr-weekday"/>
    <w:basedOn w:val="56"/>
    <w:qFormat/>
    <w:uiPriority w:val="0"/>
    <w:rPr>
      <w:b/>
      <w:bCs/>
      <w:sz w:val="21"/>
      <w:szCs w:val="21"/>
    </w:rPr>
  </w:style>
  <w:style w:type="character" w:customStyle="1" w:styleId="495">
    <w:name w:val="flatpickr-weekday2"/>
    <w:basedOn w:val="56"/>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51"/>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4"/>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flatpickr-day"/>
    <w:basedOn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85</Pages>
  <Words>25520</Words>
  <Characters>27116</Characters>
  <Lines>322</Lines>
  <Paragraphs>90</Paragraphs>
  <TotalTime>15</TotalTime>
  <ScaleCrop>false</ScaleCrop>
  <LinksUpToDate>false</LinksUpToDate>
  <CharactersWithSpaces>27222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莫离</cp:lastModifiedBy>
  <cp:lastPrinted>2024-09-02T07:00:00Z</cp:lastPrinted>
  <dcterms:modified xsi:type="dcterms:W3CDTF">2026-05-12T06:10:53Z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AB1A6856D07D49708B80AC715BB4D62E_12</vt:lpwstr>
  </property>
  <property fmtid="{D5CDD505-2E9C-101B-9397-08002B2CF9AE}" pid="4" name="KSOTemplateDocerSaveRecord">
    <vt:lpwstr>eyJoZGlkIjoiYTFlM2I3NDJmZGU0NDQ5YzMxYTU5Njk0Mjg0YmZiMDYiLCJ1c2VySWQiOiIzOTk0MzUxMjQifQ==</vt:lpwstr>
  </property>
</Properties>
</file>