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257102">
      <w:pPr>
        <w:widowControl/>
        <w:adjustRightInd w:val="0"/>
        <w:spacing w:line="240" w:lineRule="atLeast"/>
        <w:jc w:val="center"/>
        <w:rPr>
          <w:rFonts w:eastAsia="方正小标宋简体" w:cs="宋体"/>
          <w:color w:val="auto"/>
          <w:sz w:val="36"/>
          <w:szCs w:val="36"/>
          <w:highlight w:val="none"/>
        </w:rPr>
      </w:pPr>
    </w:p>
    <w:p w14:paraId="486D3D62">
      <w:pPr>
        <w:spacing w:line="360" w:lineRule="exact"/>
        <w:rPr>
          <w:rFonts w:ascii="宋体" w:hAnsi="宋体"/>
          <w:color w:val="auto"/>
          <w:szCs w:val="21"/>
          <w:highlight w:val="none"/>
        </w:rPr>
      </w:pPr>
    </w:p>
    <w:p w14:paraId="21D8A268">
      <w:pPr>
        <w:spacing w:line="360" w:lineRule="exact"/>
        <w:rPr>
          <w:rFonts w:ascii="宋体" w:hAnsi="宋体"/>
          <w:color w:val="auto"/>
          <w:szCs w:val="21"/>
          <w:highlight w:val="none"/>
        </w:rPr>
      </w:pPr>
    </w:p>
    <w:p w14:paraId="0EDB4667">
      <w:pPr>
        <w:spacing w:line="360" w:lineRule="auto"/>
        <w:ind w:firstLine="565" w:firstLineChars="201"/>
        <w:jc w:val="center"/>
        <w:rPr>
          <w:rFonts w:ascii="宋体" w:hAnsi="宋体"/>
          <w:b/>
          <w:bCs/>
          <w:color w:val="auto"/>
          <w:kern w:val="0"/>
          <w:sz w:val="28"/>
          <w:szCs w:val="28"/>
          <w:highlight w:val="none"/>
        </w:rPr>
      </w:pPr>
    </w:p>
    <w:p w14:paraId="0D288FFF">
      <w:pPr>
        <w:snapToGrid w:val="0"/>
        <w:jc w:val="center"/>
        <w:rPr>
          <w:rFonts w:hint="eastAsia"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乳山市市政建设工程有限公司</w:t>
      </w:r>
    </w:p>
    <w:p w14:paraId="6828F46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rPr>
        <w:t>竞争谈判文件</w:t>
      </w:r>
    </w:p>
    <w:p w14:paraId="06356AFE">
      <w:pPr>
        <w:spacing w:line="360" w:lineRule="auto"/>
        <w:ind w:firstLine="723" w:firstLineChars="201"/>
        <w:jc w:val="left"/>
        <w:rPr>
          <w:rFonts w:ascii="宋体" w:hAnsi="宋体"/>
          <w:color w:val="auto"/>
          <w:sz w:val="36"/>
          <w:szCs w:val="36"/>
          <w:highlight w:val="none"/>
        </w:rPr>
      </w:pPr>
    </w:p>
    <w:p w14:paraId="4A5635A4">
      <w:pPr>
        <w:spacing w:line="360" w:lineRule="auto"/>
        <w:jc w:val="left"/>
        <w:rPr>
          <w:rFonts w:ascii="宋体" w:hAnsi="宋体"/>
          <w:color w:val="auto"/>
          <w:sz w:val="36"/>
          <w:szCs w:val="36"/>
          <w:highlight w:val="none"/>
        </w:rPr>
      </w:pPr>
      <w:r>
        <w:rPr>
          <w:rFonts w:hint="eastAsia" w:ascii="宋体" w:hAnsi="宋体"/>
          <w:color w:val="auto"/>
          <w:sz w:val="36"/>
          <w:szCs w:val="36"/>
          <w:highlight w:val="none"/>
        </w:rPr>
        <w:t xml:space="preserve">    </w:t>
      </w:r>
    </w:p>
    <w:p w14:paraId="6854A4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路沿石、人行道板采购</w:t>
      </w:r>
    </w:p>
    <w:p w14:paraId="122D2222">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WHJX-ZB-2026-030</w:t>
      </w:r>
    </w:p>
    <w:p w14:paraId="0DBEA01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路沿石采购</w:t>
      </w:r>
      <w:r>
        <w:rPr>
          <w:rFonts w:hint="eastAsia" w:ascii="仿宋_GB2312" w:hAnsi="仿宋" w:eastAsia="仿宋_GB2312" w:cs="方正楷体简体"/>
          <w:color w:val="auto"/>
          <w:sz w:val="36"/>
          <w:szCs w:val="36"/>
          <w:highlight w:val="none"/>
        </w:rPr>
        <w:t>(第</w:t>
      </w:r>
      <w:r>
        <w:rPr>
          <w:rFonts w:hint="eastAsia" w:ascii="仿宋_GB2312" w:hAnsi="仿宋" w:eastAsia="仿宋_GB2312" w:cs="方正楷体简体"/>
          <w:color w:val="auto"/>
          <w:sz w:val="36"/>
          <w:szCs w:val="36"/>
          <w:highlight w:val="none"/>
          <w:lang w:val="en-US" w:eastAsia="zh-CN"/>
        </w:rPr>
        <w:t>A</w:t>
      </w:r>
      <w:r>
        <w:rPr>
          <w:rFonts w:hint="eastAsia" w:ascii="仿宋_GB2312" w:hAnsi="仿宋" w:eastAsia="仿宋_GB2312" w:cs="方正楷体简体"/>
          <w:color w:val="auto"/>
          <w:sz w:val="36"/>
          <w:szCs w:val="36"/>
          <w:highlight w:val="none"/>
        </w:rPr>
        <w:t>包，共</w:t>
      </w:r>
      <w:r>
        <w:rPr>
          <w:rFonts w:hint="eastAsia" w:ascii="仿宋_GB2312" w:hAnsi="仿宋" w:eastAsia="仿宋_GB2312" w:cs="方正楷体简体"/>
          <w:color w:val="auto"/>
          <w:sz w:val="36"/>
          <w:szCs w:val="36"/>
          <w:highlight w:val="none"/>
          <w:lang w:val="en-US" w:eastAsia="zh-CN"/>
        </w:rPr>
        <w:t>2</w:t>
      </w:r>
      <w:r>
        <w:rPr>
          <w:rFonts w:hint="eastAsia" w:ascii="仿宋_GB2312" w:hAnsi="仿宋" w:eastAsia="仿宋_GB2312" w:cs="方正楷体简体"/>
          <w:color w:val="auto"/>
          <w:sz w:val="36"/>
          <w:szCs w:val="36"/>
          <w:highlight w:val="none"/>
        </w:rPr>
        <w:t xml:space="preserve">包) </w:t>
      </w:r>
    </w:p>
    <w:p w14:paraId="651156D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采购方式：</w:t>
      </w:r>
      <w:r>
        <w:rPr>
          <w:rFonts w:ascii="仿宋_GB2312" w:hAnsi="仿宋" w:eastAsia="仿宋_GB2312" w:cs="方正楷体简体"/>
          <w:color w:val="auto"/>
          <w:sz w:val="36"/>
          <w:szCs w:val="36"/>
          <w:highlight w:val="none"/>
        </w:rPr>
        <w:t>竞争谈判</w:t>
      </w:r>
    </w:p>
    <w:p w14:paraId="653E76C9">
      <w:pPr>
        <w:spacing w:line="360" w:lineRule="auto"/>
        <w:rPr>
          <w:rFonts w:ascii="仿宋_GB2312" w:hAnsi="仿宋" w:eastAsia="仿宋_GB2312" w:cs="方正楷体简体"/>
          <w:b/>
          <w:color w:val="auto"/>
          <w:sz w:val="16"/>
          <w:szCs w:val="36"/>
          <w:highlight w:val="none"/>
        </w:rPr>
      </w:pPr>
    </w:p>
    <w:p w14:paraId="285FEBB1">
      <w:pPr>
        <w:spacing w:line="360" w:lineRule="auto"/>
        <w:ind w:firstLine="363" w:firstLineChars="201"/>
        <w:jc w:val="center"/>
        <w:rPr>
          <w:rFonts w:ascii="仿宋_GB2312" w:hAnsi="仿宋" w:eastAsia="仿宋_GB2312" w:cs="方正楷体简体"/>
          <w:b/>
          <w:color w:val="auto"/>
          <w:sz w:val="18"/>
          <w:szCs w:val="36"/>
          <w:highlight w:val="none"/>
        </w:rPr>
      </w:pPr>
    </w:p>
    <w:p w14:paraId="02E1A3A5">
      <w:pPr>
        <w:spacing w:before="156" w:beforeLines="50" w:line="360" w:lineRule="auto"/>
        <w:ind w:firstLine="726" w:firstLineChars="201"/>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254FA937">
      <w:pPr>
        <w:spacing w:before="156" w:beforeLines="50" w:line="360" w:lineRule="auto"/>
        <w:ind w:firstLine="726" w:firstLineChars="201"/>
        <w:jc w:val="center"/>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2026年04月20日</w:t>
      </w:r>
    </w:p>
    <w:p w14:paraId="7C1B6644">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p>
    <w:p w14:paraId="422F33E4">
      <w:pPr>
        <w:spacing w:line="360" w:lineRule="auto"/>
        <w:ind w:firstLine="1045" w:firstLineChars="201"/>
        <w:jc w:val="center"/>
        <w:rPr>
          <w:rFonts w:ascii="黑体" w:hAnsi="黑体" w:eastAsia="黑体" w:cs="方正小标宋简体"/>
          <w:color w:val="auto"/>
          <w:kern w:val="0"/>
          <w:sz w:val="52"/>
          <w:szCs w:val="52"/>
          <w:highlight w:val="none"/>
        </w:rPr>
        <w:sectPr>
          <w:headerReference r:id="rId3" w:type="default"/>
          <w:pgSz w:w="11906" w:h="16838"/>
          <w:pgMar w:top="1440" w:right="1080" w:bottom="1440" w:left="1080" w:header="851" w:footer="992" w:gutter="0"/>
          <w:pgNumType w:start="1"/>
          <w:cols w:space="720" w:num="1"/>
          <w:docGrid w:type="lines" w:linePitch="312" w:charSpace="0"/>
        </w:sectPr>
      </w:pPr>
    </w:p>
    <w:p w14:paraId="27E68EF7">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53076B1A">
      <w:pPr>
        <w:spacing w:line="560" w:lineRule="exact"/>
        <w:ind w:firstLine="562" w:firstLineChars="201"/>
        <w:jc w:val="left"/>
        <w:rPr>
          <w:rFonts w:ascii="宋体" w:hAnsi="宋体" w:cs="方正楷体简体"/>
          <w:color w:val="auto"/>
          <w:sz w:val="28"/>
          <w:szCs w:val="28"/>
          <w:highlight w:val="none"/>
        </w:rPr>
      </w:pPr>
    </w:p>
    <w:p w14:paraId="5EA4A853">
      <w:pPr>
        <w:spacing w:line="560" w:lineRule="exact"/>
        <w:ind w:firstLine="565" w:firstLineChars="201"/>
        <w:jc w:val="left"/>
        <w:rPr>
          <w:rFonts w:ascii="仿宋_GB2312" w:hAnsi="宋体" w:eastAsia="仿宋_GB2312" w:cs="宋体"/>
          <w:b/>
          <w:bCs/>
          <w:caps/>
          <w:color w:val="auto"/>
          <w:sz w:val="28"/>
          <w:szCs w:val="28"/>
          <w:highlight w:val="none"/>
        </w:rPr>
      </w:pPr>
    </w:p>
    <w:p w14:paraId="6DDA56DC">
      <w:pPr>
        <w:rPr>
          <w:rFonts w:ascii="仿宋_GB2312" w:hAnsi="宋体" w:eastAsia="仿宋_GB2312"/>
          <w:b/>
          <w:color w:val="auto"/>
          <w:highlight w:val="none"/>
        </w:rPr>
      </w:pPr>
    </w:p>
    <w:p w14:paraId="6C432689">
      <w:pPr>
        <w:spacing w:line="560" w:lineRule="exact"/>
        <w:ind w:firstLine="565" w:firstLineChars="201"/>
        <w:jc w:val="left"/>
        <w:rPr>
          <w:rFonts w:ascii="仿宋_GB2312" w:hAnsi="宋体" w:eastAsia="仿宋_GB2312"/>
          <w:b/>
          <w:bCs/>
          <w:caps/>
          <w:color w:val="auto"/>
          <w:sz w:val="28"/>
          <w:szCs w:val="28"/>
          <w:highlight w:val="none"/>
        </w:rPr>
      </w:pPr>
    </w:p>
    <w:p w14:paraId="672A5645">
      <w:pPr>
        <w:spacing w:line="560" w:lineRule="exact"/>
        <w:ind w:firstLine="565" w:firstLineChars="201"/>
        <w:jc w:val="left"/>
        <w:rPr>
          <w:rFonts w:ascii="仿宋_GB2312" w:hAnsi="宋体" w:eastAsia="仿宋_GB2312" w:cs="方正楷体简体"/>
          <w:b/>
          <w:color w:val="auto"/>
          <w:sz w:val="28"/>
          <w:szCs w:val="28"/>
          <w:highlight w:val="none"/>
        </w:rPr>
      </w:pPr>
    </w:p>
    <w:p w14:paraId="5E3C82A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第一章   竞争谈判公告 </w:t>
      </w:r>
    </w:p>
    <w:p w14:paraId="526E69C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竞争谈判须知</w:t>
      </w:r>
    </w:p>
    <w:p w14:paraId="70DE1C2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第三章   采购内容与要求</w:t>
      </w:r>
    </w:p>
    <w:p w14:paraId="13EB5BA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竞争谈判原则、程序与方法</w:t>
      </w:r>
    </w:p>
    <w:p w14:paraId="47284B8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响应文件格式与要求</w:t>
      </w:r>
    </w:p>
    <w:p w14:paraId="6FE6011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采购合同（范本）</w:t>
      </w:r>
    </w:p>
    <w:p w14:paraId="65C485AD">
      <w:pPr>
        <w:spacing w:line="560" w:lineRule="exact"/>
        <w:ind w:firstLine="424" w:firstLineChars="151"/>
        <w:jc w:val="left"/>
        <w:rPr>
          <w:rFonts w:ascii="仿宋_GB2312" w:hAnsi="宋体" w:eastAsia="仿宋_GB2312" w:cs="宋体"/>
          <w:b/>
          <w:bCs/>
          <w:caps/>
          <w:color w:val="auto"/>
          <w:sz w:val="28"/>
          <w:szCs w:val="28"/>
          <w:highlight w:val="none"/>
        </w:rPr>
      </w:pPr>
    </w:p>
    <w:p w14:paraId="3F493236">
      <w:pPr>
        <w:spacing w:line="560" w:lineRule="exact"/>
        <w:ind w:firstLine="424" w:firstLineChars="151"/>
        <w:jc w:val="left"/>
        <w:rPr>
          <w:rFonts w:ascii="仿宋_GB2312" w:hAnsi="宋体" w:eastAsia="仿宋_GB2312"/>
          <w:b/>
          <w:bCs/>
          <w:caps/>
          <w:color w:val="auto"/>
          <w:sz w:val="28"/>
          <w:szCs w:val="28"/>
          <w:highlight w:val="none"/>
        </w:rPr>
      </w:pPr>
    </w:p>
    <w:p w14:paraId="76181ED3">
      <w:pPr>
        <w:rPr>
          <w:rFonts w:ascii="宋体" w:hAnsi="宋体"/>
          <w:color w:val="auto"/>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p w14:paraId="1663835C">
      <w:pPr>
        <w:pStyle w:val="32"/>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02B319E5">
      <w:pPr>
        <w:rPr>
          <w:color w:val="auto"/>
          <w:highlight w:val="none"/>
        </w:rPr>
      </w:pPr>
    </w:p>
    <w:p w14:paraId="2BF525E2">
      <w:pPr>
        <w:rPr>
          <w:color w:val="auto"/>
          <w:highlight w:val="none"/>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76BB11B6">
      <w:pPr>
        <w:spacing w:line="360" w:lineRule="auto"/>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路沿石、人行道板采购</w:t>
      </w:r>
      <w:r>
        <w:rPr>
          <w:rFonts w:hint="eastAsia" w:ascii="方正小标宋简体" w:eastAsia="方正小标宋简体"/>
          <w:b/>
          <w:color w:val="auto"/>
          <w:sz w:val="30"/>
          <w:szCs w:val="30"/>
          <w:highlight w:val="none"/>
        </w:rPr>
        <w:t>竞争谈判公告</w:t>
      </w:r>
    </w:p>
    <w:p w14:paraId="76FEDD5C">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项目概况</w:t>
      </w:r>
    </w:p>
    <w:p w14:paraId="2A7F0DC2">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lang w:eastAsia="zh-CN"/>
        </w:rPr>
        <w:t>路沿石、人行道板采购</w:t>
      </w:r>
      <w:r>
        <w:rPr>
          <w:rFonts w:hint="eastAsia" w:ascii="仿宋_GB2312" w:hAnsi="仿宋" w:eastAsia="仿宋_GB2312" w:cs="宋体"/>
          <w:color w:val="auto"/>
          <w:spacing w:val="8"/>
          <w:sz w:val="28"/>
          <w:szCs w:val="28"/>
          <w:highlight w:val="none"/>
        </w:rPr>
        <w:t>采购项目的潜在供应商应</w:t>
      </w:r>
      <w:r>
        <w:rPr>
          <w:rFonts w:hint="eastAsia" w:ascii="仿宋_GB2312" w:hAnsi="仿宋" w:eastAsia="仿宋_GB2312" w:cs="宋体"/>
          <w:color w:val="auto"/>
          <w:spacing w:val="8"/>
          <w:sz w:val="28"/>
          <w:szCs w:val="28"/>
          <w:highlight w:val="none"/>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sz w:val="28"/>
          <w:szCs w:val="28"/>
          <w:highlight w:val="none"/>
        </w:rPr>
        <w:t>获取采购文件，并于</w:t>
      </w:r>
      <w:r>
        <w:rPr>
          <w:rFonts w:hint="eastAsia" w:ascii="仿宋_GB2312" w:hAnsi="宋体" w:eastAsia="仿宋_GB2312" w:cs="宋体"/>
          <w:color w:val="auto"/>
          <w:spacing w:val="8"/>
          <w:sz w:val="28"/>
          <w:szCs w:val="28"/>
          <w:highlight w:val="none"/>
          <w:u w:val="single"/>
        </w:rPr>
        <w:t xml:space="preserve"> </w:t>
      </w:r>
      <w:r>
        <w:rPr>
          <w:rFonts w:hint="eastAsia" w:ascii="仿宋_GB2312" w:hAnsi="仿宋" w:eastAsia="仿宋_GB2312" w:cs="宋体"/>
          <w:color w:val="auto"/>
          <w:spacing w:val="8"/>
          <w:sz w:val="28"/>
          <w:szCs w:val="28"/>
          <w:highlight w:val="none"/>
          <w:u w:val="single"/>
          <w:lang w:eastAsia="zh-CN"/>
        </w:rPr>
        <w:t>2026年04月24日09时00分</w:t>
      </w:r>
      <w:r>
        <w:rPr>
          <w:rFonts w:hint="eastAsia" w:ascii="仿宋_GB2312" w:hAnsi="仿宋" w:eastAsia="仿宋_GB2312" w:cs="宋体"/>
          <w:color w:val="auto"/>
          <w:spacing w:val="8"/>
          <w:sz w:val="28"/>
          <w:szCs w:val="28"/>
          <w:highlight w:val="none"/>
          <w:u w:val="single"/>
        </w:rPr>
        <w:t>（北京时间）</w:t>
      </w:r>
      <w:r>
        <w:rPr>
          <w:rFonts w:hint="eastAsia" w:ascii="仿宋_GB2312" w:hAnsi="仿宋" w:eastAsia="仿宋_GB2312" w:cs="宋体"/>
          <w:color w:val="auto"/>
          <w:spacing w:val="8"/>
          <w:sz w:val="28"/>
          <w:szCs w:val="28"/>
          <w:highlight w:val="none"/>
        </w:rPr>
        <w:t>前递交响应文件。</w:t>
      </w:r>
    </w:p>
    <w:p w14:paraId="673F89BD">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一、项目基本情况</w:t>
      </w:r>
    </w:p>
    <w:p w14:paraId="0B9415B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项目编号：</w:t>
      </w:r>
      <w:r>
        <w:rPr>
          <w:rFonts w:hint="eastAsia" w:ascii="仿宋_GB2312" w:hAnsi="仿宋" w:eastAsia="仿宋_GB2312" w:cs="宋体"/>
          <w:color w:val="auto"/>
          <w:spacing w:val="8"/>
          <w:sz w:val="28"/>
          <w:szCs w:val="28"/>
          <w:highlight w:val="none"/>
          <w:lang w:eastAsia="zh-CN"/>
        </w:rPr>
        <w:t>WHJX-ZB-2026-030</w:t>
      </w:r>
    </w:p>
    <w:p w14:paraId="4B10EEB5">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项目名称：</w:t>
      </w:r>
      <w:r>
        <w:rPr>
          <w:rFonts w:hint="eastAsia" w:ascii="仿宋_GB2312" w:hAnsi="仿宋" w:eastAsia="仿宋_GB2312" w:cs="宋体"/>
          <w:color w:val="auto"/>
          <w:spacing w:val="8"/>
          <w:sz w:val="28"/>
          <w:szCs w:val="28"/>
          <w:highlight w:val="none"/>
          <w:lang w:eastAsia="zh-CN"/>
        </w:rPr>
        <w:t>路沿石、人行道板采购</w:t>
      </w:r>
    </w:p>
    <w:p w14:paraId="63A2739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采购方式：</w:t>
      </w:r>
      <w:r>
        <w:rPr>
          <w:rFonts w:ascii="仿宋_GB2312" w:hAnsi="仿宋" w:eastAsia="仿宋_GB2312" w:cs="宋体"/>
          <w:color w:val="auto"/>
          <w:spacing w:val="8"/>
          <w:sz w:val="28"/>
          <w:szCs w:val="28"/>
          <w:highlight w:val="none"/>
        </w:rPr>
        <w:t>竞争谈判</w:t>
      </w:r>
    </w:p>
    <w:p w14:paraId="6A38450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采购项目分包情况：</w:t>
      </w:r>
    </w:p>
    <w:tbl>
      <w:tblPr>
        <w:tblStyle w:val="34"/>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6058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BBD4F6D">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标包</w:t>
            </w:r>
          </w:p>
        </w:tc>
        <w:tc>
          <w:tcPr>
            <w:tcW w:w="2268" w:type="dxa"/>
            <w:vAlign w:val="center"/>
          </w:tcPr>
          <w:p w14:paraId="789CC45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名称</w:t>
            </w:r>
          </w:p>
        </w:tc>
        <w:tc>
          <w:tcPr>
            <w:tcW w:w="709" w:type="dxa"/>
            <w:vAlign w:val="center"/>
          </w:tcPr>
          <w:p w14:paraId="31242859">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数量</w:t>
            </w:r>
          </w:p>
        </w:tc>
        <w:tc>
          <w:tcPr>
            <w:tcW w:w="1818" w:type="dxa"/>
            <w:tcBorders>
              <w:right w:val="single" w:color="auto" w:sz="4" w:space="0"/>
            </w:tcBorders>
            <w:vAlign w:val="center"/>
          </w:tcPr>
          <w:p w14:paraId="532CBEC4">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包预算金额</w:t>
            </w:r>
          </w:p>
          <w:p w14:paraId="769F3646">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559" w:type="dxa"/>
            <w:vAlign w:val="center"/>
          </w:tcPr>
          <w:p w14:paraId="54F209CC">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最高限价</w:t>
            </w: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417" w:type="dxa"/>
            <w:tcBorders>
              <w:right w:val="single" w:color="auto" w:sz="4" w:space="0"/>
            </w:tcBorders>
            <w:vAlign w:val="center"/>
          </w:tcPr>
          <w:p w14:paraId="646EC66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采购需求</w:t>
            </w:r>
          </w:p>
        </w:tc>
        <w:tc>
          <w:tcPr>
            <w:tcW w:w="1357" w:type="dxa"/>
            <w:tcBorders>
              <w:right w:val="single" w:color="auto" w:sz="4" w:space="0"/>
            </w:tcBorders>
            <w:vAlign w:val="center"/>
          </w:tcPr>
          <w:p w14:paraId="08BD46F7">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合同履行期限</w:t>
            </w:r>
          </w:p>
        </w:tc>
      </w:tr>
      <w:tr w14:paraId="223B9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321F2257">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A</w:t>
            </w:r>
          </w:p>
        </w:tc>
        <w:tc>
          <w:tcPr>
            <w:tcW w:w="2268" w:type="dxa"/>
            <w:vAlign w:val="center"/>
          </w:tcPr>
          <w:p w14:paraId="6F75259D">
            <w:pPr>
              <w:widowControl/>
              <w:adjustRightInd w:val="0"/>
              <w:snapToGrid w:val="0"/>
              <w:jc w:val="center"/>
              <w:rPr>
                <w:rFonts w:hint="eastAsia" w:ascii="仿宋_GB2312" w:hAnsi="宋体" w:eastAsia="仿宋_GB2312" w:cs="宋体"/>
                <w:color w:val="auto"/>
                <w:sz w:val="28"/>
                <w:highlight w:val="none"/>
                <w:lang w:eastAsia="zh-CN"/>
              </w:rPr>
            </w:pPr>
            <w:r>
              <w:rPr>
                <w:rFonts w:hint="eastAsia" w:ascii="仿宋_GB2312" w:hAnsi="宋体" w:eastAsia="仿宋_GB2312" w:cs="宋体"/>
                <w:color w:val="auto"/>
                <w:sz w:val="28"/>
                <w:highlight w:val="none"/>
                <w:lang w:eastAsia="zh-CN"/>
              </w:rPr>
              <w:t>路沿石采购</w:t>
            </w:r>
          </w:p>
        </w:tc>
        <w:tc>
          <w:tcPr>
            <w:tcW w:w="709" w:type="dxa"/>
            <w:vAlign w:val="center"/>
          </w:tcPr>
          <w:p w14:paraId="7C30F935">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1宗</w:t>
            </w:r>
          </w:p>
        </w:tc>
        <w:tc>
          <w:tcPr>
            <w:tcW w:w="1818" w:type="dxa"/>
            <w:tcBorders>
              <w:right w:val="single" w:color="auto" w:sz="4" w:space="0"/>
            </w:tcBorders>
            <w:vAlign w:val="center"/>
          </w:tcPr>
          <w:p w14:paraId="7DD56C26">
            <w:pPr>
              <w:widowControl/>
              <w:adjustRightInd w:val="0"/>
              <w:snapToGrid w:val="0"/>
              <w:jc w:val="center"/>
              <w:rPr>
                <w:rFonts w:hint="default"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1530元/m³</w:t>
            </w:r>
          </w:p>
        </w:tc>
        <w:tc>
          <w:tcPr>
            <w:tcW w:w="1559" w:type="dxa"/>
            <w:shd w:val="clear" w:color="auto" w:fill="auto"/>
            <w:vAlign w:val="center"/>
          </w:tcPr>
          <w:p w14:paraId="7FA2DE6B">
            <w:pPr>
              <w:widowControl/>
              <w:adjustRightInd w:val="0"/>
              <w:snapToGrid w:val="0"/>
              <w:jc w:val="center"/>
              <w:rPr>
                <w:rFonts w:hint="default"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lang w:val="en-US" w:eastAsia="zh-CN"/>
              </w:rPr>
              <w:t>1530元/m³</w:t>
            </w:r>
          </w:p>
        </w:tc>
        <w:tc>
          <w:tcPr>
            <w:tcW w:w="1417" w:type="dxa"/>
            <w:tcBorders>
              <w:right w:val="single" w:color="auto" w:sz="4" w:space="0"/>
            </w:tcBorders>
            <w:vAlign w:val="center"/>
          </w:tcPr>
          <w:p w14:paraId="263BAF60">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c>
          <w:tcPr>
            <w:tcW w:w="1357" w:type="dxa"/>
            <w:tcBorders>
              <w:right w:val="single" w:color="auto" w:sz="4" w:space="0"/>
            </w:tcBorders>
            <w:vAlign w:val="center"/>
          </w:tcPr>
          <w:p w14:paraId="5AC3BD21">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r>
      <w:tr w14:paraId="7DA75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0C5D3232">
            <w:pPr>
              <w:widowControl/>
              <w:adjustRightInd w:val="0"/>
              <w:snapToGrid w:val="0"/>
              <w:jc w:val="center"/>
              <w:rPr>
                <w:rFonts w:hint="eastAsia"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B</w:t>
            </w:r>
          </w:p>
        </w:tc>
        <w:tc>
          <w:tcPr>
            <w:tcW w:w="2268" w:type="dxa"/>
            <w:vAlign w:val="center"/>
          </w:tcPr>
          <w:p w14:paraId="51CBF699">
            <w:pPr>
              <w:widowControl/>
              <w:adjustRightInd w:val="0"/>
              <w:snapToGrid w:val="0"/>
              <w:jc w:val="center"/>
              <w:rPr>
                <w:rFonts w:hint="eastAsia" w:ascii="仿宋_GB2312" w:hAnsi="宋体" w:eastAsia="仿宋_GB2312" w:cs="宋体"/>
                <w:color w:val="auto"/>
                <w:sz w:val="28"/>
                <w:highlight w:val="none"/>
                <w:lang w:eastAsia="zh-CN"/>
              </w:rPr>
            </w:pPr>
            <w:r>
              <w:rPr>
                <w:rFonts w:hint="eastAsia" w:ascii="仿宋_GB2312" w:hAnsi="宋体" w:eastAsia="仿宋_GB2312" w:cs="宋体"/>
                <w:color w:val="auto"/>
                <w:sz w:val="28"/>
                <w:highlight w:val="none"/>
                <w:lang w:eastAsia="zh-CN"/>
              </w:rPr>
              <w:t>人行道板采购</w:t>
            </w:r>
          </w:p>
        </w:tc>
        <w:tc>
          <w:tcPr>
            <w:tcW w:w="709" w:type="dxa"/>
            <w:vAlign w:val="center"/>
          </w:tcPr>
          <w:p w14:paraId="757319AD">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1宗</w:t>
            </w:r>
          </w:p>
        </w:tc>
        <w:tc>
          <w:tcPr>
            <w:tcW w:w="1818" w:type="dxa"/>
            <w:tcBorders>
              <w:right w:val="single" w:color="auto" w:sz="4" w:space="0"/>
            </w:tcBorders>
            <w:vAlign w:val="center"/>
          </w:tcPr>
          <w:p w14:paraId="02FE5685">
            <w:pPr>
              <w:widowControl/>
              <w:adjustRightInd w:val="0"/>
              <w:snapToGrid w:val="0"/>
              <w:jc w:val="center"/>
              <w:rPr>
                <w:rFonts w:hint="default"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57元/㎡</w:t>
            </w:r>
          </w:p>
        </w:tc>
        <w:tc>
          <w:tcPr>
            <w:tcW w:w="1559" w:type="dxa"/>
            <w:shd w:val="clear" w:color="auto" w:fill="auto"/>
            <w:vAlign w:val="center"/>
          </w:tcPr>
          <w:p w14:paraId="0ABB48FF">
            <w:pPr>
              <w:widowControl/>
              <w:adjustRightInd w:val="0"/>
              <w:snapToGrid w:val="0"/>
              <w:jc w:val="center"/>
              <w:rPr>
                <w:rFonts w:hint="default"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lang w:val="en-US" w:eastAsia="zh-CN"/>
              </w:rPr>
              <w:t>57元/㎡</w:t>
            </w:r>
          </w:p>
        </w:tc>
        <w:tc>
          <w:tcPr>
            <w:tcW w:w="1417" w:type="dxa"/>
            <w:tcBorders>
              <w:right w:val="single" w:color="auto" w:sz="4" w:space="0"/>
            </w:tcBorders>
            <w:shd w:val="clear" w:color="auto" w:fill="auto"/>
            <w:vAlign w:val="center"/>
          </w:tcPr>
          <w:p w14:paraId="472CB5DE">
            <w:pPr>
              <w:widowControl/>
              <w:adjustRightInd w:val="0"/>
              <w:snapToGrid w:val="0"/>
              <w:jc w:val="center"/>
              <w:rPr>
                <w:rFonts w:hint="eastAsia"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rPr>
              <w:t>详见采购文件</w:t>
            </w:r>
          </w:p>
        </w:tc>
        <w:tc>
          <w:tcPr>
            <w:tcW w:w="1357" w:type="dxa"/>
            <w:tcBorders>
              <w:right w:val="single" w:color="auto" w:sz="4" w:space="0"/>
            </w:tcBorders>
            <w:shd w:val="clear" w:color="auto" w:fill="auto"/>
            <w:vAlign w:val="center"/>
          </w:tcPr>
          <w:p w14:paraId="1DFBF975">
            <w:pPr>
              <w:widowControl/>
              <w:adjustRightInd w:val="0"/>
              <w:snapToGrid w:val="0"/>
              <w:jc w:val="center"/>
              <w:rPr>
                <w:rFonts w:hint="eastAsia"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rPr>
              <w:t>详见采购文件</w:t>
            </w:r>
          </w:p>
        </w:tc>
      </w:tr>
    </w:tbl>
    <w:p w14:paraId="623F29AC">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本项目不接受联合体响应</w:t>
      </w:r>
    </w:p>
    <w:p w14:paraId="2C2E8FE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二、申请人的资格要求：</w:t>
      </w:r>
    </w:p>
    <w:p w14:paraId="1152E09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1.具有独立承担民事责任的能力；</w:t>
      </w:r>
    </w:p>
    <w:p w14:paraId="337ED4A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2.具有良好的商业信誉和健全的财务会计制度及履约能力；</w:t>
      </w:r>
    </w:p>
    <w:p w14:paraId="23AFDAD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3.具有履行合同所必需的设备和专业技术能力；</w:t>
      </w:r>
    </w:p>
    <w:p w14:paraId="2C6A2B7D">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4.具有依法缴纳税收和社会保障资金的良好记录；</w:t>
      </w:r>
    </w:p>
    <w:p w14:paraId="001330A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5.供应商参加采购活动前3年内在经营活动中没有重大违法记录;</w:t>
      </w:r>
    </w:p>
    <w:p w14:paraId="7B3E532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6.供应商、法定代表人、授权委托人未被最高法院列入失信被执行人；</w:t>
      </w:r>
    </w:p>
    <w:p w14:paraId="2107F86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7.供应商未被工商行政管理机关在全国企业信用信息公示系统中列入严重违法失信企业名单。</w:t>
      </w:r>
    </w:p>
    <w:p w14:paraId="49D044D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三、获取采购文件</w:t>
      </w:r>
    </w:p>
    <w:p w14:paraId="55ED5D9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1.时间：</w:t>
      </w:r>
      <w:r>
        <w:rPr>
          <w:rFonts w:hint="eastAsia" w:ascii="仿宋_GB2312" w:hAnsi="仿宋" w:eastAsia="仿宋_GB2312" w:cs="宋体"/>
          <w:color w:val="auto"/>
          <w:spacing w:val="8"/>
          <w:sz w:val="28"/>
          <w:szCs w:val="28"/>
          <w:highlight w:val="none"/>
          <w:lang w:eastAsia="zh-CN"/>
        </w:rPr>
        <w:t>2026年04月20日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2026年04月23日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（北京时间）</w:t>
      </w:r>
    </w:p>
    <w:p w14:paraId="3484A6EE">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52ACBEDF">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48235E4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4.售价：免费</w:t>
      </w:r>
    </w:p>
    <w:p w14:paraId="0FE3DD60">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四、响应文件提交</w:t>
      </w:r>
    </w:p>
    <w:p w14:paraId="33B065B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2026年04月20日</w:t>
      </w:r>
      <w:r>
        <w:rPr>
          <w:rFonts w:ascii="仿宋_GB2312" w:hAnsi="仿宋" w:eastAsia="仿宋_GB2312" w:cs="宋体"/>
          <w:color w:val="auto"/>
          <w:spacing w:val="8"/>
          <w:sz w:val="28"/>
          <w:szCs w:val="28"/>
          <w:highlight w:val="none"/>
        </w:rPr>
        <w:t>18时00分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2026年04月24日09时00分</w:t>
      </w:r>
    </w:p>
    <w:p w14:paraId="62F35E31">
      <w:pPr>
        <w:widowControl/>
        <w:adjustRightInd w:val="0"/>
        <w:spacing w:line="360" w:lineRule="auto"/>
        <w:ind w:firstLine="592" w:firstLineChars="200"/>
        <w:jc w:val="left"/>
        <w:outlineLvl w:val="0"/>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登录威海市公共资源交易网（乳山分中心）首页右侧“（新版）交易服务一网通办系统”进行平台切换点击“国企采购”进入国有企业阳光采购电子化服务平台网上递交（网址：http://ggzyjy.weihai.cn/rushan/）。已在威海市国有企业阳光采购电子化服务平台获取文件的投标人在规定时间内递交电子投标（响应）文件。</w:t>
      </w:r>
    </w:p>
    <w:p w14:paraId="253C053F">
      <w:pPr>
        <w:widowControl/>
        <w:adjustRightInd w:val="0"/>
        <w:spacing w:line="360" w:lineRule="auto"/>
        <w:ind w:firstLine="560" w:firstLineChars="200"/>
        <w:jc w:val="left"/>
        <w:outlineLvl w:val="0"/>
        <w:rPr>
          <w:rFonts w:ascii="仿宋_GB2312" w:hAnsi="仿宋" w:eastAsia="仿宋_GB2312" w:cs="宋体"/>
          <w:color w:val="auto"/>
          <w:spacing w:val="8"/>
          <w:sz w:val="28"/>
          <w:szCs w:val="28"/>
          <w:highlight w:val="none"/>
        </w:rPr>
      </w:pPr>
      <w:r>
        <w:rPr>
          <w:rFonts w:hint="eastAsia" w:ascii="黑体" w:hAnsi="黑体" w:eastAsia="黑体" w:cs="宋体"/>
          <w:color w:val="auto"/>
          <w:sz w:val="28"/>
          <w:szCs w:val="28"/>
          <w:highlight w:val="none"/>
        </w:rPr>
        <w:t>五、开启</w:t>
      </w:r>
    </w:p>
    <w:p w14:paraId="0AA2099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2026年04月24日09时00分</w:t>
      </w:r>
      <w:r>
        <w:rPr>
          <w:rFonts w:hint="eastAsia" w:ascii="仿宋_GB2312" w:hAnsi="仿宋" w:eastAsia="仿宋_GB2312" w:cs="宋体"/>
          <w:color w:val="auto"/>
          <w:spacing w:val="8"/>
          <w:sz w:val="28"/>
          <w:szCs w:val="28"/>
          <w:highlight w:val="none"/>
        </w:rPr>
        <w:t>（北京时间）</w:t>
      </w:r>
    </w:p>
    <w:p w14:paraId="0556DF8B">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地点：威海市乳山市深圳路108号市民服务中心三楼</w:t>
      </w:r>
    </w:p>
    <w:p w14:paraId="70CA8A5F">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六、其他补充事宜</w:t>
      </w:r>
    </w:p>
    <w:p w14:paraId="49A493BA">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1.本项目实行全流程电子化，提交投标文件截止时间前，随时关注威海市公共资源交易网（变更公告栏）内变更提醒。</w:t>
      </w:r>
    </w:p>
    <w:p w14:paraId="69D2AD2E">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2.投标人自行准备电脑，提前在个人电脑上进行测试确保音频、视频功能、CA 签章功能可正常使用，因通讯不畅造成的一切后果由供应商自行承担。</w:t>
      </w:r>
    </w:p>
    <w:p w14:paraId="08093068">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七、对本次采购提出询问，请按以下方式联系。</w:t>
      </w:r>
    </w:p>
    <w:p w14:paraId="6392B895">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1.采购人信息</w:t>
      </w:r>
    </w:p>
    <w:p w14:paraId="0EC00B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乳山市市政建设工程有限公司</w:t>
      </w:r>
    </w:p>
    <w:p w14:paraId="789202AD">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山东省威海市乳山市深圳路8号</w:t>
      </w:r>
    </w:p>
    <w:p w14:paraId="147D981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18561278337</w:t>
      </w:r>
    </w:p>
    <w:p w14:paraId="313F8956">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2.采购代理机构信息</w:t>
      </w:r>
    </w:p>
    <w:p w14:paraId="6D8474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威海市嘉鑫工程检测鉴定有限公司</w:t>
      </w:r>
    </w:p>
    <w:p w14:paraId="0D82683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乳山市深圳路久久发7号楼</w:t>
      </w:r>
    </w:p>
    <w:p w14:paraId="33294597">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lang w:eastAsia="zh-CN"/>
        </w:rPr>
        <w:t>项目联系人：刘宁</w:t>
      </w:r>
    </w:p>
    <w:p w14:paraId="5EE3F9CA">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0631-6651889</w:t>
      </w:r>
    </w:p>
    <w:p w14:paraId="45A8A846">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八、发布公告的媒介</w:t>
      </w:r>
    </w:p>
    <w:p w14:paraId="6DCABCE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本次公告在中国招标投标公共服务平台（www.cebpubservice.com）、威海市公共资源交易网（http://ggzyjy.weihai.cn/）</w:t>
      </w:r>
      <w:r>
        <w:rPr>
          <w:rFonts w:hint="eastAsia" w:ascii="仿宋_GB2312" w:hAnsi="仿宋" w:eastAsia="仿宋_GB2312" w:cs="宋体"/>
          <w:color w:val="auto"/>
          <w:spacing w:val="8"/>
          <w:sz w:val="28"/>
          <w:szCs w:val="28"/>
          <w:highlight w:val="none"/>
          <w:lang w:eastAsia="zh-CN"/>
        </w:rPr>
        <w:t>、</w:t>
      </w:r>
      <w:r>
        <w:rPr>
          <w:rFonts w:hint="eastAsia" w:ascii="仿宋_GB2312" w:hAnsi="仿宋" w:eastAsia="仿宋_GB2312" w:cs="宋体"/>
          <w:color w:val="auto"/>
          <w:spacing w:val="8"/>
          <w:sz w:val="28"/>
          <w:szCs w:val="28"/>
          <w:highlight w:val="none"/>
        </w:rPr>
        <w:t>威海市公共资源交易网（乳山分中心）（http://ggzyjy.weihai.cn/rushan/）同时发布，其它媒介转发无效。</w:t>
      </w:r>
    </w:p>
    <w:p w14:paraId="32B9C55A">
      <w:pPr>
        <w:spacing w:line="360" w:lineRule="auto"/>
        <w:jc w:val="right"/>
        <w:rPr>
          <w:rFonts w:ascii="仿宋_GB2312" w:hAnsi="宋体" w:eastAsia="仿宋_GB2312"/>
          <w:color w:val="auto"/>
          <w:sz w:val="28"/>
          <w:szCs w:val="28"/>
          <w:highlight w:val="none"/>
        </w:rPr>
      </w:pPr>
      <w:r>
        <w:rPr>
          <w:rFonts w:hint="eastAsia" w:ascii="仿宋_GB2312" w:hAnsi="宋体" w:eastAsia="仿宋_GB2312" w:cs="宋体"/>
          <w:color w:val="auto"/>
          <w:sz w:val="28"/>
          <w:szCs w:val="28"/>
          <w:highlight w:val="none"/>
        </w:rPr>
        <w:t>发布人：</w:t>
      </w:r>
      <w:r>
        <w:rPr>
          <w:rFonts w:hint="eastAsia" w:ascii="仿宋_GB2312" w:hAnsi="宋体" w:eastAsia="仿宋_GB2312" w:cs="宋体"/>
          <w:color w:val="auto"/>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1BD4EA62">
      <w:pPr>
        <w:widowControl/>
        <w:adjustRightInd w:val="0"/>
        <w:spacing w:line="360" w:lineRule="auto"/>
        <w:ind w:left="-240"/>
        <w:jc w:val="right"/>
        <w:rPr>
          <w:rFonts w:hint="eastAsia" w:ascii="仿宋_GB2312" w:hAnsi="宋体" w:eastAsia="仿宋_GB2312" w:cs="宋体"/>
          <w:color w:val="auto"/>
          <w:sz w:val="28"/>
          <w:szCs w:val="28"/>
          <w:highlight w:val="none"/>
          <w:lang w:eastAsia="zh-CN"/>
        </w:rPr>
      </w:pPr>
      <w:r>
        <w:rPr>
          <w:rFonts w:hint="eastAsia" w:ascii="仿宋_GB2312" w:hAnsi="宋体" w:eastAsia="仿宋_GB2312" w:cs="宋体"/>
          <w:color w:val="auto"/>
          <w:sz w:val="28"/>
          <w:szCs w:val="28"/>
          <w:highlight w:val="none"/>
        </w:rPr>
        <w:t>发布时间：</w:t>
      </w:r>
      <w:r>
        <w:rPr>
          <w:rFonts w:hint="eastAsia" w:ascii="仿宋_GB2312" w:hAnsi="宋体" w:eastAsia="仿宋_GB2312" w:cs="宋体"/>
          <w:color w:val="auto"/>
          <w:sz w:val="28"/>
          <w:szCs w:val="28"/>
          <w:highlight w:val="none"/>
          <w:lang w:eastAsia="zh-CN"/>
        </w:rPr>
        <w:t>2026年04月20日</w:t>
      </w:r>
    </w:p>
    <w:p w14:paraId="52307F87">
      <w:pPr>
        <w:widowControl/>
        <w:adjustRightInd w:val="0"/>
        <w:spacing w:line="360" w:lineRule="auto"/>
        <w:ind w:left="-240"/>
        <w:jc w:val="right"/>
        <w:rPr>
          <w:rFonts w:ascii="仿宋_GB2312" w:hAnsi="宋体" w:eastAsia="仿宋_GB2312" w:cs="宋体"/>
          <w:color w:val="auto"/>
          <w:sz w:val="28"/>
          <w:szCs w:val="28"/>
          <w:highlight w:val="none"/>
        </w:rPr>
      </w:pPr>
    </w:p>
    <w:p w14:paraId="2999344A">
      <w:pPr>
        <w:widowControl/>
        <w:adjustRightInd w:val="0"/>
        <w:spacing w:line="360" w:lineRule="auto"/>
        <w:ind w:left="-240"/>
        <w:jc w:val="right"/>
        <w:rPr>
          <w:rFonts w:ascii="仿宋_GB2312" w:hAnsi="宋体" w:eastAsia="仿宋_GB2312" w:cs="宋体"/>
          <w:color w:val="auto"/>
          <w:sz w:val="28"/>
          <w:szCs w:val="28"/>
          <w:highlight w:val="none"/>
        </w:rPr>
      </w:pPr>
    </w:p>
    <w:p w14:paraId="7577B0FA">
      <w:pPr>
        <w:widowControl/>
        <w:adjustRightInd w:val="0"/>
        <w:spacing w:line="360" w:lineRule="auto"/>
        <w:ind w:left="-240"/>
        <w:jc w:val="right"/>
        <w:rPr>
          <w:rFonts w:ascii="仿宋_GB2312" w:hAnsi="宋体" w:eastAsia="仿宋_GB2312" w:cs="宋体"/>
          <w:color w:val="auto"/>
          <w:sz w:val="28"/>
          <w:szCs w:val="28"/>
          <w:highlight w:val="none"/>
        </w:rPr>
      </w:pPr>
    </w:p>
    <w:p w14:paraId="0BCD6C92">
      <w:pPr>
        <w:widowControl/>
        <w:adjustRightInd w:val="0"/>
        <w:spacing w:line="360" w:lineRule="auto"/>
        <w:ind w:left="-240"/>
        <w:jc w:val="right"/>
        <w:rPr>
          <w:rFonts w:ascii="仿宋_GB2312" w:hAnsi="宋体" w:eastAsia="仿宋_GB2312" w:cs="宋体"/>
          <w:color w:val="auto"/>
          <w:sz w:val="28"/>
          <w:szCs w:val="28"/>
          <w:highlight w:val="none"/>
        </w:rPr>
      </w:pPr>
    </w:p>
    <w:p w14:paraId="62CAD95B">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ascii="楷体_GB2312" w:hAnsi="宋体" w:eastAsia="楷体_GB2312" w:cs="宋体"/>
          <w:color w:val="auto"/>
          <w:sz w:val="44"/>
          <w:szCs w:val="44"/>
          <w:highlight w:val="none"/>
        </w:rPr>
        <w:br w:type="page"/>
      </w:r>
      <w:r>
        <w:rPr>
          <w:rFonts w:hint="eastAsia" w:ascii="楷体_GB2312" w:hAnsi="宋体" w:eastAsia="楷体_GB2312" w:cs="宋体"/>
          <w:color w:val="auto"/>
          <w:sz w:val="44"/>
          <w:szCs w:val="44"/>
          <w:highlight w:val="none"/>
        </w:rPr>
        <w:t>第二章 投标（响应）须知</w:t>
      </w:r>
    </w:p>
    <w:p w14:paraId="1B015A5E">
      <w:pPr>
        <w:rPr>
          <w:color w:val="auto"/>
          <w:highlight w:val="none"/>
        </w:rPr>
      </w:pPr>
    </w:p>
    <w:p w14:paraId="1DF4879D">
      <w:pPr>
        <w:rPr>
          <w:color w:val="auto"/>
          <w:highlight w:val="none"/>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2270EC02">
      <w:pPr>
        <w:spacing w:line="560" w:lineRule="exact"/>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响应</w:t>
      </w:r>
      <w:r>
        <w:rPr>
          <w:rFonts w:ascii="黑体" w:hAnsi="黑体" w:eastAsia="黑体"/>
          <w:color w:val="auto"/>
          <w:sz w:val="32"/>
          <w:szCs w:val="32"/>
          <w:highlight w:val="none"/>
        </w:rPr>
        <w:t>须知前附表</w:t>
      </w:r>
    </w:p>
    <w:p w14:paraId="5B31375C">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本表是本采购项目的具体资料，是对投标（响应）须知的汇总和补充，如有矛盾，应以本资料表为准。</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21CB23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43D339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1AF0C53B">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70FE64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09257D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7E5A807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路沿石、人行道板采购</w:t>
            </w:r>
          </w:p>
        </w:tc>
      </w:tr>
      <w:tr w14:paraId="2BD401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A5855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59CD160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WHJX-ZB-2026-030</w:t>
            </w:r>
          </w:p>
        </w:tc>
      </w:tr>
      <w:tr w14:paraId="51CD82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F5B0869">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25E952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乳山市市政建设工程有限公司</w:t>
            </w:r>
          </w:p>
          <w:p w14:paraId="618C364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山东省威海市乳山市深圳路8号</w:t>
            </w:r>
          </w:p>
          <w:p w14:paraId="5B0A53F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任康辉</w:t>
            </w:r>
          </w:p>
          <w:p w14:paraId="3643602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18561278337</w:t>
            </w:r>
          </w:p>
        </w:tc>
      </w:tr>
      <w:tr w14:paraId="29959A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4126964">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61620595">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87D005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乳山市深圳路久久发7号楼</w:t>
            </w:r>
            <w:r>
              <w:rPr>
                <w:rFonts w:ascii="仿宋_GB2312" w:hAnsi="宋体" w:eastAsia="仿宋_GB2312"/>
                <w:color w:val="auto"/>
                <w:sz w:val="28"/>
                <w:szCs w:val="28"/>
                <w:highlight w:val="none"/>
              </w:rPr>
              <w:t xml:space="preserve"> </w:t>
            </w:r>
          </w:p>
          <w:p w14:paraId="3E81FF7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C3147A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5ECDA3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57" w:hRule="atLeast"/>
          <w:jc w:val="center"/>
        </w:trPr>
        <w:tc>
          <w:tcPr>
            <w:tcW w:w="908" w:type="dxa"/>
            <w:tcBorders>
              <w:top w:val="single" w:color="auto" w:sz="4" w:space="0"/>
              <w:bottom w:val="single" w:color="auto" w:sz="4" w:space="0"/>
              <w:right w:val="single" w:color="auto" w:sz="4" w:space="0"/>
            </w:tcBorders>
            <w:vAlign w:val="center"/>
          </w:tcPr>
          <w:p w14:paraId="6B4563CE">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7．投标人投标文件中的相关扫描件应保</w:t>
            </w:r>
            <w:bookmarkStart w:id="1" w:name="_GoBack"/>
            <w:bookmarkEnd w:id="1"/>
            <w:r>
              <w:rPr>
                <w:rFonts w:hint="eastAsia" w:ascii="仿宋_GB2312" w:hAnsi="宋体" w:eastAsia="仿宋_GB2312" w:cs="Times New Roman"/>
                <w:color w:val="auto"/>
                <w:sz w:val="28"/>
                <w:szCs w:val="28"/>
                <w:highlight w:val="none"/>
              </w:rPr>
              <w:t>证清晰度，无法辨认的评审时受到影响的，由投标人承担相应责任。</w:t>
            </w:r>
          </w:p>
          <w:p w14:paraId="52944C39">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14:paraId="47B577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2068686">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F63836C">
            <w:pPr>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346C5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7AF10E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32293E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响应文件份数：网上按时递交电子响应文件1份</w:t>
            </w:r>
          </w:p>
        </w:tc>
      </w:tr>
      <w:tr w14:paraId="0068A6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D19FA7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8AAED9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09C479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9B5FF8F">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6619E073">
            <w:pPr>
              <w:spacing w:line="560" w:lineRule="exact"/>
              <w:textAlignment w:val="top"/>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7DBC5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16DD9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7E46D09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3FEAF6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C941F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19968EA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ascii="仿宋_GB2312" w:hAnsi="宋体" w:eastAsia="仿宋_GB2312"/>
                <w:color w:val="auto"/>
                <w:sz w:val="28"/>
                <w:szCs w:val="28"/>
                <w:highlight w:val="none"/>
              </w:rPr>
              <w:t>9</w:t>
            </w:r>
            <w:r>
              <w:rPr>
                <w:rFonts w:hint="eastAsia" w:ascii="仿宋_GB2312" w:hAnsi="宋体" w:eastAsia="仿宋_GB2312"/>
                <w:color w:val="auto"/>
                <w:sz w:val="28"/>
                <w:szCs w:val="28"/>
                <w:highlight w:val="none"/>
              </w:rPr>
              <w:t>0天</w:t>
            </w:r>
          </w:p>
        </w:tc>
      </w:tr>
      <w:tr w14:paraId="3744D0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3EC68B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F793076">
            <w:pPr>
              <w:spacing w:line="60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u w:val="single"/>
                <w:lang w:eastAsia="zh-CN"/>
              </w:rPr>
              <w:t>A包：路沿石</w:t>
            </w:r>
            <w:r>
              <w:rPr>
                <w:rFonts w:hint="eastAsia" w:ascii="仿宋_GB2312" w:hAnsi="宋体" w:eastAsia="仿宋_GB2312"/>
                <w:color w:val="auto"/>
                <w:sz w:val="28"/>
                <w:szCs w:val="28"/>
                <w:highlight w:val="none"/>
                <w:u w:val="single"/>
                <w:lang w:val="en-US" w:eastAsia="zh-CN"/>
              </w:rPr>
              <w:t>含税价</w:t>
            </w:r>
            <w:r>
              <w:rPr>
                <w:rFonts w:hint="eastAsia" w:ascii="仿宋_GB2312" w:hAnsi="宋体" w:eastAsia="仿宋_GB2312"/>
                <w:color w:val="auto"/>
                <w:sz w:val="28"/>
                <w:szCs w:val="28"/>
                <w:highlight w:val="none"/>
                <w:u w:val="single"/>
                <w:lang w:eastAsia="zh-CN"/>
              </w:rPr>
              <w:t>：15</w:t>
            </w:r>
            <w:r>
              <w:rPr>
                <w:rFonts w:hint="eastAsia" w:ascii="仿宋_GB2312" w:hAnsi="宋体" w:eastAsia="仿宋_GB2312"/>
                <w:color w:val="auto"/>
                <w:sz w:val="28"/>
                <w:szCs w:val="28"/>
                <w:highlight w:val="none"/>
                <w:u w:val="single"/>
                <w:lang w:val="en-US" w:eastAsia="zh-CN"/>
              </w:rPr>
              <w:t>3</w:t>
            </w:r>
            <w:r>
              <w:rPr>
                <w:rFonts w:hint="eastAsia" w:ascii="仿宋_GB2312" w:hAnsi="宋体" w:eastAsia="仿宋_GB2312"/>
                <w:color w:val="auto"/>
                <w:sz w:val="28"/>
                <w:szCs w:val="28"/>
                <w:highlight w:val="none"/>
                <w:u w:val="single"/>
                <w:lang w:eastAsia="zh-CN"/>
              </w:rPr>
              <w:t>0元/m³；B包：人行道板</w:t>
            </w:r>
            <w:r>
              <w:rPr>
                <w:rFonts w:hint="eastAsia" w:ascii="仿宋_GB2312" w:hAnsi="宋体" w:eastAsia="仿宋_GB2312"/>
                <w:color w:val="auto"/>
                <w:sz w:val="28"/>
                <w:szCs w:val="28"/>
                <w:highlight w:val="none"/>
                <w:u w:val="single"/>
                <w:lang w:val="en-US" w:eastAsia="zh-CN"/>
              </w:rPr>
              <w:t>含税价</w:t>
            </w:r>
            <w:r>
              <w:rPr>
                <w:rFonts w:hint="eastAsia" w:ascii="仿宋_GB2312" w:hAnsi="宋体" w:eastAsia="仿宋_GB2312"/>
                <w:color w:val="auto"/>
                <w:sz w:val="28"/>
                <w:szCs w:val="28"/>
                <w:highlight w:val="none"/>
                <w:u w:val="single"/>
                <w:lang w:eastAsia="zh-CN"/>
              </w:rPr>
              <w:t>：</w:t>
            </w:r>
            <w:r>
              <w:rPr>
                <w:rFonts w:hint="eastAsia" w:ascii="仿宋_GB2312" w:hAnsi="宋体" w:eastAsia="仿宋_GB2312"/>
                <w:color w:val="auto"/>
                <w:sz w:val="28"/>
                <w:szCs w:val="28"/>
                <w:highlight w:val="none"/>
                <w:u w:val="single"/>
                <w:lang w:val="en-US" w:eastAsia="zh-CN"/>
              </w:rPr>
              <w:t>57</w:t>
            </w:r>
            <w:r>
              <w:rPr>
                <w:rFonts w:hint="eastAsia" w:ascii="仿宋_GB2312" w:hAnsi="宋体" w:eastAsia="仿宋_GB2312"/>
                <w:color w:val="auto"/>
                <w:sz w:val="28"/>
                <w:szCs w:val="28"/>
                <w:highlight w:val="none"/>
                <w:u w:val="single"/>
                <w:lang w:eastAsia="zh-CN"/>
              </w:rPr>
              <w:t>元/㎡</w:t>
            </w:r>
          </w:p>
        </w:tc>
      </w:tr>
      <w:tr w14:paraId="57A1F2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5FB8F0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7EA9EAC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本项目不接受联合体响应</w:t>
            </w:r>
          </w:p>
        </w:tc>
      </w:tr>
      <w:tr w14:paraId="409C62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ACF9118">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07FE44A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本项目不收取竞争谈判保证金</w:t>
            </w:r>
          </w:p>
        </w:tc>
      </w:tr>
      <w:tr w14:paraId="547F5F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A8566C5">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7AC4798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响应文件递交时间：</w:t>
            </w:r>
          </w:p>
          <w:p w14:paraId="5E77AB80">
            <w:pPr>
              <w:spacing w:line="560" w:lineRule="exact"/>
              <w:rPr>
                <w:rFonts w:hint="eastAsia" w:ascii="仿宋_GB2312" w:hAnsi="宋体" w:eastAsia="仿宋_GB2312" w:cs="Times New Roman"/>
                <w:color w:val="auto"/>
                <w:sz w:val="28"/>
                <w:szCs w:val="28"/>
                <w:highlight w:val="none"/>
              </w:rPr>
            </w:pPr>
            <w:r>
              <w:rPr>
                <w:rFonts w:hint="eastAsia" w:ascii="仿宋_GB2312" w:hAnsi="宋体" w:eastAsia="仿宋_GB2312"/>
                <w:color w:val="auto"/>
                <w:sz w:val="28"/>
                <w:szCs w:val="28"/>
                <w:highlight w:val="none"/>
                <w:lang w:eastAsia="zh-CN"/>
              </w:rPr>
              <w:t>2026年04月20日</w:t>
            </w:r>
            <w:r>
              <w:rPr>
                <w:rFonts w:ascii="仿宋_GB2312" w:hAnsi="宋体" w:eastAsia="仿宋_GB2312"/>
                <w:color w:val="auto"/>
                <w:sz w:val="28"/>
                <w:szCs w:val="28"/>
                <w:highlight w:val="none"/>
              </w:rPr>
              <w:t>18时00分</w:t>
            </w:r>
            <w:r>
              <w:rPr>
                <w:rFonts w:hint="eastAsia" w:ascii="仿宋_GB2312" w:hAnsi="宋体" w:eastAsia="仿宋_GB2312"/>
                <w:color w:val="auto"/>
                <w:sz w:val="28"/>
                <w:szCs w:val="28"/>
                <w:highlight w:val="none"/>
              </w:rPr>
              <w:t>至</w:t>
            </w:r>
            <w:r>
              <w:rPr>
                <w:rFonts w:hint="eastAsia" w:ascii="仿宋_GB2312" w:hAnsi="宋体" w:eastAsia="仿宋_GB2312"/>
                <w:color w:val="auto"/>
                <w:sz w:val="28"/>
                <w:szCs w:val="28"/>
                <w:highlight w:val="none"/>
                <w:lang w:eastAsia="zh-CN"/>
              </w:rPr>
              <w:t>2026年04月24日09时00分</w:t>
            </w:r>
            <w:r>
              <w:rPr>
                <w:rFonts w:hint="eastAsia" w:ascii="仿宋_GB2312" w:hAnsi="宋体" w:eastAsia="仿宋_GB2312"/>
                <w:color w:val="auto"/>
                <w:sz w:val="28"/>
                <w:szCs w:val="28"/>
                <w:highlight w:val="none"/>
              </w:rPr>
              <w:t>（以电子交易系统具体显示时间为准</w:t>
            </w:r>
            <w:r>
              <w:rPr>
                <w:rFonts w:hint="eastAsia" w:ascii="仿宋_GB2312" w:hAnsi="宋体" w:eastAsia="仿宋_GB2312" w:cs="Times New Roman"/>
                <w:color w:val="auto"/>
                <w:sz w:val="28"/>
                <w:szCs w:val="28"/>
                <w:highlight w:val="none"/>
              </w:rPr>
              <w:t>）</w:t>
            </w:r>
          </w:p>
          <w:p w14:paraId="2FFB3DD2">
            <w:pPr>
              <w:spacing w:line="560" w:lineRule="exac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投标文件递交网址：登录威海市公共资源交易网（乳山分中心）首页右侧“交易服务一网通办系统-（新版）一网通办系统”进行平台切换点击“国企采购”进入国有企业阳光采购电子化服务平台网上递交。</w:t>
            </w:r>
          </w:p>
        </w:tc>
      </w:tr>
      <w:tr w14:paraId="65BBAC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57EC26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5AF3F52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响应文件开启（解密）时间：</w:t>
            </w:r>
            <w:r>
              <w:rPr>
                <w:rFonts w:hint="eastAsia" w:ascii="仿宋_GB2312" w:hAnsi="宋体" w:eastAsia="仿宋_GB2312"/>
                <w:color w:val="auto"/>
                <w:sz w:val="28"/>
                <w:szCs w:val="28"/>
                <w:highlight w:val="none"/>
                <w:lang w:eastAsia="zh-CN"/>
              </w:rPr>
              <w:t>2026年04月24日09时00分</w:t>
            </w:r>
          </w:p>
          <w:p w14:paraId="5C0FD06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开标地点：威海市乳山市深圳路108号市民服务中心三楼</w:t>
            </w:r>
          </w:p>
        </w:tc>
      </w:tr>
      <w:tr w14:paraId="474C35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BD4BE14">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B8CE5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响应文件开启（解密）、竞争谈判方式：远程解密、竞争谈判，供应商无需到现场参与解密、竞争谈判，</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1BEC8C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1ACD0C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D2505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响应文件开启（解密）程序：</w:t>
            </w:r>
          </w:p>
          <w:p w14:paraId="3861D31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响应文件开启（解密）后</w:t>
            </w:r>
            <w:r>
              <w:rPr>
                <w:rFonts w:hint="eastAsia" w:ascii="仿宋_GB2312" w:hAnsi="宋体" w:eastAsia="仿宋_GB2312"/>
                <w:color w:val="auto"/>
                <w:sz w:val="28"/>
                <w:szCs w:val="28"/>
                <w:highlight w:val="none"/>
                <w:lang w:val="en-US" w:eastAsia="zh-CN"/>
              </w:rPr>
              <w:t>30</w:t>
            </w:r>
            <w:r>
              <w:rPr>
                <w:rFonts w:hint="eastAsia" w:ascii="仿宋_GB2312" w:hAnsi="宋体" w:eastAsia="仿宋_GB2312"/>
                <w:color w:val="auto"/>
                <w:sz w:val="28"/>
                <w:szCs w:val="28"/>
                <w:highlight w:val="none"/>
              </w:rPr>
              <w:t>分钟内完成解密</w:t>
            </w:r>
          </w:p>
        </w:tc>
      </w:tr>
      <w:tr w14:paraId="5BC331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5CC58F02">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19</w:t>
            </w:r>
          </w:p>
        </w:tc>
        <w:tc>
          <w:tcPr>
            <w:tcW w:w="8291" w:type="dxa"/>
            <w:tcBorders>
              <w:top w:val="single" w:color="auto" w:sz="4" w:space="0"/>
              <w:left w:val="single" w:color="auto" w:sz="4" w:space="0"/>
              <w:bottom w:val="single" w:color="auto" w:sz="4" w:space="0"/>
            </w:tcBorders>
            <w:vAlign w:val="center"/>
          </w:tcPr>
          <w:p w14:paraId="220C3A1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rPr>
              <w:t>包)</w:t>
            </w:r>
          </w:p>
          <w:p w14:paraId="4A1D293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服务期：自合同签订之日起2年</w:t>
            </w:r>
          </w:p>
        </w:tc>
      </w:tr>
      <w:tr w14:paraId="22E52D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6A45FB6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20</w:t>
            </w:r>
          </w:p>
        </w:tc>
        <w:tc>
          <w:tcPr>
            <w:tcW w:w="8291" w:type="dxa"/>
            <w:tcBorders>
              <w:top w:val="single" w:color="auto" w:sz="4" w:space="0"/>
              <w:left w:val="single" w:color="auto" w:sz="4" w:space="0"/>
              <w:bottom w:val="single" w:color="auto" w:sz="4" w:space="0"/>
            </w:tcBorders>
            <w:vAlign w:val="center"/>
          </w:tcPr>
          <w:p w14:paraId="19CBA33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lang w:eastAsia="zh-CN"/>
              </w:rPr>
              <w:t>包</w:t>
            </w:r>
            <w:r>
              <w:rPr>
                <w:rFonts w:hint="eastAsia" w:ascii="仿宋_GB2312" w:hAnsi="宋体" w:eastAsia="仿宋_GB2312"/>
                <w:color w:val="auto"/>
                <w:sz w:val="28"/>
                <w:szCs w:val="28"/>
                <w:highlight w:val="none"/>
              </w:rPr>
              <w:t>)</w:t>
            </w:r>
          </w:p>
          <w:p w14:paraId="29262B5B">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交付期：采购人指定时间</w:t>
            </w:r>
          </w:p>
          <w:p w14:paraId="6184C8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A034E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4D1FC4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56D08ECE">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w:t>
            </w: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lang w:eastAsia="zh-CN"/>
              </w:rPr>
              <w:t>包</w:t>
            </w:r>
            <w:r>
              <w:rPr>
                <w:rFonts w:hint="eastAsia" w:ascii="仿宋_GB2312" w:hAnsi="宋体" w:eastAsia="仿宋_GB2312"/>
                <w:color w:val="auto"/>
                <w:sz w:val="28"/>
                <w:szCs w:val="28"/>
                <w:highlight w:val="none"/>
              </w:rPr>
              <w:t>),综合评分法</w:t>
            </w:r>
          </w:p>
        </w:tc>
      </w:tr>
      <w:tr w14:paraId="6F7D2D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F9940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0AFB3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1003D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052826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861EE67">
            <w:pPr>
              <w:spacing w:line="600" w:lineRule="exac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rPr>
              <w:t>否</w:t>
            </w:r>
          </w:p>
        </w:tc>
      </w:tr>
      <w:tr w14:paraId="00226D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7DDDD55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2304FC3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p w14:paraId="64116185">
            <w:pPr>
              <w:spacing w:line="560" w:lineRule="exact"/>
              <w:rPr>
                <w:rFonts w:hint="default" w:eastAsia="仿宋_GB2312"/>
                <w:color w:val="auto"/>
                <w:highlight w:val="none"/>
                <w:lang w:val="en-US" w:eastAsia="zh-CN"/>
              </w:rPr>
            </w:pPr>
            <w:r>
              <w:rPr>
                <w:rFonts w:hint="eastAsia" w:ascii="仿宋_GB2312" w:hAnsi="宋体" w:eastAsia="仿宋_GB2312"/>
                <w:color w:val="auto"/>
                <w:sz w:val="28"/>
                <w:szCs w:val="28"/>
                <w:highlight w:val="none"/>
                <w:lang w:val="en-US" w:eastAsia="zh-CN"/>
              </w:rPr>
              <w:t>B包：本项目无预付款，付款时限依甲方内部财务状况而定，乙方需按照甲方要求及时提供所需材料，不得以未结算货款为由终止材料供应，由此对甲方造成的损失，由乙方承担。结算货款前乙方需提供合法有效增值税专用发票。人行道板最终数量的结算以甲方施工实际测量面积为准，损耗、损坏及丢失部分不包含在内。</w:t>
            </w:r>
          </w:p>
        </w:tc>
      </w:tr>
      <w:tr w14:paraId="1E3D60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3BEAA5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0499E04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是否委托评审委员会确定成交供应商：是</w:t>
            </w:r>
          </w:p>
        </w:tc>
      </w:tr>
      <w:tr w14:paraId="54CA87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3BD38B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7D35E10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反腐倡廉监督联系方式：</w:t>
            </w:r>
          </w:p>
          <w:p w14:paraId="1705CE5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电话/邮箱：</w:t>
            </w:r>
            <w:r>
              <w:rPr>
                <w:rFonts w:ascii="仿宋_GB2312" w:hAnsi="宋体" w:eastAsia="仿宋_GB2312"/>
                <w:color w:val="auto"/>
                <w:sz w:val="28"/>
                <w:szCs w:val="28"/>
                <w:highlight w:val="none"/>
              </w:rPr>
              <w:t>0631-6662267/rushanjyzx@wh.shandong.cn</w:t>
            </w:r>
          </w:p>
        </w:tc>
      </w:tr>
      <w:tr w14:paraId="251BE9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78CE37A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27</w:t>
            </w:r>
          </w:p>
        </w:tc>
        <w:tc>
          <w:tcPr>
            <w:tcW w:w="8291" w:type="dxa"/>
            <w:tcBorders>
              <w:top w:val="single" w:color="auto" w:sz="4" w:space="0"/>
              <w:left w:val="single" w:color="auto" w:sz="4" w:space="0"/>
              <w:bottom w:val="single" w:color="auto" w:sz="4" w:space="0"/>
            </w:tcBorders>
            <w:vAlign w:val="center"/>
          </w:tcPr>
          <w:p w14:paraId="1A3A4C0D">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498459BA">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（1）当面接收：接收地址详见本表采购人及代理机构地址。</w:t>
            </w:r>
          </w:p>
          <w:p w14:paraId="75730797">
            <w:pPr>
              <w:spacing w:line="560" w:lineRule="exact"/>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（2）邮件接收：</w:t>
            </w:r>
            <w:r>
              <w:rPr>
                <w:rFonts w:hint="eastAsia" w:ascii="仿宋_GB2312" w:hAnsi="仿宋" w:eastAsia="仿宋_GB2312" w:cs="宋体"/>
                <w:color w:val="auto"/>
                <w:sz w:val="28"/>
                <w:szCs w:val="28"/>
                <w:highlight w:val="none"/>
                <w:lang w:eastAsia="zh-CN"/>
              </w:rPr>
              <w:t>whjxzbs@126.com</w:t>
            </w:r>
          </w:p>
          <w:p w14:paraId="58F70F95">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（3）采购电子交易系统上传：通过威海市国有企业阳光采购电子化服务平台中“公文管理-供”功能上传。</w:t>
            </w:r>
          </w:p>
          <w:p w14:paraId="191DBE58">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以上三种方式任选其一。</w:t>
            </w:r>
          </w:p>
        </w:tc>
      </w:tr>
      <w:tr w14:paraId="320BB3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C92C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28</w:t>
            </w:r>
          </w:p>
        </w:tc>
        <w:tc>
          <w:tcPr>
            <w:tcW w:w="8291" w:type="dxa"/>
            <w:tcBorders>
              <w:top w:val="single" w:color="auto" w:sz="4" w:space="0"/>
              <w:left w:val="single" w:color="auto" w:sz="4" w:space="0"/>
              <w:bottom w:val="single" w:color="auto" w:sz="4" w:space="0"/>
            </w:tcBorders>
            <w:vAlign w:val="center"/>
          </w:tcPr>
          <w:p w14:paraId="52C5EFE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代理服务费：参照“发改价格[2011]534号”规定的收费标准收取代理服务费。</w:t>
            </w: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rPr>
              <w:t>人民币</w:t>
            </w:r>
            <w:r>
              <w:rPr>
                <w:rFonts w:hint="eastAsia" w:ascii="仿宋_GB2312" w:hAnsi="宋体" w:eastAsia="仿宋_GB2312"/>
                <w:color w:val="auto"/>
                <w:sz w:val="28"/>
                <w:szCs w:val="28"/>
                <w:highlight w:val="none"/>
                <w:lang w:val="en-US" w:eastAsia="zh-CN"/>
              </w:rPr>
              <w:t>400</w:t>
            </w:r>
            <w:r>
              <w:rPr>
                <w:rFonts w:ascii="仿宋_GB2312" w:hAnsi="宋体" w:eastAsia="仿宋_GB2312"/>
                <w:color w:val="auto"/>
                <w:sz w:val="28"/>
                <w:szCs w:val="28"/>
                <w:highlight w:val="none"/>
              </w:rPr>
              <w:t>0.00</w:t>
            </w:r>
            <w:r>
              <w:rPr>
                <w:rFonts w:hint="eastAsia" w:ascii="仿宋_GB2312" w:hAnsi="宋体" w:eastAsia="仿宋_GB2312"/>
                <w:color w:val="auto"/>
                <w:sz w:val="28"/>
                <w:szCs w:val="28"/>
                <w:highlight w:val="none"/>
              </w:rPr>
              <w:t>元，</w:t>
            </w:r>
            <w:r>
              <w:rPr>
                <w:rFonts w:hint="eastAsia" w:ascii="仿宋_GB2312" w:hAnsi="宋体" w:eastAsia="仿宋_GB2312"/>
                <w:color w:val="auto"/>
                <w:sz w:val="28"/>
                <w:szCs w:val="28"/>
                <w:highlight w:val="none"/>
                <w:lang w:val="en-US" w:eastAsia="zh-CN"/>
              </w:rPr>
              <w:t>B包：</w:t>
            </w:r>
            <w:r>
              <w:rPr>
                <w:rFonts w:hint="eastAsia" w:ascii="仿宋_GB2312" w:hAnsi="宋体" w:eastAsia="仿宋_GB2312"/>
                <w:color w:val="auto"/>
                <w:sz w:val="28"/>
                <w:szCs w:val="28"/>
                <w:highlight w:val="none"/>
              </w:rPr>
              <w:t>人民币</w:t>
            </w:r>
            <w:r>
              <w:rPr>
                <w:rFonts w:hint="eastAsia" w:ascii="仿宋_GB2312" w:hAnsi="宋体" w:eastAsia="仿宋_GB2312"/>
                <w:color w:val="auto"/>
                <w:sz w:val="28"/>
                <w:szCs w:val="28"/>
                <w:highlight w:val="none"/>
                <w:lang w:val="en-US" w:eastAsia="zh-CN"/>
              </w:rPr>
              <w:t>400</w:t>
            </w:r>
            <w:r>
              <w:rPr>
                <w:rFonts w:hint="eastAsia" w:ascii="仿宋_GB2312" w:hAnsi="宋体" w:eastAsia="仿宋_GB2312"/>
                <w:color w:val="auto"/>
                <w:sz w:val="28"/>
                <w:szCs w:val="28"/>
                <w:highlight w:val="none"/>
              </w:rPr>
              <w:t>0.00元，由成交单位在签订合同前向采购代理机构缴纳，包含在报价中。</w:t>
            </w:r>
          </w:p>
          <w:p w14:paraId="4AF822D6">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开</w:t>
            </w:r>
            <w:r>
              <w:rPr>
                <w:rFonts w:hint="eastAsia" w:ascii="仿宋_GB2312" w:hAnsi="宋体" w:eastAsia="仿宋_GB2312"/>
                <w:color w:val="auto"/>
                <w:sz w:val="28"/>
                <w:szCs w:val="28"/>
                <w:highlight w:val="none"/>
              </w:rPr>
              <w:t>户名称：威海市嘉鑫工程检测鉴定有限公司</w:t>
            </w:r>
          </w:p>
          <w:p w14:paraId="0CC065CD">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开户行：中国建设银行股份有限公司乳山支行</w:t>
            </w:r>
          </w:p>
          <w:p w14:paraId="37432C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账号：37001708108050156089</w:t>
            </w:r>
          </w:p>
        </w:tc>
      </w:tr>
      <w:tr w14:paraId="2B7602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5F6212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29</w:t>
            </w:r>
          </w:p>
        </w:tc>
        <w:tc>
          <w:tcPr>
            <w:tcW w:w="8291" w:type="dxa"/>
            <w:tcBorders>
              <w:top w:val="single" w:color="auto" w:sz="4" w:space="0"/>
              <w:left w:val="single" w:color="auto" w:sz="4" w:space="0"/>
              <w:bottom w:val="single" w:color="auto" w:sz="4" w:space="0"/>
            </w:tcBorders>
            <w:vAlign w:val="center"/>
          </w:tcPr>
          <w:p w14:paraId="4E62482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本项目按</w:t>
            </w:r>
            <w:r>
              <w:rPr>
                <w:rFonts w:ascii="仿宋_GB2312" w:hAnsi="宋体" w:eastAsia="仿宋_GB2312"/>
                <w:color w:val="auto"/>
                <w:sz w:val="28"/>
                <w:szCs w:val="28"/>
                <w:highlight w:val="none"/>
              </w:rPr>
              <w:t>货物类</w:t>
            </w:r>
            <w:r>
              <w:rPr>
                <w:rFonts w:hint="eastAsia" w:ascii="仿宋_GB2312" w:hAnsi="宋体" w:eastAsia="仿宋_GB2312"/>
                <w:color w:val="auto"/>
                <w:sz w:val="28"/>
                <w:szCs w:val="28"/>
                <w:highlight w:val="none"/>
              </w:rPr>
              <w:t>以</w:t>
            </w:r>
            <w:r>
              <w:rPr>
                <w:rFonts w:ascii="仿宋_GB2312" w:hAnsi="宋体" w:eastAsia="仿宋_GB2312"/>
                <w:color w:val="auto"/>
                <w:sz w:val="28"/>
                <w:szCs w:val="28"/>
                <w:highlight w:val="none"/>
              </w:rPr>
              <w:t>竞争谈判</w:t>
            </w:r>
            <w:r>
              <w:rPr>
                <w:rFonts w:hint="eastAsia" w:ascii="仿宋_GB2312" w:hAnsi="宋体" w:eastAsia="仿宋_GB2312"/>
                <w:color w:val="auto"/>
                <w:sz w:val="28"/>
                <w:szCs w:val="28"/>
                <w:highlight w:val="none"/>
              </w:rPr>
              <w:t>方式实施采购</w:t>
            </w:r>
          </w:p>
        </w:tc>
      </w:tr>
      <w:tr w14:paraId="29D82C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0A580B0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特别</w:t>
            </w:r>
          </w:p>
          <w:p w14:paraId="74330FFE">
            <w:pPr>
              <w:spacing w:line="560" w:lineRule="exact"/>
              <w:rPr>
                <w:rFonts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4024FF2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1.本项目进行网上开标，不接受投标单位到现场参加开标活动;投标单位请提前熟悉交易系统(国企采购报价单位操作手册网址:</w:t>
            </w:r>
          </w:p>
          <w:p w14:paraId="45B787B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http://ggzyjy.weihai.cn/bszn/005005/20200820/ee51cd3e-144e-497c-9fde- deff112be090.html;)，通过交易系统线上参加开标活动，不熟悉系统操作产生的风险由投标单位承担。</w:t>
            </w:r>
          </w:p>
          <w:p w14:paraId="05D2D030">
            <w:pPr>
              <w:spacing w:line="560" w:lineRule="exact"/>
              <w:rPr>
                <w:rFonts w:hint="eastAsia"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2.因首次采用新版一网通办系统，各单位在参与本项目报名及投标过程中遇到任何问题请及时联系:国企采购技术支持电话:17863029936，国企采购技术支持QQ群(报价单位):1046971257。</w:t>
            </w:r>
          </w:p>
        </w:tc>
      </w:tr>
    </w:tbl>
    <w:p w14:paraId="128D2AD3">
      <w:pPr>
        <w:pStyle w:val="30"/>
        <w:spacing w:line="432" w:lineRule="auto"/>
        <w:rPr>
          <w:rFonts w:ascii="仿宋_GB2312" w:eastAsia="仿宋_GB2312"/>
          <w:bCs/>
          <w:color w:val="auto"/>
          <w:sz w:val="28"/>
          <w:szCs w:val="28"/>
          <w:highlight w:val="none"/>
        </w:rPr>
      </w:pPr>
    </w:p>
    <w:p w14:paraId="1D30103E">
      <w:pPr>
        <w:pStyle w:val="30"/>
        <w:spacing w:line="432" w:lineRule="auto"/>
        <w:jc w:val="center"/>
        <w:rPr>
          <w:rFonts w:eastAsia="黑体"/>
          <w:color w:val="auto"/>
          <w:sz w:val="32"/>
          <w:szCs w:val="32"/>
          <w:highlight w:val="none"/>
        </w:rPr>
      </w:pPr>
      <w:r>
        <w:rPr>
          <w:rFonts w:ascii="仿宋_GB2312" w:eastAsia="仿宋_GB2312"/>
          <w:bCs/>
          <w:color w:val="auto"/>
          <w:sz w:val="28"/>
          <w:szCs w:val="28"/>
          <w:highlight w:val="none"/>
        </w:rPr>
        <w:br w:type="page"/>
      </w:r>
      <w:r>
        <w:rPr>
          <w:rFonts w:hint="eastAsia" w:eastAsia="黑体"/>
          <w:color w:val="auto"/>
          <w:sz w:val="32"/>
          <w:szCs w:val="32"/>
          <w:highlight w:val="none"/>
        </w:rPr>
        <w:t>《实质性条款一览表》</w:t>
      </w:r>
    </w:p>
    <w:p w14:paraId="57EBE7B3">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说明：本表系采购文件及修改性文件中涉及的所有实质性条款的汇总。不允许有任何负偏离，否则报价将被否决。</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67672B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0249B51">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资格性核查</w:t>
            </w:r>
          </w:p>
        </w:tc>
      </w:tr>
      <w:tr w14:paraId="42BCE2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7BF7B725">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1、有效的营业执照副本扫描件或其他能证明具有独立承担民事责任能力的材料扫描件（分公司投标须提供总公司的授权）；(A)包</w:t>
            </w:r>
          </w:p>
          <w:p w14:paraId="693A0C43">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2、法定代表人授权委托书；被授权人身份证扫描件；</w:t>
            </w:r>
          </w:p>
          <w:p w14:paraId="72F55010">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480D5AF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3、依法缴纳税收和社会保障资金的声明（格式自拟）；近期的完税凭证及缴纳社保资金凭证的扫描件（依法免税或不需要缴纳社会保障资金的供应商，应提供相关证明材料）；(A)包</w:t>
            </w:r>
          </w:p>
          <w:p w14:paraId="436797F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4、参加本项目报价前三年内无重大违法记录声明（格式自定）；(A)包</w:t>
            </w:r>
          </w:p>
          <w:p w14:paraId="783D9739">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5、报价供应商未被工商行政管理机关在全国企业信用信息公示系统中列入严重违法失信企业名单（附截图或企业信用信息公示报告，查询网址http://www.gsxt.gov.cn/index.html）；</w:t>
            </w:r>
          </w:p>
          <w:p w14:paraId="6DDF6442">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报价供应商及其法定代表人、授权委托人在“全国法院失信被执行人名单公布及查询（http://zxgk.court.gov.cn/shixin/）”网站截图；(A)包</w:t>
            </w:r>
          </w:p>
          <w:p w14:paraId="2E16303D">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6、财务状况报告等相关材料</w:t>
            </w:r>
          </w:p>
          <w:p w14:paraId="24455C2B">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13EDA674">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1F1778E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注：A、B两项提供任意一项均可。(A)包</w:t>
            </w:r>
          </w:p>
          <w:p w14:paraId="6285D15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7、具有履行合同所必需的设备和专业技术能力承诺函（格式自拟）；(A)包</w:t>
            </w:r>
          </w:p>
        </w:tc>
      </w:tr>
      <w:tr w14:paraId="58B021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63589745">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符合性检查</w:t>
            </w:r>
          </w:p>
        </w:tc>
      </w:tr>
      <w:tr w14:paraId="0A0A45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8016FB4">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1、响应文件未按规定签章的，作为无效报价；(A)包</w:t>
            </w:r>
          </w:p>
          <w:p w14:paraId="6A274E8A">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2、被授权人未在规定时间内答疑或澄清的，作为无效报价；(A)包</w:t>
            </w:r>
          </w:p>
          <w:p w14:paraId="00FCF19B">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3、响应文件含有采购人不能接受的附加条件的，作为无效报价；(A)包</w:t>
            </w:r>
          </w:p>
          <w:p w14:paraId="02CD8940">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4、响应报价、交付期（工期）、服务期（质保期）、付款方式、报价有效期等内容不满足采购文件要求的作为无效报价；(A)包</w:t>
            </w:r>
          </w:p>
          <w:p w14:paraId="221709BC">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68DD3A16">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6、评审小组认为不符合采购文件其他实质性要求或法律法规规定的其他情形；作为无效报价。(A)包</w:t>
            </w:r>
          </w:p>
        </w:tc>
      </w:tr>
    </w:tbl>
    <w:p w14:paraId="4724CFE5">
      <w:pPr>
        <w:rPr>
          <w:rFonts w:ascii="宋体" w:hAnsi="宋体"/>
          <w:color w:val="auto"/>
          <w:szCs w:val="28"/>
          <w:highlight w:val="none"/>
        </w:rPr>
      </w:pPr>
    </w:p>
    <w:p w14:paraId="6A4858C8">
      <w:pPr>
        <w:spacing w:line="560" w:lineRule="exact"/>
        <w:rPr>
          <w:rFonts w:ascii="宋体" w:hAnsi="宋体"/>
          <w:color w:val="auto"/>
          <w:sz w:val="44"/>
          <w:szCs w:val="44"/>
          <w:highlight w:val="none"/>
        </w:rPr>
      </w:pPr>
    </w:p>
    <w:p w14:paraId="7482F3A1">
      <w:pPr>
        <w:spacing w:line="560" w:lineRule="exact"/>
        <w:rPr>
          <w:rFonts w:ascii="宋体" w:hAnsi="宋体"/>
          <w:color w:val="auto"/>
          <w:sz w:val="44"/>
          <w:szCs w:val="44"/>
          <w:highlight w:val="none"/>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5EC954CF">
      <w:pPr>
        <w:pStyle w:val="5"/>
        <w:ind w:firstLine="643"/>
        <w:rPr>
          <w:color w:val="auto"/>
          <w:highlight w:val="none"/>
        </w:rPr>
      </w:pPr>
      <w:r>
        <w:rPr>
          <w:rFonts w:hint="eastAsia"/>
          <w:color w:val="auto"/>
          <w:highlight w:val="none"/>
        </w:rPr>
        <w:t>一、说明</w:t>
      </w:r>
    </w:p>
    <w:p w14:paraId="6CC76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38464745">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1.适用范围</w:t>
      </w:r>
    </w:p>
    <w:p w14:paraId="7B2900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 本竞争谈判文件仅适用于本次采购公告中所涉及的项目和内容。</w:t>
      </w:r>
    </w:p>
    <w:p w14:paraId="6F183C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 本竞争谈判文件的解释权为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0FC8BEC0">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1.3本竞争谈判文件未做须知明示，而又有相关法律、法规规定的，从其规定。</w:t>
      </w:r>
    </w:p>
    <w:p w14:paraId="234A74B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2.采购人、采购代理机构及供应商</w:t>
      </w:r>
    </w:p>
    <w:p w14:paraId="7A6D37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B045AB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01192B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2.3供应商</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供应商：是指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，以采购文件规定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采购文件的法人、其他组织或者自然人。</w:t>
      </w:r>
    </w:p>
    <w:p w14:paraId="3DA39B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2.4货物，是指供应商按采购文件要求，向采购人提供全新的、未使用过的各种形态和种类的物品，包括原材料、燃料、设备、产品等。</w:t>
      </w:r>
    </w:p>
    <w:p w14:paraId="488828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2.5服务，是指供应商按采购文件要求，完成规定的货物供货过程中须承担的制造、运输、吊拉、安装、调试、技术协助、培训及其他各项义务。</w:t>
      </w:r>
    </w:p>
    <w:p w14:paraId="2A8DDA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auto"/>
          <w:sz w:val="28"/>
          <w:szCs w:val="28"/>
          <w:highlight w:val="none"/>
        </w:rPr>
        <w:t>无效</w:t>
      </w:r>
      <w:r>
        <w:rPr>
          <w:rFonts w:hint="eastAsia" w:ascii="仿宋_GB2312" w:hAnsi="仿宋" w:eastAsia="仿宋_GB2312" w:cs="宋体"/>
          <w:color w:val="auto"/>
          <w:sz w:val="28"/>
          <w:szCs w:val="28"/>
          <w:highlight w:val="none"/>
        </w:rPr>
        <w:t>。</w:t>
      </w:r>
    </w:p>
    <w:p w14:paraId="1F15958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2.7供应商在响应过程中不得向采购人提供或给予影响其正常决策行为的任何有价值物品或服务。</w:t>
      </w:r>
    </w:p>
    <w:p w14:paraId="1A1598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2.8供应商须对本项目指定一个项目负责人，对本项目所有事宜全程负责。未经采购人同意中途不得更换项目负责人</w:t>
      </w:r>
    </w:p>
    <w:p w14:paraId="4983C09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5E813F2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本项目的采购人已获得足以支付本次采购后所签订的合同项下的资金。</w:t>
      </w:r>
    </w:p>
    <w:p w14:paraId="1F604E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CBBD8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3.3供应商报价超过采购文件规定的预算金额或者分项、分包最高限价的，其报价将被认定为</w:t>
      </w:r>
      <w:r>
        <w:rPr>
          <w:rFonts w:hint="eastAsia" w:ascii="仿宋_GB2312" w:hAnsi="仿宋" w:eastAsia="仿宋_GB2312" w:cs="宋体"/>
          <w:b/>
          <w:color w:val="auto"/>
          <w:sz w:val="28"/>
          <w:szCs w:val="28"/>
          <w:highlight w:val="none"/>
        </w:rPr>
        <w:t>无效</w:t>
      </w:r>
      <w:r>
        <w:rPr>
          <w:rFonts w:ascii="仿宋_GB2312" w:hAnsi="仿宋" w:eastAsia="仿宋_GB2312" w:cs="宋体"/>
          <w:color w:val="auto"/>
          <w:sz w:val="28"/>
          <w:szCs w:val="28"/>
          <w:highlight w:val="none"/>
        </w:rPr>
        <w:t>。</w:t>
      </w:r>
    </w:p>
    <w:p w14:paraId="5D7071E4">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4.相关要求</w:t>
      </w:r>
    </w:p>
    <w:p w14:paraId="3DCE26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4.1 供应商应承担所有与准备和参加报价的全部费用。不论电子响应结果如何，采购人和采购代理机构均无义务和责任承担这些费用。</w:t>
      </w:r>
    </w:p>
    <w:p w14:paraId="28AD7A9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 本项目若涉及采购货物，则合格的货物及相应服务应满足以下要求：</w:t>
      </w:r>
    </w:p>
    <w:p w14:paraId="22447C8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4.2.1 必须是全新、未使用过的原装合格正品（包括零部件），如安装或配置了软件的，须为正版软件。</w:t>
      </w:r>
    </w:p>
    <w:p w14:paraId="3869E4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4.2.2 国产的货物及其有关服务必须符合中华人民共和国的设计和制造生产标准或行业标准。竞争谈判公告有其他要求的，亦应符合其要求。</w:t>
      </w:r>
    </w:p>
    <w:p w14:paraId="517817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4.2.3进口货物及其有关服务必须符合原产地和/或中华人民共和国的设计和制造生产标准或行业标准。进口的货物必须具有合法的进口手续和途径，并通过中华人民共和国商检部门检验。竞争谈判公告有其他要求的，亦应符合其要求。</w:t>
      </w:r>
    </w:p>
    <w:p w14:paraId="072F121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4.2.4 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33D6DD32">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4F087E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5.关于同一品牌</w:t>
      </w:r>
    </w:p>
    <w:p w14:paraId="2A9A805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5.1采用综合评分法的采购项目，通过资格审查、符合性审查的不同供应商参加同一合同项下报价的，按一家供应商计算，评审后得分最高的同品牌供应商获得成交推荐资格；评审得分相同的，技术部分得分高的供应商获得成交推荐资格；综合得分、技术部分得分都相同的，以报价低者获得成交推荐资格，其他同品牌供应商不作为成交候选人。</w:t>
      </w:r>
    </w:p>
    <w:p w14:paraId="043B22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5.2非单一产品采购的项目，多家供应商提供的核心产品品牌相同的，按前款规定处理。</w:t>
      </w:r>
    </w:p>
    <w:p w14:paraId="6B9F34B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6.电子报价特别提示</w:t>
      </w:r>
    </w:p>
    <w:p w14:paraId="55B55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本项目供应商必须登录威海市公共资源交易网（乳山分中心）（</w:t>
      </w:r>
      <w:r>
        <w:rPr>
          <w:rFonts w:ascii="仿宋_GB2312" w:hAnsi="仿宋" w:eastAsia="仿宋_GB2312" w:cs="宋体"/>
          <w:color w:val="auto"/>
          <w:sz w:val="28"/>
          <w:szCs w:val="28"/>
          <w:highlight w:val="none"/>
        </w:rPr>
        <w:t>http://ggzyjy.weihai.cn/</w:t>
      </w:r>
      <w:r>
        <w:rPr>
          <w:rFonts w:hint="eastAsia" w:ascii="仿宋_GB2312" w:hAnsi="仿宋" w:eastAsia="仿宋_GB2312" w:cs="宋体"/>
          <w:color w:val="auto"/>
          <w:sz w:val="28"/>
          <w:szCs w:val="28"/>
          <w:highlight w:val="none"/>
        </w:rPr>
        <w:t>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283A31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网上递交响应文件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B811D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http://ggzyjy.weihai.cn/bszn/005005/20200902/98115c60-a132-4b41-b609-6b7c08ad502b.html、响应文件制作及系统使用咨询电话：18769124292；0631-5307028；平台QQ服务群：1146578397。</w:t>
      </w:r>
    </w:p>
    <w:p w14:paraId="0359684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180127C9">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7F5FF6E6">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1F8FCE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6AE5F25C">
      <w:pPr>
        <w:pStyle w:val="5"/>
        <w:ind w:firstLine="643"/>
        <w:rPr>
          <w:color w:val="auto"/>
          <w:highlight w:val="none"/>
        </w:rPr>
      </w:pPr>
      <w:r>
        <w:rPr>
          <w:rFonts w:hint="eastAsia"/>
          <w:color w:val="auto"/>
          <w:highlight w:val="none"/>
        </w:rPr>
        <w:t>二、竞争谈判文件</w:t>
      </w:r>
    </w:p>
    <w:p w14:paraId="128F94F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7.竞争谈判文件的构成</w:t>
      </w:r>
    </w:p>
    <w:p w14:paraId="295327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由各包段本文件（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格式）和各包段的数据文件（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格式）构成，采用压缩包电子版文件格式提供。</w:t>
      </w:r>
    </w:p>
    <w:p w14:paraId="762C4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7.1 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格式）由下列文件组成：</w:t>
      </w:r>
    </w:p>
    <w:p w14:paraId="1BD16E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（1）采购公告</w:t>
      </w:r>
    </w:p>
    <w:p w14:paraId="4C8BDEE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（2）响应须知</w:t>
      </w:r>
    </w:p>
    <w:p w14:paraId="2CF26A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（3）采购内容与要求</w:t>
      </w:r>
    </w:p>
    <w:p w14:paraId="6AD9836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（4）评审原则和方法</w:t>
      </w:r>
    </w:p>
    <w:p w14:paraId="3592D4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（5）投标（响应）文件格式</w:t>
      </w:r>
    </w:p>
    <w:p w14:paraId="5CEECA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（6）采购合同（范本）</w:t>
      </w:r>
    </w:p>
    <w:p w14:paraId="4FCC299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（7）在采购过程中由采购人或采购代理机构发出的修正和补充文件等(如有）</w:t>
      </w:r>
    </w:p>
    <w:p w14:paraId="6664D0D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7.2 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格式）由下列文件组成：</w:t>
      </w:r>
    </w:p>
    <w:p w14:paraId="44AC7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286CB08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w:t>
      </w:r>
    </w:p>
    <w:p w14:paraId="6CBD3C4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32BD643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（4）评审对照表</w:t>
      </w:r>
    </w:p>
    <w:p w14:paraId="26B9E99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（5）评分对照表</w:t>
      </w:r>
    </w:p>
    <w:p w14:paraId="454349BB">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color w:val="auto"/>
          <w:sz w:val="28"/>
          <w:szCs w:val="28"/>
          <w:highlight w:val="none"/>
        </w:rPr>
        <w:t>其风险应由供应商自行承担并根据有关政策和条款规定</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其响应有可能被拒绝，或者被认定为</w:t>
      </w:r>
      <w:r>
        <w:rPr>
          <w:rFonts w:hint="eastAsia" w:ascii="仿宋_GB2312" w:hAnsi="宋体" w:eastAsia="仿宋_GB2312"/>
          <w:b/>
          <w:color w:val="auto"/>
          <w:sz w:val="28"/>
          <w:szCs w:val="28"/>
          <w:highlight w:val="none"/>
        </w:rPr>
        <w:t>无效</w:t>
      </w:r>
      <w:r>
        <w:rPr>
          <w:rFonts w:hint="eastAsia" w:ascii="仿宋_GB2312" w:hAnsi="仿宋" w:eastAsia="仿宋_GB2312" w:cs="宋体"/>
          <w:b/>
          <w:color w:val="auto"/>
          <w:sz w:val="28"/>
          <w:szCs w:val="28"/>
          <w:highlight w:val="none"/>
        </w:rPr>
        <w:t>投标（响应）</w:t>
      </w:r>
      <w:r>
        <w:rPr>
          <w:rFonts w:hint="eastAsia" w:ascii="仿宋_GB2312" w:hAnsi="宋体" w:eastAsia="仿宋_GB2312"/>
          <w:color w:val="auto"/>
          <w:sz w:val="28"/>
          <w:szCs w:val="28"/>
          <w:highlight w:val="none"/>
        </w:rPr>
        <w:t>。</w:t>
      </w:r>
    </w:p>
    <w:p w14:paraId="417058C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4采购文件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响应须知前附表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不涉及的内容，以编排在后的描述为准。</w:t>
      </w:r>
    </w:p>
    <w:p w14:paraId="0E0AE64C">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7.5采购文件以中文编印，且以中文为准。</w:t>
      </w:r>
    </w:p>
    <w:p w14:paraId="5331AB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7.6除非有特殊要求，采购文件不单独提供采购货物使用地的自然环境、气候条件、公用设施等情况，供应商被视为熟悉上述与履行合同有关的一切情况。</w:t>
      </w:r>
    </w:p>
    <w:p w14:paraId="3399C307">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7.7除采购文件中另有规定外，采购文件所使用的时间单位“天”、“日”均指日历天，且所有时刻均为北京时间。</w:t>
      </w:r>
    </w:p>
    <w:p w14:paraId="2CDBA34F">
      <w:pPr>
        <w:snapToGrid w:val="0"/>
        <w:spacing w:line="560" w:lineRule="exact"/>
        <w:ind w:firstLine="562" w:firstLineChars="201"/>
        <w:rPr>
          <w:rFonts w:ascii="仿宋_GB2312" w:hAnsi="宋体" w:eastAsia="仿宋_GB2312"/>
          <w:color w:val="auto"/>
          <w:sz w:val="28"/>
          <w:szCs w:val="28"/>
          <w:highlight w:val="none"/>
        </w:rPr>
      </w:pPr>
      <w:r>
        <w:rPr>
          <w:rFonts w:ascii="仿宋_GB2312" w:hAnsi="仿宋" w:eastAsia="仿宋_GB2312" w:cs="宋体"/>
          <w:color w:val="auto"/>
          <w:sz w:val="28"/>
          <w:szCs w:val="28"/>
          <w:highlight w:val="none"/>
        </w:rPr>
        <w:t>7.8参与本次采购活动的各方应对采购文件和响应文件中的商业和技术等秘密保密，违者应对由此造成的后果承担法律责任。</w:t>
      </w:r>
    </w:p>
    <w:p w14:paraId="0114D74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8.竞争谈判文件的澄清</w:t>
      </w:r>
    </w:p>
    <w:p w14:paraId="1793A6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8.1供应商在收到竞争谈判文件后，对竞争谈判文件若有任何疑问或要求澄清竞争谈判文件的，应在有效期内按“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第四项向采购代理机构提出，必要时采购代理机构将协助采购人组织所有获取采购文件的供应商举行答疑会，采购代理机构根据需要主动对竞争谈判文件进行必要的澄清或根据供应商的要求对竞争谈判文件做出澄清，都将以原网站公开发布形式（包括电子交易系统推送）答复或发送给所有供应商。澄清文件作为竞争谈判文件的组成部分，对供应商起约束作用。</w:t>
      </w:r>
    </w:p>
    <w:p w14:paraId="16757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8.2供应商在规定的时间内未对竞争谈判文件澄清或提出疑问的，采购代理机构将视其为接受竞争谈判文件的所有条款，对竞争谈判文件没有异议，此后也不再受理对竞争谈判文件的相关质疑。</w:t>
      </w:r>
    </w:p>
    <w:p w14:paraId="3387A0C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9.竞争谈判文件的修改</w:t>
      </w:r>
    </w:p>
    <w:p w14:paraId="7530896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 xml:space="preserve"> 在响应截止时间5日以前，无论出于何种原因，采购人或采购代理机构可主动或在解答供应商提出的疑问时对竞争谈判文件进行修改。</w:t>
      </w:r>
    </w:p>
    <w:p w14:paraId="62156F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9.2 修改后的内容是竞争谈判文件的组成部分，采购人、采购代理机构将会通过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auto"/>
          <w:sz w:val="28"/>
          <w:szCs w:val="28"/>
          <w:highlight w:val="none"/>
        </w:rPr>
        <w:t>因潜在供应商原因或通讯线路故障导致逾期送达或无法送达，采购代理机构不因此承担任何责任，有关的采购活动可以继续有效进行。</w:t>
      </w:r>
    </w:p>
    <w:p w14:paraId="6B5AFA7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9.3 澄清或者修改的内容可能影响响应文件编制的，采购人或采购代理机构将在响应截止时间5日前，通过原网站发布公告的形式（电子交易系统内发送更正提醒通知）通知所有获取竞争谈判文件的潜在供应商（采购文件变更的，供应商必须从电子交易系统中重新下载采购文件，并在新下载文件的基础上编制响应文件）；不足5日的，采购人或者采购代理机构将顺延提交响应文件的截止时间。</w:t>
      </w:r>
    </w:p>
    <w:p w14:paraId="1C46A05D">
      <w:pPr>
        <w:pStyle w:val="5"/>
        <w:ind w:firstLine="643"/>
        <w:rPr>
          <w:color w:val="auto"/>
          <w:highlight w:val="none"/>
        </w:rPr>
      </w:pPr>
      <w:r>
        <w:rPr>
          <w:rFonts w:hint="eastAsia"/>
          <w:color w:val="auto"/>
          <w:highlight w:val="none"/>
        </w:rPr>
        <w:t>三、响应文件的编制</w:t>
      </w:r>
    </w:p>
    <w:p w14:paraId="5C82C50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须提交两阶段响应文件，分别包括第一阶段响应文件、第二阶段响应文件（采购人实质性变动采购要求的情况下编制）。第一阶段提交首次响应文件，文件由资质、技术及商务和报价四部分组成。第二阶段按照竞争谈判文件的变动情况和评审小组的要求重新提交响应文件，并由其法定代表人（签章）或被授权人签字或者加盖公章。由被授权人签字的，应当附法定代表人授权书。供应商为自然人的，应当由本人签字并附身份证明。</w:t>
      </w:r>
    </w:p>
    <w:p w14:paraId="1FCEAFE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10.响应文件编制要求</w:t>
      </w:r>
    </w:p>
    <w:p w14:paraId="573F40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10.1供应商编写的文件和往来信件应以简体中文书写。如果响应文件或与响应有关的其它文件、信件及来往函电以其它语言书写的，供应商应将其译成中文，如未翻译该文件为无效文件。</w:t>
      </w:r>
    </w:p>
    <w:p w14:paraId="30A7E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10.2响应文件中使用的计量单位应使用中华人民共和国法定计量单位。</w:t>
      </w:r>
    </w:p>
    <w:p w14:paraId="3499DE4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0DF033C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10.4供应商应按竞争谈判文件中提供的响应文件格式（详见第五章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52FF8D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10.5供应商按照竞争谈判要求所提供的各种证明文件必须真实且合法有效,经扫描后粘贴到响应文件的相关页上，确保清晰度可辨认，评审时由于无法辨认所产生的后果，由供应商自行承担。</w:t>
      </w:r>
    </w:p>
    <w:p w14:paraId="30E4150F">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宋体" w:eastAsia="仿宋_GB2312"/>
          <w:b/>
          <w:color w:val="auto"/>
          <w:sz w:val="28"/>
          <w:szCs w:val="28"/>
          <w:highlight w:val="none"/>
        </w:rPr>
        <w:t>.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3908A4B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10.7为了保证系统整体效率，系统对所投递的电子文件有大小的限制，因此，供应商应尽可能降低本文件的大小，小尺寸响应文件将使递交更快捷、减少差错发生几率，避免响应截止时间前未能完整上传文件。</w:t>
      </w:r>
    </w:p>
    <w:p w14:paraId="1BA39F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10.8 响应文件具有法律效力，供应商与采购代理机构或采购人任何人的口头协议不影响响应文件的任何条款和内容。</w:t>
      </w:r>
    </w:p>
    <w:p w14:paraId="6F3652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仿宋" w:eastAsia="仿宋_GB2312" w:cs="宋体"/>
          <w:color w:val="auto"/>
          <w:sz w:val="28"/>
          <w:szCs w:val="28"/>
          <w:highlight w:val="none"/>
        </w:rPr>
        <w:t>.9供应商应自行承担其准备和参加报价活动发生的所有费用。不论结果如何，采购人及采购代理机构在任何情况下无义务也无责任承担这些费用。</w:t>
      </w:r>
    </w:p>
    <w:p w14:paraId="120674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10.10采购人或采购代理机构均无义务向供应商解释其成交或未成交的原因，且无论供应商是否成交，供应商所递交的响应文件均不予退还，不提供副本拷贝。</w:t>
      </w:r>
    </w:p>
    <w:p w14:paraId="1CB5E0D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11.数据文件编制要求</w:t>
      </w:r>
    </w:p>
    <w:p w14:paraId="087F7E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w:t>
      </w:r>
      <w:r>
        <w:rPr>
          <w:rFonts w:hint="eastAsia" w:ascii="仿宋_GB2312" w:hAnsi="宋体" w:eastAsia="仿宋_GB2312"/>
          <w:color w:val="auto"/>
          <w:sz w:val="28"/>
          <w:szCs w:val="28"/>
          <w:highlight w:val="none"/>
        </w:rPr>
        <w:t>，都会破坏本文件中的数字指纹，导致系统无法接收该文件使其响应失败。</w:t>
      </w:r>
    </w:p>
    <w:p w14:paraId="1E232CF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auto"/>
          <w:sz w:val="28"/>
          <w:szCs w:val="28"/>
          <w:highlight w:val="none"/>
        </w:rPr>
        <w:t>响应失败</w:t>
      </w:r>
      <w:r>
        <w:rPr>
          <w:rFonts w:hint="eastAsia" w:ascii="仿宋_GB2312" w:hAnsi="宋体" w:eastAsia="仿宋_GB2312"/>
          <w:color w:val="auto"/>
          <w:sz w:val="28"/>
          <w:szCs w:val="28"/>
          <w:highlight w:val="none"/>
        </w:rPr>
        <w:t>。</w:t>
      </w:r>
    </w:p>
    <w:p w14:paraId="4681C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11</w:t>
      </w:r>
      <w:r>
        <w:rPr>
          <w:rFonts w:hint="eastAsia" w:ascii="仿宋_GB2312" w:hAnsi="仿宋" w:eastAsia="仿宋_GB2312" w:cs="宋体"/>
          <w:color w:val="auto"/>
          <w:sz w:val="28"/>
          <w:szCs w:val="28"/>
          <w:highlight w:val="none"/>
        </w:rPr>
        <w:t>.3供应商在对数据文件电子签章前，应按照上述2项的要求进行认真检查、确认。因供应商自身原因所导致其报价失败的，须自行承担相关责任。</w:t>
      </w:r>
    </w:p>
    <w:p w14:paraId="7AEDD72F">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12.文件构成</w:t>
      </w:r>
    </w:p>
    <w:p w14:paraId="116531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7237CF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12.1供应商编制的响应文件（pdf格式）（第一册）应包括但不少于下列内容：</w:t>
      </w:r>
    </w:p>
    <w:p w14:paraId="6222E26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（1）响应文件封面（格式见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F54D65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（2）响应文件目录（格式见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24AFE6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（3）报价承诺函（格式见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0B178DE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（4）供应商资格证明文件</w:t>
      </w:r>
    </w:p>
    <w:p w14:paraId="21ABB31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①有效的营业执照副本扫描件或其他能证明具有独立承担民事责任能力的材料扫描件（分公司投标须提供总公司的授权）；</w:t>
      </w:r>
    </w:p>
    <w:p w14:paraId="5301F02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②法定代表人授权委托书；被授权人身份证扫描件；</w:t>
      </w:r>
    </w:p>
    <w:p w14:paraId="0C6661C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p>
    <w:p w14:paraId="4EC2F5AD">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③依法缴纳税收和社会保障资金的声明（格式自拟）；近期的完税凭证及缴纳社保资金凭证的扫描件（依法免税或不需要缴纳社会保障资金的供应商，应提供相关证明材料）；</w:t>
      </w:r>
    </w:p>
    <w:p w14:paraId="2857BF8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④参加本项目报价前三年内无重大违法记录声明（格式自定）；</w:t>
      </w:r>
    </w:p>
    <w:p w14:paraId="495B2AB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⑤报价供应商未被工商行政管理机关在全国企业信用信息公示系统中列入严重违法失信企业名单（附截图或企业信用信息公示报告，查询网址http://www.gsxt.gov.cn/index.html）；</w:t>
      </w:r>
    </w:p>
    <w:p w14:paraId="49822FF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w:t>
      </w:r>
    </w:p>
    <w:p w14:paraId="22777BF0">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⑥财务状况报告等相关材料</w:t>
      </w:r>
    </w:p>
    <w:p w14:paraId="5CDA722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435A9624">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053EB79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w:t>
      </w:r>
    </w:p>
    <w:p w14:paraId="52163E39">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⑦具有履行合同所必需的设备和专业技术能力承诺函（格式自拟）；</w:t>
      </w:r>
    </w:p>
    <w:p w14:paraId="3A5E022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⑧采购公告中要求的有关资质资格文件；</w:t>
      </w:r>
    </w:p>
    <w:p w14:paraId="438545C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⑨报价供应商认为需要提供的资质资格证明文件。</w:t>
      </w:r>
    </w:p>
    <w:p w14:paraId="6AD35C5A">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以上所有资质资格证明文件均需加盖供应商签章。</w:t>
      </w:r>
    </w:p>
    <w:p w14:paraId="498AE03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（5）供应商基本情况（格式见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B8C1C0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供应商应提交证明文件，证明标的的合格性、技术文件符合采购文件的规定、报价内容符合采购文件规定。该证明文件是响应文件的一部分，可以是文字资料、图纸和数据，不包括对采购文件相关部分的文字、图标的复制。它包括：</w:t>
      </w:r>
    </w:p>
    <w:p w14:paraId="24A1E03E">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①产品选型</w:t>
      </w:r>
    </w:p>
    <w:p w14:paraId="35D30FD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②供货方案</w:t>
      </w:r>
    </w:p>
    <w:p w14:paraId="2517B7A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③质量保证措施</w:t>
      </w:r>
    </w:p>
    <w:p w14:paraId="11A300A7">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④售后服务承诺</w:t>
      </w:r>
    </w:p>
    <w:p w14:paraId="520D4065">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rPr>
        <w:t>评审时需要的相关证明材料。</w:t>
      </w:r>
    </w:p>
    <w:p w14:paraId="109086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）国内同类项目业绩表（格式见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1394561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8</w:t>
      </w:r>
      <w:r>
        <w:rPr>
          <w:rFonts w:hint="eastAsia" w:ascii="仿宋_GB2312" w:hAnsi="宋体" w:eastAsia="仿宋_GB2312"/>
          <w:color w:val="auto"/>
          <w:sz w:val="28"/>
          <w:szCs w:val="28"/>
          <w:highlight w:val="none"/>
        </w:rPr>
        <w:t>）要求采购人提供的配合；</w:t>
      </w:r>
    </w:p>
    <w:p w14:paraId="3CB76F8F">
      <w:pPr>
        <w:spacing w:line="560" w:lineRule="exact"/>
        <w:ind w:firstLine="565" w:firstLineChars="201"/>
        <w:rPr>
          <w:rFonts w:ascii="仿宋_GB2312" w:hAnsi="宋体" w:eastAsia="仿宋_GB2312"/>
          <w:color w:val="auto"/>
          <w:sz w:val="28"/>
          <w:szCs w:val="28"/>
          <w:highlight w:val="none"/>
        </w:rPr>
      </w:pPr>
      <w:r>
        <w:rPr>
          <w:rFonts w:hint="eastAsia" w:ascii="仿宋_GB2312" w:hAnsi="仿宋" w:eastAsia="仿宋_GB2312" w:cs="宋体"/>
          <w:b/>
          <w:color w:val="auto"/>
          <w:sz w:val="28"/>
          <w:szCs w:val="28"/>
          <w:highlight w:val="none"/>
        </w:rPr>
        <w:t>注：成交公告将对成交供应商提交的第（7）项一并予以公示。</w:t>
      </w:r>
    </w:p>
    <w:p w14:paraId="643F8FC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12.2</w:t>
      </w:r>
      <w:r>
        <w:rPr>
          <w:rFonts w:hint="eastAsia" w:ascii="仿宋_GB2312" w:hAnsi="仿宋" w:eastAsia="仿宋_GB2312" w:cs="宋体"/>
          <w:color w:val="auto"/>
          <w:sz w:val="28"/>
          <w:szCs w:val="28"/>
          <w:highlight w:val="none"/>
        </w:rPr>
        <w:t>数据文件（PDF格式）（第二册）</w:t>
      </w:r>
    </w:p>
    <w:p w14:paraId="757CEC0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数据文件（PDF格式）包含下列内容：</w:t>
      </w:r>
    </w:p>
    <w:p w14:paraId="54780E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1CCE60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（2）投标报价表（含明细）</w:t>
      </w:r>
    </w:p>
    <w:p w14:paraId="3466BC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644825C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13.报价</w:t>
      </w:r>
    </w:p>
    <w:p w14:paraId="3EDEC10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13.1 供应商所提供的货物（服务）均以人民币报价，精确到小数点后两位。</w:t>
      </w:r>
    </w:p>
    <w:p w14:paraId="029EF8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13.2 供应商应按照竞争谈判文件的要求进行首次报价。并按数据文件中“投标（报价）一览表（含明细）”规定的格式报出分项价格和总价。响应总价中不得包含竞争谈判文件要求以外的内容，否则，在评审时不予核减。</w:t>
      </w:r>
    </w:p>
    <w:p w14:paraId="27A42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13.3 供应商应按数据文件中“投标报价表”要求的统一格式填写，并加盖电子公章。</w:t>
      </w:r>
    </w:p>
    <w:p w14:paraId="5F3D88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13.4 《投标报价表（含明细）》填写时应响应下列要求：</w:t>
      </w:r>
    </w:p>
    <w:p w14:paraId="56B2C073">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（1）本项目并非一次报价，供应商根据评审小组与供应商的沟通协商情况进行最终报价（分项报价按照总报价下浮比例同比例下浮）。</w:t>
      </w:r>
    </w:p>
    <w:p w14:paraId="228DF2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2</w:t>
      </w:r>
      <w:r>
        <w:rPr>
          <w:rFonts w:hint="eastAsia" w:ascii="仿宋_GB2312" w:hAnsi="仿宋" w:eastAsia="仿宋_GB2312" w:cs="宋体"/>
          <w:color w:val="auto"/>
          <w:sz w:val="28"/>
          <w:szCs w:val="28"/>
          <w:highlight w:val="none"/>
        </w:rPr>
        <w:t>）供应商须严格按照投标报价表（含明细）说明进行填写，报价明细表投标报价表（含明细）中“*”是必填项，任何必填项为空时都可能导致本次投标无效。</w:t>
      </w:r>
    </w:p>
    <w:p w14:paraId="3A900EC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）供应商应对本次竞争谈判的全部内容进行报价，缺项报价响应无效。如因供应商自身的原因报价失误而造成的损失，由供应商自行承担。</w:t>
      </w:r>
    </w:p>
    <w:p w14:paraId="4394844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4</w:t>
      </w:r>
      <w:r>
        <w:rPr>
          <w:rFonts w:hint="eastAsia" w:ascii="仿宋_GB2312" w:hAnsi="宋体" w:eastAsia="仿宋_GB2312"/>
          <w:color w:val="auto"/>
          <w:sz w:val="28"/>
          <w:szCs w:val="28"/>
          <w:highlight w:val="none"/>
        </w:rPr>
        <w:t>）报价包括完成该项目的一切费用总和，包括设备费、运输费、装卸费、保险费、技术培训费、设备安装费、调试费、售后服务费、国家规定的各项税费等全部费用，以人民币为结算单位。报价中免费提供的项目，应注明免费。所有根据合同或其它原因应由供应商支付的税款和其它应交纳的费用都要包括在供应商提交的报价中；</w:t>
      </w:r>
    </w:p>
    <w:p w14:paraId="33A334F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w:t>
      </w:r>
      <w:r>
        <w:rPr>
          <w:rFonts w:hint="eastAsia" w:ascii="仿宋_GB2312" w:hAnsi="仿宋" w:eastAsia="仿宋_GB2312" w:cs="宋体"/>
          <w:color w:val="auto"/>
          <w:sz w:val="28"/>
          <w:szCs w:val="28"/>
          <w:highlight w:val="none"/>
        </w:rPr>
        <w:t>《投标报价表</w:t>
      </w:r>
      <w:r>
        <w:rPr>
          <w:rFonts w:hint="eastAsia" w:ascii="仿宋_GB2312" w:hAnsi="宋体" w:eastAsia="仿宋_GB2312"/>
          <w:color w:val="auto"/>
          <w:sz w:val="28"/>
          <w:szCs w:val="28"/>
          <w:highlight w:val="none"/>
        </w:rPr>
        <w:t>（含明细）</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中合价将由单价*数量自动计算，无需手工录入。</w:t>
      </w:r>
    </w:p>
    <w:p w14:paraId="1732CE48">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）本次采购项目质保期见</w:t>
      </w:r>
      <w:r>
        <w:rPr>
          <w:rFonts w:hint="eastAsia" w:ascii="仿宋_GB2312" w:hAnsi="仿宋" w:eastAsia="仿宋_GB2312" w:cs="宋体"/>
          <w:b/>
          <w:color w:val="auto"/>
          <w:sz w:val="28"/>
          <w:szCs w:val="28"/>
          <w:highlight w:val="none"/>
          <w:u w:val="single"/>
        </w:rPr>
        <w:t>响应须知前附表</w:t>
      </w:r>
      <w:r>
        <w:rPr>
          <w:rFonts w:hint="eastAsia" w:ascii="仿宋_GB2312" w:hAnsi="仿宋" w:eastAsia="仿宋_GB2312" w:cs="宋体"/>
          <w:b/>
          <w:color w:val="auto"/>
          <w:sz w:val="28"/>
          <w:szCs w:val="28"/>
          <w:highlight w:val="none"/>
        </w:rPr>
        <w:t>或第3章。采购文件无特殊要求的，质保期大于采购文件要求的，供应商视报价需要提供制造商出具的质保函。</w:t>
      </w:r>
    </w:p>
    <w:p w14:paraId="13205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供应商的报价在合同执行过程中是固定不变的，不得以任何理由改变。所有价格折扣、优惠条件必须在报价明细表中注明，否则评审时不予认可。</w:t>
      </w:r>
    </w:p>
    <w:p w14:paraId="5A353F8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 xml:space="preserve">13.5 </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（如有）》</w:t>
      </w:r>
      <w:r>
        <w:rPr>
          <w:rFonts w:ascii="仿宋_GB2312" w:hAnsi="宋体" w:eastAsia="仿宋_GB2312"/>
          <w:color w:val="auto"/>
          <w:sz w:val="28"/>
          <w:szCs w:val="28"/>
          <w:highlight w:val="none"/>
        </w:rPr>
        <w:t>填写时应响应下列要求：</w:t>
      </w:r>
    </w:p>
    <w:p w14:paraId="47D2D112">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7DAB6DC3">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349EC3F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49D05A0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报价行为，特别要求供应商应本着诚信精神，在本次数据文件的“需求响应表”中，均以审慎的态度明确、清楚地披露各项响应情况。供应商须对照采购文件技术规格、参数与要求，逐条说明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591BB2EF">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报价产品或方案的技术及功能相比采购文件的要求技术更先进、档次更高、更适合采购人使用。标注“正偏离”的，供应商必须注明认为“正偏离”的理由。“负偏离”是指报价产品或方案的技术及功能相比采购文件的要求存在瑕疵和不足。</w:t>
      </w:r>
    </w:p>
    <w:p w14:paraId="16AC7197">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（6）本次采购不允许供应商复制粘贴采购文件的技术要求作为其响应文件的响应情况。</w:t>
      </w:r>
    </w:p>
    <w:p w14:paraId="708E5D8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13.6 供应商的报价在合同执行过程中是固定不变的，不得以任何理由改变。所有价格折扣、优惠条件必须在报价明细表中注明，否则评审时不予认可。</w:t>
      </w:r>
    </w:p>
    <w:p w14:paraId="20A6322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14.备选方案</w:t>
      </w:r>
    </w:p>
    <w:p w14:paraId="22DEA14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本采购项目不允许供应商有备选方案。</w:t>
      </w:r>
    </w:p>
    <w:p w14:paraId="51DD6FC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15.联合体报价</w:t>
      </w:r>
    </w:p>
    <w:p w14:paraId="37167A2A">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仿宋" w:eastAsia="仿宋_GB2312" w:cs="宋体"/>
          <w:b/>
          <w:color w:val="auto"/>
          <w:sz w:val="28"/>
          <w:szCs w:val="28"/>
          <w:highlight w:val="none"/>
        </w:rPr>
        <w:t>本项目不接受联合体响应。</w:t>
      </w:r>
    </w:p>
    <w:p w14:paraId="745978A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16.关于分包</w:t>
      </w:r>
    </w:p>
    <w:p w14:paraId="277729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供应商拟将成交项目的非主体、非关键性工作分包的，应当在响应文件中载明分包承担主体，分包承担主体应当具备相应资质条件且不得再次分包。</w:t>
      </w:r>
    </w:p>
    <w:p w14:paraId="216E344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供应商应当就分包项目向采购人负责，分包承担主体就分包项目承担责任。</w:t>
      </w:r>
    </w:p>
    <w:p w14:paraId="1BD88B3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17.现场踏勘</w:t>
      </w:r>
    </w:p>
    <w:p w14:paraId="5D61AD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w:t>
      </w:r>
      <w:r>
        <w:rPr>
          <w:rFonts w:hint="eastAsia" w:ascii="仿宋_GB2312" w:hAnsi="仿宋" w:eastAsia="仿宋_GB2312" w:cs="宋体"/>
          <w:color w:val="auto"/>
          <w:sz w:val="28"/>
          <w:szCs w:val="28"/>
          <w:highlight w:val="none"/>
          <w:u w:val="single"/>
        </w:rPr>
        <w:t>响应须知前附表中</w:t>
      </w:r>
      <w:r>
        <w:rPr>
          <w:rFonts w:hint="eastAsia" w:ascii="仿宋_GB2312" w:hAnsi="仿宋" w:eastAsia="仿宋_GB2312" w:cs="宋体"/>
          <w:color w:val="auto"/>
          <w:sz w:val="28"/>
          <w:szCs w:val="28"/>
          <w:highlight w:val="none"/>
        </w:rPr>
        <w:t>规定组织踏勘现场的，采购人按规定的时间、地点组织供应商踏勘项目现场，踏勘现场所发生的费用由供应商承担。</w:t>
      </w:r>
    </w:p>
    <w:p w14:paraId="075360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17.2采购人向供应商提供的有关现场的资料和数据，是采购人现有的能使供应商利用的资料，采购人对供应商由此而做出的推论、理解和结论概不负责。</w:t>
      </w:r>
    </w:p>
    <w:p w14:paraId="24A594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17.3供应商及其人员经过采购人的允许，可以踏勘目的进入采购单位的项目现场，对供货（或施工）现场及其范围环境进行考察，以获取有关编制响应文件和签署实施合同所需的各项资料，若本项目采购文件要求供应商于统一时间地点踏勘现场的，供应商应当按时前往。</w:t>
      </w:r>
    </w:p>
    <w:p w14:paraId="7F371B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17.4除采购人的原因外，供应商及其人员不得因此使采购人及其人员承担有关的责任和蒙受损失。供应商应自行负责由此次踏勘现场而造成的死亡、人身伤害、财产损失、损害以及任何其它损失、损害和引起的费用和开支承担责任。</w:t>
      </w:r>
    </w:p>
    <w:p w14:paraId="00305D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17.5未参与现场踏勘不作为否定供应商资格的理由。</w:t>
      </w:r>
    </w:p>
    <w:p w14:paraId="5A6EC6DD">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18.报价的有效期</w:t>
      </w:r>
    </w:p>
    <w:p w14:paraId="66CFF1E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18.1报价应在</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中规定时间内保持有效。报价有效期不满足要求的报价，其报价将被认定为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27F856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18.2特殊情况下，在报价有效期满之前，采购代理机构可以要求供应商延长报价有效期，供应商可以书面形式拒绝或接受上述要求。同意延长报价有效期的供应商不得修改响应文件的实质性内容。</w:t>
      </w:r>
    </w:p>
    <w:p w14:paraId="012CB402">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9.竞争谈判保证金</w:t>
      </w:r>
    </w:p>
    <w:p w14:paraId="2B025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本项目不收取竞争谈判保证金</w:t>
      </w:r>
      <w:r>
        <w:rPr>
          <w:rFonts w:ascii="仿宋_GB2312" w:hAnsi="仿宋" w:eastAsia="仿宋_GB2312" w:cs="宋体"/>
          <w:color w:val="auto"/>
          <w:sz w:val="28"/>
          <w:szCs w:val="28"/>
          <w:highlight w:val="none"/>
        </w:rPr>
        <w:t>。</w:t>
      </w:r>
    </w:p>
    <w:p w14:paraId="13864AB1">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20.响应文件的数量和签署</w:t>
      </w:r>
    </w:p>
    <w:p w14:paraId="21EC1B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 响应文件（pdf格式）1份（第一册）：</w:t>
      </w:r>
    </w:p>
    <w:p w14:paraId="79DFC3C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20.1.1供应商应使用带电子签章功能的CA锁对响应文件须盖章或签名的部位加盖电子印章（单位电子公章、法定代表人电子人名章），电子印章与实物印章具有同等法律效力。</w:t>
      </w:r>
    </w:p>
    <w:p w14:paraId="186796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20.1.2 供应商应首先编制word格式响应文件，最后通过威海市国有企业阳光采购电子化服务平台的文件签章菜单的响应文件签章功能转换为pdf格式（或者其他pdf转换工具），之后通过签章功能在pdf文件上加盖电子印章并保存到本地计算机，加盖了电子印章的pdf文件即为最终的响应文件。</w:t>
      </w:r>
    </w:p>
    <w:p w14:paraId="591235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20.1.3文件中要求法定代表人签字或签章的须加盖法定代表人电子人名章。</w:t>
      </w:r>
    </w:p>
    <w:p w14:paraId="2A92E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20.1.4须被授权人签字的，被授权人又无电子章的，在word编制时可将被授权人手写签字扫描后的图片粘贴到响应文件中对应位置，并加盖单位电子公章。</w:t>
      </w:r>
    </w:p>
    <w:p w14:paraId="606ABC2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20.1.5可使用平台的批量盖章功能快速签章。但须浏览检查并注意印章重叠及完整性。</w:t>
      </w:r>
    </w:p>
    <w:p w14:paraId="79C205F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20.1.6 采用扫描粘贴供应商公章或扫描法定代表人电子章而不加盖单位电子公章的为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236C3CC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20.2数据文件（PDF格式）（第二册）1份：</w:t>
      </w:r>
    </w:p>
    <w:p w14:paraId="0A64B35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54405B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20.2.2文件中要求法定代表人签字或签章的须加盖法定代表人电子人名章。</w:t>
      </w:r>
    </w:p>
    <w:p w14:paraId="4410BF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20.2.3采用扫描粘贴供应商公章或法定代表人人名章的为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183A473">
      <w:pPr>
        <w:pStyle w:val="5"/>
        <w:ind w:firstLine="643"/>
        <w:rPr>
          <w:color w:val="auto"/>
          <w:highlight w:val="none"/>
        </w:rPr>
      </w:pPr>
      <w:r>
        <w:rPr>
          <w:rFonts w:hint="eastAsia"/>
          <w:color w:val="auto"/>
          <w:highlight w:val="none"/>
        </w:rPr>
        <w:t>四、响应文件的递交</w:t>
      </w:r>
    </w:p>
    <w:p w14:paraId="4248ADF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21.响应文件的密封和标记</w:t>
      </w:r>
    </w:p>
    <w:p w14:paraId="79469C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 第一阶段电子响应文件的密封和标记</w:t>
      </w:r>
    </w:p>
    <w:p w14:paraId="24F15D9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21.1.1加盖了电子印章的</w:t>
      </w:r>
      <w:r>
        <w:rPr>
          <w:rFonts w:hint="eastAsia" w:ascii="仿宋_GB2312" w:hAnsi="仿宋" w:eastAsia="仿宋_GB2312" w:cs="宋体"/>
          <w:color w:val="auto"/>
          <w:sz w:val="28"/>
          <w:szCs w:val="28"/>
          <w:highlight w:val="none"/>
        </w:rPr>
        <w:t>电子响应文件（PDF格式）和数据文件（PDF格式）</w:t>
      </w:r>
      <w:r>
        <w:rPr>
          <w:rFonts w:hint="eastAsia" w:ascii="仿宋_GB2312" w:hAnsi="宋体" w:eastAsia="仿宋_GB2312"/>
          <w:color w:val="auto"/>
          <w:sz w:val="28"/>
          <w:szCs w:val="28"/>
          <w:highlight w:val="none"/>
        </w:rPr>
        <w:t>须在</w:t>
      </w:r>
      <w:r>
        <w:rPr>
          <w:rFonts w:hint="eastAsia" w:ascii="仿宋_GB2312" w:hAnsi="仿宋" w:eastAsia="仿宋_GB2312" w:cs="宋体"/>
          <w:color w:val="auto"/>
          <w:sz w:val="28"/>
          <w:szCs w:val="28"/>
          <w:highlight w:val="none"/>
        </w:rPr>
        <w:t>威海市国有企业阳光采购电子化服务平台</w:t>
      </w:r>
      <w:r>
        <w:rPr>
          <w:rFonts w:hint="eastAsia" w:ascii="仿宋_GB2312" w:hAnsi="宋体" w:eastAsia="仿宋_GB2312"/>
          <w:color w:val="auto"/>
          <w:sz w:val="28"/>
          <w:szCs w:val="28"/>
          <w:highlight w:val="none"/>
        </w:rPr>
        <w:t>的“我的投标”界面进行提交，提交前系统会自动在本地进行加密和电子签章，加密和数字签名后的文件除了会上传到系统中之外还会同步保存到本地计算机。</w:t>
      </w:r>
    </w:p>
    <w:p w14:paraId="5AA02785">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21.2资质证明文件原件的密封和标记</w:t>
      </w:r>
    </w:p>
    <w:p w14:paraId="4D1905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540696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21.3 文件递交</w:t>
      </w:r>
    </w:p>
    <w:p w14:paraId="1BD1D1D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21.3.1供应商应在</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规定的时间前在威海市国有企业阳光采购电子化服务平台网上递交电子响应文件和数据文件。供应商应充分评估集中报价带来的网络影响，</w:t>
      </w:r>
      <w:r>
        <w:rPr>
          <w:rFonts w:hint="eastAsia" w:ascii="仿宋_GB2312" w:hAnsi="宋体" w:eastAsia="仿宋_GB2312"/>
          <w:color w:val="auto"/>
          <w:sz w:val="28"/>
          <w:szCs w:val="28"/>
          <w:highlight w:val="none"/>
        </w:rPr>
        <w:t>尽量避开响应高峰时间，</w:t>
      </w:r>
      <w:r>
        <w:rPr>
          <w:rFonts w:hint="eastAsia" w:ascii="仿宋_GB2312" w:hAnsi="仿宋" w:eastAsia="仿宋_GB2312" w:cs="宋体"/>
          <w:color w:val="auto"/>
          <w:sz w:val="28"/>
          <w:szCs w:val="28"/>
          <w:highlight w:val="none"/>
        </w:rPr>
        <w:t>错峰进行响应，</w:t>
      </w:r>
      <w:r>
        <w:rPr>
          <w:rFonts w:hint="eastAsia" w:ascii="仿宋_GB2312" w:hAnsi="宋体" w:eastAsia="仿宋_GB2312"/>
          <w:color w:val="auto"/>
          <w:sz w:val="28"/>
          <w:szCs w:val="28"/>
          <w:highlight w:val="none"/>
        </w:rPr>
        <w:t>系统以收到供应商发出的递交指令的时间作为其响应时间，如该时间超过响应截止时间，其响应将会被判定为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B6BDE46">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21.3.2供应商须牢记响应加密密码，该密码将用于报价时解密其响应文件，如忘记密码或输入错误密码超过5次，其递交的响应文件将无法解密，导致无法提取数据和供他人阅读文件，致使其响应</w:t>
      </w:r>
      <w:r>
        <w:rPr>
          <w:rFonts w:hint="eastAsia" w:ascii="仿宋_GB2312" w:hAnsi="宋体" w:eastAsia="仿宋_GB2312"/>
          <w:b/>
          <w:color w:val="auto"/>
          <w:sz w:val="28"/>
          <w:szCs w:val="28"/>
          <w:highlight w:val="none"/>
        </w:rPr>
        <w:t>失败</w:t>
      </w:r>
      <w:r>
        <w:rPr>
          <w:rFonts w:hint="eastAsia" w:ascii="仿宋_GB2312" w:hAnsi="宋体" w:eastAsia="仿宋_GB2312"/>
          <w:color w:val="auto"/>
          <w:sz w:val="28"/>
          <w:szCs w:val="28"/>
          <w:highlight w:val="none"/>
        </w:rPr>
        <w:t>。</w:t>
      </w:r>
    </w:p>
    <w:p w14:paraId="543B13F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21.3.3除</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拒绝接收纸质响应文件。</w:t>
      </w:r>
    </w:p>
    <w:p w14:paraId="797A0A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21.3.4供应商应将网上递交的已盖章未加密的数据文件和响应文件谨慎保存备份，以便启动应急开标程序时备案使用。</w:t>
      </w:r>
    </w:p>
    <w:p w14:paraId="59F3ADE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22.</w:t>
      </w:r>
      <w:r>
        <w:rPr>
          <w:rFonts w:hint="eastAsia"/>
          <w:color w:val="auto"/>
          <w:highlight w:val="none"/>
        </w:rPr>
        <w:t xml:space="preserve"> </w:t>
      </w:r>
      <w:r>
        <w:rPr>
          <w:rFonts w:hint="eastAsia" w:ascii="楷体_GB2312" w:hAnsi="宋体" w:eastAsia="楷体_GB2312"/>
          <w:b/>
          <w:color w:val="auto"/>
          <w:sz w:val="28"/>
          <w:szCs w:val="28"/>
          <w:highlight w:val="none"/>
        </w:rPr>
        <w:t>提交响应文件截止期</w:t>
      </w:r>
    </w:p>
    <w:p w14:paraId="74640362">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本次竞争谈判第一阶段响应文件的递交截止期见</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w:t>
      </w:r>
    </w:p>
    <w:p w14:paraId="3BE2BFD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有权按本须知的规定，延迟报价截止时间。在此情况下，采购人、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和供应商受报价截止时间制约的所有权利和义务均应延长至新的截止时间。</w:t>
      </w:r>
    </w:p>
    <w:p w14:paraId="04E64AB0">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23.迟交的响应文件</w:t>
      </w:r>
    </w:p>
    <w:p w14:paraId="11CC02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威海市国有企业阳光采购电子化服务平台无法接收响应截止期后递交的响应文件。</w:t>
      </w:r>
    </w:p>
    <w:p w14:paraId="5A89BE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24.样品递交</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演示</w:t>
      </w:r>
    </w:p>
    <w:p w14:paraId="715FE1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24.1采购人可以要求供应商对其提供的信息化、自动化等相关类别服务进行演示。</w:t>
      </w:r>
      <w:r>
        <w:rPr>
          <w:rFonts w:hint="eastAsia" w:ascii="仿宋_GB2312" w:hAnsi="仿宋" w:eastAsia="仿宋_GB2312" w:cs="宋体"/>
          <w:color w:val="auto"/>
          <w:sz w:val="28"/>
          <w:szCs w:val="28"/>
          <w:highlight w:val="none"/>
        </w:rPr>
        <w:t>供应商可以到现场演示，也可以使用系统“网上评标”中的“谈判”功能与评审专家进行远程演示。</w:t>
      </w:r>
    </w:p>
    <w:p w14:paraId="066CA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24.2若服务项目涉及货物时，采购人可以要求供应商提供样品，样品作为响应文件的一部分。未成交供应商提供的样品将于评审结束后退还。成交供应商的样品由采购人保留，作为验收的依据。</w:t>
      </w:r>
    </w:p>
    <w:p w14:paraId="11C889E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是否要求供应商提供演示/提交样品，详见竞争谈判文件</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规定。</w:t>
      </w:r>
    </w:p>
    <w:p w14:paraId="555E9CA2">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25.响应文件的修改和撤回</w:t>
      </w:r>
    </w:p>
    <w:p w14:paraId="29ABE4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25.1供应商必须在规定的提交响应文件截止期之前将修改的响应文件上传到威海市国有企业阳光采购电子化服务平台,在提交响应文件截止期之后，供应商不得对其响应文件做任何修改。</w:t>
      </w:r>
    </w:p>
    <w:p w14:paraId="426A8A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25.2供应商在递交响应文件后，可以在提交响应文件截止期之前撤回其响应。</w:t>
      </w:r>
    </w:p>
    <w:p w14:paraId="0C5D7A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25.3从提交响应文件截止期至竞争谈判有效期这段时间内，供应商不得撤回其响应文件。</w:t>
      </w:r>
    </w:p>
    <w:p w14:paraId="79212389">
      <w:pPr>
        <w:pStyle w:val="5"/>
        <w:ind w:firstLine="643"/>
        <w:rPr>
          <w:color w:val="auto"/>
          <w:highlight w:val="none"/>
        </w:rPr>
      </w:pPr>
      <w:r>
        <w:rPr>
          <w:rFonts w:hint="eastAsia"/>
          <w:color w:val="auto"/>
          <w:highlight w:val="none"/>
        </w:rPr>
        <w:t>五、公开报价与沟通协商</w:t>
      </w:r>
    </w:p>
    <w:p w14:paraId="075D29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26.公开报价</w:t>
      </w:r>
    </w:p>
    <w:p w14:paraId="1C0F8D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26.1响应文件递交截止时间后，提交响应文件的供应商不足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的不得开标。</w:t>
      </w:r>
    </w:p>
    <w:p w14:paraId="1BA8668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响应须知前附表规定的时间和地点组织解密。拟到现场参与解密、竞争谈判等环节的供应商须携带CA锁和笔记本电脑，以便进行解密、竞争谈判等操作。拟不到现场参与解密、竞争谈判等环节的供应商需提前准备已配置好环境的电脑,在规定的时间进行远程解密、竞争谈判等各项操作。</w:t>
      </w:r>
    </w:p>
    <w:p w14:paraId="2671CE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26.3供应商代表应于响应文件递交截止时间前，完成签到以证明其出席，除因应急情况外，未在采购文件规定的解密时间内解密的视为放弃响应。</w:t>
      </w:r>
    </w:p>
    <w:p w14:paraId="77069B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26.4</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38E35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26.5供应商代表认为采购人、采购代理机构相关工作人员有需要回避的情形的，应当场提出询问或者回避申请。采购人、采购代理机构对供应商代表提出的询问或者回避申请应当及时处理。</w:t>
      </w:r>
    </w:p>
    <w:p w14:paraId="11AD15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26.6录音、录像：威海市公共资源交易中心乳山分中心负责从递交响应文件开始到确定成交结果全过程的录音、录像工作，确保声音清楚、图像清晰、内容无遗漏。</w:t>
      </w:r>
    </w:p>
    <w:p w14:paraId="38199ED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26.7报价过程中，如遇特殊情况，服从威海市公共资源交易中心乳山分中心场地调配，并遵守相关规章制度。</w:t>
      </w:r>
    </w:p>
    <w:p w14:paraId="49EFD3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26.8对响应文件报价出现前后不一致的，按以下规定修正：</w:t>
      </w:r>
    </w:p>
    <w:p w14:paraId="1097B2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（1）“投标（报价）一览表”的报价与“报价明细表”的报价不一致的，以“投标（报价）一览表”的报价为准；</w:t>
      </w:r>
    </w:p>
    <w:p w14:paraId="269FA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（2）大写金额和小写金额不一致的，以大写金额为准；</w:t>
      </w:r>
    </w:p>
    <w:p w14:paraId="56E51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（3）单价金额小数点或者百分比有明显错位的，以投标（报价）一览表的总价为准，并修改单价。</w:t>
      </w:r>
    </w:p>
    <w:p w14:paraId="2E5D54E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（4）总价金额与按单价汇总金额不一致的，以单价金额计算结果为准。</w:t>
      </w:r>
    </w:p>
    <w:p w14:paraId="4D8F9D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（5）同时出现两种以上不一致的，按照前款规定的顺序修正。修正后的报价经供应商确认后产生约束力，供应商不确认的，其响应无效。</w:t>
      </w:r>
    </w:p>
    <w:p w14:paraId="199B1BF0">
      <w:pPr>
        <w:snapToGrid w:val="0"/>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6E8B7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8261C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供应商可使用电子交易系统“网上开标”中的“看直播”功能参与开标（报价）程序。</w:t>
      </w:r>
    </w:p>
    <w:p w14:paraId="69133BD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w:t>
      </w:r>
      <w:r>
        <w:rPr>
          <w:rFonts w:ascii="仿宋_GB2312" w:hAnsi="宋体" w:eastAsia="仿宋_GB2312"/>
          <w:color w:val="auto"/>
          <w:sz w:val="28"/>
          <w:szCs w:val="28"/>
          <w:highlight w:val="none"/>
        </w:rPr>
        <w:t>10</w:t>
      </w:r>
      <w:r>
        <w:rPr>
          <w:rFonts w:hint="eastAsia" w:ascii="仿宋_GB2312" w:hAnsi="宋体" w:eastAsia="仿宋_GB2312"/>
          <w:color w:val="auto"/>
          <w:sz w:val="28"/>
          <w:szCs w:val="28"/>
          <w:highlight w:val="none"/>
        </w:rPr>
        <w:t>应急报价程序</w:t>
      </w:r>
    </w:p>
    <w:p w14:paraId="21EAA2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电子报价过程中如出现下列情况，导致系统无法正常运行，或者无法保证报价过程的公平、公正和信息安全时，经与行政监督部门沟通后可启动应急报价程序。</w:t>
      </w:r>
    </w:p>
    <w:p w14:paraId="416B15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（1）系统服务器发生故障，无法访问或无法使用系统；</w:t>
      </w:r>
    </w:p>
    <w:p w14:paraId="4421C96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（2）系统的软件或数据库出现错误，不能进行正常操作；</w:t>
      </w:r>
    </w:p>
    <w:p w14:paraId="5F37F68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（3）系统发现有安全漏洞，有潜在的泄密危险；</w:t>
      </w:r>
    </w:p>
    <w:p w14:paraId="00F903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（4）病毒发作或受到外来病毒的攻击；</w:t>
      </w:r>
    </w:p>
    <w:p w14:paraId="6BF85AB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（5）其他无法保证报价过程公平、公正和信息安全的情形。</w:t>
      </w:r>
    </w:p>
    <w:p w14:paraId="31BD7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应急报价程序包括：</w:t>
      </w:r>
    </w:p>
    <w:p w14:paraId="4C4FA7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（1）对</w:t>
      </w:r>
      <w:r>
        <w:rPr>
          <w:rFonts w:ascii="仿宋_GB2312" w:hAnsi="宋体" w:eastAsia="仿宋_GB2312"/>
          <w:color w:val="auto"/>
          <w:sz w:val="28"/>
          <w:szCs w:val="28"/>
          <w:highlight w:val="none"/>
        </w:rPr>
        <w:t>未在系统中</w:t>
      </w:r>
      <w:r>
        <w:rPr>
          <w:rFonts w:hint="eastAsia" w:ascii="仿宋_GB2312" w:hAnsi="宋体" w:eastAsia="仿宋_GB2312"/>
          <w:color w:val="auto"/>
          <w:sz w:val="28"/>
          <w:szCs w:val="28"/>
          <w:highlight w:val="none"/>
        </w:rPr>
        <w:t>报价</w:t>
      </w:r>
      <w:r>
        <w:rPr>
          <w:rFonts w:ascii="仿宋_GB2312" w:hAnsi="宋体" w:eastAsia="仿宋_GB2312"/>
          <w:color w:val="auto"/>
          <w:sz w:val="28"/>
          <w:szCs w:val="28"/>
          <w:highlight w:val="none"/>
        </w:rPr>
        <w:t>的可暂停</w:t>
      </w:r>
      <w:r>
        <w:rPr>
          <w:rFonts w:hint="eastAsia" w:ascii="仿宋_GB2312" w:hAnsi="宋体" w:eastAsia="仿宋_GB2312"/>
          <w:color w:val="auto"/>
          <w:sz w:val="28"/>
          <w:szCs w:val="28"/>
          <w:highlight w:val="none"/>
        </w:rPr>
        <w:t>报价；</w:t>
      </w:r>
    </w:p>
    <w:p w14:paraId="26CA609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（2）对已在系统中报价的应停止，等待系统恢复正常后再组织进行报价。</w:t>
      </w:r>
    </w:p>
    <w:p w14:paraId="3CE974E0">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highlight w:val="none"/>
        </w:rPr>
        <w:t>无效投标（响应）处理。</w:t>
      </w:r>
    </w:p>
    <w:p w14:paraId="633589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17E0EC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应急报价电子邮件递交规定</w:t>
      </w:r>
    </w:p>
    <w:p w14:paraId="2AEBECB2">
      <w:pPr>
        <w:snapToGrid w:val="0"/>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接收电子邮箱：</w:t>
      </w:r>
      <w:r>
        <w:rPr>
          <w:rFonts w:hint="eastAsia" w:ascii="仿宋_GB2312" w:hAnsi="宋体" w:eastAsia="仿宋_GB2312"/>
          <w:color w:val="auto"/>
          <w:sz w:val="28"/>
          <w:szCs w:val="28"/>
          <w:highlight w:val="none"/>
          <w:lang w:eastAsia="zh-CN"/>
        </w:rPr>
        <w:t>whjxzbs@126.com</w:t>
      </w:r>
    </w:p>
    <w:p w14:paraId="37E43F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递交时间：以电子邮件或电话通知的时间为准；</w:t>
      </w:r>
    </w:p>
    <w:p w14:paraId="4A6AE57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邮件数量：一封；</w:t>
      </w:r>
    </w:p>
    <w:p w14:paraId="01F1495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邮件主题：项目编号、供应商名称；</w:t>
      </w:r>
    </w:p>
    <w:p w14:paraId="2096686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453088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rPr>
        <w:t>启动电子邮件报价流程</w:t>
      </w:r>
    </w:p>
    <w:p w14:paraId="72046AF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工作人员电话通知所有供应商启动应急报价程序；</w:t>
      </w:r>
    </w:p>
    <w:p w14:paraId="2E8949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供应商收到通知后在规定时间内通过电子邮件递交响应文件（在非应急报价期间采购代理机构不接受、不处理任何通过电子邮件提交的响应文件）；</w:t>
      </w:r>
    </w:p>
    <w:p w14:paraId="63CCC27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递交截止时间到，工作人员开始下载响应文件，并邮件回复各供应商。</w:t>
      </w:r>
    </w:p>
    <w:p w14:paraId="414E413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27.评审小组的组成和评审方法</w:t>
      </w:r>
    </w:p>
    <w:p w14:paraId="72292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27.1评审工作由采购代理机构组织，具体评审事务由依法组建的评审小组负责。评审小组成员由评审专家（技术、法律等方面）</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人以上单人组成，其中评审小组的专家人数不得少于评审小组成员总数的2/3。评审小组的专家应当依法从</w:t>
      </w:r>
      <w:r>
        <w:rPr>
          <w:rFonts w:hint="eastAsia" w:ascii="仿宋_GB2312" w:hAnsi="仿宋" w:eastAsia="仿宋_GB2312" w:cs="宋体"/>
          <w:color w:val="auto"/>
          <w:sz w:val="28"/>
          <w:szCs w:val="28"/>
          <w:highlight w:val="none"/>
        </w:rPr>
        <w:t>阳光国企采购主管部门组建的专家库</w:t>
      </w:r>
      <w:r>
        <w:rPr>
          <w:rFonts w:hint="eastAsia" w:ascii="仿宋_GB2312" w:hAnsi="宋体" w:eastAsia="仿宋_GB2312"/>
          <w:color w:val="auto"/>
          <w:sz w:val="28"/>
          <w:szCs w:val="28"/>
          <w:highlight w:val="none"/>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2F96AB3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42327F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27.3评审小组成员职责：</w:t>
      </w:r>
    </w:p>
    <w:p w14:paraId="2642A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（1）评审前，评审小组成员应当主动确认与供应商及其供应商是否有利害关系。如有利害关系应当主动回避，如无利害关系，应当在含有相关内容的《无利害关系声明》上签字；</w:t>
      </w:r>
    </w:p>
    <w:p w14:paraId="65C365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（2）按照竞争谈判文件中的评审办法，对响应文件进行评审，并对评审结果承担责任；</w:t>
      </w:r>
    </w:p>
    <w:p w14:paraId="14272C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（3）对评审过程和结果，以及供应商的商业秘密进行保密；</w:t>
      </w:r>
    </w:p>
    <w:p w14:paraId="3DE3B9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（4）在评审小组集体起草的评审报告上签字；</w:t>
      </w:r>
    </w:p>
    <w:p w14:paraId="644B16D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（5）配合采购代理机构答复供应商质疑；</w:t>
      </w:r>
    </w:p>
    <w:p w14:paraId="2FB788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（6）配合主管部门处理供应商投诉；</w:t>
      </w:r>
    </w:p>
    <w:p w14:paraId="2EEA332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（7）向主管部门反映评审工作中的问题，提出意见和建议。</w:t>
      </w:r>
    </w:p>
    <w:p w14:paraId="69BA663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27.4评审小组集体职责：</w:t>
      </w:r>
    </w:p>
    <w:p w14:paraId="2EF04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按照各成员评审意见推荐成交候选人，起草评审报告。对评审结论持有异议的评审小组成员可以书面方式阐述其不同意见和理由。评审小组成员拒绝在评审报告上签字且不陈述其不同意见和理由的，视为同意评审结论。评审小组应当对此做出书面说明并记录在案；</w:t>
      </w:r>
    </w:p>
    <w:p w14:paraId="538D99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（2）配合采购人和采购代理机构答复供应商的质疑；</w:t>
      </w:r>
    </w:p>
    <w:p w14:paraId="7A5657C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（3）配合主管部门做好投诉处理工作；</w:t>
      </w:r>
    </w:p>
    <w:p w14:paraId="5D719E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（4）必要时，向供应商解释评审结果；</w:t>
      </w:r>
    </w:p>
    <w:p w14:paraId="6AE1D7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（5）向主管部门或者有关部门报告非法干预评审工作的行为。</w:t>
      </w:r>
    </w:p>
    <w:p w14:paraId="7521863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27.5采购代理机构或采购人的职责：</w:t>
      </w:r>
    </w:p>
    <w:p w14:paraId="2227517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（1）核对评审小组专家身份和采购人代表授权函，对评审小组专家在采购活动中的职责履行情况予以记录，并及时将有关违法违规行为向主管部门报告；</w:t>
      </w:r>
    </w:p>
    <w:p w14:paraId="596DE9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（2）宣布评审纪律；</w:t>
      </w:r>
    </w:p>
    <w:p w14:paraId="68B5CC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（3）公布供应商名单，告知评审小组专家应当回避的情形；</w:t>
      </w:r>
    </w:p>
    <w:p w14:paraId="217F8C8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（4）在评审期间采取必要的通讯管理措施，保证评审活动不受外界干扰；</w:t>
      </w:r>
    </w:p>
    <w:p w14:paraId="353FC5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（5）根据评审小组的要求介绍采购相关政策法规、竞争谈判文件；</w:t>
      </w:r>
    </w:p>
    <w:p w14:paraId="6A7B51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（6）维护评审秩序，监督评审小组依照竞争谈判文件规定的竞争谈判程序、方法和标准进行独立评审，及时制止和纠正采购人代表、评审专家的倾向性言论或者违法违规行为；</w:t>
      </w:r>
    </w:p>
    <w:p w14:paraId="17EE5C9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（7）核对评审结果，要求评审小组复核或者书面说明理由，评审小组拒绝的，应予记录并向主管部门报告；</w:t>
      </w:r>
    </w:p>
    <w:p w14:paraId="2E620E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（8）评审工作完成后，按照规定向评审专家支付劳务报酬和异地评审差旅费，不得向评审专家以外的其他人员支付评审劳务报酬；</w:t>
      </w:r>
    </w:p>
    <w:p w14:paraId="02D1419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（9）处理与评审有关的其他事项。</w:t>
      </w:r>
    </w:p>
    <w:p w14:paraId="30CD582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采购人可以在评审前说明项目背景和采购需求，说明内容不得含有歧视性、倾向性意见，不得超出竞争谈判文件所述范围。说明应当提交书面材料，并随采购文件一并存档。</w:t>
      </w:r>
    </w:p>
    <w:p w14:paraId="50BCA3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27.6评审小组采用集中办公、封闭方式进行评审。竞争谈判前，采购代理机构工作人员向评审小组成员宣布评审纪律和工作规则。评审小组成员签署《无利害关系声明表》，并遵照执行。</w:t>
      </w:r>
    </w:p>
    <w:p w14:paraId="6FE8681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27.7评审小组成员对与自己有利害关系的评审项目应当主动提出回避。</w:t>
      </w:r>
    </w:p>
    <w:p w14:paraId="41EE74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27.8评审小组将按照竞争谈判文件确定的评审方法进行评审。评审小组对响应文件的评审内容分为资格性审查、符合性审查、商务评议、技术评议和价格评议。</w:t>
      </w:r>
    </w:p>
    <w:p w14:paraId="73E8EE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27.9评审小组独立履行下列职责：</w:t>
      </w:r>
    </w:p>
    <w:p w14:paraId="4A0DA60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（1）审查、评价响应文件是否符合竞争谈判文件的商务、技术等实质性要求；</w:t>
      </w:r>
    </w:p>
    <w:p w14:paraId="08A81E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（2）要求供应商对响应文件有关事项做出澄清或者说明；</w:t>
      </w:r>
    </w:p>
    <w:p w14:paraId="3499D1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（3）对响应文件进行比较和评价；</w:t>
      </w:r>
    </w:p>
    <w:p w14:paraId="0C1192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（4）确定成交候选人名单，以及根据采购人委托直接确定成交供应商；</w:t>
      </w:r>
    </w:p>
    <w:p w14:paraId="19354A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（5）向采购人、采购代理机构或者有关部门报告评审中发现的违法行为。</w:t>
      </w:r>
    </w:p>
    <w:p w14:paraId="2C6A4F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27.10评审中因评审小组成员缺席、回避或者健康等特殊原因导致评审小组组成不符合本办法规定的，采购代理机构应当依法补足后继续评审。被更换的评审小组成员所做出的评审意见无效。</w:t>
      </w:r>
    </w:p>
    <w:p w14:paraId="058AD7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无法及时补足评审小组成员的，采购代理机构应当停止评审活动，封存所有响应文件和报价、评审资料，依法重新组建评审小组进行评审。原评审小组做出的评审意见无效。</w:t>
      </w:r>
    </w:p>
    <w:p w14:paraId="3A86A7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采购代理机构应当将变更、重新组建评审小组的情况予以记录，并随采购文件一并存档。</w:t>
      </w:r>
    </w:p>
    <w:p w14:paraId="5ADD378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28.竞争谈判步骤</w:t>
      </w:r>
    </w:p>
    <w:p w14:paraId="73A80F4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28.1</w:t>
      </w:r>
      <w:r>
        <w:rPr>
          <w:rFonts w:hint="eastAsia" w:ascii="仿宋_GB2312" w:hAnsi="仿宋" w:eastAsia="仿宋_GB2312" w:cs="宋体"/>
          <w:color w:val="auto"/>
          <w:sz w:val="28"/>
          <w:szCs w:val="28"/>
          <w:highlight w:val="none"/>
        </w:rPr>
        <w:t>资格性审查。</w:t>
      </w:r>
      <w:r>
        <w:rPr>
          <w:rFonts w:hint="eastAsia" w:ascii="仿宋_GB2312" w:hAnsi="宋体" w:eastAsia="仿宋_GB2312"/>
          <w:color w:val="auto"/>
          <w:sz w:val="28"/>
          <w:szCs w:val="28"/>
          <w:highlight w:val="none"/>
        </w:rPr>
        <w:t>依据竞争谈判文件规定在采购项目报价结束后, 评审小组应当依照有关法律和竞争谈判文件的规定对供应商的资格性审查。</w:t>
      </w:r>
      <w:r>
        <w:rPr>
          <w:rFonts w:hint="eastAsia" w:ascii="仿宋_GB2312" w:hAnsi="仿宋" w:eastAsia="仿宋_GB2312" w:cs="宋体"/>
          <w:b/>
          <w:color w:val="auto"/>
          <w:sz w:val="28"/>
          <w:szCs w:val="28"/>
          <w:highlight w:val="none"/>
        </w:rPr>
        <w:t>具体内容详见《响应须知》-《实质性条款一览表》中资格性审查条件。</w:t>
      </w:r>
      <w:r>
        <w:rPr>
          <w:rFonts w:hint="eastAsia" w:ascii="仿宋_GB2312" w:hAnsi="宋体" w:eastAsia="仿宋_GB2312"/>
          <w:color w:val="auto"/>
          <w:sz w:val="28"/>
          <w:szCs w:val="28"/>
          <w:highlight w:val="none"/>
        </w:rPr>
        <w:t>合格供应商不足3家的，不得评审。在资格性检查时,如有下列情况之一的，经评审小组认定，视为非实质性响应，为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115F23D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（1）单位负责人为同一人或者存在直接控股、管理关系的不同供应商的；</w:t>
      </w:r>
    </w:p>
    <w:p w14:paraId="09ED905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（2）为采购项目提供整体设计、规范编制或者项目管理、监理、检测等服务的；</w:t>
      </w:r>
    </w:p>
    <w:p w14:paraId="79C7592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（3）供应商和响应货物资格证明文件不满足竞争谈判文件要求和过期失效的。</w:t>
      </w:r>
    </w:p>
    <w:p w14:paraId="6FB34D0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28.2符合性审查。依据竞争谈判文件规定，从响应文件的有效性、完整性和对竞争谈判文件的响应程度进行符合性审查，以确定是否对竞争谈判文件的实质性要求做出响应。评审小组决定其响应性只根据响应文件本身的内容，而不依据外部的证据。在符合性检查时,如有不满足</w:t>
      </w:r>
      <w:r>
        <w:rPr>
          <w:rFonts w:hint="eastAsia" w:ascii="仿宋_GB2312" w:hAnsi="宋体" w:eastAsia="仿宋_GB2312"/>
          <w:b/>
          <w:color w:val="auto"/>
          <w:sz w:val="28"/>
          <w:szCs w:val="28"/>
          <w:highlight w:val="none"/>
        </w:rPr>
        <w:t>《响应须知》-《实质性条款一览表》中符合性审查条件</w:t>
      </w:r>
      <w:r>
        <w:rPr>
          <w:rFonts w:hint="eastAsia" w:ascii="仿宋_GB2312" w:hAnsi="宋体" w:eastAsia="仿宋_GB2312"/>
          <w:color w:val="auto"/>
          <w:sz w:val="28"/>
          <w:szCs w:val="28"/>
          <w:highlight w:val="none"/>
        </w:rPr>
        <w:t>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4C9F2A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28.3评审小组所有成员集中与单一供应商分别进行竞争谈判。不到现场的</w:t>
      </w:r>
      <w:r>
        <w:rPr>
          <w:rFonts w:hint="eastAsia" w:ascii="仿宋_GB2312" w:hAnsi="仿宋" w:eastAsia="仿宋_GB2312" w:cs="宋体"/>
          <w:color w:val="auto"/>
          <w:sz w:val="28"/>
          <w:szCs w:val="28"/>
          <w:highlight w:val="none"/>
        </w:rPr>
        <w:t>供应商可以使用系统“网上评标”中的“谈判”功能与评审专家进行远程谈判。</w:t>
      </w:r>
      <w:r>
        <w:rPr>
          <w:rFonts w:hint="eastAsia" w:ascii="仿宋_GB2312" w:hAnsi="宋体" w:eastAsia="仿宋_GB2312"/>
          <w:color w:val="auto"/>
          <w:sz w:val="28"/>
          <w:szCs w:val="28"/>
          <w:highlight w:val="none"/>
        </w:rPr>
        <w:t>在竞争谈判过程中，评审小组可以根据响应文件和响应情况实质性变动采购需求中的技术、服务要求以及合同草案条款，但不得变动响应文件中的其他内容。实质性变动的内容，须经采购人代表确认。</w:t>
      </w:r>
    </w:p>
    <w:p w14:paraId="112CC2C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对响应文件做出的实质性变动是响应文件的有效组成部分，评审小组应当及时以书面形式同时通知所有参加竞争谈判的供应商。</w:t>
      </w:r>
    </w:p>
    <w:p w14:paraId="7D38A1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按照响应文件的变动情况和评审小组的要求重新提交响应文件，并由其法定代表人或其被授权人签字或者加盖公章。由被授权人签字的，应当附法定代表人授权书。供应商为自然人的，应当由本人签字并附身份证明。</w:t>
      </w:r>
    </w:p>
    <w:p w14:paraId="008A7D9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经评审小组集体审核通过，未实质性响应竞争谈判文件的响应文件按无效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处理，评审小组应当告知提交响应文件的供应商，</w:t>
      </w:r>
      <w:r>
        <w:rPr>
          <w:rFonts w:ascii="仿宋_GB2312" w:hAnsi="宋体" w:eastAsia="仿宋_GB2312"/>
          <w:color w:val="auto"/>
          <w:sz w:val="28"/>
          <w:szCs w:val="28"/>
          <w:highlight w:val="none"/>
        </w:rPr>
        <w:t>说明其不符合要求的原因，由其法定代表人或授权代表签字确认，供应商代表拒不签字的，并不影响评审小组所做出的结论。</w:t>
      </w:r>
    </w:p>
    <w:p w14:paraId="5C0063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28.4经评审小组经确定最终采购需求和实质性响应的供应商后，评审小组应当要求所有实质性响应的供应商在规定时间内提交最后报价，由评审小组采用综合评分法对提交最后报价的所有供应商的进行综合评分。</w:t>
      </w:r>
    </w:p>
    <w:p w14:paraId="15FE523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29.响应文件的澄清</w:t>
      </w:r>
    </w:p>
    <w:p w14:paraId="58A54B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29.1评审小组有权向供应商询标，对于响应文件中含义不明确、同类问题表述不一致或者有明显文字和计算错误的内容，评审小组应当以书面形式要求供应商做出必要的澄清、说明或者补正。请供应商澄清其响应内容，供应商法定代表人或其授权人必须接受评审小组的询标，未在评审小组规定的时间内，对重大关键问题进行答疑和澄清的供应商，经评审小组确认可视为供应商放弃响应。</w:t>
      </w:r>
    </w:p>
    <w:p w14:paraId="585B6F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46E3300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30.响应文件的评价</w:t>
      </w:r>
    </w:p>
    <w:p w14:paraId="14B703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30.1 评审采用百分制。评审小组各成员分别独立对实质上响应响应文件的供应商进行逐项评价打分，对评审小组各成员每一因素的打分汇总后的得分为供应商的得分。</w:t>
      </w:r>
    </w:p>
    <w:p w14:paraId="4C1294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30.2 响应文件内容违反国家有关强制性规定的，评审小组应当停止评审并向采购人或者采购代理机构说明情况。</w:t>
      </w:r>
    </w:p>
    <w:p w14:paraId="7FCF0D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30.3评审小组成员要依法独立评审，并对评审意见承担个人责任。评审小组成员对需要共同认定的事项存在争议的，按照少数服从多数的原则做出结论。持不同意见的评审小组成员应当在评审报告上签署不同意见并说明理由，否则视为同意。</w:t>
      </w:r>
    </w:p>
    <w:p w14:paraId="4533D04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30.4供应商有下列情形之一的，视为供应商串通响应，其</w:t>
      </w:r>
      <w:r>
        <w:rPr>
          <w:rFonts w:hint="eastAsia" w:ascii="仿宋_GB2312" w:hAnsi="宋体" w:eastAsia="仿宋_GB2312"/>
          <w:b/>
          <w:color w:val="auto"/>
          <w:sz w:val="28"/>
          <w:szCs w:val="28"/>
          <w:highlight w:val="none"/>
        </w:rPr>
        <w:t>响应无效</w:t>
      </w:r>
      <w:r>
        <w:rPr>
          <w:rFonts w:hint="eastAsia" w:ascii="仿宋_GB2312" w:hAnsi="宋体" w:eastAsia="仿宋_GB2312"/>
          <w:color w:val="auto"/>
          <w:sz w:val="28"/>
          <w:szCs w:val="28"/>
          <w:highlight w:val="none"/>
        </w:rPr>
        <w:t>：</w:t>
      </w:r>
    </w:p>
    <w:p w14:paraId="6FCB4F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（1）不同供应商的响应文件由同一单位或者个人编制；</w:t>
      </w:r>
    </w:p>
    <w:p w14:paraId="65C225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（2）不同供应商委托同一单位或者个人办理响应事宜；</w:t>
      </w:r>
    </w:p>
    <w:p w14:paraId="64227D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（3）不同供应商的响应文件载明的项目管理成员或者联系人员为同一人；</w:t>
      </w:r>
    </w:p>
    <w:p w14:paraId="1A24F76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（4）不同供应商的响应文件异常一致或者响应报价呈规律性差异；</w:t>
      </w:r>
    </w:p>
    <w:p w14:paraId="1733F8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（5）不同供应商的响应文件相互混装；</w:t>
      </w:r>
    </w:p>
    <w:p w14:paraId="3FCDFE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（6）不同供应商的竞争谈判保证金从同一单位或者个人的账户转出；</w:t>
      </w:r>
    </w:p>
    <w:p w14:paraId="5C9943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）不同供应商制作的电子响应文件经系统审查存在cpu编码、硬盘编码及MAC地址三项编码均相同的。</w:t>
      </w:r>
    </w:p>
    <w:p w14:paraId="7ED160D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31.废标条款</w:t>
      </w:r>
    </w:p>
    <w:p w14:paraId="417D6A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在竞争谈判中，出现下列情形之一的，应予废标：</w:t>
      </w:r>
    </w:p>
    <w:p w14:paraId="036312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（1）因情况变化，不再适合竞争谈判方式适用情形的；</w:t>
      </w:r>
    </w:p>
    <w:p w14:paraId="0ADB5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（2）出现影响采购公正的违法、违规行为的；</w:t>
      </w:r>
    </w:p>
    <w:p w14:paraId="1C1E94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（3）在采购过程中符合要求的供应商不足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w:t>
      </w:r>
    </w:p>
    <w:p w14:paraId="5C419E1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5C5A3D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评审将在严格保密的情况下进行。有关人员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不得记录、复制或者带走任何评审资料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0CE903D9">
      <w:pPr>
        <w:pStyle w:val="5"/>
        <w:ind w:firstLine="643"/>
        <w:rPr>
          <w:color w:val="auto"/>
          <w:highlight w:val="none"/>
        </w:rPr>
      </w:pPr>
      <w:r>
        <w:rPr>
          <w:rFonts w:hint="eastAsia"/>
          <w:color w:val="auto"/>
          <w:highlight w:val="none"/>
        </w:rPr>
        <w:t>六、成交</w:t>
      </w:r>
    </w:p>
    <w:p w14:paraId="624546E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16BE69D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报告应当由评审小组全体人员签字认可。评审小组成员对评审报告有异议的，评审小组按照少数服从多数的原则推荐成交候选供应商，采购程序继续进行。对评审报告有异议的评审小组成员，应当在报告上签署不同意见并说明理由，由评审小组书面记录相关情况。评审小组成员拒绝在报告上签字又不书面说明其不同意见和理由的，视为同意评审报告。</w:t>
      </w:r>
    </w:p>
    <w:p w14:paraId="21EFD1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评审结束后2个工作日内将评审报告送采购人确认。采购人应当在收到评审报告后5个工作日内，从评审报告提出的成交候选供应商中，按照排序由高到低的原则确定成交供应商，也可以授权评审小组直接确定成交供应商。采购人逾期未确定成交供应商且不提出异议的，视为确定评审报告提出的排序第一的供应商为成交供应商。</w:t>
      </w:r>
    </w:p>
    <w:p w14:paraId="08376970">
      <w:pPr>
        <w:pStyle w:val="5"/>
        <w:ind w:firstLine="643"/>
        <w:rPr>
          <w:color w:val="auto"/>
          <w:highlight w:val="none"/>
        </w:rPr>
      </w:pPr>
      <w:r>
        <w:rPr>
          <w:rFonts w:hint="eastAsia"/>
          <w:color w:val="auto"/>
          <w:highlight w:val="none"/>
        </w:rPr>
        <w:t>七、公告</w:t>
      </w:r>
    </w:p>
    <w:p w14:paraId="50D49DD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采购代理机构自成交供应商确定之日起2个工作日内，在原竞争谈判公告发布媒体上公告成交结果。代理机构的名称、地址和联系方式；</w:t>
      </w:r>
    </w:p>
    <w:p w14:paraId="07B91FA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（2）项目名称和项目编号；</w:t>
      </w:r>
    </w:p>
    <w:p w14:paraId="63FEE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（3）成交供应商名称、地址和成交金额；</w:t>
      </w:r>
    </w:p>
    <w:p w14:paraId="44BD688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（4）主要成交标的名称、规格型号、数量、单价、服务要求；</w:t>
      </w:r>
    </w:p>
    <w:p w14:paraId="315EC3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（5）成交公告期限；</w:t>
      </w:r>
    </w:p>
    <w:p w14:paraId="1B8881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（6）评审专家名单；</w:t>
      </w:r>
    </w:p>
    <w:p w14:paraId="5EC9DE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（7）供应商未中标的原因；</w:t>
      </w:r>
    </w:p>
    <w:p w14:paraId="016BA33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19621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采购代理机构应当在成交公告公示期满，</w:t>
      </w:r>
      <w:r>
        <w:rPr>
          <w:rFonts w:hint="eastAsia" w:ascii="仿宋_GB2312" w:hAnsi="仿宋" w:eastAsia="仿宋_GB2312"/>
          <w:color w:val="auto"/>
          <w:sz w:val="28"/>
          <w:szCs w:val="28"/>
          <w:highlight w:val="none"/>
        </w:rPr>
        <w:t>且无尚未处理的异议后，</w:t>
      </w:r>
      <w:r>
        <w:rPr>
          <w:rFonts w:hint="eastAsia" w:ascii="仿宋_GB2312" w:hAnsi="宋体" w:eastAsia="仿宋_GB2312"/>
          <w:color w:val="auto"/>
          <w:sz w:val="28"/>
          <w:szCs w:val="28"/>
          <w:highlight w:val="none"/>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6228D144">
      <w:pPr>
        <w:pStyle w:val="5"/>
        <w:ind w:firstLine="643"/>
        <w:rPr>
          <w:color w:val="auto"/>
          <w:highlight w:val="none"/>
        </w:rPr>
      </w:pPr>
      <w:r>
        <w:rPr>
          <w:rFonts w:hint="eastAsia"/>
          <w:color w:val="auto"/>
          <w:highlight w:val="none"/>
        </w:rPr>
        <w:t>八、质疑</w:t>
      </w:r>
    </w:p>
    <w:p w14:paraId="52F1024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33.质疑</w:t>
      </w:r>
    </w:p>
    <w:p w14:paraId="02F1DE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 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13F75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33.2 供应商对采购需求有疑问的，应在采购需求公示期内向采购人提出询问，采购人应当在收到询问后3个工作日内做出答复。</w:t>
      </w:r>
    </w:p>
    <w:p w14:paraId="1241D35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33.3 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2564C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33.4提出质疑的供应商应当是参与本项目采购活动的供应商。</w:t>
      </w:r>
    </w:p>
    <w:p w14:paraId="43CA99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33.5 潜在供应商已依法获取其可质疑的采购文件的，可以对该文件提出质疑。对采购文件提出质疑的，应当在获取采购文件或者采购文件公告期限届满之日起7个工作日内提出。</w:t>
      </w:r>
    </w:p>
    <w:p w14:paraId="4E78F8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33.6供应商应在法定质疑期内一次性提出针对同一采购程序环节的质疑。</w:t>
      </w:r>
    </w:p>
    <w:p w14:paraId="11F0749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33.7 质疑采用实名制，为了使提出的质疑事项在规定时间内得到有效答复、处理，提交的质疑函务必提供以下内容。</w:t>
      </w:r>
    </w:p>
    <w:p w14:paraId="50B61F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（1）供应商的姓名或名称、地址（邮箱）、邮编、联系人及联系电话；</w:t>
      </w:r>
    </w:p>
    <w:p w14:paraId="75F1856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（2）质疑项目的名称、编号；</w:t>
      </w:r>
    </w:p>
    <w:p w14:paraId="4D96A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（3）具体、明确的质疑事项和与质疑事项相关的请求；</w:t>
      </w:r>
    </w:p>
    <w:p w14:paraId="285682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（4）事实依据；</w:t>
      </w:r>
    </w:p>
    <w:p w14:paraId="19E1BC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（5）必要的法律依据；</w:t>
      </w:r>
    </w:p>
    <w:p w14:paraId="03F794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（6）提出质疑的日期。</w:t>
      </w:r>
    </w:p>
    <w:p w14:paraId="4C04821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供应商为自然人的，应当由本人签字；供应商为法人或者其他组织的，应当由法定代表人、主要负责人，或者其被授权人签字或者盖章，并加盖公章。</w:t>
      </w:r>
    </w:p>
    <w:p w14:paraId="64007E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33.8质疑函应当由法定代表人或被授权人递交到采购人或采购代理机构，受理方式</w:t>
      </w:r>
      <w:r>
        <w:rPr>
          <w:rFonts w:hint="eastAsia" w:ascii="仿宋_GB2312" w:hAnsi="仿宋" w:eastAsia="仿宋_GB2312" w:cs="宋体"/>
          <w:color w:val="auto"/>
          <w:sz w:val="28"/>
          <w:szCs w:val="28"/>
          <w:highlight w:val="none"/>
        </w:rPr>
        <w:t>见</w:t>
      </w:r>
      <w:r>
        <w:rPr>
          <w:rFonts w:hint="eastAsia" w:ascii="仿宋_GB2312" w:hAnsi="仿宋" w:eastAsia="仿宋_GB2312" w:cs="宋体"/>
          <w:color w:val="auto"/>
          <w:sz w:val="28"/>
          <w:szCs w:val="28"/>
          <w:highlight w:val="none"/>
          <w:u w:val="single"/>
        </w:rPr>
        <w:t>响应须知前附表</w:t>
      </w:r>
      <w:r>
        <w:rPr>
          <w:rFonts w:hint="eastAsia" w:ascii="仿宋_GB2312" w:hAnsi="宋体" w:eastAsia="仿宋_GB2312"/>
          <w:color w:val="auto"/>
          <w:sz w:val="28"/>
          <w:szCs w:val="28"/>
          <w:highlight w:val="none"/>
        </w:rPr>
        <w:t>。采购人或采购代理机构正式受理后方可生效。否则，为无效质疑。</w:t>
      </w:r>
    </w:p>
    <w:p w14:paraId="020D9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33.9  有下列情况之一的质疑不予受理：</w:t>
      </w:r>
    </w:p>
    <w:p w14:paraId="5D76455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（1）无质疑函件或质疑函件缺少供应商法人印章、供应商法定代表人签字、有效授权书和联系方式之一的质疑；</w:t>
      </w:r>
    </w:p>
    <w:p w14:paraId="1D4F6B5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AD67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604D8D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1A2D40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33.10 对捏造事实，提供虚假材料或者以非法手段取得证明材料进行恶意质疑的，一经查实，将上报主管部门列入黑名单，并给以相应处罚。</w:t>
      </w:r>
    </w:p>
    <w:p w14:paraId="54FF0A9D">
      <w:pPr>
        <w:pStyle w:val="5"/>
        <w:ind w:firstLine="643"/>
        <w:rPr>
          <w:color w:val="auto"/>
          <w:highlight w:val="none"/>
        </w:rPr>
      </w:pPr>
      <w:r>
        <w:rPr>
          <w:rFonts w:hint="eastAsia"/>
          <w:color w:val="auto"/>
          <w:highlight w:val="none"/>
        </w:rPr>
        <w:t>九、投诉</w:t>
      </w:r>
    </w:p>
    <w:p w14:paraId="5747055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34.投诉</w:t>
      </w:r>
    </w:p>
    <w:p w14:paraId="5AA4F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质疑供应商对答复不满意，或者采购人、代理机构未在规定的时间内做出书面答复的，可以在答复期满后15个工作日内向主管理部门投诉。</w:t>
      </w:r>
    </w:p>
    <w:p w14:paraId="05E8D525">
      <w:pPr>
        <w:pStyle w:val="5"/>
        <w:ind w:firstLine="643"/>
        <w:rPr>
          <w:color w:val="auto"/>
          <w:highlight w:val="none"/>
        </w:rPr>
      </w:pPr>
      <w:r>
        <w:rPr>
          <w:rFonts w:hint="eastAsia"/>
          <w:color w:val="auto"/>
          <w:highlight w:val="none"/>
        </w:rPr>
        <w:t>十、签订合同</w:t>
      </w:r>
    </w:p>
    <w:p w14:paraId="5045A0AA">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35.合同的签订</w:t>
      </w:r>
    </w:p>
    <w:p w14:paraId="1A318A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1采购人应当自成交通知书发出之日起30日内，按照竞争谈判文件和成交供应商响应文件的规定，与成交供应商签订书面合同。采购人应当自采购合同签订之日起5个工作日内，将采购合同上传至威海市国有企业阳光采购电子化服务平台同时在指定的媒体上公告，但采购合同中涉及国家秘密、商业秘密的内容除外。</w:t>
      </w:r>
    </w:p>
    <w:p w14:paraId="79A4BE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2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4025153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.3成交供应商在规定时间内无正当理由拒绝与采购人签订合同的，响应供应商符合法定数量的，采购人可以按照评审报告推荐的成交候选人名单排序，确定下一候选人为成交供应商，也可以重新开展采购活动。</w:t>
      </w:r>
    </w:p>
    <w:p w14:paraId="69ABD46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36.履约保证金</w:t>
      </w:r>
    </w:p>
    <w:p w14:paraId="7FFFF2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本项目不收取履约保证金。如中标单位中标后不按采购文件相关规定执行的，按诚信体系建设要求列入信用黑名单，1-3年内禁止参加采购活动。</w:t>
      </w:r>
    </w:p>
    <w:p w14:paraId="1901EB86">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w:t>
      </w:r>
      <w:r>
        <w:rPr>
          <w:rFonts w:ascii="仿宋_GB2312" w:hAnsi="宋体" w:eastAsia="仿宋_GB2312"/>
          <w:b/>
          <w:color w:val="auto"/>
          <w:sz w:val="28"/>
          <w:szCs w:val="28"/>
          <w:highlight w:val="none"/>
        </w:rPr>
        <w:t>7.</w:t>
      </w:r>
      <w:r>
        <w:rPr>
          <w:rFonts w:hint="eastAsia" w:ascii="仿宋_GB2312" w:hAnsi="宋体" w:eastAsia="仿宋_GB2312"/>
          <w:b/>
          <w:color w:val="auto"/>
          <w:sz w:val="28"/>
          <w:szCs w:val="28"/>
          <w:highlight w:val="none"/>
        </w:rPr>
        <w:t>廉洁自律</w:t>
      </w:r>
      <w:r>
        <w:rPr>
          <w:rFonts w:ascii="仿宋_GB2312" w:hAnsi="宋体" w:eastAsia="仿宋_GB2312"/>
          <w:b/>
          <w:color w:val="auto"/>
          <w:sz w:val="28"/>
          <w:szCs w:val="28"/>
          <w:highlight w:val="none"/>
        </w:rPr>
        <w:t>规定</w:t>
      </w:r>
    </w:p>
    <w:p w14:paraId="79B532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w:t>
      </w:r>
      <w:r>
        <w:rPr>
          <w:rFonts w:ascii="仿宋_GB2312" w:hAnsi="宋体" w:eastAsia="仿宋_GB2312"/>
          <w:color w:val="auto"/>
          <w:sz w:val="28"/>
          <w:szCs w:val="28"/>
          <w:highlight w:val="none"/>
        </w:rPr>
        <w:t>工作人员</w:t>
      </w:r>
      <w:r>
        <w:rPr>
          <w:rFonts w:hint="eastAsia" w:ascii="仿宋_GB2312" w:hAnsi="宋体" w:eastAsia="仿宋_GB2312"/>
          <w:color w:val="auto"/>
          <w:sz w:val="28"/>
          <w:szCs w:val="28"/>
          <w:highlight w:val="none"/>
        </w:rPr>
        <w:t>不得与采购人、供应商恶意串通操纵采购活动。</w:t>
      </w:r>
    </w:p>
    <w:p w14:paraId="375B27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采购代理机构工作人员不得接受采购人或者供应商组织的宴请、旅游、娱乐，不得收受礼品、现金、有价证券等，不得向采购人或者供应商报销应当由个人承担的费用。</w:t>
      </w:r>
    </w:p>
    <w:p w14:paraId="3F12DEE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为强化采购</w:t>
      </w:r>
      <w:r>
        <w:rPr>
          <w:rFonts w:ascii="仿宋_GB2312" w:hAnsi="宋体" w:eastAsia="仿宋_GB2312"/>
          <w:color w:val="auto"/>
          <w:sz w:val="28"/>
          <w:szCs w:val="28"/>
          <w:highlight w:val="none"/>
        </w:rPr>
        <w:t>代理机构内部监督机制</w:t>
      </w:r>
      <w:r>
        <w:rPr>
          <w:rFonts w:hint="eastAsia" w:ascii="仿宋_GB2312" w:hAnsi="宋体" w:eastAsia="仿宋_GB2312"/>
          <w:color w:val="auto"/>
          <w:sz w:val="28"/>
          <w:szCs w:val="28"/>
          <w:highlight w:val="none"/>
        </w:rPr>
        <w:t>，供应商可按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w:t>
      </w:r>
      <w:r>
        <w:rPr>
          <w:rFonts w:ascii="仿宋_GB2312" w:hAnsi="宋体" w:eastAsia="仿宋_GB2312"/>
          <w:color w:val="auto"/>
          <w:sz w:val="28"/>
          <w:szCs w:val="28"/>
          <w:highlight w:val="none"/>
        </w:rPr>
        <w:t>的</w:t>
      </w:r>
      <w:r>
        <w:rPr>
          <w:rFonts w:hint="eastAsia" w:ascii="仿宋_GB2312" w:hAnsi="宋体" w:eastAsia="仿宋_GB2312"/>
          <w:color w:val="auto"/>
          <w:sz w:val="28"/>
          <w:szCs w:val="28"/>
          <w:highlight w:val="none"/>
        </w:rPr>
        <w:t>监督电话</w:t>
      </w:r>
      <w:r>
        <w:rPr>
          <w:rFonts w:ascii="仿宋_GB2312" w:hAnsi="宋体" w:eastAsia="仿宋_GB2312"/>
          <w:color w:val="auto"/>
          <w:sz w:val="28"/>
          <w:szCs w:val="28"/>
          <w:highlight w:val="none"/>
        </w:rPr>
        <w:t>和</w:t>
      </w:r>
      <w:r>
        <w:rPr>
          <w:rFonts w:hint="eastAsia" w:ascii="仿宋_GB2312" w:hAnsi="宋体" w:eastAsia="仿宋_GB2312"/>
          <w:color w:val="auto"/>
          <w:sz w:val="28"/>
          <w:szCs w:val="28"/>
          <w:highlight w:val="none"/>
        </w:rPr>
        <w:t>邮箱，反映采购代理机构的廉洁自律</w:t>
      </w:r>
      <w:r>
        <w:rPr>
          <w:rFonts w:ascii="仿宋_GB2312" w:hAnsi="宋体" w:eastAsia="仿宋_GB2312"/>
          <w:color w:val="auto"/>
          <w:sz w:val="28"/>
          <w:szCs w:val="28"/>
          <w:highlight w:val="none"/>
        </w:rPr>
        <w:t>等</w:t>
      </w:r>
      <w:r>
        <w:rPr>
          <w:rFonts w:hint="eastAsia" w:ascii="仿宋_GB2312" w:hAnsi="宋体" w:eastAsia="仿宋_GB2312"/>
          <w:color w:val="auto"/>
          <w:sz w:val="28"/>
          <w:szCs w:val="28"/>
          <w:highlight w:val="none"/>
        </w:rPr>
        <w:t>问题。</w:t>
      </w:r>
    </w:p>
    <w:p w14:paraId="51FD3DCC">
      <w:pPr>
        <w:snapToGrid w:val="0"/>
        <w:spacing w:line="560" w:lineRule="exact"/>
        <w:ind w:firstLine="565" w:firstLineChars="201"/>
        <w:rPr>
          <w:rFonts w:ascii="仿宋_GB2312" w:hAnsi="宋体" w:eastAsia="仿宋_GB2312"/>
          <w:b/>
          <w:color w:val="auto"/>
          <w:sz w:val="28"/>
          <w:szCs w:val="28"/>
          <w:highlight w:val="none"/>
        </w:rPr>
      </w:pPr>
      <w:r>
        <w:rPr>
          <w:rFonts w:ascii="仿宋_GB2312" w:hAnsi="宋体" w:eastAsia="仿宋_GB2312"/>
          <w:b/>
          <w:color w:val="auto"/>
          <w:sz w:val="28"/>
          <w:szCs w:val="28"/>
          <w:highlight w:val="none"/>
        </w:rPr>
        <w:t>38</w:t>
      </w:r>
      <w:r>
        <w:rPr>
          <w:rFonts w:hint="eastAsia" w:ascii="仿宋_GB2312" w:hAnsi="宋体" w:eastAsia="仿宋_GB2312"/>
          <w:b/>
          <w:color w:val="auto"/>
          <w:sz w:val="28"/>
          <w:szCs w:val="28"/>
          <w:highlight w:val="none"/>
        </w:rPr>
        <w:t>.项目其他相关费用</w:t>
      </w:r>
    </w:p>
    <w:p w14:paraId="7B388FB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38</w:t>
      </w:r>
      <w:r>
        <w:rPr>
          <w:rFonts w:hint="eastAsia" w:ascii="仿宋_GB2312" w:hAnsi="宋体" w:eastAsia="仿宋_GB2312"/>
          <w:color w:val="auto"/>
          <w:sz w:val="28"/>
          <w:szCs w:val="28"/>
          <w:highlight w:val="none"/>
        </w:rPr>
        <w:t>.1代理服务费</w:t>
      </w:r>
    </w:p>
    <w:p w14:paraId="43EDC9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代理服务费收取标准：</w:t>
      </w:r>
      <w:r>
        <w:rPr>
          <w:rFonts w:hint="eastAsia" w:ascii="仿宋_GB2312" w:hAnsi="宋体" w:eastAsia="仿宋_GB2312"/>
          <w:color w:val="auto"/>
          <w:sz w:val="28"/>
          <w:szCs w:val="28"/>
          <w:highlight w:val="none"/>
          <w:u w:val="single"/>
        </w:rPr>
        <w:t>见响应须知前附表</w:t>
      </w:r>
      <w:r>
        <w:rPr>
          <w:rFonts w:hint="eastAsia" w:ascii="仿宋_GB2312" w:hAnsi="宋体" w:eastAsia="仿宋_GB2312"/>
          <w:color w:val="auto"/>
          <w:sz w:val="28"/>
          <w:szCs w:val="28"/>
          <w:highlight w:val="none"/>
        </w:rPr>
        <w:t>。</w:t>
      </w:r>
    </w:p>
    <w:p w14:paraId="1444F253">
      <w:pPr>
        <w:snapToGrid w:val="0"/>
        <w:spacing w:line="560" w:lineRule="exact"/>
        <w:ind w:firstLine="562" w:firstLineChars="201"/>
        <w:rPr>
          <w:rFonts w:ascii="仿宋_GB2312" w:hAnsi="宋体" w:eastAsia="仿宋_GB2312"/>
          <w:color w:val="auto"/>
          <w:sz w:val="28"/>
          <w:szCs w:val="28"/>
          <w:highlight w:val="none"/>
        </w:rPr>
      </w:pPr>
    </w:p>
    <w:p w14:paraId="34110E27">
      <w:pPr>
        <w:rPr>
          <w:color w:val="auto"/>
          <w:highlight w:val="none"/>
        </w:rPr>
        <w:sectPr>
          <w:pgSz w:w="11906" w:h="16838"/>
          <w:pgMar w:top="1440" w:right="1080" w:bottom="1440" w:left="1080" w:header="851" w:footer="992" w:gutter="0"/>
          <w:cols w:space="720" w:num="1"/>
          <w:docGrid w:type="lines" w:linePitch="312" w:charSpace="0"/>
        </w:sectPr>
      </w:pPr>
    </w:p>
    <w:p w14:paraId="0D58CA42">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22540285">
      <w:pPr>
        <w:rPr>
          <w:color w:val="auto"/>
          <w:highlight w:val="none"/>
        </w:rPr>
      </w:pPr>
    </w:p>
    <w:p w14:paraId="0BF1792B">
      <w:pPr>
        <w:rPr>
          <w:color w:val="auto"/>
          <w:highlight w:val="none"/>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49C219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3661A3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5AC66E0C">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路沿石、人行道板采购</w:t>
      </w:r>
    </w:p>
    <w:p w14:paraId="0978B514">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WHJX-ZB-2026-030</w:t>
      </w:r>
    </w:p>
    <w:p w14:paraId="76C77743">
      <w:pPr>
        <w:spacing w:line="560" w:lineRule="exact"/>
        <w:ind w:firstLine="560" w:firstLineChars="200"/>
        <w:rPr>
          <w:rFonts w:hint="default"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项目概况说明：</w:t>
      </w:r>
      <w:r>
        <w:rPr>
          <w:rFonts w:hint="eastAsia" w:ascii="仿宋_GB2312" w:hAnsi="宋体" w:eastAsia="仿宋_GB2312"/>
          <w:color w:val="auto"/>
          <w:sz w:val="28"/>
          <w:szCs w:val="21"/>
          <w:highlight w:val="none"/>
          <w:lang w:val="en-US" w:eastAsia="zh-CN"/>
        </w:rPr>
        <w:t>2026年市政工程路沿石、人行道板采购，人行道板为10*20*6cm透水砖。</w:t>
      </w:r>
    </w:p>
    <w:p w14:paraId="5D372B9E">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二、采购目标</w:t>
      </w:r>
    </w:p>
    <w:p w14:paraId="631E87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路沿石、人行道板采购</w:t>
      </w:r>
      <w:r>
        <w:rPr>
          <w:rFonts w:hint="eastAsia" w:ascii="仿宋_GB2312" w:hAnsi="宋体" w:eastAsia="仿宋_GB2312"/>
          <w:color w:val="auto"/>
          <w:szCs w:val="21"/>
          <w:highlight w:val="none"/>
        </w:rPr>
        <w:t>。</w:t>
      </w:r>
    </w:p>
    <w:p w14:paraId="2549330D">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04383C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本项目包段的采购预算金额为</w:t>
      </w:r>
      <w:r>
        <w:rPr>
          <w:rFonts w:hint="eastAsia" w:ascii="仿宋_GB2312" w:hAnsi="宋体" w:eastAsia="仿宋_GB2312"/>
          <w:color w:val="auto"/>
          <w:highlight w:val="none"/>
          <w:lang w:eastAsia="zh-CN"/>
        </w:rPr>
        <w:t>A包：路沿石</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：15</w:t>
      </w:r>
      <w:r>
        <w:rPr>
          <w:rFonts w:hint="eastAsia" w:ascii="仿宋_GB2312" w:hAnsi="宋体" w:eastAsia="仿宋_GB2312"/>
          <w:color w:val="auto"/>
          <w:highlight w:val="none"/>
          <w:lang w:val="en-US" w:eastAsia="zh-CN"/>
        </w:rPr>
        <w:t>3</w:t>
      </w:r>
      <w:r>
        <w:rPr>
          <w:rFonts w:hint="eastAsia" w:ascii="仿宋_GB2312" w:hAnsi="宋体" w:eastAsia="仿宋_GB2312"/>
          <w:color w:val="auto"/>
          <w:highlight w:val="none"/>
          <w:lang w:eastAsia="zh-CN"/>
        </w:rPr>
        <w:t>0元/m³；B包：人行道板</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w:t>
      </w:r>
      <w:r>
        <w:rPr>
          <w:rFonts w:hint="eastAsia" w:ascii="仿宋_GB2312" w:hAnsi="宋体" w:eastAsia="仿宋_GB2312"/>
          <w:color w:val="auto"/>
          <w:highlight w:val="none"/>
          <w:lang w:val="en-US" w:eastAsia="zh-CN"/>
        </w:rPr>
        <w:t>57</w:t>
      </w:r>
      <w:r>
        <w:rPr>
          <w:rFonts w:hint="eastAsia" w:ascii="仿宋_GB2312" w:hAnsi="宋体" w:eastAsia="仿宋_GB2312"/>
          <w:color w:val="auto"/>
          <w:highlight w:val="none"/>
          <w:lang w:eastAsia="zh-CN"/>
        </w:rPr>
        <w:t>元/㎡</w:t>
      </w:r>
      <w:r>
        <w:rPr>
          <w:rFonts w:hint="eastAsia" w:ascii="仿宋_GB2312" w:hAnsi="宋体" w:eastAsia="仿宋_GB2312"/>
          <w:color w:val="auto"/>
          <w:highlight w:val="none"/>
        </w:rPr>
        <w:t>。</w:t>
      </w:r>
    </w:p>
    <w:p w14:paraId="7C7DD46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024B504A">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本项目包段采用竞争谈判方式进行采购。</w:t>
      </w:r>
    </w:p>
    <w:p w14:paraId="1E53CF92">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104EDF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3CE971DB">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4"/>
        <w:tblpPr w:leftFromText="180" w:rightFromText="180" w:vertAnchor="text" w:horzAnchor="page" w:tblpX="1634" w:tblpY="1021"/>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1D14E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62C1BA7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序号</w:t>
            </w:r>
          </w:p>
        </w:tc>
        <w:tc>
          <w:tcPr>
            <w:tcW w:w="1031" w:type="dxa"/>
            <w:shd w:val="clear" w:color="auto" w:fill="D9D9D9"/>
            <w:vAlign w:val="center"/>
          </w:tcPr>
          <w:p w14:paraId="3D1C6F1B">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分类</w:t>
            </w:r>
          </w:p>
        </w:tc>
        <w:tc>
          <w:tcPr>
            <w:tcW w:w="1030" w:type="dxa"/>
            <w:shd w:val="clear" w:color="auto" w:fill="D9D9D9"/>
            <w:vAlign w:val="center"/>
          </w:tcPr>
          <w:p w14:paraId="06DF37E7">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w:t>
            </w:r>
          </w:p>
          <w:p w14:paraId="3C704B45">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分组</w:t>
            </w:r>
          </w:p>
        </w:tc>
        <w:tc>
          <w:tcPr>
            <w:tcW w:w="2061" w:type="dxa"/>
            <w:shd w:val="clear" w:color="auto" w:fill="D9D9D9"/>
            <w:vAlign w:val="center"/>
          </w:tcPr>
          <w:p w14:paraId="3B04724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清单名称</w:t>
            </w:r>
          </w:p>
        </w:tc>
        <w:tc>
          <w:tcPr>
            <w:tcW w:w="736" w:type="dxa"/>
            <w:shd w:val="clear" w:color="auto" w:fill="D9D9D9"/>
            <w:vAlign w:val="center"/>
          </w:tcPr>
          <w:p w14:paraId="34A1E4D1">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数量</w:t>
            </w:r>
          </w:p>
        </w:tc>
        <w:tc>
          <w:tcPr>
            <w:tcW w:w="737" w:type="dxa"/>
            <w:shd w:val="clear" w:color="auto" w:fill="D9D9D9"/>
            <w:vAlign w:val="center"/>
          </w:tcPr>
          <w:p w14:paraId="41D3EE88">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单位</w:t>
            </w:r>
          </w:p>
        </w:tc>
        <w:tc>
          <w:tcPr>
            <w:tcW w:w="7287" w:type="dxa"/>
            <w:shd w:val="clear" w:color="auto" w:fill="D9D9D9"/>
            <w:vAlign w:val="center"/>
          </w:tcPr>
          <w:p w14:paraId="7A72B19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功能与技术参数</w:t>
            </w:r>
          </w:p>
        </w:tc>
      </w:tr>
      <w:tr w14:paraId="2D991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471E4BDE">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1</w:t>
            </w:r>
          </w:p>
        </w:tc>
        <w:tc>
          <w:tcPr>
            <w:tcW w:w="1031" w:type="dxa"/>
            <w:vAlign w:val="center"/>
          </w:tcPr>
          <w:p w14:paraId="70515AB6">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货物</w:t>
            </w:r>
          </w:p>
        </w:tc>
        <w:tc>
          <w:tcPr>
            <w:tcW w:w="1030" w:type="dxa"/>
            <w:vAlign w:val="center"/>
          </w:tcPr>
          <w:p w14:paraId="7C11FADD">
            <w:pPr>
              <w:jc w:val="center"/>
              <w:rPr>
                <w:rFonts w:ascii="仿宋_GB2312" w:hAnsi="宋体" w:eastAsia="仿宋_GB2312"/>
                <w:color w:val="auto"/>
                <w:sz w:val="24"/>
                <w:highlight w:val="none"/>
              </w:rPr>
            </w:pPr>
          </w:p>
        </w:tc>
        <w:tc>
          <w:tcPr>
            <w:tcW w:w="2061" w:type="dxa"/>
            <w:vAlign w:val="center"/>
          </w:tcPr>
          <w:p w14:paraId="58D1EF23">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路沿石</w:t>
            </w:r>
          </w:p>
        </w:tc>
        <w:tc>
          <w:tcPr>
            <w:tcW w:w="736" w:type="dxa"/>
            <w:vAlign w:val="center"/>
          </w:tcPr>
          <w:p w14:paraId="08CFFF7D">
            <w:pPr>
              <w:jc w:val="center"/>
              <w:rPr>
                <w:rFonts w:hint="eastAsia" w:ascii="仿宋_GB2312" w:hAnsi="宋体" w:eastAsia="仿宋_GB2312"/>
                <w:color w:val="auto"/>
                <w:sz w:val="24"/>
                <w:highlight w:val="none"/>
                <w:lang w:eastAsia="zh-CN"/>
              </w:rPr>
            </w:pPr>
            <w:r>
              <w:rPr>
                <w:rFonts w:hint="eastAsia" w:ascii="仿宋_GB2312" w:hAnsi="宋体" w:eastAsia="仿宋_GB2312"/>
                <w:color w:val="auto"/>
                <w:sz w:val="24"/>
                <w:highlight w:val="none"/>
                <w:lang w:val="en-US" w:eastAsia="zh-CN"/>
              </w:rPr>
              <w:t>1</w:t>
            </w:r>
          </w:p>
        </w:tc>
        <w:tc>
          <w:tcPr>
            <w:tcW w:w="737" w:type="dxa"/>
            <w:vAlign w:val="center"/>
          </w:tcPr>
          <w:p w14:paraId="2E8915DC">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m³</w:t>
            </w:r>
          </w:p>
        </w:tc>
        <w:tc>
          <w:tcPr>
            <w:tcW w:w="7287" w:type="dxa"/>
            <w:vAlign w:val="center"/>
          </w:tcPr>
          <w:p w14:paraId="5C185C48">
            <w:pPr>
              <w:rPr>
                <w:rFonts w:hint="default" w:ascii="仿宋_GB2312" w:hAnsi="宋体" w:eastAsia="仿宋_GB2312"/>
                <w:color w:val="auto"/>
                <w:sz w:val="24"/>
                <w:highlight w:val="none"/>
                <w:lang w:val="en-US" w:eastAsia="zh-CN"/>
              </w:rPr>
            </w:pPr>
            <w:r>
              <w:rPr>
                <w:rFonts w:hint="eastAsia" w:ascii="仿宋_GB2312" w:hAnsi="宋体" w:eastAsia="仿宋_GB2312"/>
                <w:color w:val="auto"/>
                <w:sz w:val="24"/>
                <w:highlight w:val="none"/>
                <w:lang w:val="en-US" w:eastAsia="zh-CN"/>
              </w:rPr>
              <w:t>详见技术要求</w:t>
            </w:r>
          </w:p>
        </w:tc>
      </w:tr>
    </w:tbl>
    <w:p w14:paraId="0E0D14E2">
      <w:pPr>
        <w:widowControl/>
        <w:spacing w:line="200" w:lineRule="exact"/>
        <w:ind w:firstLine="200" w:firstLineChars="200"/>
        <w:jc w:val="center"/>
        <w:rPr>
          <w:rFonts w:ascii="仿宋_GB2312" w:hAnsi="宋体" w:eastAsia="仿宋_GB2312"/>
          <w:color w:val="auto"/>
          <w:sz w:val="10"/>
          <w:szCs w:val="10"/>
          <w:highlight w:val="none"/>
        </w:rPr>
      </w:pPr>
    </w:p>
    <w:tbl>
      <w:tblPr>
        <w:tblStyle w:val="34"/>
        <w:tblpPr w:leftFromText="180" w:rightFromText="180" w:vertAnchor="text" w:horzAnchor="page" w:tblpX="1551" w:tblpY="3877"/>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273DD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0D0AF38B">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1031" w:type="dxa"/>
            <w:shd w:val="clear" w:color="auto" w:fill="D9D9D9"/>
            <w:vAlign w:val="center"/>
          </w:tcPr>
          <w:p w14:paraId="0B3AF93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1030" w:type="dxa"/>
            <w:shd w:val="clear" w:color="auto" w:fill="D9D9D9"/>
            <w:vAlign w:val="center"/>
          </w:tcPr>
          <w:p w14:paraId="2A3466E7">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3181D62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2061" w:type="dxa"/>
            <w:shd w:val="clear" w:color="auto" w:fill="D9D9D9"/>
            <w:vAlign w:val="center"/>
          </w:tcPr>
          <w:p w14:paraId="0D3CE8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736" w:type="dxa"/>
            <w:shd w:val="clear" w:color="auto" w:fill="D9D9D9"/>
            <w:vAlign w:val="center"/>
          </w:tcPr>
          <w:p w14:paraId="09CF083A">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737" w:type="dxa"/>
            <w:shd w:val="clear" w:color="auto" w:fill="D9D9D9"/>
            <w:vAlign w:val="center"/>
          </w:tcPr>
          <w:p w14:paraId="3D8FEA29">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7287" w:type="dxa"/>
            <w:shd w:val="clear" w:color="auto" w:fill="D9D9D9"/>
            <w:vAlign w:val="center"/>
          </w:tcPr>
          <w:p w14:paraId="66FAAA1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6DC5E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00D5877A">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1</w:t>
            </w:r>
          </w:p>
        </w:tc>
        <w:tc>
          <w:tcPr>
            <w:tcW w:w="1031" w:type="dxa"/>
            <w:vAlign w:val="center"/>
          </w:tcPr>
          <w:p w14:paraId="5B5300C9">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货物</w:t>
            </w:r>
          </w:p>
        </w:tc>
        <w:tc>
          <w:tcPr>
            <w:tcW w:w="1030" w:type="dxa"/>
            <w:vAlign w:val="center"/>
          </w:tcPr>
          <w:p w14:paraId="40B6D132">
            <w:pPr>
              <w:jc w:val="center"/>
              <w:rPr>
                <w:rFonts w:ascii="仿宋_GB2312" w:hAnsi="宋体" w:eastAsia="仿宋_GB2312" w:cs="Times New Roman"/>
                <w:color w:val="auto"/>
                <w:sz w:val="24"/>
                <w:highlight w:val="none"/>
              </w:rPr>
            </w:pPr>
          </w:p>
        </w:tc>
        <w:tc>
          <w:tcPr>
            <w:tcW w:w="2061" w:type="dxa"/>
            <w:vAlign w:val="center"/>
          </w:tcPr>
          <w:p w14:paraId="75FDEFFD">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人行道板</w:t>
            </w:r>
          </w:p>
        </w:tc>
        <w:tc>
          <w:tcPr>
            <w:tcW w:w="736" w:type="dxa"/>
            <w:vAlign w:val="center"/>
          </w:tcPr>
          <w:p w14:paraId="4CC6ACC7">
            <w:pPr>
              <w:jc w:val="center"/>
              <w:rPr>
                <w:rFonts w:hint="eastAsia" w:ascii="仿宋_GB2312" w:hAnsi="宋体" w:eastAsia="仿宋_GB2312" w:cs="Times New Roman"/>
                <w:color w:val="auto"/>
                <w:sz w:val="24"/>
                <w:highlight w:val="none"/>
                <w:lang w:eastAsia="zh-CN"/>
              </w:rPr>
            </w:pPr>
            <w:r>
              <w:rPr>
                <w:rFonts w:hint="eastAsia" w:ascii="仿宋_GB2312" w:hAnsi="宋体" w:eastAsia="仿宋_GB2312" w:cs="Times New Roman"/>
                <w:color w:val="auto"/>
                <w:sz w:val="24"/>
                <w:highlight w:val="none"/>
                <w:lang w:val="en-US" w:eastAsia="zh-CN"/>
              </w:rPr>
              <w:t>1</w:t>
            </w:r>
          </w:p>
        </w:tc>
        <w:tc>
          <w:tcPr>
            <w:tcW w:w="737" w:type="dxa"/>
            <w:vAlign w:val="center"/>
          </w:tcPr>
          <w:p w14:paraId="44C14EF2">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w:t>
            </w:r>
          </w:p>
        </w:tc>
        <w:tc>
          <w:tcPr>
            <w:tcW w:w="7287" w:type="dxa"/>
            <w:vAlign w:val="center"/>
          </w:tcPr>
          <w:p w14:paraId="74BDBA67">
            <w:pP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val="en-US" w:eastAsia="zh-CN"/>
              </w:rPr>
              <w:t>详见技术要求</w:t>
            </w:r>
          </w:p>
        </w:tc>
      </w:tr>
    </w:tbl>
    <w:p w14:paraId="2284E651">
      <w:pPr>
        <w:widowControl/>
        <w:spacing w:line="560" w:lineRule="exact"/>
        <w:ind w:firstLine="560" w:firstLineChars="200"/>
        <w:jc w:val="left"/>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val="en-US" w:eastAsia="zh-CN"/>
        </w:rPr>
        <w:t>A包</w:t>
      </w:r>
    </w:p>
    <w:p w14:paraId="7EAB16CF">
      <w:pPr>
        <w:widowControl/>
        <w:spacing w:line="560" w:lineRule="exact"/>
        <w:ind w:firstLine="643" w:firstLineChars="200"/>
        <w:jc w:val="center"/>
        <w:rPr>
          <w:rFonts w:ascii="楷体_GB2312" w:hAnsi="宋体" w:eastAsia="楷体_GB2312"/>
          <w:b/>
          <w:bCs/>
          <w:color w:val="auto"/>
          <w:kern w:val="44"/>
          <w:sz w:val="32"/>
          <w:szCs w:val="30"/>
          <w:highlight w:val="none"/>
        </w:rPr>
      </w:pPr>
    </w:p>
    <w:p w14:paraId="2F2BC02C">
      <w:pPr>
        <w:bidi w:val="0"/>
        <w:rPr>
          <w:rFonts w:ascii="Times New Roman" w:hAnsi="Times New Roman" w:eastAsia="宋体" w:cs="Times New Roman"/>
          <w:color w:val="auto"/>
          <w:kern w:val="2"/>
          <w:sz w:val="21"/>
          <w:szCs w:val="22"/>
          <w:highlight w:val="none"/>
          <w:lang w:val="en-US" w:eastAsia="zh-CN" w:bidi="ar-SA"/>
        </w:rPr>
      </w:pPr>
    </w:p>
    <w:p w14:paraId="035F541B">
      <w:pPr>
        <w:widowControl/>
        <w:spacing w:line="560" w:lineRule="exact"/>
        <w:ind w:firstLine="560" w:firstLineChars="200"/>
        <w:jc w:val="left"/>
        <w:rPr>
          <w:rFonts w:hint="default" w:ascii="仿宋_GB2312" w:hAnsi="宋体" w:eastAsia="仿宋_GB2312" w:cs="Times New Roman"/>
          <w:color w:val="auto"/>
          <w:sz w:val="28"/>
          <w:szCs w:val="21"/>
          <w:highlight w:val="none"/>
          <w:lang w:val="en-US" w:eastAsia="zh-CN"/>
        </w:rPr>
        <w:sectPr>
          <w:pgSz w:w="16838" w:h="11906" w:orient="landscape"/>
          <w:pgMar w:top="1077" w:right="1440" w:bottom="1077" w:left="1440" w:header="851" w:footer="992" w:gutter="0"/>
          <w:cols w:space="720" w:num="1"/>
          <w:docGrid w:type="lines" w:linePitch="312" w:charSpace="0"/>
        </w:sectPr>
      </w:pPr>
      <w:r>
        <w:rPr>
          <w:rFonts w:hint="eastAsia" w:ascii="仿宋_GB2312" w:hAnsi="宋体" w:eastAsia="仿宋_GB2312" w:cs="Times New Roman"/>
          <w:color w:val="auto"/>
          <w:sz w:val="28"/>
          <w:szCs w:val="21"/>
          <w:highlight w:val="none"/>
          <w:lang w:val="en-US" w:eastAsia="zh-CN"/>
        </w:rPr>
        <w:t>B包</w:t>
      </w:r>
    </w:p>
    <w:p w14:paraId="0496F2F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DF4D46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2485ADB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37652835">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3EC448F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0B3082D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4）其他标准：按照最新标准执行</w:t>
      </w:r>
    </w:p>
    <w:p w14:paraId="5F18AB7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6B31C7AD">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6FC6358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合格  </w:t>
      </w:r>
    </w:p>
    <w:p w14:paraId="21FF60D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2）安全要求</w:t>
      </w:r>
    </w:p>
    <w:p w14:paraId="5D33F7B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使用安全、可靠   </w:t>
      </w:r>
    </w:p>
    <w:p w14:paraId="2DB41EB9">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3）服务期</w:t>
      </w:r>
    </w:p>
    <w:p w14:paraId="720B6BD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自合同签订之日起2年</w:t>
      </w:r>
    </w:p>
    <w:p w14:paraId="3B35A9C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4）交付（实施）地点</w:t>
      </w:r>
    </w:p>
    <w:p w14:paraId="14BFA6B1">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176A94E4">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5）付款方式</w:t>
      </w:r>
    </w:p>
    <w:p w14:paraId="65819BC3">
      <w:pPr>
        <w:spacing w:line="560" w:lineRule="exact"/>
        <w:ind w:firstLine="560" w:firstLineChars="200"/>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p w14:paraId="2C078DC8">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8"/>
          <w:highlight w:val="none"/>
          <w:lang w:val="en-US" w:eastAsia="zh-CN"/>
        </w:rPr>
        <w:t>B包：本项目无预付款，付款时限依甲方内部财务状况而定，乙方需按照甲方要求及时提供所需材料，不得以未结算货款为由终止材料供应，由此对甲方造成的损失，由乙方承担。结算货款前乙方需提供合法有效增值税专用发票。人行道板最终数量的结算以甲方施工实际测量面积为准，损耗、损坏及丢失部分不包含在内。</w:t>
      </w:r>
    </w:p>
    <w:p w14:paraId="47F4B30C">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03852DFA">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1）服务标准</w:t>
      </w:r>
    </w:p>
    <w:p w14:paraId="274172D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在规定的期限内，保质保量完成供货任务。  </w:t>
      </w:r>
    </w:p>
    <w:p w14:paraId="4827E118">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CF335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8"/>
          <w:highlight w:val="none"/>
        </w:rPr>
        <w:t xml:space="preserve">符合相关技术要求及行业标准。 </w:t>
      </w:r>
      <w:r>
        <w:rPr>
          <w:rFonts w:hint="eastAsia" w:ascii="仿宋_GB2312" w:hAnsi="宋体" w:eastAsia="仿宋_GB2312"/>
          <w:color w:val="auto"/>
          <w:sz w:val="28"/>
          <w:szCs w:val="21"/>
          <w:highlight w:val="none"/>
        </w:rPr>
        <w:t xml:space="preserve"> </w:t>
      </w:r>
    </w:p>
    <w:p w14:paraId="595768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094D2484">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无</w:t>
      </w:r>
    </w:p>
    <w:p w14:paraId="6F7EA169">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6803219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乳山市市政建设工程有限公司</w:t>
      </w:r>
    </w:p>
    <w:p w14:paraId="5B2CA626">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山东省威海市乳山市深圳路8号</w:t>
      </w:r>
    </w:p>
    <w:p w14:paraId="5AEEE92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任康辉</w:t>
      </w:r>
    </w:p>
    <w:p w14:paraId="1A7365D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18561278337</w:t>
      </w:r>
    </w:p>
    <w:p w14:paraId="5816DFCA">
      <w:pPr>
        <w:rPr>
          <w:color w:val="auto"/>
          <w:highlight w:val="none"/>
        </w:rPr>
        <w:sectPr>
          <w:pgSz w:w="11906" w:h="16838"/>
          <w:pgMar w:top="1440" w:right="1077" w:bottom="1440" w:left="1077" w:header="851" w:footer="992" w:gutter="0"/>
          <w:cols w:space="720" w:num="1"/>
          <w:docGrid w:type="lines" w:linePitch="312" w:charSpace="0"/>
        </w:sectPr>
      </w:pPr>
    </w:p>
    <w:p w14:paraId="00943DCD">
      <w:pPr>
        <w:pStyle w:val="32"/>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第四章 竞争谈判原则、程序和方法</w:t>
      </w:r>
    </w:p>
    <w:p w14:paraId="521386C9">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一、评审原则</w:t>
      </w:r>
    </w:p>
    <w:p w14:paraId="5226B86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“客观、公正、审慎”为本次评审的基本原则，评审小组将按照这一原则的要求，公正、平等地对待各报价供应商，同时，在评审时恪守以下原则：</w:t>
      </w:r>
    </w:p>
    <w:p w14:paraId="327CC4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1.客观性原则：评审小组将严格按照竞争谈判文件的要求，对报价供应商的响应文件进行认真评审，评审小组对响应文件的评审仅依据响应文件本身，而不依靠响应文件以外的任何因素。</w:t>
      </w:r>
    </w:p>
    <w:p w14:paraId="7796923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2.统一性原则：评审小组将按照统一的评审原则和评审方法，采用统一标准进行评审。</w:t>
      </w:r>
    </w:p>
    <w:p w14:paraId="6674F69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3.独立性原则：评审工作在评审小组内部独立进行，不受外界任何因素的干扰和影响。</w:t>
      </w:r>
    </w:p>
    <w:p w14:paraId="3025D7C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4.保密性原则：评审小组及熟知情况的有关工作人员必须对每位评委的评审意见和报价供应商的商业秘密严格保密。</w:t>
      </w:r>
    </w:p>
    <w:p w14:paraId="36D2BE1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5.综合性原则：评审小组将综合分析、评审报价供应商的各项指标。</w:t>
      </w:r>
    </w:p>
    <w:p w14:paraId="4DD41E73">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二、评审程序</w:t>
      </w:r>
    </w:p>
    <w:p w14:paraId="5DA0F94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（一）竞争谈判程序</w:t>
      </w:r>
    </w:p>
    <w:p w14:paraId="03889215">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1.评审小组将按照竞争谈判文件的规定对响应文件进行有效性、完整性和响应程度审查，以确定响应文件的实质性响应。</w:t>
      </w:r>
    </w:p>
    <w:p w14:paraId="2958EF5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2.出现下列情形之一的，视为对竞争谈判文件未做出实质性响应，按照无效报价处理。</w:t>
      </w:r>
    </w:p>
    <w:p w14:paraId="53E1DF6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详见《响应须知前附表》-《实质性条款一览表》</w:t>
      </w:r>
    </w:p>
    <w:p w14:paraId="1B44384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232ED4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4.澄清、说明或者补正</w:t>
      </w:r>
    </w:p>
    <w:p w14:paraId="568EB5E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响应文件中含义不明确、同类问题前后表述不一致或者有明显文字和计算错误的内容，评审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3BE4A2C0">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（2）报价供应商依据评审要求进行澄清、说明或者补正的内容构成响应文件的组成部分。</w:t>
      </w:r>
    </w:p>
    <w:p w14:paraId="4D447F0F">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（二）竞争谈判、优化方案</w:t>
      </w:r>
    </w:p>
    <w:p w14:paraId="57CB3E1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（1）评审小组所有成员应当集中与单一供应商分别进行竞争谈判，并给予所有参加竞争谈判的供应商平等的竞争谈判机会。</w:t>
      </w:r>
    </w:p>
    <w:p w14:paraId="2B19B1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小组根据项目的实际需要，评审小组可以就采购项目的质量、性能、竞争谈判文件要求的其他指标的采购因素以及内容细节予以沟通协商，但不得变动响应文件中的实质性内容。供应商的响应应以书面答复，该答复将构成响应文件的组成部分。</w:t>
      </w:r>
    </w:p>
    <w:p w14:paraId="13B9725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（三）最后报价</w:t>
      </w:r>
    </w:p>
    <w:p w14:paraId="4C64BDE9">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（1）供应商根据沟通协商后的优化方案，在规定的时间内进行最终报价，并由其法定代表人或被授权人签字或者加盖公章。</w:t>
      </w:r>
    </w:p>
    <w:p w14:paraId="4FD67DF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（2）最终报价是报价供应商响应文件的有效组成部分。</w:t>
      </w:r>
    </w:p>
    <w:p w14:paraId="72AB6344">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三、评审方法</w:t>
      </w:r>
    </w:p>
    <w:p w14:paraId="340C0F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（1）评审方法：综合评分法，即报价供应商的响应文件满足竞争谈判文件全部实质性要求，且按评审因素的量化指标评审得分最高的供应商为成交候选供应商的评审方法。</w:t>
      </w:r>
    </w:p>
    <w:p w14:paraId="4DAF2BB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（2）评审细则：</w:t>
      </w:r>
    </w:p>
    <w:tbl>
      <w:tblPr>
        <w:tblStyle w:val="34"/>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46531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42C89FB">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编号</w:t>
            </w:r>
          </w:p>
        </w:tc>
        <w:tc>
          <w:tcPr>
            <w:tcW w:w="773" w:type="dxa"/>
            <w:shd w:val="clear" w:color="auto" w:fill="D9D9D9"/>
            <w:vAlign w:val="center"/>
          </w:tcPr>
          <w:p w14:paraId="4BB64A1C">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类型</w:t>
            </w:r>
          </w:p>
        </w:tc>
        <w:tc>
          <w:tcPr>
            <w:tcW w:w="1665" w:type="dxa"/>
            <w:shd w:val="clear" w:color="auto" w:fill="D9D9D9"/>
            <w:vAlign w:val="center"/>
          </w:tcPr>
          <w:p w14:paraId="2B45EB8A">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评分标题</w:t>
            </w:r>
          </w:p>
        </w:tc>
        <w:tc>
          <w:tcPr>
            <w:tcW w:w="4689" w:type="dxa"/>
            <w:shd w:val="clear" w:color="auto" w:fill="D9D9D9"/>
            <w:vAlign w:val="center"/>
          </w:tcPr>
          <w:p w14:paraId="3469DF0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评分标准</w:t>
            </w:r>
          </w:p>
        </w:tc>
        <w:tc>
          <w:tcPr>
            <w:tcW w:w="1026" w:type="dxa"/>
            <w:shd w:val="clear" w:color="auto" w:fill="D9D9D9"/>
            <w:vAlign w:val="center"/>
          </w:tcPr>
          <w:p w14:paraId="5C9DFDD6">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性质</w:t>
            </w:r>
          </w:p>
        </w:tc>
        <w:tc>
          <w:tcPr>
            <w:tcW w:w="773" w:type="dxa"/>
            <w:shd w:val="clear" w:color="auto" w:fill="D9D9D9"/>
            <w:vAlign w:val="center"/>
          </w:tcPr>
          <w:p w14:paraId="341FE2F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分数</w:t>
            </w:r>
          </w:p>
        </w:tc>
      </w:tr>
      <w:tr w14:paraId="49E68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BBEE1DE">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1</w:t>
            </w:r>
          </w:p>
        </w:tc>
        <w:tc>
          <w:tcPr>
            <w:tcW w:w="773" w:type="dxa"/>
            <w:vAlign w:val="center"/>
          </w:tcPr>
          <w:p w14:paraId="64EBF171">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价格</w:t>
            </w:r>
          </w:p>
        </w:tc>
        <w:tc>
          <w:tcPr>
            <w:tcW w:w="1665" w:type="dxa"/>
            <w:vAlign w:val="center"/>
          </w:tcPr>
          <w:p w14:paraId="4A9A5630">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w:t>
            </w:r>
          </w:p>
        </w:tc>
        <w:tc>
          <w:tcPr>
            <w:tcW w:w="4689" w:type="dxa"/>
            <w:vAlign w:val="center"/>
          </w:tcPr>
          <w:p w14:paraId="1DE95CF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报价采用低价优先法计算，满足采购文件要求且最终报价最低的报价单位的价格为评审基准价，其价格分为满分。其他报价单位的价格分统一按照下列公式计算：报价得分</w:t>
            </w:r>
            <w:r>
              <w:rPr>
                <w:rFonts w:ascii="仿宋_GB2312" w:hAnsi="宋体" w:eastAsia="仿宋_GB2312"/>
                <w:color w:val="auto"/>
                <w:sz w:val="24"/>
                <w:szCs w:val="24"/>
                <w:highlight w:val="none"/>
              </w:rPr>
              <w:t>=（评审基准价/最终报价）×</w:t>
            </w:r>
            <w:r>
              <w:rPr>
                <w:rFonts w:hint="eastAsia" w:ascii="仿宋_GB2312" w:hAnsi="宋体" w:eastAsia="仿宋_GB2312"/>
                <w:color w:val="auto"/>
                <w:sz w:val="24"/>
                <w:szCs w:val="24"/>
                <w:highlight w:val="none"/>
                <w:lang w:val="en-US" w:eastAsia="zh-CN"/>
              </w:rPr>
              <w:t>10</w:t>
            </w:r>
            <w:r>
              <w:rPr>
                <w:rFonts w:ascii="仿宋_GB2312" w:hAnsi="宋体" w:eastAsia="仿宋_GB2312"/>
                <w:color w:val="auto"/>
                <w:sz w:val="24"/>
                <w:szCs w:val="24"/>
                <w:highlight w:val="none"/>
              </w:rPr>
              <w:t>分</w:t>
            </w:r>
          </w:p>
        </w:tc>
        <w:tc>
          <w:tcPr>
            <w:tcW w:w="1026" w:type="dxa"/>
            <w:vAlign w:val="center"/>
          </w:tcPr>
          <w:p w14:paraId="1CA0F874">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系统分</w:t>
            </w:r>
          </w:p>
        </w:tc>
        <w:tc>
          <w:tcPr>
            <w:tcW w:w="773" w:type="dxa"/>
            <w:vAlign w:val="center"/>
          </w:tcPr>
          <w:p w14:paraId="666849DD">
            <w:pPr>
              <w:pStyle w:val="13"/>
              <w:ind w:firstLine="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w:t>
            </w:r>
          </w:p>
        </w:tc>
      </w:tr>
      <w:tr w14:paraId="007AF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E1F4B6">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2</w:t>
            </w:r>
          </w:p>
        </w:tc>
        <w:tc>
          <w:tcPr>
            <w:tcW w:w="773" w:type="dxa"/>
            <w:shd w:val="clear" w:color="auto" w:fill="auto"/>
            <w:vAlign w:val="center"/>
          </w:tcPr>
          <w:p w14:paraId="1675AC22">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商务</w:t>
            </w:r>
          </w:p>
        </w:tc>
        <w:tc>
          <w:tcPr>
            <w:tcW w:w="1665" w:type="dxa"/>
            <w:shd w:val="clear" w:color="auto" w:fill="auto"/>
            <w:vAlign w:val="center"/>
          </w:tcPr>
          <w:p w14:paraId="3B5948CD">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企业业绩</w:t>
            </w:r>
          </w:p>
        </w:tc>
        <w:tc>
          <w:tcPr>
            <w:tcW w:w="4689" w:type="dxa"/>
            <w:shd w:val="clear" w:color="auto" w:fill="auto"/>
            <w:vAlign w:val="center"/>
          </w:tcPr>
          <w:p w14:paraId="4664909A">
            <w:pPr>
              <w:pStyle w:val="13"/>
              <w:ind w:firstLine="240" w:firstLineChars="100"/>
              <w:rPr>
                <w:rFonts w:ascii="仿宋_GB2312" w:hAnsi="宋体" w:eastAsia="仿宋_GB2312" w:cs="宋体"/>
                <w:color w:val="auto"/>
                <w:sz w:val="24"/>
                <w:szCs w:val="24"/>
                <w:highlight w:val="none"/>
              </w:rPr>
            </w:pPr>
            <w:r>
              <w:rPr>
                <w:rFonts w:hint="eastAsia" w:ascii="仿宋_GB2312" w:hAnsi="宋体" w:eastAsia="仿宋_GB2312" w:cs="宋体"/>
                <w:color w:val="auto"/>
                <w:sz w:val="24"/>
                <w:szCs w:val="24"/>
                <w:highlight w:val="none"/>
              </w:rPr>
              <w:t>投标人近3年（指从开标日向前推算，精确到日，以此类推，以合同签订时间为准）完成的类似业绩，每有1项得2分，最高得</w:t>
            </w:r>
            <w:r>
              <w:rPr>
                <w:rFonts w:hint="eastAsia" w:ascii="仿宋_GB2312" w:hAnsi="宋体" w:eastAsia="仿宋_GB2312" w:cs="宋体"/>
                <w:color w:val="auto"/>
                <w:sz w:val="24"/>
                <w:szCs w:val="24"/>
                <w:highlight w:val="none"/>
                <w:lang w:val="en-US" w:eastAsia="zh-CN"/>
              </w:rPr>
              <w:t>2</w:t>
            </w:r>
            <w:r>
              <w:rPr>
                <w:rFonts w:hint="eastAsia" w:ascii="仿宋_GB2312" w:hAnsi="宋体" w:eastAsia="仿宋_GB2312" w:cs="宋体"/>
                <w:color w:val="auto"/>
                <w:sz w:val="24"/>
                <w:szCs w:val="24"/>
                <w:highlight w:val="none"/>
              </w:rPr>
              <w:t>分。</w:t>
            </w:r>
          </w:p>
          <w:p w14:paraId="3CB04F98">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宋体"/>
                <w:color w:val="auto"/>
                <w:sz w:val="24"/>
                <w:szCs w:val="24"/>
                <w:highlight w:val="none"/>
              </w:rPr>
              <w:t>【投标文件附中标通知书、合同扫描件】</w:t>
            </w:r>
          </w:p>
        </w:tc>
        <w:tc>
          <w:tcPr>
            <w:tcW w:w="1026" w:type="dxa"/>
            <w:shd w:val="clear" w:color="auto" w:fill="auto"/>
            <w:vAlign w:val="center"/>
          </w:tcPr>
          <w:p w14:paraId="0F995DD7">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客观分</w:t>
            </w:r>
          </w:p>
        </w:tc>
        <w:tc>
          <w:tcPr>
            <w:tcW w:w="773" w:type="dxa"/>
            <w:shd w:val="clear" w:color="auto" w:fill="auto"/>
            <w:vAlign w:val="center"/>
          </w:tcPr>
          <w:p w14:paraId="09B1AE5E">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2</w:t>
            </w:r>
          </w:p>
        </w:tc>
      </w:tr>
      <w:tr w14:paraId="3324D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80401F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3</w:t>
            </w:r>
          </w:p>
        </w:tc>
        <w:tc>
          <w:tcPr>
            <w:tcW w:w="773" w:type="dxa"/>
            <w:shd w:val="clear" w:color="auto" w:fill="auto"/>
            <w:vAlign w:val="center"/>
          </w:tcPr>
          <w:p w14:paraId="1CCB29AF">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技术</w:t>
            </w:r>
          </w:p>
        </w:tc>
        <w:tc>
          <w:tcPr>
            <w:tcW w:w="1665" w:type="dxa"/>
            <w:shd w:val="clear" w:color="auto" w:fill="auto"/>
            <w:vAlign w:val="center"/>
          </w:tcPr>
          <w:p w14:paraId="390AE73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产品选型</w:t>
            </w:r>
          </w:p>
        </w:tc>
        <w:tc>
          <w:tcPr>
            <w:tcW w:w="4689" w:type="dxa"/>
            <w:shd w:val="clear" w:color="auto" w:fill="auto"/>
            <w:vAlign w:val="center"/>
          </w:tcPr>
          <w:p w14:paraId="518AD7BC">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评委根据供应商所报产品的品牌、型号、产品检测报告、用户清单和生产厂家所获资信、荣誉、产品认证等证明文件的扫描件，对产品的市场认知度、专业优势等各方面情况</w:t>
            </w:r>
            <w:r>
              <w:rPr>
                <w:rFonts w:hint="eastAsia" w:ascii="仿宋_GB2312" w:hAnsi="宋体" w:eastAsia="仿宋_GB2312"/>
                <w:color w:val="auto"/>
                <w:sz w:val="24"/>
                <w:szCs w:val="24"/>
                <w:highlight w:val="none"/>
              </w:rPr>
              <w:t>以0.1分为单位进行</w:t>
            </w:r>
            <w:r>
              <w:rPr>
                <w:rFonts w:hint="eastAsia" w:ascii="仿宋_GB2312" w:hAnsi="宋体" w:eastAsia="仿宋_GB2312"/>
                <w:color w:val="auto"/>
                <w:sz w:val="24"/>
                <w:szCs w:val="24"/>
                <w:highlight w:val="none"/>
                <w:lang w:val="zh-CN"/>
              </w:rPr>
              <w:t>进行综合评审</w:t>
            </w:r>
            <w:r>
              <w:rPr>
                <w:rFonts w:hint="eastAsia" w:ascii="仿宋_GB2312" w:hAnsi="宋体" w:eastAsia="仿宋_GB2312"/>
                <w:color w:val="auto"/>
                <w:sz w:val="24"/>
                <w:szCs w:val="24"/>
                <w:highlight w:val="none"/>
              </w:rPr>
              <w:t>：</w:t>
            </w:r>
          </w:p>
          <w:p w14:paraId="46732294">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产品的市场认知度和品牌声誉度高、专业优势强、厂家资信好，</w:t>
            </w:r>
            <w:r>
              <w:rPr>
                <w:rFonts w:hint="eastAsia" w:ascii="仿宋_GB2312" w:hAnsi="宋体" w:eastAsia="仿宋_GB2312"/>
                <w:color w:val="auto"/>
                <w:sz w:val="24"/>
                <w:szCs w:val="24"/>
                <w:highlight w:val="none"/>
              </w:rPr>
              <w:t>得18-25分</w:t>
            </w:r>
            <w:r>
              <w:rPr>
                <w:rFonts w:hint="eastAsia" w:ascii="仿宋_GB2312" w:hAnsi="宋体" w:eastAsia="仿宋_GB2312"/>
                <w:color w:val="auto"/>
                <w:sz w:val="24"/>
                <w:szCs w:val="24"/>
                <w:highlight w:val="none"/>
                <w:lang w:val="zh-CN"/>
              </w:rPr>
              <w:t>；</w:t>
            </w:r>
          </w:p>
          <w:p w14:paraId="0ECCC12E">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产品的市场认知度和品牌声誉度比较好、专业优势较强、厂家资信较好，</w:t>
            </w:r>
            <w:r>
              <w:rPr>
                <w:rFonts w:hint="eastAsia" w:ascii="仿宋_GB2312" w:hAnsi="宋体" w:eastAsia="仿宋_GB2312"/>
                <w:color w:val="auto"/>
                <w:sz w:val="24"/>
                <w:szCs w:val="24"/>
                <w:highlight w:val="none"/>
              </w:rPr>
              <w:t>得9</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17</w:t>
            </w:r>
            <w:r>
              <w:rPr>
                <w:rFonts w:hint="eastAsia" w:ascii="仿宋_GB2312" w:hAnsi="宋体" w:eastAsia="仿宋_GB2312"/>
                <w:color w:val="auto"/>
                <w:sz w:val="24"/>
                <w:szCs w:val="24"/>
                <w:highlight w:val="none"/>
                <w:lang w:val="zh-CN"/>
              </w:rPr>
              <w:t>分；</w:t>
            </w:r>
          </w:p>
          <w:p w14:paraId="16B6E13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zh-CN"/>
              </w:rPr>
              <w:t>产品的市场认知度和品牌声誉度一般、专业优势一般、厂家资信一般，</w:t>
            </w:r>
            <w:r>
              <w:rPr>
                <w:rFonts w:hint="eastAsia" w:ascii="仿宋_GB2312" w:hAnsi="宋体" w:eastAsia="仿宋_GB2312"/>
                <w:color w:val="auto"/>
                <w:sz w:val="24"/>
                <w:szCs w:val="24"/>
                <w:highlight w:val="none"/>
              </w:rPr>
              <w:t>得0</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8</w:t>
            </w:r>
            <w:r>
              <w:rPr>
                <w:rFonts w:hint="eastAsia" w:ascii="仿宋_GB2312" w:hAnsi="宋体" w:eastAsia="仿宋_GB2312"/>
                <w:color w:val="auto"/>
                <w:sz w:val="24"/>
                <w:szCs w:val="24"/>
                <w:highlight w:val="none"/>
                <w:lang w:val="zh-CN"/>
              </w:rPr>
              <w:t>分。</w:t>
            </w:r>
          </w:p>
        </w:tc>
        <w:tc>
          <w:tcPr>
            <w:tcW w:w="1026" w:type="dxa"/>
            <w:shd w:val="clear" w:color="auto" w:fill="auto"/>
            <w:vAlign w:val="center"/>
          </w:tcPr>
          <w:p w14:paraId="56F6F436">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5B0392D5">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25</w:t>
            </w:r>
          </w:p>
        </w:tc>
      </w:tr>
      <w:tr w14:paraId="08D1C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8A6CC9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4</w:t>
            </w:r>
          </w:p>
        </w:tc>
        <w:tc>
          <w:tcPr>
            <w:tcW w:w="773" w:type="dxa"/>
            <w:shd w:val="clear" w:color="auto" w:fill="auto"/>
            <w:vAlign w:val="center"/>
          </w:tcPr>
          <w:p w14:paraId="220297C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5885F44D">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供货方案</w:t>
            </w:r>
          </w:p>
        </w:tc>
        <w:tc>
          <w:tcPr>
            <w:tcW w:w="4689" w:type="dxa"/>
            <w:shd w:val="clear" w:color="auto" w:fill="auto"/>
            <w:vAlign w:val="center"/>
          </w:tcPr>
          <w:p w14:paraId="31EB064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评委根据供货方案以0.1分为单位进行打分：</w:t>
            </w:r>
          </w:p>
          <w:p w14:paraId="4FD5B25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供货计划完整、方案详细、按期供货等措施及人员配备完美，能够很好的满足采购需求, 得1</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 xml:space="preserve">分 </w:t>
            </w:r>
          </w:p>
          <w:p w14:paraId="28265B9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供货计划较完整、方案详细、按期供货等措施及人员配备良好，能够较好的满足采购需求, 得</w:t>
            </w: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 xml:space="preserve">分 </w:t>
            </w:r>
          </w:p>
          <w:p w14:paraId="1C85D6C6">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供货计划一般、方案一般、只有基本的供货措施及人员，仅能基本满足采购需求, 得0-</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p>
        </w:tc>
        <w:tc>
          <w:tcPr>
            <w:tcW w:w="1026" w:type="dxa"/>
            <w:shd w:val="clear" w:color="auto" w:fill="auto"/>
            <w:vAlign w:val="center"/>
          </w:tcPr>
          <w:p w14:paraId="6955D22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1C6C7BB0">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p>
        </w:tc>
      </w:tr>
      <w:tr w14:paraId="4B728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D9BA22">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5</w:t>
            </w:r>
          </w:p>
        </w:tc>
        <w:tc>
          <w:tcPr>
            <w:tcW w:w="773" w:type="dxa"/>
            <w:shd w:val="clear" w:color="auto" w:fill="auto"/>
            <w:vAlign w:val="center"/>
          </w:tcPr>
          <w:p w14:paraId="02C6912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16BB671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w:t>
            </w:r>
          </w:p>
        </w:tc>
        <w:tc>
          <w:tcPr>
            <w:tcW w:w="4689" w:type="dxa"/>
            <w:shd w:val="clear" w:color="auto" w:fill="auto"/>
            <w:vAlign w:val="center"/>
          </w:tcPr>
          <w:p w14:paraId="5AE086EE">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评委根据质量保证措施以0.1分为单位进行打分：</w:t>
            </w:r>
          </w:p>
          <w:p w14:paraId="63642B51">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质量保证措施内容完善，针对性强，先进可行，能够很好的满足采购需求, 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67FA16E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质量保证措施内容较完善，有针对性，有可行性，能够较好的满足采购需求, 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11B4026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质量保证措施简陋或存在部分缺陷，可行性差，仅能基本满足采购需求, 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1026" w:type="dxa"/>
            <w:shd w:val="clear" w:color="auto" w:fill="auto"/>
            <w:vAlign w:val="center"/>
          </w:tcPr>
          <w:p w14:paraId="179FA9F3">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6347902A">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r w14:paraId="6100F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0" w:type="auto"/>
            <w:vAlign w:val="center"/>
          </w:tcPr>
          <w:p w14:paraId="362ECD2A">
            <w:pPr>
              <w:pStyle w:val="13"/>
              <w:ind w:firstLine="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6</w:t>
            </w:r>
          </w:p>
        </w:tc>
        <w:tc>
          <w:tcPr>
            <w:tcW w:w="0" w:type="auto"/>
            <w:shd w:val="clear" w:color="auto" w:fill="auto"/>
            <w:vAlign w:val="center"/>
          </w:tcPr>
          <w:p w14:paraId="723FD49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0" w:type="auto"/>
            <w:shd w:val="clear" w:color="auto" w:fill="auto"/>
            <w:vAlign w:val="center"/>
          </w:tcPr>
          <w:p w14:paraId="1756DE69">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售后服务承诺</w:t>
            </w:r>
          </w:p>
        </w:tc>
        <w:tc>
          <w:tcPr>
            <w:tcW w:w="0" w:type="auto"/>
            <w:shd w:val="clear" w:color="auto" w:fill="auto"/>
            <w:vAlign w:val="center"/>
          </w:tcPr>
          <w:p w14:paraId="71300D8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评委根据售后服务措施及承诺以0.1分为单位进行打分：</w:t>
            </w:r>
          </w:p>
          <w:p w14:paraId="0AB47413">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24584E32">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售后服务内容比较全面、服务措施比较完善，故障、技术支持响应时间略长，能够满足用户实际使用要求，得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5BBC031A">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售后服务内容比较简陋或存在部分缺陷，承诺的服务水平相对较低，仅能基本满足用户实际使用要求，得0-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0" w:type="auto"/>
            <w:shd w:val="clear" w:color="auto" w:fill="auto"/>
            <w:vAlign w:val="center"/>
          </w:tcPr>
          <w:p w14:paraId="7A19F07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734C842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bl>
    <w:p w14:paraId="79AE2371">
      <w:pPr>
        <w:spacing w:line="520" w:lineRule="exact"/>
        <w:ind w:firstLine="560" w:firstLineChars="200"/>
        <w:rPr>
          <w:rFonts w:ascii="仿宋_GB2312" w:hAnsi="宋体" w:eastAsia="仿宋_GB2312"/>
          <w:color w:val="auto"/>
          <w:sz w:val="28"/>
          <w:szCs w:val="21"/>
          <w:highlight w:val="none"/>
        </w:rPr>
      </w:pPr>
    </w:p>
    <w:p w14:paraId="4428A5AA">
      <w:pPr>
        <w:widowControl/>
        <w:spacing w:line="360" w:lineRule="auto"/>
        <w:rPr>
          <w:rFonts w:ascii="宋体" w:hAnsi="宋体"/>
          <w:color w:val="auto"/>
          <w:sz w:val="24"/>
          <w:highlight w:val="none"/>
        </w:rPr>
        <w:sectPr>
          <w:pgSz w:w="11906" w:h="16838"/>
          <w:pgMar w:top="1440" w:right="1080" w:bottom="1440" w:left="1080" w:header="851" w:footer="992" w:gutter="0"/>
          <w:cols w:space="720" w:num="1"/>
          <w:docGrid w:type="lines" w:linePitch="312" w:charSpace="0"/>
        </w:sectPr>
      </w:pPr>
    </w:p>
    <w:p w14:paraId="66684C51">
      <w:pPr>
        <w:spacing w:before="100" w:beforeAutospacing="1" w:after="100" w:afterAutospacing="1" w:line="415" w:lineRule="auto"/>
        <w:ind w:left="720"/>
        <w:jc w:val="center"/>
        <w:outlineLvl w:val="0"/>
        <w:rPr>
          <w:rFonts w:ascii="楷体_GB2312" w:hAnsi="宋体" w:eastAsia="楷体_GB2312" w:cs="宋体"/>
          <w:b/>
          <w:bCs/>
          <w:color w:val="auto"/>
          <w:sz w:val="44"/>
          <w:szCs w:val="44"/>
          <w:highlight w:val="none"/>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auto"/>
          <w:sz w:val="44"/>
          <w:szCs w:val="44"/>
          <w:highlight w:val="none"/>
        </w:rPr>
        <w:t>第五章 投标（响应）文件格式</w:t>
      </w:r>
    </w:p>
    <w:p w14:paraId="4A449CF0">
      <w:pPr>
        <w:jc w:val="left"/>
        <w:rPr>
          <w:rFonts w:ascii="仿宋" w:hAnsi="仿宋" w:eastAsia="仿宋"/>
          <w:color w:val="auto"/>
          <w:sz w:val="52"/>
          <w:highlight w:val="none"/>
        </w:rPr>
      </w:pPr>
    </w:p>
    <w:p w14:paraId="4545710A">
      <w:pPr>
        <w:rPr>
          <w:rFonts w:ascii="方正小标宋简体" w:hAnsi="仿宋" w:eastAsia="方正小标宋简体"/>
          <w:bCs/>
          <w:color w:val="auto"/>
          <w:sz w:val="84"/>
          <w:highlight w:val="none"/>
        </w:rPr>
      </w:pPr>
    </w:p>
    <w:p w14:paraId="140E5BE9">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响 应 文 件</w:t>
      </w:r>
    </w:p>
    <w:p w14:paraId="05E8B3DE">
      <w:pPr>
        <w:jc w:val="center"/>
        <w:rPr>
          <w:rFonts w:ascii="仿宋" w:hAnsi="仿宋" w:eastAsia="仿宋"/>
          <w:color w:val="auto"/>
          <w:sz w:val="72"/>
          <w:highlight w:val="none"/>
        </w:rPr>
      </w:pPr>
      <w:r>
        <w:rPr>
          <w:rFonts w:hint="eastAsia" w:ascii="仿宋" w:hAnsi="仿宋" w:eastAsia="仿宋" w:cs="Calibri"/>
          <w:color w:val="auto"/>
          <w:sz w:val="72"/>
          <w:highlight w:val="none"/>
        </w:rPr>
        <w:t>（第一册）</w:t>
      </w:r>
    </w:p>
    <w:p w14:paraId="4B49044B">
      <w:pPr>
        <w:jc w:val="center"/>
        <w:rPr>
          <w:rFonts w:ascii="仿宋" w:hAnsi="仿宋" w:eastAsia="仿宋"/>
          <w:color w:val="auto"/>
          <w:sz w:val="72"/>
          <w:highlight w:val="none"/>
        </w:rPr>
      </w:pPr>
    </w:p>
    <w:p w14:paraId="4B36975F">
      <w:pPr>
        <w:jc w:val="left"/>
        <w:rPr>
          <w:rFonts w:hint="eastAsia" w:ascii="仿宋" w:hAnsi="仿宋" w:eastAsia="黑体"/>
          <w:color w:val="auto"/>
          <w:sz w:val="36"/>
          <w:szCs w:val="36"/>
          <w:highlight w:val="none"/>
          <w:lang w:eastAsia="zh-CN"/>
        </w:rPr>
      </w:pPr>
      <w:r>
        <w:rPr>
          <w:rFonts w:hint="eastAsia" w:ascii="黑体" w:hAnsi="黑体" w:eastAsia="黑体"/>
          <w:bCs/>
          <w:color w:val="auto"/>
          <w:sz w:val="36"/>
          <w:szCs w:val="36"/>
          <w:highlight w:val="none"/>
        </w:rPr>
        <w:t>采购项目：</w:t>
      </w:r>
      <w:r>
        <w:rPr>
          <w:rFonts w:hint="eastAsia" w:ascii="仿宋" w:hAnsi="仿宋" w:eastAsia="仿宋"/>
          <w:bCs/>
          <w:color w:val="auto"/>
          <w:sz w:val="36"/>
          <w:szCs w:val="36"/>
          <w:highlight w:val="none"/>
          <w:lang w:eastAsia="zh-CN"/>
        </w:rPr>
        <w:t>路沿石、人行道板采购</w:t>
      </w:r>
    </w:p>
    <w:p w14:paraId="085A0775">
      <w:pPr>
        <w:jc w:val="left"/>
        <w:rPr>
          <w:rFonts w:hint="eastAsia" w:ascii="仿宋" w:hAnsi="仿宋" w:eastAsia="仿宋"/>
          <w:b/>
          <w:color w:val="auto"/>
          <w:sz w:val="36"/>
          <w:highlight w:val="none"/>
          <w:lang w:eastAsia="zh-CN"/>
        </w:rPr>
      </w:pPr>
      <w:r>
        <w:rPr>
          <w:rFonts w:hint="eastAsia" w:ascii="黑体" w:hAnsi="黑体" w:eastAsia="黑体"/>
          <w:bCs/>
          <w:color w:val="auto"/>
          <w:sz w:val="36"/>
          <w:szCs w:val="36"/>
          <w:highlight w:val="none"/>
        </w:rPr>
        <w:t>采购编号</w:t>
      </w:r>
      <w:r>
        <w:rPr>
          <w:rFonts w:hint="eastAsia" w:ascii="仿宋" w:hAnsi="仿宋" w:eastAsia="仿宋"/>
          <w:bCs/>
          <w:color w:val="auto"/>
          <w:sz w:val="36"/>
          <w:szCs w:val="36"/>
          <w:highlight w:val="none"/>
        </w:rPr>
        <w:t>：</w:t>
      </w:r>
      <w:r>
        <w:rPr>
          <w:rFonts w:hint="eastAsia" w:ascii="仿宋" w:hAnsi="仿宋" w:eastAsia="仿宋"/>
          <w:color w:val="auto"/>
          <w:sz w:val="36"/>
          <w:szCs w:val="36"/>
          <w:highlight w:val="none"/>
          <w:lang w:eastAsia="zh-CN"/>
        </w:rPr>
        <w:t>WHJX-ZB-2026-030</w:t>
      </w:r>
    </w:p>
    <w:p w14:paraId="00DCD538">
      <w:pPr>
        <w:jc w:val="left"/>
        <w:rPr>
          <w:rFonts w:hint="eastAsia" w:ascii="黑体" w:hAnsi="黑体" w:eastAsia="黑体"/>
          <w:bCs/>
          <w:color w:val="auto"/>
          <w:sz w:val="36"/>
          <w:szCs w:val="36"/>
          <w:highlight w:val="none"/>
          <w:lang w:eastAsia="zh-CN"/>
        </w:rPr>
      </w:pPr>
      <w:r>
        <w:rPr>
          <w:rFonts w:hint="eastAsia" w:ascii="黑体" w:hAnsi="黑体" w:eastAsia="黑体"/>
          <w:bCs/>
          <w:color w:val="auto"/>
          <w:sz w:val="36"/>
          <w:szCs w:val="36"/>
          <w:highlight w:val="none"/>
        </w:rPr>
        <w:t>所投包号：</w:t>
      </w:r>
      <w:r>
        <w:rPr>
          <w:rFonts w:hint="eastAsia" w:ascii="黑体" w:hAnsi="黑体" w:eastAsia="黑体"/>
          <w:bCs/>
          <w:color w:val="auto"/>
          <w:sz w:val="36"/>
          <w:szCs w:val="36"/>
          <w:highlight w:val="none"/>
          <w:lang w:val="en-US" w:eastAsia="zh-CN"/>
        </w:rPr>
        <w:t>B</w:t>
      </w:r>
    </w:p>
    <w:p w14:paraId="32EC8449">
      <w:pPr>
        <w:jc w:val="left"/>
        <w:rPr>
          <w:rFonts w:ascii="仿宋" w:hAnsi="仿宋" w:eastAsia="仿宋"/>
          <w:color w:val="auto"/>
          <w:sz w:val="36"/>
          <w:highlight w:val="none"/>
        </w:rPr>
      </w:pPr>
    </w:p>
    <w:p w14:paraId="369BAE2D">
      <w:pPr>
        <w:tabs>
          <w:tab w:val="left" w:pos="580"/>
        </w:tabs>
        <w:ind w:left="185" w:leftChars="88" w:firstLine="1800" w:firstLineChars="500"/>
        <w:rPr>
          <w:rFonts w:ascii="仿宋" w:hAnsi="仿宋" w:eastAsia="仿宋"/>
          <w:color w:val="auto"/>
          <w:sz w:val="36"/>
          <w:szCs w:val="21"/>
          <w:highlight w:val="none"/>
        </w:rPr>
      </w:pPr>
    </w:p>
    <w:p w14:paraId="0D75C888">
      <w:pPr>
        <w:tabs>
          <w:tab w:val="left" w:pos="580"/>
        </w:tabs>
        <w:ind w:left="185" w:leftChars="88" w:firstLine="1800" w:firstLineChars="500"/>
        <w:rPr>
          <w:rFonts w:ascii="仿宋_GB2312" w:hAnsi="仿宋" w:eastAsia="仿宋_GB2312"/>
          <w:color w:val="auto"/>
          <w:sz w:val="36"/>
          <w:szCs w:val="36"/>
          <w:highlight w:val="none"/>
        </w:rPr>
      </w:pPr>
    </w:p>
    <w:p w14:paraId="7A9AD2D5">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供应商名称：***有限公司</w:t>
      </w:r>
    </w:p>
    <w:p w14:paraId="209735E2">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日      期：</w:t>
      </w:r>
      <w:r>
        <w:rPr>
          <w:rFonts w:ascii="仿宋_GB2312" w:hAnsi="仿宋" w:eastAsia="仿宋_GB2312"/>
          <w:color w:val="auto"/>
          <w:sz w:val="36"/>
          <w:szCs w:val="36"/>
          <w:highlight w:val="none"/>
        </w:rPr>
        <w:t xml:space="preserve">   </w:t>
      </w:r>
      <w:r>
        <w:rPr>
          <w:rFonts w:hint="eastAsia" w:ascii="仿宋_GB2312" w:hAnsi="仿宋" w:eastAsia="仿宋_GB2312"/>
          <w:color w:val="auto"/>
          <w:sz w:val="36"/>
          <w:szCs w:val="36"/>
          <w:highlight w:val="none"/>
        </w:rPr>
        <w:t>年  月  日</w:t>
      </w:r>
    </w:p>
    <w:p w14:paraId="63FAE65B">
      <w:pPr>
        <w:widowControl/>
        <w:jc w:val="center"/>
        <w:rPr>
          <w:color w:val="auto"/>
          <w:highlight w:val="none"/>
        </w:rPr>
      </w:pPr>
      <w:r>
        <w:rPr>
          <w:rFonts w:ascii="仿宋_GB2312" w:hAnsi="仿宋" w:eastAsia="仿宋_GB2312"/>
          <w:color w:val="auto"/>
          <w:sz w:val="36"/>
          <w:szCs w:val="36"/>
          <w:highlight w:val="none"/>
        </w:rPr>
        <w:br w:type="page"/>
      </w:r>
      <w:r>
        <w:rPr>
          <w:rFonts w:ascii="黑体" w:hAnsi="黑体" w:eastAsia="黑体"/>
          <w:color w:val="auto"/>
          <w:sz w:val="44"/>
          <w:szCs w:val="44"/>
          <w:highlight w:val="none"/>
        </w:rPr>
        <w:t>目录</w:t>
      </w:r>
    </w:p>
    <w:p w14:paraId="2B64274C">
      <w:pPr>
        <w:tabs>
          <w:tab w:val="right" w:leader="dot" w:pos="8296"/>
        </w:tabs>
        <w:jc w:val="center"/>
        <w:rPr>
          <w:rFonts w:ascii="仿宋_GB2312" w:eastAsia="仿宋_GB2312"/>
          <w:color w:val="auto"/>
          <w:szCs w:val="21"/>
          <w:highlight w:val="none"/>
        </w:rPr>
      </w:pPr>
      <w:r>
        <w:rPr>
          <w:rFonts w:hint="eastAsia" w:ascii="仿宋_GB2312" w:eastAsia="仿宋_GB2312"/>
          <w:color w:val="auto"/>
          <w:sz w:val="32"/>
          <w:szCs w:val="21"/>
          <w:highlight w:val="none"/>
        </w:rPr>
        <w:t>（由供应商自行编制）</w:t>
      </w:r>
    </w:p>
    <w:p w14:paraId="3C445A36">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报价承诺函</w:t>
      </w:r>
    </w:p>
    <w:p w14:paraId="2545AE06">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7D31DEF0">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我方根据项目编号为</w:t>
      </w:r>
      <w:r>
        <w:rPr>
          <w:rFonts w:hint="eastAsia" w:ascii="仿宋_GB2312" w:hAnsi="仿宋" w:eastAsia="仿宋_GB2312"/>
          <w:color w:val="auto"/>
          <w:sz w:val="30"/>
          <w:szCs w:val="30"/>
          <w:highlight w:val="none"/>
          <w:lang w:eastAsia="zh-CN"/>
        </w:rPr>
        <w:t>WHJX-ZB-2026-030</w:t>
      </w:r>
      <w:r>
        <w:rPr>
          <w:rFonts w:hint="eastAsia" w:ascii="仿宋_GB2312" w:hAnsi="仿宋" w:eastAsia="仿宋_GB2312"/>
          <w:color w:val="auto"/>
          <w:sz w:val="30"/>
          <w:szCs w:val="30"/>
          <w:highlight w:val="none"/>
        </w:rPr>
        <w:t>项目名称为</w:t>
      </w:r>
      <w:r>
        <w:rPr>
          <w:rFonts w:hint="eastAsia" w:ascii="仿宋_GB2312" w:hAnsi="仿宋" w:eastAsia="仿宋_GB2312"/>
          <w:color w:val="auto"/>
          <w:sz w:val="30"/>
          <w:szCs w:val="30"/>
          <w:highlight w:val="none"/>
          <w:lang w:eastAsia="zh-CN"/>
        </w:rPr>
        <w:t>路沿石、人行道板采购</w:t>
      </w:r>
      <w:r>
        <w:rPr>
          <w:rFonts w:hint="eastAsia" w:ascii="仿宋_GB2312" w:hAnsi="仿宋" w:eastAsia="仿宋_GB2312"/>
          <w:color w:val="auto"/>
          <w:sz w:val="30"/>
          <w:szCs w:val="30"/>
          <w:highlight w:val="none"/>
        </w:rPr>
        <w:t>竞争谈判文件要求，经详细研究决定参加报价。</w:t>
      </w:r>
    </w:p>
    <w:p w14:paraId="7D429751">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 我方接受本采购文件中关于电子招投标的各项规定，遵守《中华人民共和国电子签名法》关于电子签名的各项规定。我方愿意按照竞争谈判文件的规定和要求提供产品，报价详见《开标（报价）一览表》。</w:t>
      </w:r>
    </w:p>
    <w:p w14:paraId="7EB4019F">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2.我方同意</w:t>
      </w:r>
      <w:r>
        <w:rPr>
          <w:rFonts w:hint="eastAsia" w:ascii="仿宋_GB2312" w:hAnsi="仿宋" w:eastAsia="仿宋_GB2312" w:cs="宋体"/>
          <w:color w:val="auto"/>
          <w:sz w:val="30"/>
          <w:szCs w:val="30"/>
          <w:highlight w:val="none"/>
        </w:rPr>
        <w:t>90天</w:t>
      </w:r>
      <w:r>
        <w:rPr>
          <w:rFonts w:hint="eastAsia" w:ascii="仿宋_GB2312" w:hAnsi="仿宋" w:eastAsia="仿宋_GB2312"/>
          <w:color w:val="auto"/>
          <w:sz w:val="30"/>
          <w:szCs w:val="30"/>
          <w:highlight w:val="none"/>
        </w:rPr>
        <w:t>的报价有效期，严格遵守响应文件的各项承诺。在此期限届满之前，本响应文件始终对我方具有约束力，并随时接受成交。我方承诺在报价有效期内不修改、撤销响应文件。</w:t>
      </w:r>
    </w:p>
    <w:p w14:paraId="5AAF3310">
      <w:pPr>
        <w:spacing w:line="560" w:lineRule="exact"/>
        <w:ind w:firstLine="600" w:firstLineChars="200"/>
        <w:rPr>
          <w:rFonts w:ascii="仿宋_GB2312" w:hAnsi="仿宋" w:eastAsia="仿宋_GB2312"/>
          <w:strike/>
          <w:color w:val="auto"/>
          <w:sz w:val="30"/>
          <w:szCs w:val="30"/>
          <w:highlight w:val="none"/>
        </w:rPr>
      </w:pPr>
      <w:r>
        <w:rPr>
          <w:rFonts w:hint="eastAsia" w:ascii="仿宋_GB2312" w:hAnsi="仿宋" w:eastAsia="仿宋_GB2312"/>
          <w:color w:val="auto"/>
          <w:sz w:val="30"/>
          <w:szCs w:val="30"/>
          <w:highlight w:val="none"/>
        </w:rPr>
        <w:t>3. 我方愿意遵守本采购文件的规定和要求并提供竞争谈判文件中要求的所有资料，若响应文件中存在虚假资料的，则视为我方隐瞒真实情况、提供虚假资料，我方愿意接受主管部门做出的行政处罚。</w:t>
      </w:r>
    </w:p>
    <w:p w14:paraId="0E46C1DC">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4.我方同意最低价是成交的主要选择标准，但不是唯一的选择标准。</w:t>
      </w:r>
    </w:p>
    <w:p w14:paraId="4B87CE9E">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5.如果我方成交：</w:t>
      </w:r>
    </w:p>
    <w:p w14:paraId="340E57FE">
      <w:pPr>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（1）我方承诺在成交通知书发出后，在规定期限内与采购人签订合同；认同本项目的付款方式并了解其中的风险；</w:t>
      </w:r>
      <w:r>
        <w:rPr>
          <w:rFonts w:ascii="仿宋_GB2312" w:hAnsi="仿宋" w:eastAsia="仿宋_GB2312"/>
          <w:color w:val="auto"/>
          <w:sz w:val="30"/>
          <w:szCs w:val="30"/>
          <w:highlight w:val="none"/>
        </w:rPr>
        <w:t xml:space="preserve"> </w:t>
      </w:r>
    </w:p>
    <w:p w14:paraId="255287E3">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（2）我方承诺在合同约定的期限内，按期、保质、保量完成供货任务；</w:t>
      </w:r>
    </w:p>
    <w:p w14:paraId="6A33D66B">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（3）我方承诺将按照竞争谈判文件的规定全额交纳代理服务费。</w:t>
      </w:r>
    </w:p>
    <w:p w14:paraId="61B5C799">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6.所有有关本报价的函电，请按下列地址联系：</w:t>
      </w:r>
    </w:p>
    <w:p w14:paraId="15B714AC">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    位：                     邮政编码：</w:t>
      </w:r>
    </w:p>
    <w:p w14:paraId="2BA0C707">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地    址：                     联 系 人：</w:t>
      </w:r>
    </w:p>
    <w:p w14:paraId="52002864">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电    话：                     传    真：</w:t>
      </w:r>
    </w:p>
    <w:p w14:paraId="6B1A5DCA">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开户名称：</w:t>
      </w:r>
    </w:p>
    <w:p w14:paraId="6D8D09F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开户银行：</w:t>
      </w:r>
    </w:p>
    <w:p w14:paraId="56C32A42">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开户账号：</w:t>
      </w:r>
    </w:p>
    <w:p w14:paraId="1838F9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供应商（盖章）： </w:t>
      </w:r>
    </w:p>
    <w:p w14:paraId="5CC391B8">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法定代表人（依法登记的负责人）或授权代表（签字或签章）：</w:t>
      </w:r>
    </w:p>
    <w:p w14:paraId="55BA22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报价日期：××年××月××日</w:t>
      </w:r>
    </w:p>
    <w:p w14:paraId="60C5913E">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p>
    <w:p w14:paraId="1661E599">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供应商资格证明文件</w:t>
      </w:r>
    </w:p>
    <w:p w14:paraId="44B1CB8A">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73DA465F">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p>
    <w:p w14:paraId="17CA912B">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12FCC67">
      <w:pPr>
        <w:ind w:right="840"/>
        <w:jc w:val="center"/>
        <w:rPr>
          <w:rFonts w:hAnsi="宋体"/>
          <w:color w:val="auto"/>
          <w:highlight w:val="none"/>
        </w:rPr>
      </w:pPr>
    </w:p>
    <w:p w14:paraId="31C16495">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633C87CF">
      <w:pPr>
        <w:tabs>
          <w:tab w:val="left" w:pos="5580"/>
        </w:tabs>
        <w:spacing w:line="600" w:lineRule="exact"/>
        <w:ind w:left="1100" w:leftChars="-29" w:hanging="1161"/>
        <w:rPr>
          <w:rFonts w:ascii="仿宋_GB2312" w:hAnsi="仿宋" w:eastAsia="仿宋_GB2312"/>
          <w:color w:val="auto"/>
          <w:sz w:val="32"/>
          <w:szCs w:val="32"/>
          <w:highlight w:val="none"/>
        </w:rPr>
      </w:pPr>
    </w:p>
    <w:p w14:paraId="24330EAE">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55C6F410">
      <w:pPr>
        <w:tabs>
          <w:tab w:val="left" w:pos="5580"/>
        </w:tabs>
        <w:spacing w:line="600" w:lineRule="exact"/>
        <w:rPr>
          <w:rFonts w:ascii="仿宋_GB2312" w:hAnsi="仿宋" w:eastAsia="仿宋_GB2312"/>
          <w:color w:val="auto"/>
          <w:sz w:val="32"/>
          <w:szCs w:val="32"/>
          <w:highlight w:val="none"/>
        </w:rPr>
      </w:pPr>
    </w:p>
    <w:p w14:paraId="4C8DF542">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7D06D0F2">
      <w:pPr>
        <w:spacing w:line="600" w:lineRule="exact"/>
        <w:rPr>
          <w:rFonts w:ascii="仿宋_GB2312" w:hAnsi="仿宋" w:eastAsia="仿宋_GB2312"/>
          <w:color w:val="auto"/>
          <w:sz w:val="32"/>
          <w:szCs w:val="32"/>
          <w:highlight w:val="none"/>
        </w:rPr>
      </w:pPr>
    </w:p>
    <w:p w14:paraId="098ACA4E">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供应商名称（公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7FC583">
      <w:pPr>
        <w:keepNext/>
        <w:keepLines/>
        <w:spacing w:before="120" w:after="120"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法人（依法登记的负责人）授权委托书</w:t>
      </w:r>
    </w:p>
    <w:p w14:paraId="3CC90EC1">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（法人代表/负责人姓名、职务）  （</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WHJX-ZB-2026-030</w:t>
      </w:r>
      <w:r>
        <w:rPr>
          <w:rFonts w:hint="eastAsia" w:ascii="仿宋_GB2312" w:hAnsi="仿宋" w:eastAsia="仿宋_GB2312"/>
          <w:color w:val="auto"/>
          <w:sz w:val="32"/>
          <w:szCs w:val="32"/>
          <w:highlight w:val="none"/>
        </w:rPr>
        <w:t>号的竞争谈判活动，以本公司名义处理一切与之有关的事宜。</w:t>
      </w:r>
    </w:p>
    <w:p w14:paraId="0847C5A1">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如果本公司在此次采购活动中成交，被授权人有权代表本公司签署采购合同。</w:t>
      </w:r>
    </w:p>
    <w:p w14:paraId="447557DA">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本授权书于</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年</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月</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日法定代表人（依法登记的负责人）签字或盖章并由被授权人签字、单位盖章生效，特此声明。</w:t>
      </w:r>
    </w:p>
    <w:p w14:paraId="64B82008">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被授权人无转委托权。</w:t>
      </w:r>
    </w:p>
    <w:p w14:paraId="06B1CAF2">
      <w:pPr>
        <w:spacing w:line="480" w:lineRule="exact"/>
        <w:ind w:firstLine="640" w:firstLineChars="200"/>
        <w:jc w:val="lef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法定代表人（依法登记的负责人）签字或签章：</w:t>
      </w:r>
    </w:p>
    <w:p w14:paraId="6DC358F0">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被授权人签字：</w:t>
      </w:r>
    </w:p>
    <w:p w14:paraId="7A37E3C6">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投标人（公章）:</w:t>
      </w:r>
    </w:p>
    <w:p w14:paraId="4D2A150C">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详细通讯地址：</w:t>
      </w:r>
    </w:p>
    <w:p w14:paraId="62763969">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邮 政 编 码 ：</w:t>
      </w:r>
    </w:p>
    <w:p w14:paraId="6C8558FE">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真：</w:t>
      </w:r>
    </w:p>
    <w:p w14:paraId="52B3FF09">
      <w:pPr>
        <w:widowControl/>
        <w:ind w:firstLine="640" w:firstLineChars="200"/>
        <w:jc w:val="left"/>
        <w:rPr>
          <w:vanish/>
          <w:color w:val="auto"/>
          <w:highlight w:val="none"/>
        </w:rPr>
      </w:pPr>
      <w:r>
        <w:rPr>
          <w:rFonts w:hint="eastAsia" w:ascii="仿宋_GB2312" w:hAnsi="仿宋" w:eastAsia="仿宋_GB2312"/>
          <w:color w:val="auto"/>
          <w:sz w:val="32"/>
          <w:szCs w:val="32"/>
          <w:highlight w:val="none"/>
        </w:rPr>
        <w:t xml:space="preserve">电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话：</w:t>
      </w:r>
    </w:p>
    <w:tbl>
      <w:tblPr>
        <w:tblStyle w:val="34"/>
        <w:tblpPr w:leftFromText="180" w:rightFromText="180" w:vertAnchor="text" w:horzAnchor="margin" w:tblpY="3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1D95A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5E4BD25C">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c>
          <w:tcPr>
            <w:tcW w:w="4786" w:type="dxa"/>
            <w:vAlign w:val="center"/>
          </w:tcPr>
          <w:p w14:paraId="1DD20850">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r>
    </w:tbl>
    <w:p w14:paraId="111AA003">
      <w:pPr>
        <w:rPr>
          <w:vanish/>
          <w:color w:val="auto"/>
          <w:highlight w:val="none"/>
        </w:rPr>
      </w:pPr>
    </w:p>
    <w:p w14:paraId="45794F1B">
      <w:pPr>
        <w:rPr>
          <w:rFonts w:ascii="仿宋_GB2312" w:hAnsi="仿宋" w:eastAsia="仿宋_GB2312"/>
          <w:b/>
          <w:color w:val="auto"/>
          <w:sz w:val="36"/>
          <w:szCs w:val="21"/>
          <w:highlight w:val="none"/>
        </w:rPr>
      </w:pPr>
    </w:p>
    <w:p w14:paraId="59DCAB9A">
      <w:pPr>
        <w:keepNext/>
        <w:keepLines/>
        <w:spacing w:before="120" w:after="120" w:line="560" w:lineRule="exact"/>
        <w:jc w:val="center"/>
        <w:outlineLvl w:val="2"/>
        <w:rPr>
          <w:rFonts w:eastAsia="黑体"/>
          <w:bCs/>
          <w:color w:val="auto"/>
          <w:sz w:val="32"/>
          <w:szCs w:val="32"/>
          <w:highlight w:val="none"/>
        </w:rPr>
      </w:pPr>
      <w:r>
        <w:rPr>
          <w:rFonts w:hint="eastAsia" w:ascii="仿宋_GB2312" w:hAnsi="仿宋" w:eastAsia="仿宋_GB2312"/>
          <w:b/>
          <w:bCs/>
          <w:color w:val="auto"/>
          <w:sz w:val="28"/>
          <w:szCs w:val="28"/>
          <w:highlight w:val="none"/>
        </w:rPr>
        <w:br w:type="page"/>
      </w:r>
      <w:r>
        <w:rPr>
          <w:rFonts w:hint="eastAsia" w:eastAsia="黑体"/>
          <w:bCs/>
          <w:color w:val="auto"/>
          <w:sz w:val="32"/>
          <w:szCs w:val="32"/>
          <w:highlight w:val="none"/>
        </w:rPr>
        <w:t>供应商依法缴纳税收和社会保障资金的声明</w:t>
      </w:r>
    </w:p>
    <w:p w14:paraId="01B0294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5E2B9B8C">
      <w:pPr>
        <w:keepNext/>
        <w:keepLines/>
        <w:spacing w:before="120" w:after="120" w:line="560" w:lineRule="exact"/>
        <w:jc w:val="center"/>
        <w:outlineLvl w:val="2"/>
        <w:rPr>
          <w:rFonts w:eastAsia="黑体"/>
          <w:bCs/>
          <w:color w:val="auto"/>
          <w:sz w:val="32"/>
          <w:szCs w:val="32"/>
          <w:highlight w:val="none"/>
        </w:rPr>
      </w:pPr>
      <w:r>
        <w:rPr>
          <w:rFonts w:ascii="Arial" w:hAnsi="Arial" w:eastAsia="黑体"/>
          <w:b/>
          <w:bCs/>
          <w:color w:val="auto"/>
          <w:sz w:val="32"/>
          <w:szCs w:val="32"/>
          <w:highlight w:val="none"/>
        </w:rPr>
        <w:br w:type="page"/>
      </w:r>
      <w:r>
        <w:rPr>
          <w:rFonts w:hint="eastAsia" w:eastAsia="黑体"/>
          <w:bCs/>
          <w:color w:val="auto"/>
          <w:sz w:val="32"/>
          <w:szCs w:val="32"/>
          <w:highlight w:val="none"/>
        </w:rPr>
        <w:t>供应商近期的完税凭证及缴纳社保资金凭证扫描件</w:t>
      </w:r>
    </w:p>
    <w:p w14:paraId="49FB2A2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（加盖报价供应商签章）</w:t>
      </w:r>
    </w:p>
    <w:p w14:paraId="438CA795">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eastAsia="黑体"/>
          <w:bCs/>
          <w:color w:val="auto"/>
          <w:sz w:val="32"/>
          <w:szCs w:val="32"/>
          <w:highlight w:val="none"/>
        </w:rPr>
        <w:t>无重大违法记录声明</w:t>
      </w:r>
    </w:p>
    <w:p w14:paraId="0605C651">
      <w:pPr>
        <w:spacing w:line="460" w:lineRule="exact"/>
        <w:ind w:left="1747" w:leftChars="832"/>
        <w:jc w:val="center"/>
        <w:rPr>
          <w:rFonts w:ascii="仿宋_GB2312" w:hAnsi="仿宋" w:eastAsia="仿宋_GB2312"/>
          <w:b/>
          <w:bCs/>
          <w:color w:val="auto"/>
          <w:sz w:val="28"/>
          <w:szCs w:val="28"/>
          <w:highlight w:val="none"/>
        </w:rPr>
      </w:pPr>
    </w:p>
    <w:p w14:paraId="2695B3F8">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582600D1">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44FA35F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4DF4BE49">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4134DEE5">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457D202">
      <w:pPr>
        <w:spacing w:line="480" w:lineRule="auto"/>
        <w:rPr>
          <w:rFonts w:ascii="仿宋_GB2312" w:hAnsi="仿宋" w:eastAsia="仿宋_GB2312"/>
          <w:bCs/>
          <w:color w:val="auto"/>
          <w:sz w:val="28"/>
          <w:szCs w:val="28"/>
          <w:highlight w:val="none"/>
        </w:rPr>
      </w:pPr>
    </w:p>
    <w:p w14:paraId="58204FE5">
      <w:pPr>
        <w:spacing w:line="480" w:lineRule="auto"/>
        <w:rPr>
          <w:rFonts w:ascii="仿宋_GB2312" w:hAnsi="仿宋" w:eastAsia="仿宋_GB2312"/>
          <w:bCs/>
          <w:color w:val="auto"/>
          <w:sz w:val="28"/>
          <w:szCs w:val="28"/>
          <w:highlight w:val="none"/>
        </w:rPr>
      </w:pPr>
    </w:p>
    <w:p w14:paraId="6AA5F4BB">
      <w:pPr>
        <w:spacing w:line="480" w:lineRule="auto"/>
        <w:rPr>
          <w:rFonts w:ascii="仿宋_GB2312" w:hAnsi="仿宋" w:eastAsia="仿宋_GB2312"/>
          <w:bCs/>
          <w:color w:val="auto"/>
          <w:sz w:val="28"/>
          <w:szCs w:val="28"/>
          <w:highlight w:val="none"/>
        </w:rPr>
      </w:pPr>
    </w:p>
    <w:p w14:paraId="7BAAA364">
      <w:pPr>
        <w:tabs>
          <w:tab w:val="left" w:pos="5580"/>
        </w:tabs>
        <w:wordWrap w:val="0"/>
        <w:spacing w:line="360" w:lineRule="auto"/>
        <w:jc w:val="righ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 xml:space="preserve">供应商全称（公章）：          </w:t>
      </w:r>
    </w:p>
    <w:p w14:paraId="5C4B1E06">
      <w:pPr>
        <w:tabs>
          <w:tab w:val="left" w:pos="5580"/>
        </w:tabs>
        <w:spacing w:line="360" w:lineRule="auto"/>
        <w:ind w:firstLine="4132" w:firstLineChars="1476"/>
        <w:jc w:val="right"/>
        <w:rPr>
          <w:rFonts w:ascii="仿宋_GB2312" w:eastAsia="仿宋_GB2312"/>
          <w:color w:val="auto"/>
          <w:sz w:val="28"/>
          <w:szCs w:val="28"/>
          <w:highlight w:val="none"/>
        </w:rPr>
      </w:pPr>
    </w:p>
    <w:p w14:paraId="48CBBF32">
      <w:pPr>
        <w:tabs>
          <w:tab w:val="left" w:pos="5580"/>
        </w:tabs>
        <w:wordWrap w:val="0"/>
        <w:spacing w:line="360" w:lineRule="auto"/>
        <w:jc w:val="right"/>
        <w:rPr>
          <w:rFonts w:ascii="仿宋_GB2312" w:eastAsia="仿宋_GB2312"/>
          <w:color w:val="auto"/>
          <w:sz w:val="28"/>
          <w:szCs w:val="28"/>
          <w:highlight w:val="none"/>
        </w:rPr>
      </w:pPr>
      <w:r>
        <w:rPr>
          <w:rFonts w:hint="eastAsia" w:ascii="仿宋_GB2312" w:hAnsi="仿宋" w:eastAsia="仿宋_GB2312"/>
          <w:bCs/>
          <w:color w:val="auto"/>
          <w:sz w:val="28"/>
          <w:szCs w:val="28"/>
          <w:highlight w:val="none"/>
        </w:rPr>
        <w:t xml:space="preserve">法定代表人（依法登记的负责人）或授权代表（签字或签章）：         </w:t>
      </w:r>
    </w:p>
    <w:p w14:paraId="4B72B409">
      <w:pPr>
        <w:tabs>
          <w:tab w:val="left" w:pos="5580"/>
        </w:tabs>
        <w:spacing w:line="360" w:lineRule="auto"/>
        <w:ind w:firstLine="4132" w:firstLineChars="1476"/>
        <w:rPr>
          <w:rFonts w:ascii="仿宋_GB2312" w:eastAsia="仿宋_GB2312"/>
          <w:color w:val="auto"/>
          <w:sz w:val="28"/>
          <w:szCs w:val="28"/>
          <w:highlight w:val="none"/>
        </w:rPr>
      </w:pPr>
    </w:p>
    <w:p w14:paraId="0A719311">
      <w:pPr>
        <w:widowControl/>
        <w:jc w:val="right"/>
        <w:rPr>
          <w:rFonts w:ascii="宋体" w:hAnsi="宋体"/>
          <w:color w:val="auto"/>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日</w:t>
      </w:r>
    </w:p>
    <w:p w14:paraId="4223A5D4">
      <w:pPr>
        <w:keepNext/>
        <w:keepLines/>
        <w:spacing w:before="120" w:after="120" w:line="560" w:lineRule="exact"/>
        <w:jc w:val="center"/>
        <w:outlineLvl w:val="2"/>
        <w:rPr>
          <w:rFonts w:eastAsia="黑体"/>
          <w:bCs/>
          <w:color w:val="auto"/>
          <w:sz w:val="32"/>
          <w:szCs w:val="32"/>
          <w:highlight w:val="none"/>
        </w:rPr>
      </w:pPr>
      <w:r>
        <w:rPr>
          <w:rFonts w:ascii="宋体" w:hAnsi="宋体" w:eastAsia="黑体"/>
          <w:bCs/>
          <w:color w:val="auto"/>
          <w:sz w:val="28"/>
          <w:szCs w:val="28"/>
          <w:highlight w:val="none"/>
        </w:rPr>
        <w:br w:type="page"/>
      </w:r>
      <w:r>
        <w:rPr>
          <w:rFonts w:hint="eastAsia" w:eastAsia="黑体"/>
          <w:bCs/>
          <w:color w:val="auto"/>
          <w:sz w:val="32"/>
          <w:szCs w:val="32"/>
          <w:highlight w:val="none"/>
        </w:rPr>
        <w:t>供应商失信查询</w:t>
      </w:r>
    </w:p>
    <w:p w14:paraId="6C9D87C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（加盖供应商公章）</w:t>
      </w:r>
    </w:p>
    <w:p w14:paraId="726E24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供应商在工商行政管理机关全国企业信用信息公示系统中未被列入严重违法失信企业名单截图或报告（</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"http://www.gsxt.gov.cn/index.html" </w:instrText>
      </w:r>
      <w:r>
        <w:rPr>
          <w:color w:val="auto"/>
          <w:highlight w:val="none"/>
        </w:rPr>
        <w:fldChar w:fldCharType="separate"/>
      </w:r>
      <w:r>
        <w:rPr>
          <w:rStyle w:val="40"/>
          <w:rFonts w:ascii="仿宋_GB2312" w:hAnsi="宋体" w:eastAsia="仿宋_GB2312"/>
          <w:color w:val="auto"/>
          <w:sz w:val="28"/>
          <w:szCs w:val="28"/>
          <w:highlight w:val="none"/>
        </w:rPr>
        <w:t>http://www.gsxt.gov.cn/index.html</w:t>
      </w:r>
      <w:r>
        <w:rPr>
          <w:rStyle w:val="40"/>
          <w:rFonts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066F82C9">
      <w:pPr>
        <w:jc w:val="center"/>
        <w:rPr>
          <w:rFonts w:ascii="黑体" w:hAnsi="黑体" w:eastAsia="黑体"/>
          <w:color w:val="auto"/>
          <w:sz w:val="32"/>
          <w:szCs w:val="32"/>
          <w:highlight w:val="none"/>
        </w:rPr>
      </w:pPr>
      <w:r>
        <w:rPr>
          <w:rFonts w:ascii="仿宋_GB2312" w:hAnsi="宋体" w:eastAsia="仿宋_GB2312"/>
          <w:color w:val="auto"/>
          <w:sz w:val="28"/>
          <w:szCs w:val="28"/>
          <w:highlight w:val="none"/>
        </w:rPr>
        <w:br w:type="page"/>
      </w:r>
      <w:r>
        <w:rPr>
          <w:rFonts w:hint="eastAsia" w:ascii="仿宋_GB2312" w:hAnsi="宋体" w:eastAsia="仿宋_GB2312"/>
          <w:color w:val="auto"/>
          <w:sz w:val="28"/>
          <w:szCs w:val="28"/>
          <w:highlight w:val="none"/>
        </w:rPr>
        <w:t>供应商、法定代表人(授权委托人)未被最高院列入失信被执行人截图（</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"http://zxgk.court.gov.cn/shixin%20/" </w:instrText>
      </w:r>
      <w:r>
        <w:rPr>
          <w:color w:val="auto"/>
          <w:highlight w:val="none"/>
        </w:rPr>
        <w:fldChar w:fldCharType="separate"/>
      </w:r>
      <w:r>
        <w:rPr>
          <w:rStyle w:val="40"/>
          <w:rFonts w:hint="eastAsia" w:ascii="仿宋_GB2312" w:hAnsi="宋体" w:eastAsia="仿宋_GB2312"/>
          <w:color w:val="auto"/>
          <w:sz w:val="28"/>
          <w:szCs w:val="28"/>
          <w:highlight w:val="none"/>
        </w:rPr>
        <w:t>http://zxgk.court.gov.cn/</w:t>
      </w:r>
      <w:r>
        <w:rPr>
          <w:rStyle w:val="40"/>
          <w:rFonts w:ascii="仿宋_GB2312" w:hAnsi="宋体" w:eastAsia="仿宋_GB2312"/>
          <w:color w:val="auto"/>
          <w:sz w:val="28"/>
          <w:szCs w:val="28"/>
          <w:highlight w:val="none"/>
        </w:rPr>
        <w:t>shixin</w:t>
      </w:r>
      <w:r>
        <w:rPr>
          <w:rStyle w:val="40"/>
          <w:rFonts w:hint="eastAsia" w:ascii="仿宋_GB2312" w:hAnsi="宋体" w:eastAsia="仿宋_GB2312"/>
          <w:color w:val="auto"/>
          <w:sz w:val="28"/>
          <w:szCs w:val="28"/>
          <w:highlight w:val="none"/>
        </w:rPr>
        <w:t>/</w:t>
      </w:r>
      <w:r>
        <w:rPr>
          <w:rStyle w:val="40"/>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7EF90CCB">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ascii="仿宋_GB2312" w:eastAsia="仿宋_GB2312"/>
          <w:bCs/>
          <w:color w:val="auto"/>
          <w:sz w:val="32"/>
          <w:szCs w:val="32"/>
          <w:highlight w:val="none"/>
        </w:rPr>
        <w:t>财务状况报告等相关材料</w:t>
      </w:r>
    </w:p>
    <w:p w14:paraId="336CB54B">
      <w:pPr>
        <w:pStyle w:val="20"/>
        <w:rPr>
          <w:color w:val="auto"/>
          <w:highlight w:val="none"/>
        </w:rPr>
      </w:pPr>
    </w:p>
    <w:p w14:paraId="6C73C74C">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rPr>
        <w:t>供应商具有履行合同所必需的设备和专业技术能力承诺函</w:t>
      </w:r>
    </w:p>
    <w:p w14:paraId="30B1B2A2">
      <w:pPr>
        <w:widowControl/>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2C1ECCCA">
      <w:pPr>
        <w:keepNext/>
        <w:keepLines/>
        <w:spacing w:before="120" w:after="120" w:line="560" w:lineRule="exact"/>
        <w:jc w:val="center"/>
        <w:outlineLvl w:val="2"/>
        <w:rPr>
          <w:rFonts w:ascii="黑体" w:hAnsi="黑体" w:eastAsia="黑体"/>
          <w:color w:val="auto"/>
          <w:sz w:val="32"/>
          <w:szCs w:val="32"/>
          <w:highlight w:val="none"/>
        </w:rPr>
      </w:pPr>
      <w:r>
        <w:rPr>
          <w:rFonts w:eastAsia="黑体"/>
          <w:bCs/>
          <w:color w:val="auto"/>
          <w:sz w:val="32"/>
          <w:szCs w:val="32"/>
          <w:highlight w:val="none"/>
        </w:rPr>
        <w:br w:type="page"/>
      </w:r>
      <w:r>
        <w:rPr>
          <w:rFonts w:hint="eastAsia" w:ascii="黑体" w:hAnsi="黑体" w:eastAsia="黑体"/>
          <w:color w:val="auto"/>
          <w:sz w:val="32"/>
          <w:szCs w:val="32"/>
          <w:highlight w:val="none"/>
        </w:rPr>
        <w:t>其他资质资格文件（如有）</w:t>
      </w:r>
    </w:p>
    <w:p w14:paraId="34A3365A">
      <w:pPr>
        <w:jc w:val="center"/>
        <w:rPr>
          <w:color w:val="auto"/>
          <w:highlight w:val="none"/>
        </w:rPr>
      </w:pPr>
      <w:r>
        <w:rPr>
          <w:rFonts w:hint="eastAsia" w:ascii="仿宋_GB2312" w:eastAsia="仿宋_GB2312"/>
          <w:color w:val="auto"/>
          <w:sz w:val="28"/>
          <w:szCs w:val="28"/>
          <w:highlight w:val="none"/>
        </w:rPr>
        <w:t>（加盖供应商公章）</w:t>
      </w:r>
    </w:p>
    <w:p w14:paraId="7468F3C8">
      <w:pPr>
        <w:widowControl/>
        <w:jc w:val="center"/>
        <w:rPr>
          <w:rFonts w:ascii="黑体" w:hAnsi="黑体" w:eastAsia="黑体"/>
          <w:color w:val="auto"/>
          <w:sz w:val="44"/>
          <w:szCs w:val="44"/>
          <w:highlight w:val="none"/>
        </w:rPr>
      </w:pPr>
      <w:r>
        <w:rPr>
          <w:color w:val="auto"/>
          <w:highlight w:val="none"/>
        </w:rPr>
        <w:br w:type="page"/>
      </w:r>
      <w:r>
        <w:rPr>
          <w:rFonts w:hint="eastAsia" w:ascii="黑体" w:hAnsi="黑体" w:eastAsia="黑体"/>
          <w:color w:val="auto"/>
          <w:sz w:val="44"/>
          <w:szCs w:val="44"/>
          <w:highlight w:val="none"/>
        </w:rPr>
        <w:t>供应商基本情况表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4E80C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95D3EB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093C8E8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7334E85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4FC187B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005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C71C806">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74136D90">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285F0F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61F285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60D4C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8A47F1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79AC44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A7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A93D3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1D9DB47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827" w:type="dxa"/>
            <w:gridSpan w:val="4"/>
            <w:vAlign w:val="center"/>
          </w:tcPr>
          <w:p w14:paraId="46219C3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1271BE8C">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7B3C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F13FE0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2D04ABA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273A1B7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4B99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C976D2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6843A4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061AC23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95A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27535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5A3E41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2B737D9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08A5B4F1">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581B4609">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AEF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15003F8E">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592DAC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2DDF632D">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6DEC843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259A48FE">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0E5E6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EB3C9EF">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256B10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12D19C1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5B564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7971D9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报价供应商情况简介</w:t>
            </w:r>
          </w:p>
        </w:tc>
      </w:tr>
      <w:tr w14:paraId="77CBD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75A21B5">
            <w:pPr>
              <w:spacing w:line="440" w:lineRule="exact"/>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bl>
    <w:p w14:paraId="615C34F7">
      <w:pPr>
        <w:rPr>
          <w:rFonts w:ascii="仿宋_GB2312" w:hAnsi="仿宋" w:eastAsia="仿宋_GB2312"/>
          <w:b/>
          <w:color w:val="auto"/>
          <w:sz w:val="44"/>
          <w:szCs w:val="44"/>
          <w:highlight w:val="none"/>
        </w:rPr>
      </w:pPr>
    </w:p>
    <w:p w14:paraId="2968D6D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36072AFC">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4C08CB74">
      <w:pPr>
        <w:spacing w:line="560" w:lineRule="exact"/>
        <w:jc w:val="right"/>
        <w:rPr>
          <w:rFonts w:ascii="黑体" w:hAnsi="黑体" w:eastAsia="黑体"/>
          <w:color w:val="auto"/>
          <w:sz w:val="44"/>
          <w:szCs w:val="44"/>
          <w:highlight w:val="none"/>
        </w:rPr>
      </w:pPr>
      <w:r>
        <w:rPr>
          <w:rFonts w:ascii="仿宋_GB2312" w:hAnsi="仿宋" w:eastAsia="仿宋_GB2312"/>
          <w:color w:val="auto"/>
          <w:sz w:val="30"/>
          <w:szCs w:val="30"/>
          <w:highlight w:val="none"/>
          <w:u w:val="single"/>
        </w:rPr>
        <w:br w:type="page"/>
      </w:r>
      <w:r>
        <w:rPr>
          <w:rFonts w:hint="eastAsia" w:ascii="黑体" w:hAnsi="黑体" w:eastAsia="黑体"/>
          <w:color w:val="auto"/>
          <w:sz w:val="44"/>
          <w:szCs w:val="44"/>
          <w:highlight w:val="none"/>
        </w:rPr>
        <w:t>报价内的备品备件、易损件及专用工具清单(如有)</w:t>
      </w:r>
    </w:p>
    <w:p w14:paraId="08720D0B">
      <w:pPr>
        <w:spacing w:line="360" w:lineRule="exact"/>
        <w:jc w:val="right"/>
        <w:rPr>
          <w:rFonts w:ascii="仿宋" w:hAnsi="仿宋" w:eastAsia="仿宋"/>
          <w:color w:val="auto"/>
          <w:sz w:val="24"/>
          <w:highlight w:val="none"/>
        </w:rPr>
      </w:pPr>
      <w:r>
        <w:rPr>
          <w:rFonts w:hint="eastAsia" w:ascii="仿宋" w:hAnsi="仿宋" w:eastAsia="仿宋"/>
          <w:color w:val="auto"/>
          <w:sz w:val="24"/>
          <w:highlight w:val="none"/>
        </w:rPr>
        <w:t>单位：元</w:t>
      </w:r>
    </w:p>
    <w:tbl>
      <w:tblPr>
        <w:tblStyle w:val="34"/>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986"/>
        <w:gridCol w:w="1275"/>
        <w:gridCol w:w="939"/>
        <w:gridCol w:w="1294"/>
        <w:gridCol w:w="1294"/>
        <w:gridCol w:w="1295"/>
        <w:gridCol w:w="1295"/>
      </w:tblGrid>
      <w:tr w14:paraId="7F34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A6B01B1">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备品备件名称</w:t>
            </w:r>
          </w:p>
        </w:tc>
        <w:tc>
          <w:tcPr>
            <w:tcW w:w="1275" w:type="dxa"/>
            <w:vAlign w:val="center"/>
          </w:tcPr>
          <w:p w14:paraId="162C9A9A">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规格型号</w:t>
            </w:r>
          </w:p>
        </w:tc>
        <w:tc>
          <w:tcPr>
            <w:tcW w:w="939" w:type="dxa"/>
            <w:vAlign w:val="center"/>
          </w:tcPr>
          <w:p w14:paraId="4833BB5E">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数量</w:t>
            </w:r>
          </w:p>
        </w:tc>
        <w:tc>
          <w:tcPr>
            <w:tcW w:w="1294" w:type="dxa"/>
            <w:vAlign w:val="center"/>
          </w:tcPr>
          <w:p w14:paraId="03A7F28C">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产地</w:t>
            </w:r>
          </w:p>
        </w:tc>
        <w:tc>
          <w:tcPr>
            <w:tcW w:w="1294" w:type="dxa"/>
            <w:vAlign w:val="center"/>
          </w:tcPr>
          <w:p w14:paraId="5D109FD4">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品牌</w:t>
            </w:r>
          </w:p>
        </w:tc>
        <w:tc>
          <w:tcPr>
            <w:tcW w:w="1295" w:type="dxa"/>
            <w:vAlign w:val="center"/>
          </w:tcPr>
          <w:p w14:paraId="61D05FFB">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单价</w:t>
            </w:r>
          </w:p>
        </w:tc>
        <w:tc>
          <w:tcPr>
            <w:tcW w:w="1295" w:type="dxa"/>
            <w:vAlign w:val="center"/>
          </w:tcPr>
          <w:p w14:paraId="11FF0377">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合价</w:t>
            </w:r>
          </w:p>
        </w:tc>
      </w:tr>
      <w:tr w14:paraId="1963A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4BF67CF">
            <w:pPr>
              <w:spacing w:line="360" w:lineRule="exact"/>
              <w:jc w:val="center"/>
              <w:rPr>
                <w:rFonts w:ascii="仿宋_GB2312" w:hAnsi="宋体" w:eastAsia="仿宋_GB2312"/>
                <w:b/>
                <w:color w:val="auto"/>
                <w:sz w:val="24"/>
                <w:highlight w:val="none"/>
              </w:rPr>
            </w:pPr>
          </w:p>
        </w:tc>
        <w:tc>
          <w:tcPr>
            <w:tcW w:w="1275" w:type="dxa"/>
            <w:vAlign w:val="center"/>
          </w:tcPr>
          <w:p w14:paraId="5DFE4757">
            <w:pPr>
              <w:spacing w:line="360" w:lineRule="exact"/>
              <w:jc w:val="center"/>
              <w:rPr>
                <w:rFonts w:ascii="仿宋_GB2312" w:hAnsi="宋体" w:eastAsia="仿宋_GB2312"/>
                <w:b/>
                <w:color w:val="auto"/>
                <w:sz w:val="24"/>
                <w:highlight w:val="none"/>
              </w:rPr>
            </w:pPr>
          </w:p>
        </w:tc>
        <w:tc>
          <w:tcPr>
            <w:tcW w:w="939" w:type="dxa"/>
            <w:vAlign w:val="center"/>
          </w:tcPr>
          <w:p w14:paraId="7F03B7F5">
            <w:pPr>
              <w:spacing w:line="360" w:lineRule="exact"/>
              <w:jc w:val="center"/>
              <w:rPr>
                <w:rFonts w:ascii="仿宋_GB2312" w:hAnsi="宋体" w:eastAsia="仿宋_GB2312"/>
                <w:b/>
                <w:color w:val="auto"/>
                <w:sz w:val="24"/>
                <w:highlight w:val="none"/>
              </w:rPr>
            </w:pPr>
          </w:p>
        </w:tc>
        <w:tc>
          <w:tcPr>
            <w:tcW w:w="1294" w:type="dxa"/>
            <w:vAlign w:val="center"/>
          </w:tcPr>
          <w:p w14:paraId="4CB52CA9">
            <w:pPr>
              <w:spacing w:line="360" w:lineRule="exact"/>
              <w:jc w:val="center"/>
              <w:rPr>
                <w:rFonts w:ascii="仿宋_GB2312" w:hAnsi="宋体" w:eastAsia="仿宋_GB2312"/>
                <w:b/>
                <w:color w:val="auto"/>
                <w:sz w:val="24"/>
                <w:highlight w:val="none"/>
              </w:rPr>
            </w:pPr>
          </w:p>
        </w:tc>
        <w:tc>
          <w:tcPr>
            <w:tcW w:w="1294" w:type="dxa"/>
            <w:vAlign w:val="center"/>
          </w:tcPr>
          <w:p w14:paraId="5D7F3692">
            <w:pPr>
              <w:spacing w:line="360" w:lineRule="exact"/>
              <w:jc w:val="center"/>
              <w:rPr>
                <w:rFonts w:ascii="仿宋_GB2312" w:hAnsi="宋体" w:eastAsia="仿宋_GB2312"/>
                <w:b/>
                <w:color w:val="auto"/>
                <w:sz w:val="24"/>
                <w:highlight w:val="none"/>
              </w:rPr>
            </w:pPr>
          </w:p>
        </w:tc>
        <w:tc>
          <w:tcPr>
            <w:tcW w:w="1295" w:type="dxa"/>
            <w:vAlign w:val="center"/>
          </w:tcPr>
          <w:p w14:paraId="745D5D72">
            <w:pPr>
              <w:spacing w:line="360" w:lineRule="exact"/>
              <w:jc w:val="center"/>
              <w:rPr>
                <w:rFonts w:ascii="仿宋_GB2312" w:hAnsi="宋体" w:eastAsia="仿宋_GB2312"/>
                <w:b/>
                <w:color w:val="auto"/>
                <w:sz w:val="24"/>
                <w:highlight w:val="none"/>
              </w:rPr>
            </w:pPr>
          </w:p>
        </w:tc>
        <w:tc>
          <w:tcPr>
            <w:tcW w:w="1295" w:type="dxa"/>
            <w:vAlign w:val="center"/>
          </w:tcPr>
          <w:p w14:paraId="3CD6D986">
            <w:pPr>
              <w:spacing w:line="360" w:lineRule="exact"/>
              <w:jc w:val="center"/>
              <w:rPr>
                <w:rFonts w:ascii="仿宋_GB2312" w:hAnsi="宋体" w:eastAsia="仿宋_GB2312"/>
                <w:b/>
                <w:color w:val="auto"/>
                <w:sz w:val="24"/>
                <w:highlight w:val="none"/>
              </w:rPr>
            </w:pPr>
          </w:p>
        </w:tc>
      </w:tr>
      <w:tr w14:paraId="41C7B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014BC3D">
            <w:pPr>
              <w:spacing w:line="360" w:lineRule="exact"/>
              <w:jc w:val="center"/>
              <w:rPr>
                <w:rFonts w:ascii="仿宋_GB2312" w:hAnsi="宋体" w:eastAsia="仿宋_GB2312"/>
                <w:b/>
                <w:color w:val="auto"/>
                <w:sz w:val="24"/>
                <w:highlight w:val="none"/>
              </w:rPr>
            </w:pPr>
          </w:p>
        </w:tc>
        <w:tc>
          <w:tcPr>
            <w:tcW w:w="1275" w:type="dxa"/>
            <w:vAlign w:val="center"/>
          </w:tcPr>
          <w:p w14:paraId="568620CA">
            <w:pPr>
              <w:spacing w:line="360" w:lineRule="exact"/>
              <w:jc w:val="center"/>
              <w:rPr>
                <w:rFonts w:ascii="仿宋_GB2312" w:hAnsi="宋体" w:eastAsia="仿宋_GB2312"/>
                <w:b/>
                <w:color w:val="auto"/>
                <w:sz w:val="24"/>
                <w:highlight w:val="none"/>
              </w:rPr>
            </w:pPr>
          </w:p>
        </w:tc>
        <w:tc>
          <w:tcPr>
            <w:tcW w:w="939" w:type="dxa"/>
            <w:vAlign w:val="center"/>
          </w:tcPr>
          <w:p w14:paraId="72A4BACC">
            <w:pPr>
              <w:spacing w:line="360" w:lineRule="exact"/>
              <w:jc w:val="center"/>
              <w:rPr>
                <w:rFonts w:ascii="仿宋_GB2312" w:hAnsi="宋体" w:eastAsia="仿宋_GB2312"/>
                <w:b/>
                <w:color w:val="auto"/>
                <w:sz w:val="24"/>
                <w:highlight w:val="none"/>
              </w:rPr>
            </w:pPr>
          </w:p>
        </w:tc>
        <w:tc>
          <w:tcPr>
            <w:tcW w:w="1294" w:type="dxa"/>
            <w:vAlign w:val="center"/>
          </w:tcPr>
          <w:p w14:paraId="349F2703">
            <w:pPr>
              <w:spacing w:line="360" w:lineRule="exact"/>
              <w:jc w:val="center"/>
              <w:rPr>
                <w:rFonts w:ascii="仿宋_GB2312" w:hAnsi="宋体" w:eastAsia="仿宋_GB2312"/>
                <w:b/>
                <w:color w:val="auto"/>
                <w:sz w:val="24"/>
                <w:highlight w:val="none"/>
              </w:rPr>
            </w:pPr>
          </w:p>
        </w:tc>
        <w:tc>
          <w:tcPr>
            <w:tcW w:w="1294" w:type="dxa"/>
            <w:vAlign w:val="center"/>
          </w:tcPr>
          <w:p w14:paraId="58A85E27">
            <w:pPr>
              <w:spacing w:line="360" w:lineRule="exact"/>
              <w:jc w:val="center"/>
              <w:rPr>
                <w:rFonts w:ascii="仿宋_GB2312" w:hAnsi="宋体" w:eastAsia="仿宋_GB2312"/>
                <w:b/>
                <w:color w:val="auto"/>
                <w:sz w:val="24"/>
                <w:highlight w:val="none"/>
              </w:rPr>
            </w:pPr>
          </w:p>
        </w:tc>
        <w:tc>
          <w:tcPr>
            <w:tcW w:w="1295" w:type="dxa"/>
            <w:vAlign w:val="center"/>
          </w:tcPr>
          <w:p w14:paraId="4E30E39F">
            <w:pPr>
              <w:spacing w:line="360" w:lineRule="exact"/>
              <w:jc w:val="center"/>
              <w:rPr>
                <w:rFonts w:ascii="仿宋_GB2312" w:hAnsi="宋体" w:eastAsia="仿宋_GB2312"/>
                <w:b/>
                <w:color w:val="auto"/>
                <w:sz w:val="24"/>
                <w:highlight w:val="none"/>
              </w:rPr>
            </w:pPr>
          </w:p>
        </w:tc>
        <w:tc>
          <w:tcPr>
            <w:tcW w:w="1295" w:type="dxa"/>
            <w:vAlign w:val="center"/>
          </w:tcPr>
          <w:p w14:paraId="4499225A">
            <w:pPr>
              <w:spacing w:line="360" w:lineRule="exact"/>
              <w:jc w:val="center"/>
              <w:rPr>
                <w:rFonts w:ascii="仿宋_GB2312" w:hAnsi="宋体" w:eastAsia="仿宋_GB2312"/>
                <w:b/>
                <w:color w:val="auto"/>
                <w:sz w:val="24"/>
                <w:highlight w:val="none"/>
              </w:rPr>
            </w:pPr>
          </w:p>
        </w:tc>
      </w:tr>
      <w:tr w14:paraId="36FCA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6BD9312">
            <w:pPr>
              <w:spacing w:line="360" w:lineRule="exact"/>
              <w:jc w:val="center"/>
              <w:rPr>
                <w:rFonts w:ascii="仿宋_GB2312" w:hAnsi="宋体" w:eastAsia="仿宋_GB2312"/>
                <w:b/>
                <w:color w:val="auto"/>
                <w:sz w:val="24"/>
                <w:highlight w:val="none"/>
              </w:rPr>
            </w:pPr>
          </w:p>
        </w:tc>
        <w:tc>
          <w:tcPr>
            <w:tcW w:w="1275" w:type="dxa"/>
            <w:vAlign w:val="center"/>
          </w:tcPr>
          <w:p w14:paraId="51BFDC86">
            <w:pPr>
              <w:spacing w:line="360" w:lineRule="exact"/>
              <w:jc w:val="center"/>
              <w:rPr>
                <w:rFonts w:ascii="仿宋_GB2312" w:hAnsi="宋体" w:eastAsia="仿宋_GB2312"/>
                <w:b/>
                <w:color w:val="auto"/>
                <w:sz w:val="24"/>
                <w:highlight w:val="none"/>
              </w:rPr>
            </w:pPr>
          </w:p>
        </w:tc>
        <w:tc>
          <w:tcPr>
            <w:tcW w:w="939" w:type="dxa"/>
            <w:vAlign w:val="center"/>
          </w:tcPr>
          <w:p w14:paraId="487BE95B">
            <w:pPr>
              <w:spacing w:line="360" w:lineRule="exact"/>
              <w:jc w:val="center"/>
              <w:rPr>
                <w:rFonts w:ascii="仿宋_GB2312" w:hAnsi="宋体" w:eastAsia="仿宋_GB2312"/>
                <w:b/>
                <w:color w:val="auto"/>
                <w:sz w:val="24"/>
                <w:highlight w:val="none"/>
              </w:rPr>
            </w:pPr>
          </w:p>
        </w:tc>
        <w:tc>
          <w:tcPr>
            <w:tcW w:w="1294" w:type="dxa"/>
            <w:vAlign w:val="center"/>
          </w:tcPr>
          <w:p w14:paraId="54B41861">
            <w:pPr>
              <w:spacing w:line="360" w:lineRule="exact"/>
              <w:jc w:val="center"/>
              <w:rPr>
                <w:rFonts w:ascii="仿宋_GB2312" w:hAnsi="宋体" w:eastAsia="仿宋_GB2312"/>
                <w:b/>
                <w:color w:val="auto"/>
                <w:sz w:val="24"/>
                <w:highlight w:val="none"/>
              </w:rPr>
            </w:pPr>
          </w:p>
        </w:tc>
        <w:tc>
          <w:tcPr>
            <w:tcW w:w="1294" w:type="dxa"/>
            <w:vAlign w:val="center"/>
          </w:tcPr>
          <w:p w14:paraId="1C1836A7">
            <w:pPr>
              <w:spacing w:line="360" w:lineRule="exact"/>
              <w:jc w:val="center"/>
              <w:rPr>
                <w:rFonts w:ascii="仿宋_GB2312" w:hAnsi="宋体" w:eastAsia="仿宋_GB2312"/>
                <w:b/>
                <w:color w:val="auto"/>
                <w:sz w:val="24"/>
                <w:highlight w:val="none"/>
              </w:rPr>
            </w:pPr>
          </w:p>
        </w:tc>
        <w:tc>
          <w:tcPr>
            <w:tcW w:w="1295" w:type="dxa"/>
            <w:vAlign w:val="center"/>
          </w:tcPr>
          <w:p w14:paraId="67F57058">
            <w:pPr>
              <w:spacing w:line="360" w:lineRule="exact"/>
              <w:jc w:val="center"/>
              <w:rPr>
                <w:rFonts w:ascii="仿宋_GB2312" w:hAnsi="宋体" w:eastAsia="仿宋_GB2312"/>
                <w:b/>
                <w:color w:val="auto"/>
                <w:sz w:val="24"/>
                <w:highlight w:val="none"/>
              </w:rPr>
            </w:pPr>
          </w:p>
        </w:tc>
        <w:tc>
          <w:tcPr>
            <w:tcW w:w="1295" w:type="dxa"/>
            <w:vAlign w:val="center"/>
          </w:tcPr>
          <w:p w14:paraId="4DE3CB57">
            <w:pPr>
              <w:spacing w:line="360" w:lineRule="exact"/>
              <w:jc w:val="center"/>
              <w:rPr>
                <w:rFonts w:ascii="仿宋_GB2312" w:hAnsi="宋体" w:eastAsia="仿宋_GB2312"/>
                <w:b/>
                <w:color w:val="auto"/>
                <w:sz w:val="24"/>
                <w:highlight w:val="none"/>
              </w:rPr>
            </w:pPr>
          </w:p>
        </w:tc>
      </w:tr>
      <w:tr w14:paraId="21B0D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69D0DD2">
            <w:pPr>
              <w:spacing w:line="360" w:lineRule="exact"/>
              <w:jc w:val="center"/>
              <w:rPr>
                <w:rFonts w:ascii="仿宋_GB2312" w:hAnsi="宋体" w:eastAsia="仿宋_GB2312"/>
                <w:b/>
                <w:color w:val="auto"/>
                <w:sz w:val="24"/>
                <w:highlight w:val="none"/>
              </w:rPr>
            </w:pPr>
          </w:p>
        </w:tc>
        <w:tc>
          <w:tcPr>
            <w:tcW w:w="1275" w:type="dxa"/>
            <w:vAlign w:val="center"/>
          </w:tcPr>
          <w:p w14:paraId="2227E418">
            <w:pPr>
              <w:spacing w:line="360" w:lineRule="exact"/>
              <w:jc w:val="center"/>
              <w:rPr>
                <w:rFonts w:ascii="仿宋_GB2312" w:hAnsi="宋体" w:eastAsia="仿宋_GB2312"/>
                <w:b/>
                <w:color w:val="auto"/>
                <w:sz w:val="24"/>
                <w:highlight w:val="none"/>
              </w:rPr>
            </w:pPr>
          </w:p>
        </w:tc>
        <w:tc>
          <w:tcPr>
            <w:tcW w:w="939" w:type="dxa"/>
            <w:vAlign w:val="center"/>
          </w:tcPr>
          <w:p w14:paraId="6F662609">
            <w:pPr>
              <w:spacing w:line="360" w:lineRule="exact"/>
              <w:jc w:val="center"/>
              <w:rPr>
                <w:rFonts w:ascii="仿宋_GB2312" w:hAnsi="宋体" w:eastAsia="仿宋_GB2312"/>
                <w:b/>
                <w:color w:val="auto"/>
                <w:sz w:val="24"/>
                <w:highlight w:val="none"/>
              </w:rPr>
            </w:pPr>
          </w:p>
        </w:tc>
        <w:tc>
          <w:tcPr>
            <w:tcW w:w="1294" w:type="dxa"/>
            <w:vAlign w:val="center"/>
          </w:tcPr>
          <w:p w14:paraId="3CCE25C0">
            <w:pPr>
              <w:spacing w:line="360" w:lineRule="exact"/>
              <w:jc w:val="center"/>
              <w:rPr>
                <w:rFonts w:ascii="仿宋_GB2312" w:hAnsi="宋体" w:eastAsia="仿宋_GB2312"/>
                <w:b/>
                <w:color w:val="auto"/>
                <w:sz w:val="24"/>
                <w:highlight w:val="none"/>
              </w:rPr>
            </w:pPr>
          </w:p>
        </w:tc>
        <w:tc>
          <w:tcPr>
            <w:tcW w:w="1294" w:type="dxa"/>
            <w:vAlign w:val="center"/>
          </w:tcPr>
          <w:p w14:paraId="4B8B019A">
            <w:pPr>
              <w:spacing w:line="360" w:lineRule="exact"/>
              <w:jc w:val="center"/>
              <w:rPr>
                <w:rFonts w:ascii="仿宋_GB2312" w:hAnsi="宋体" w:eastAsia="仿宋_GB2312"/>
                <w:b/>
                <w:color w:val="auto"/>
                <w:sz w:val="24"/>
                <w:highlight w:val="none"/>
              </w:rPr>
            </w:pPr>
          </w:p>
        </w:tc>
        <w:tc>
          <w:tcPr>
            <w:tcW w:w="1295" w:type="dxa"/>
            <w:vAlign w:val="center"/>
          </w:tcPr>
          <w:p w14:paraId="2EC95C65">
            <w:pPr>
              <w:spacing w:line="360" w:lineRule="exact"/>
              <w:jc w:val="center"/>
              <w:rPr>
                <w:rFonts w:ascii="仿宋_GB2312" w:hAnsi="宋体" w:eastAsia="仿宋_GB2312"/>
                <w:b/>
                <w:color w:val="auto"/>
                <w:sz w:val="24"/>
                <w:highlight w:val="none"/>
              </w:rPr>
            </w:pPr>
          </w:p>
        </w:tc>
        <w:tc>
          <w:tcPr>
            <w:tcW w:w="1295" w:type="dxa"/>
            <w:vAlign w:val="center"/>
          </w:tcPr>
          <w:p w14:paraId="7DEA544C">
            <w:pPr>
              <w:spacing w:line="360" w:lineRule="exact"/>
              <w:jc w:val="center"/>
              <w:rPr>
                <w:rFonts w:ascii="仿宋_GB2312" w:hAnsi="宋体" w:eastAsia="仿宋_GB2312"/>
                <w:b/>
                <w:color w:val="auto"/>
                <w:sz w:val="24"/>
                <w:highlight w:val="none"/>
              </w:rPr>
            </w:pPr>
          </w:p>
        </w:tc>
      </w:tr>
      <w:tr w14:paraId="384B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941592E">
            <w:pPr>
              <w:spacing w:line="360" w:lineRule="exact"/>
              <w:jc w:val="center"/>
              <w:rPr>
                <w:rFonts w:ascii="仿宋_GB2312" w:hAnsi="宋体" w:eastAsia="仿宋_GB2312"/>
                <w:b/>
                <w:color w:val="auto"/>
                <w:sz w:val="24"/>
                <w:highlight w:val="none"/>
              </w:rPr>
            </w:pPr>
          </w:p>
        </w:tc>
        <w:tc>
          <w:tcPr>
            <w:tcW w:w="1275" w:type="dxa"/>
            <w:vAlign w:val="center"/>
          </w:tcPr>
          <w:p w14:paraId="7B06EF82">
            <w:pPr>
              <w:spacing w:line="360" w:lineRule="exact"/>
              <w:jc w:val="center"/>
              <w:rPr>
                <w:rFonts w:ascii="仿宋_GB2312" w:hAnsi="宋体" w:eastAsia="仿宋_GB2312"/>
                <w:b/>
                <w:color w:val="auto"/>
                <w:sz w:val="24"/>
                <w:highlight w:val="none"/>
              </w:rPr>
            </w:pPr>
          </w:p>
        </w:tc>
        <w:tc>
          <w:tcPr>
            <w:tcW w:w="939" w:type="dxa"/>
            <w:vAlign w:val="center"/>
          </w:tcPr>
          <w:p w14:paraId="541F3819">
            <w:pPr>
              <w:spacing w:line="360" w:lineRule="exact"/>
              <w:jc w:val="center"/>
              <w:rPr>
                <w:rFonts w:ascii="仿宋_GB2312" w:hAnsi="宋体" w:eastAsia="仿宋_GB2312"/>
                <w:b/>
                <w:color w:val="auto"/>
                <w:sz w:val="24"/>
                <w:highlight w:val="none"/>
              </w:rPr>
            </w:pPr>
          </w:p>
        </w:tc>
        <w:tc>
          <w:tcPr>
            <w:tcW w:w="1294" w:type="dxa"/>
            <w:vAlign w:val="center"/>
          </w:tcPr>
          <w:p w14:paraId="4CB80A3F">
            <w:pPr>
              <w:spacing w:line="360" w:lineRule="exact"/>
              <w:jc w:val="center"/>
              <w:rPr>
                <w:rFonts w:ascii="仿宋_GB2312" w:hAnsi="宋体" w:eastAsia="仿宋_GB2312"/>
                <w:b/>
                <w:color w:val="auto"/>
                <w:sz w:val="24"/>
                <w:highlight w:val="none"/>
              </w:rPr>
            </w:pPr>
          </w:p>
        </w:tc>
        <w:tc>
          <w:tcPr>
            <w:tcW w:w="1294" w:type="dxa"/>
            <w:vAlign w:val="center"/>
          </w:tcPr>
          <w:p w14:paraId="4B6DF3B2">
            <w:pPr>
              <w:spacing w:line="360" w:lineRule="exact"/>
              <w:jc w:val="center"/>
              <w:rPr>
                <w:rFonts w:ascii="仿宋_GB2312" w:hAnsi="宋体" w:eastAsia="仿宋_GB2312"/>
                <w:b/>
                <w:color w:val="auto"/>
                <w:sz w:val="24"/>
                <w:highlight w:val="none"/>
              </w:rPr>
            </w:pPr>
          </w:p>
        </w:tc>
        <w:tc>
          <w:tcPr>
            <w:tcW w:w="1295" w:type="dxa"/>
            <w:vAlign w:val="center"/>
          </w:tcPr>
          <w:p w14:paraId="542AC137">
            <w:pPr>
              <w:spacing w:line="360" w:lineRule="exact"/>
              <w:jc w:val="center"/>
              <w:rPr>
                <w:rFonts w:ascii="仿宋_GB2312" w:hAnsi="宋体" w:eastAsia="仿宋_GB2312"/>
                <w:b/>
                <w:color w:val="auto"/>
                <w:sz w:val="24"/>
                <w:highlight w:val="none"/>
              </w:rPr>
            </w:pPr>
          </w:p>
        </w:tc>
        <w:tc>
          <w:tcPr>
            <w:tcW w:w="1295" w:type="dxa"/>
            <w:vAlign w:val="center"/>
          </w:tcPr>
          <w:p w14:paraId="074334C0">
            <w:pPr>
              <w:spacing w:line="360" w:lineRule="exact"/>
              <w:jc w:val="center"/>
              <w:rPr>
                <w:rFonts w:ascii="仿宋_GB2312" w:hAnsi="宋体" w:eastAsia="仿宋_GB2312"/>
                <w:b/>
                <w:color w:val="auto"/>
                <w:sz w:val="24"/>
                <w:highlight w:val="none"/>
              </w:rPr>
            </w:pPr>
          </w:p>
        </w:tc>
      </w:tr>
      <w:tr w14:paraId="21F6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3BFFA5DE">
            <w:pPr>
              <w:spacing w:line="360" w:lineRule="exact"/>
              <w:jc w:val="center"/>
              <w:rPr>
                <w:rFonts w:ascii="仿宋_GB2312" w:hAnsi="宋体" w:eastAsia="仿宋_GB2312"/>
                <w:b/>
                <w:color w:val="auto"/>
                <w:sz w:val="24"/>
                <w:highlight w:val="none"/>
              </w:rPr>
            </w:pPr>
          </w:p>
        </w:tc>
        <w:tc>
          <w:tcPr>
            <w:tcW w:w="1275" w:type="dxa"/>
            <w:vAlign w:val="center"/>
          </w:tcPr>
          <w:p w14:paraId="598B037F">
            <w:pPr>
              <w:spacing w:line="360" w:lineRule="exact"/>
              <w:jc w:val="center"/>
              <w:rPr>
                <w:rFonts w:ascii="仿宋_GB2312" w:hAnsi="宋体" w:eastAsia="仿宋_GB2312"/>
                <w:b/>
                <w:color w:val="auto"/>
                <w:sz w:val="24"/>
                <w:highlight w:val="none"/>
              </w:rPr>
            </w:pPr>
          </w:p>
        </w:tc>
        <w:tc>
          <w:tcPr>
            <w:tcW w:w="939" w:type="dxa"/>
            <w:vAlign w:val="center"/>
          </w:tcPr>
          <w:p w14:paraId="451214C6">
            <w:pPr>
              <w:spacing w:line="360" w:lineRule="exact"/>
              <w:jc w:val="center"/>
              <w:rPr>
                <w:rFonts w:ascii="仿宋_GB2312" w:hAnsi="宋体" w:eastAsia="仿宋_GB2312"/>
                <w:b/>
                <w:color w:val="auto"/>
                <w:sz w:val="24"/>
                <w:highlight w:val="none"/>
              </w:rPr>
            </w:pPr>
          </w:p>
        </w:tc>
        <w:tc>
          <w:tcPr>
            <w:tcW w:w="1294" w:type="dxa"/>
            <w:vAlign w:val="center"/>
          </w:tcPr>
          <w:p w14:paraId="61B3D083">
            <w:pPr>
              <w:spacing w:line="360" w:lineRule="exact"/>
              <w:jc w:val="center"/>
              <w:rPr>
                <w:rFonts w:ascii="仿宋_GB2312" w:hAnsi="宋体" w:eastAsia="仿宋_GB2312"/>
                <w:b/>
                <w:color w:val="auto"/>
                <w:sz w:val="24"/>
                <w:highlight w:val="none"/>
              </w:rPr>
            </w:pPr>
          </w:p>
        </w:tc>
        <w:tc>
          <w:tcPr>
            <w:tcW w:w="1294" w:type="dxa"/>
            <w:vAlign w:val="center"/>
          </w:tcPr>
          <w:p w14:paraId="4A531099">
            <w:pPr>
              <w:spacing w:line="360" w:lineRule="exact"/>
              <w:jc w:val="center"/>
              <w:rPr>
                <w:rFonts w:ascii="仿宋_GB2312" w:hAnsi="宋体" w:eastAsia="仿宋_GB2312"/>
                <w:b/>
                <w:color w:val="auto"/>
                <w:sz w:val="24"/>
                <w:highlight w:val="none"/>
              </w:rPr>
            </w:pPr>
          </w:p>
        </w:tc>
        <w:tc>
          <w:tcPr>
            <w:tcW w:w="1295" w:type="dxa"/>
            <w:vAlign w:val="center"/>
          </w:tcPr>
          <w:p w14:paraId="6FB0A3B5">
            <w:pPr>
              <w:spacing w:line="360" w:lineRule="exact"/>
              <w:jc w:val="center"/>
              <w:rPr>
                <w:rFonts w:ascii="仿宋_GB2312" w:hAnsi="宋体" w:eastAsia="仿宋_GB2312"/>
                <w:b/>
                <w:color w:val="auto"/>
                <w:sz w:val="24"/>
                <w:highlight w:val="none"/>
              </w:rPr>
            </w:pPr>
          </w:p>
        </w:tc>
        <w:tc>
          <w:tcPr>
            <w:tcW w:w="1295" w:type="dxa"/>
            <w:vAlign w:val="center"/>
          </w:tcPr>
          <w:p w14:paraId="668546B2">
            <w:pPr>
              <w:spacing w:line="360" w:lineRule="exact"/>
              <w:jc w:val="center"/>
              <w:rPr>
                <w:rFonts w:ascii="仿宋_GB2312" w:hAnsi="宋体" w:eastAsia="仿宋_GB2312"/>
                <w:b/>
                <w:color w:val="auto"/>
                <w:sz w:val="24"/>
                <w:highlight w:val="none"/>
              </w:rPr>
            </w:pPr>
          </w:p>
        </w:tc>
      </w:tr>
      <w:tr w14:paraId="7DF1F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75D9B1B4">
            <w:pPr>
              <w:spacing w:line="360" w:lineRule="exact"/>
              <w:jc w:val="center"/>
              <w:rPr>
                <w:rFonts w:ascii="仿宋_GB2312" w:hAnsi="宋体" w:eastAsia="仿宋_GB2312"/>
                <w:b/>
                <w:color w:val="auto"/>
                <w:sz w:val="24"/>
                <w:highlight w:val="none"/>
              </w:rPr>
            </w:pPr>
          </w:p>
        </w:tc>
        <w:tc>
          <w:tcPr>
            <w:tcW w:w="1275" w:type="dxa"/>
            <w:vAlign w:val="center"/>
          </w:tcPr>
          <w:p w14:paraId="3B832E2B">
            <w:pPr>
              <w:spacing w:line="360" w:lineRule="exact"/>
              <w:jc w:val="center"/>
              <w:rPr>
                <w:rFonts w:ascii="仿宋_GB2312" w:hAnsi="宋体" w:eastAsia="仿宋_GB2312"/>
                <w:b/>
                <w:color w:val="auto"/>
                <w:sz w:val="24"/>
                <w:highlight w:val="none"/>
              </w:rPr>
            </w:pPr>
          </w:p>
        </w:tc>
        <w:tc>
          <w:tcPr>
            <w:tcW w:w="939" w:type="dxa"/>
            <w:vAlign w:val="center"/>
          </w:tcPr>
          <w:p w14:paraId="328EF120">
            <w:pPr>
              <w:spacing w:line="360" w:lineRule="exact"/>
              <w:jc w:val="center"/>
              <w:rPr>
                <w:rFonts w:ascii="仿宋_GB2312" w:hAnsi="宋体" w:eastAsia="仿宋_GB2312"/>
                <w:b/>
                <w:color w:val="auto"/>
                <w:sz w:val="24"/>
                <w:highlight w:val="none"/>
              </w:rPr>
            </w:pPr>
          </w:p>
        </w:tc>
        <w:tc>
          <w:tcPr>
            <w:tcW w:w="1294" w:type="dxa"/>
            <w:vAlign w:val="center"/>
          </w:tcPr>
          <w:p w14:paraId="30C539BC">
            <w:pPr>
              <w:spacing w:line="360" w:lineRule="exact"/>
              <w:jc w:val="center"/>
              <w:rPr>
                <w:rFonts w:ascii="仿宋_GB2312" w:hAnsi="宋体" w:eastAsia="仿宋_GB2312"/>
                <w:b/>
                <w:color w:val="auto"/>
                <w:sz w:val="24"/>
                <w:highlight w:val="none"/>
              </w:rPr>
            </w:pPr>
          </w:p>
        </w:tc>
        <w:tc>
          <w:tcPr>
            <w:tcW w:w="1294" w:type="dxa"/>
            <w:vAlign w:val="center"/>
          </w:tcPr>
          <w:p w14:paraId="1944A45C">
            <w:pPr>
              <w:spacing w:line="360" w:lineRule="exact"/>
              <w:jc w:val="center"/>
              <w:rPr>
                <w:rFonts w:ascii="仿宋_GB2312" w:hAnsi="宋体" w:eastAsia="仿宋_GB2312"/>
                <w:b/>
                <w:color w:val="auto"/>
                <w:sz w:val="24"/>
                <w:highlight w:val="none"/>
              </w:rPr>
            </w:pPr>
          </w:p>
        </w:tc>
        <w:tc>
          <w:tcPr>
            <w:tcW w:w="1295" w:type="dxa"/>
            <w:vAlign w:val="center"/>
          </w:tcPr>
          <w:p w14:paraId="796226B3">
            <w:pPr>
              <w:spacing w:line="360" w:lineRule="exact"/>
              <w:jc w:val="center"/>
              <w:rPr>
                <w:rFonts w:ascii="仿宋_GB2312" w:hAnsi="宋体" w:eastAsia="仿宋_GB2312"/>
                <w:b/>
                <w:color w:val="auto"/>
                <w:sz w:val="24"/>
                <w:highlight w:val="none"/>
              </w:rPr>
            </w:pPr>
          </w:p>
        </w:tc>
        <w:tc>
          <w:tcPr>
            <w:tcW w:w="1295" w:type="dxa"/>
            <w:vAlign w:val="center"/>
          </w:tcPr>
          <w:p w14:paraId="45739398">
            <w:pPr>
              <w:spacing w:line="360" w:lineRule="exact"/>
              <w:jc w:val="center"/>
              <w:rPr>
                <w:rFonts w:ascii="仿宋_GB2312" w:hAnsi="宋体" w:eastAsia="仿宋_GB2312"/>
                <w:b/>
                <w:color w:val="auto"/>
                <w:sz w:val="24"/>
                <w:highlight w:val="none"/>
              </w:rPr>
            </w:pPr>
          </w:p>
        </w:tc>
      </w:tr>
      <w:tr w14:paraId="597DE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79F4AF8">
            <w:pPr>
              <w:spacing w:line="360" w:lineRule="exact"/>
              <w:jc w:val="center"/>
              <w:rPr>
                <w:rFonts w:ascii="仿宋_GB2312" w:hAnsi="宋体" w:eastAsia="仿宋_GB2312"/>
                <w:b/>
                <w:color w:val="auto"/>
                <w:sz w:val="24"/>
                <w:highlight w:val="none"/>
              </w:rPr>
            </w:pPr>
          </w:p>
        </w:tc>
        <w:tc>
          <w:tcPr>
            <w:tcW w:w="1275" w:type="dxa"/>
            <w:vAlign w:val="center"/>
          </w:tcPr>
          <w:p w14:paraId="450BDEBD">
            <w:pPr>
              <w:spacing w:line="360" w:lineRule="exact"/>
              <w:jc w:val="center"/>
              <w:rPr>
                <w:rFonts w:ascii="仿宋_GB2312" w:hAnsi="宋体" w:eastAsia="仿宋_GB2312"/>
                <w:b/>
                <w:color w:val="auto"/>
                <w:sz w:val="24"/>
                <w:highlight w:val="none"/>
              </w:rPr>
            </w:pPr>
          </w:p>
        </w:tc>
        <w:tc>
          <w:tcPr>
            <w:tcW w:w="939" w:type="dxa"/>
            <w:vAlign w:val="center"/>
          </w:tcPr>
          <w:p w14:paraId="736CDFE9">
            <w:pPr>
              <w:spacing w:line="360" w:lineRule="exact"/>
              <w:jc w:val="center"/>
              <w:rPr>
                <w:rFonts w:ascii="仿宋_GB2312" w:hAnsi="宋体" w:eastAsia="仿宋_GB2312"/>
                <w:b/>
                <w:color w:val="auto"/>
                <w:sz w:val="24"/>
                <w:highlight w:val="none"/>
              </w:rPr>
            </w:pPr>
          </w:p>
        </w:tc>
        <w:tc>
          <w:tcPr>
            <w:tcW w:w="1294" w:type="dxa"/>
            <w:vAlign w:val="center"/>
          </w:tcPr>
          <w:p w14:paraId="32D6D306">
            <w:pPr>
              <w:spacing w:line="360" w:lineRule="exact"/>
              <w:jc w:val="center"/>
              <w:rPr>
                <w:rFonts w:ascii="仿宋_GB2312" w:hAnsi="宋体" w:eastAsia="仿宋_GB2312"/>
                <w:b/>
                <w:color w:val="auto"/>
                <w:sz w:val="24"/>
                <w:highlight w:val="none"/>
              </w:rPr>
            </w:pPr>
          </w:p>
        </w:tc>
        <w:tc>
          <w:tcPr>
            <w:tcW w:w="1294" w:type="dxa"/>
            <w:vAlign w:val="center"/>
          </w:tcPr>
          <w:p w14:paraId="766A5DE0">
            <w:pPr>
              <w:spacing w:line="360" w:lineRule="exact"/>
              <w:jc w:val="center"/>
              <w:rPr>
                <w:rFonts w:ascii="仿宋_GB2312" w:hAnsi="宋体" w:eastAsia="仿宋_GB2312"/>
                <w:b/>
                <w:color w:val="auto"/>
                <w:sz w:val="24"/>
                <w:highlight w:val="none"/>
              </w:rPr>
            </w:pPr>
          </w:p>
        </w:tc>
        <w:tc>
          <w:tcPr>
            <w:tcW w:w="1295" w:type="dxa"/>
            <w:vAlign w:val="center"/>
          </w:tcPr>
          <w:p w14:paraId="69A04C44">
            <w:pPr>
              <w:spacing w:line="360" w:lineRule="exact"/>
              <w:jc w:val="center"/>
              <w:rPr>
                <w:rFonts w:ascii="仿宋_GB2312" w:hAnsi="宋体" w:eastAsia="仿宋_GB2312"/>
                <w:b/>
                <w:color w:val="auto"/>
                <w:sz w:val="24"/>
                <w:highlight w:val="none"/>
              </w:rPr>
            </w:pPr>
          </w:p>
        </w:tc>
        <w:tc>
          <w:tcPr>
            <w:tcW w:w="1295" w:type="dxa"/>
            <w:vAlign w:val="center"/>
          </w:tcPr>
          <w:p w14:paraId="459AAA24">
            <w:pPr>
              <w:spacing w:line="360" w:lineRule="exact"/>
              <w:jc w:val="center"/>
              <w:rPr>
                <w:rFonts w:ascii="仿宋_GB2312" w:hAnsi="宋体" w:eastAsia="仿宋_GB2312"/>
                <w:b/>
                <w:color w:val="auto"/>
                <w:sz w:val="24"/>
                <w:highlight w:val="none"/>
              </w:rPr>
            </w:pPr>
          </w:p>
        </w:tc>
      </w:tr>
      <w:tr w14:paraId="1D241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F1EC9C3">
            <w:pPr>
              <w:spacing w:line="360" w:lineRule="exact"/>
              <w:jc w:val="center"/>
              <w:rPr>
                <w:rFonts w:ascii="仿宋_GB2312" w:hAnsi="宋体" w:eastAsia="仿宋_GB2312"/>
                <w:b/>
                <w:color w:val="auto"/>
                <w:sz w:val="24"/>
                <w:highlight w:val="none"/>
              </w:rPr>
            </w:pPr>
          </w:p>
        </w:tc>
        <w:tc>
          <w:tcPr>
            <w:tcW w:w="1275" w:type="dxa"/>
            <w:vAlign w:val="center"/>
          </w:tcPr>
          <w:p w14:paraId="6B2F1E0C">
            <w:pPr>
              <w:spacing w:line="360" w:lineRule="exact"/>
              <w:jc w:val="center"/>
              <w:rPr>
                <w:rFonts w:ascii="仿宋_GB2312" w:hAnsi="宋体" w:eastAsia="仿宋_GB2312"/>
                <w:b/>
                <w:color w:val="auto"/>
                <w:sz w:val="24"/>
                <w:highlight w:val="none"/>
              </w:rPr>
            </w:pPr>
          </w:p>
        </w:tc>
        <w:tc>
          <w:tcPr>
            <w:tcW w:w="939" w:type="dxa"/>
            <w:vAlign w:val="center"/>
          </w:tcPr>
          <w:p w14:paraId="09A094E5">
            <w:pPr>
              <w:spacing w:line="360" w:lineRule="exact"/>
              <w:jc w:val="center"/>
              <w:rPr>
                <w:rFonts w:ascii="仿宋_GB2312" w:hAnsi="宋体" w:eastAsia="仿宋_GB2312"/>
                <w:b/>
                <w:color w:val="auto"/>
                <w:sz w:val="24"/>
                <w:highlight w:val="none"/>
              </w:rPr>
            </w:pPr>
          </w:p>
        </w:tc>
        <w:tc>
          <w:tcPr>
            <w:tcW w:w="1294" w:type="dxa"/>
            <w:vAlign w:val="center"/>
          </w:tcPr>
          <w:p w14:paraId="707CC345">
            <w:pPr>
              <w:spacing w:line="360" w:lineRule="exact"/>
              <w:jc w:val="center"/>
              <w:rPr>
                <w:rFonts w:ascii="仿宋_GB2312" w:hAnsi="宋体" w:eastAsia="仿宋_GB2312"/>
                <w:b/>
                <w:color w:val="auto"/>
                <w:sz w:val="24"/>
                <w:highlight w:val="none"/>
              </w:rPr>
            </w:pPr>
          </w:p>
        </w:tc>
        <w:tc>
          <w:tcPr>
            <w:tcW w:w="1294" w:type="dxa"/>
            <w:vAlign w:val="center"/>
          </w:tcPr>
          <w:p w14:paraId="7D5C231A">
            <w:pPr>
              <w:spacing w:line="360" w:lineRule="exact"/>
              <w:jc w:val="center"/>
              <w:rPr>
                <w:rFonts w:ascii="仿宋_GB2312" w:hAnsi="宋体" w:eastAsia="仿宋_GB2312"/>
                <w:b/>
                <w:color w:val="auto"/>
                <w:sz w:val="24"/>
                <w:highlight w:val="none"/>
              </w:rPr>
            </w:pPr>
          </w:p>
        </w:tc>
        <w:tc>
          <w:tcPr>
            <w:tcW w:w="1295" w:type="dxa"/>
            <w:vAlign w:val="center"/>
          </w:tcPr>
          <w:p w14:paraId="52BB9228">
            <w:pPr>
              <w:spacing w:line="360" w:lineRule="exact"/>
              <w:jc w:val="center"/>
              <w:rPr>
                <w:rFonts w:ascii="仿宋_GB2312" w:hAnsi="宋体" w:eastAsia="仿宋_GB2312"/>
                <w:b/>
                <w:color w:val="auto"/>
                <w:sz w:val="24"/>
                <w:highlight w:val="none"/>
              </w:rPr>
            </w:pPr>
          </w:p>
        </w:tc>
        <w:tc>
          <w:tcPr>
            <w:tcW w:w="1295" w:type="dxa"/>
            <w:vAlign w:val="center"/>
          </w:tcPr>
          <w:p w14:paraId="00E2F029">
            <w:pPr>
              <w:spacing w:line="360" w:lineRule="exact"/>
              <w:jc w:val="center"/>
              <w:rPr>
                <w:rFonts w:ascii="仿宋_GB2312" w:hAnsi="宋体" w:eastAsia="仿宋_GB2312"/>
                <w:b/>
                <w:color w:val="auto"/>
                <w:sz w:val="24"/>
                <w:highlight w:val="none"/>
              </w:rPr>
            </w:pPr>
          </w:p>
        </w:tc>
      </w:tr>
      <w:tr w14:paraId="2FB4E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B95885A">
            <w:pPr>
              <w:spacing w:line="360" w:lineRule="exact"/>
              <w:jc w:val="center"/>
              <w:rPr>
                <w:rFonts w:ascii="仿宋_GB2312" w:hAnsi="宋体" w:eastAsia="仿宋_GB2312"/>
                <w:b/>
                <w:color w:val="auto"/>
                <w:sz w:val="24"/>
                <w:highlight w:val="none"/>
              </w:rPr>
            </w:pPr>
          </w:p>
        </w:tc>
        <w:tc>
          <w:tcPr>
            <w:tcW w:w="1275" w:type="dxa"/>
            <w:vAlign w:val="center"/>
          </w:tcPr>
          <w:p w14:paraId="029C9045">
            <w:pPr>
              <w:spacing w:line="360" w:lineRule="exact"/>
              <w:jc w:val="center"/>
              <w:rPr>
                <w:rFonts w:ascii="仿宋_GB2312" w:hAnsi="宋体" w:eastAsia="仿宋_GB2312"/>
                <w:b/>
                <w:color w:val="auto"/>
                <w:sz w:val="24"/>
                <w:highlight w:val="none"/>
              </w:rPr>
            </w:pPr>
          </w:p>
        </w:tc>
        <w:tc>
          <w:tcPr>
            <w:tcW w:w="939" w:type="dxa"/>
            <w:vAlign w:val="center"/>
          </w:tcPr>
          <w:p w14:paraId="4B575F4D">
            <w:pPr>
              <w:spacing w:line="360" w:lineRule="exact"/>
              <w:jc w:val="center"/>
              <w:rPr>
                <w:rFonts w:ascii="仿宋_GB2312" w:hAnsi="宋体" w:eastAsia="仿宋_GB2312"/>
                <w:b/>
                <w:color w:val="auto"/>
                <w:sz w:val="24"/>
                <w:highlight w:val="none"/>
              </w:rPr>
            </w:pPr>
          </w:p>
        </w:tc>
        <w:tc>
          <w:tcPr>
            <w:tcW w:w="1294" w:type="dxa"/>
            <w:vAlign w:val="center"/>
          </w:tcPr>
          <w:p w14:paraId="71EFDFF5">
            <w:pPr>
              <w:spacing w:line="360" w:lineRule="exact"/>
              <w:jc w:val="center"/>
              <w:rPr>
                <w:rFonts w:ascii="仿宋_GB2312" w:hAnsi="宋体" w:eastAsia="仿宋_GB2312"/>
                <w:b/>
                <w:color w:val="auto"/>
                <w:sz w:val="24"/>
                <w:highlight w:val="none"/>
              </w:rPr>
            </w:pPr>
          </w:p>
        </w:tc>
        <w:tc>
          <w:tcPr>
            <w:tcW w:w="1294" w:type="dxa"/>
            <w:vAlign w:val="center"/>
          </w:tcPr>
          <w:p w14:paraId="1A6F9E09">
            <w:pPr>
              <w:spacing w:line="360" w:lineRule="exact"/>
              <w:jc w:val="center"/>
              <w:rPr>
                <w:rFonts w:ascii="仿宋_GB2312" w:hAnsi="宋体" w:eastAsia="仿宋_GB2312"/>
                <w:b/>
                <w:color w:val="auto"/>
                <w:sz w:val="24"/>
                <w:highlight w:val="none"/>
              </w:rPr>
            </w:pPr>
          </w:p>
        </w:tc>
        <w:tc>
          <w:tcPr>
            <w:tcW w:w="1295" w:type="dxa"/>
            <w:vAlign w:val="center"/>
          </w:tcPr>
          <w:p w14:paraId="470E85A1">
            <w:pPr>
              <w:spacing w:line="360" w:lineRule="exact"/>
              <w:jc w:val="center"/>
              <w:rPr>
                <w:rFonts w:ascii="仿宋_GB2312" w:hAnsi="宋体" w:eastAsia="仿宋_GB2312"/>
                <w:b/>
                <w:color w:val="auto"/>
                <w:sz w:val="24"/>
                <w:highlight w:val="none"/>
              </w:rPr>
            </w:pPr>
          </w:p>
        </w:tc>
        <w:tc>
          <w:tcPr>
            <w:tcW w:w="1295" w:type="dxa"/>
            <w:vAlign w:val="center"/>
          </w:tcPr>
          <w:p w14:paraId="13293A79">
            <w:pPr>
              <w:spacing w:line="360" w:lineRule="exact"/>
              <w:jc w:val="center"/>
              <w:rPr>
                <w:rFonts w:ascii="仿宋_GB2312" w:hAnsi="宋体" w:eastAsia="仿宋_GB2312"/>
                <w:b/>
                <w:color w:val="auto"/>
                <w:sz w:val="24"/>
                <w:highlight w:val="none"/>
              </w:rPr>
            </w:pPr>
          </w:p>
        </w:tc>
      </w:tr>
      <w:tr w14:paraId="79722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9A6A46D">
            <w:pPr>
              <w:spacing w:line="360" w:lineRule="exact"/>
              <w:jc w:val="center"/>
              <w:rPr>
                <w:rFonts w:ascii="仿宋_GB2312" w:hAnsi="宋体" w:eastAsia="仿宋_GB2312"/>
                <w:b/>
                <w:color w:val="auto"/>
                <w:sz w:val="24"/>
                <w:highlight w:val="none"/>
              </w:rPr>
            </w:pPr>
          </w:p>
        </w:tc>
        <w:tc>
          <w:tcPr>
            <w:tcW w:w="1275" w:type="dxa"/>
            <w:vAlign w:val="center"/>
          </w:tcPr>
          <w:p w14:paraId="18FED69F">
            <w:pPr>
              <w:spacing w:line="360" w:lineRule="exact"/>
              <w:jc w:val="center"/>
              <w:rPr>
                <w:rFonts w:ascii="仿宋_GB2312" w:hAnsi="宋体" w:eastAsia="仿宋_GB2312"/>
                <w:b/>
                <w:color w:val="auto"/>
                <w:sz w:val="24"/>
                <w:highlight w:val="none"/>
              </w:rPr>
            </w:pPr>
          </w:p>
        </w:tc>
        <w:tc>
          <w:tcPr>
            <w:tcW w:w="939" w:type="dxa"/>
            <w:vAlign w:val="center"/>
          </w:tcPr>
          <w:p w14:paraId="037C5042">
            <w:pPr>
              <w:spacing w:line="360" w:lineRule="exact"/>
              <w:jc w:val="center"/>
              <w:rPr>
                <w:rFonts w:ascii="仿宋_GB2312" w:hAnsi="宋体" w:eastAsia="仿宋_GB2312"/>
                <w:b/>
                <w:color w:val="auto"/>
                <w:sz w:val="24"/>
                <w:highlight w:val="none"/>
              </w:rPr>
            </w:pPr>
          </w:p>
        </w:tc>
        <w:tc>
          <w:tcPr>
            <w:tcW w:w="1294" w:type="dxa"/>
            <w:vAlign w:val="center"/>
          </w:tcPr>
          <w:p w14:paraId="531F93D2">
            <w:pPr>
              <w:spacing w:line="360" w:lineRule="exact"/>
              <w:jc w:val="center"/>
              <w:rPr>
                <w:rFonts w:ascii="仿宋_GB2312" w:hAnsi="宋体" w:eastAsia="仿宋_GB2312"/>
                <w:b/>
                <w:color w:val="auto"/>
                <w:sz w:val="24"/>
                <w:highlight w:val="none"/>
              </w:rPr>
            </w:pPr>
          </w:p>
        </w:tc>
        <w:tc>
          <w:tcPr>
            <w:tcW w:w="1294" w:type="dxa"/>
            <w:vAlign w:val="center"/>
          </w:tcPr>
          <w:p w14:paraId="7D76C0B1">
            <w:pPr>
              <w:spacing w:line="360" w:lineRule="exact"/>
              <w:jc w:val="center"/>
              <w:rPr>
                <w:rFonts w:ascii="仿宋_GB2312" w:hAnsi="宋体" w:eastAsia="仿宋_GB2312"/>
                <w:b/>
                <w:color w:val="auto"/>
                <w:sz w:val="24"/>
                <w:highlight w:val="none"/>
              </w:rPr>
            </w:pPr>
          </w:p>
        </w:tc>
        <w:tc>
          <w:tcPr>
            <w:tcW w:w="1295" w:type="dxa"/>
            <w:vAlign w:val="center"/>
          </w:tcPr>
          <w:p w14:paraId="4FCB4B99">
            <w:pPr>
              <w:spacing w:line="360" w:lineRule="exact"/>
              <w:jc w:val="center"/>
              <w:rPr>
                <w:rFonts w:ascii="仿宋_GB2312" w:hAnsi="宋体" w:eastAsia="仿宋_GB2312"/>
                <w:b/>
                <w:color w:val="auto"/>
                <w:sz w:val="24"/>
                <w:highlight w:val="none"/>
              </w:rPr>
            </w:pPr>
          </w:p>
        </w:tc>
        <w:tc>
          <w:tcPr>
            <w:tcW w:w="1295" w:type="dxa"/>
            <w:vAlign w:val="center"/>
          </w:tcPr>
          <w:p w14:paraId="45200BD1">
            <w:pPr>
              <w:spacing w:line="360" w:lineRule="exact"/>
              <w:jc w:val="center"/>
              <w:rPr>
                <w:rFonts w:ascii="仿宋_GB2312" w:hAnsi="宋体" w:eastAsia="仿宋_GB2312"/>
                <w:b/>
                <w:color w:val="auto"/>
                <w:sz w:val="24"/>
                <w:highlight w:val="none"/>
              </w:rPr>
            </w:pPr>
          </w:p>
        </w:tc>
      </w:tr>
      <w:tr w14:paraId="18B17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B191BCD">
            <w:pPr>
              <w:spacing w:line="360" w:lineRule="exact"/>
              <w:jc w:val="center"/>
              <w:rPr>
                <w:rFonts w:ascii="仿宋_GB2312" w:hAnsi="宋体" w:eastAsia="仿宋_GB2312"/>
                <w:b/>
                <w:color w:val="auto"/>
                <w:sz w:val="24"/>
                <w:highlight w:val="none"/>
              </w:rPr>
            </w:pPr>
          </w:p>
        </w:tc>
        <w:tc>
          <w:tcPr>
            <w:tcW w:w="1275" w:type="dxa"/>
            <w:vAlign w:val="center"/>
          </w:tcPr>
          <w:p w14:paraId="7D4C4A61">
            <w:pPr>
              <w:spacing w:line="360" w:lineRule="exact"/>
              <w:jc w:val="center"/>
              <w:rPr>
                <w:rFonts w:ascii="仿宋_GB2312" w:hAnsi="宋体" w:eastAsia="仿宋_GB2312"/>
                <w:b/>
                <w:color w:val="auto"/>
                <w:sz w:val="24"/>
                <w:highlight w:val="none"/>
              </w:rPr>
            </w:pPr>
          </w:p>
        </w:tc>
        <w:tc>
          <w:tcPr>
            <w:tcW w:w="939" w:type="dxa"/>
            <w:vAlign w:val="center"/>
          </w:tcPr>
          <w:p w14:paraId="72CE734E">
            <w:pPr>
              <w:spacing w:line="360" w:lineRule="exact"/>
              <w:jc w:val="center"/>
              <w:rPr>
                <w:rFonts w:ascii="仿宋_GB2312" w:hAnsi="宋体" w:eastAsia="仿宋_GB2312"/>
                <w:b/>
                <w:color w:val="auto"/>
                <w:sz w:val="24"/>
                <w:highlight w:val="none"/>
              </w:rPr>
            </w:pPr>
          </w:p>
        </w:tc>
        <w:tc>
          <w:tcPr>
            <w:tcW w:w="1294" w:type="dxa"/>
            <w:vAlign w:val="center"/>
          </w:tcPr>
          <w:p w14:paraId="752A7224">
            <w:pPr>
              <w:spacing w:line="360" w:lineRule="exact"/>
              <w:jc w:val="center"/>
              <w:rPr>
                <w:rFonts w:ascii="仿宋_GB2312" w:hAnsi="宋体" w:eastAsia="仿宋_GB2312"/>
                <w:b/>
                <w:color w:val="auto"/>
                <w:sz w:val="24"/>
                <w:highlight w:val="none"/>
              </w:rPr>
            </w:pPr>
          </w:p>
        </w:tc>
        <w:tc>
          <w:tcPr>
            <w:tcW w:w="1294" w:type="dxa"/>
            <w:vAlign w:val="center"/>
          </w:tcPr>
          <w:p w14:paraId="7869C430">
            <w:pPr>
              <w:spacing w:line="360" w:lineRule="exact"/>
              <w:jc w:val="center"/>
              <w:rPr>
                <w:rFonts w:ascii="仿宋_GB2312" w:hAnsi="宋体" w:eastAsia="仿宋_GB2312"/>
                <w:b/>
                <w:color w:val="auto"/>
                <w:sz w:val="24"/>
                <w:highlight w:val="none"/>
              </w:rPr>
            </w:pPr>
          </w:p>
        </w:tc>
        <w:tc>
          <w:tcPr>
            <w:tcW w:w="1295" w:type="dxa"/>
            <w:vAlign w:val="center"/>
          </w:tcPr>
          <w:p w14:paraId="0C98620C">
            <w:pPr>
              <w:spacing w:line="360" w:lineRule="exact"/>
              <w:jc w:val="center"/>
              <w:rPr>
                <w:rFonts w:ascii="仿宋_GB2312" w:hAnsi="宋体" w:eastAsia="仿宋_GB2312"/>
                <w:b/>
                <w:color w:val="auto"/>
                <w:sz w:val="24"/>
                <w:highlight w:val="none"/>
              </w:rPr>
            </w:pPr>
          </w:p>
        </w:tc>
        <w:tc>
          <w:tcPr>
            <w:tcW w:w="1295" w:type="dxa"/>
            <w:vAlign w:val="center"/>
          </w:tcPr>
          <w:p w14:paraId="4CF61C88">
            <w:pPr>
              <w:spacing w:line="360" w:lineRule="exact"/>
              <w:jc w:val="center"/>
              <w:rPr>
                <w:rFonts w:ascii="仿宋_GB2312" w:hAnsi="宋体" w:eastAsia="仿宋_GB2312"/>
                <w:b/>
                <w:color w:val="auto"/>
                <w:sz w:val="24"/>
                <w:highlight w:val="none"/>
              </w:rPr>
            </w:pPr>
          </w:p>
        </w:tc>
      </w:tr>
      <w:tr w14:paraId="7D812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6AB2B7F5">
            <w:pPr>
              <w:spacing w:line="360" w:lineRule="exact"/>
              <w:jc w:val="center"/>
              <w:rPr>
                <w:rFonts w:ascii="仿宋_GB2312" w:hAnsi="宋体" w:eastAsia="仿宋_GB2312"/>
                <w:b/>
                <w:color w:val="auto"/>
                <w:sz w:val="24"/>
                <w:highlight w:val="none"/>
              </w:rPr>
            </w:pPr>
          </w:p>
        </w:tc>
        <w:tc>
          <w:tcPr>
            <w:tcW w:w="1275" w:type="dxa"/>
            <w:vAlign w:val="center"/>
          </w:tcPr>
          <w:p w14:paraId="65483414">
            <w:pPr>
              <w:spacing w:line="360" w:lineRule="exact"/>
              <w:jc w:val="center"/>
              <w:rPr>
                <w:rFonts w:ascii="仿宋_GB2312" w:hAnsi="宋体" w:eastAsia="仿宋_GB2312"/>
                <w:b/>
                <w:color w:val="auto"/>
                <w:sz w:val="24"/>
                <w:highlight w:val="none"/>
              </w:rPr>
            </w:pPr>
          </w:p>
        </w:tc>
        <w:tc>
          <w:tcPr>
            <w:tcW w:w="939" w:type="dxa"/>
            <w:vAlign w:val="center"/>
          </w:tcPr>
          <w:p w14:paraId="1E02C9B2">
            <w:pPr>
              <w:spacing w:line="360" w:lineRule="exact"/>
              <w:jc w:val="center"/>
              <w:rPr>
                <w:rFonts w:ascii="仿宋_GB2312" w:hAnsi="宋体" w:eastAsia="仿宋_GB2312"/>
                <w:b/>
                <w:color w:val="auto"/>
                <w:sz w:val="24"/>
                <w:highlight w:val="none"/>
              </w:rPr>
            </w:pPr>
          </w:p>
        </w:tc>
        <w:tc>
          <w:tcPr>
            <w:tcW w:w="1294" w:type="dxa"/>
            <w:vAlign w:val="center"/>
          </w:tcPr>
          <w:p w14:paraId="6C0070C0">
            <w:pPr>
              <w:spacing w:line="360" w:lineRule="exact"/>
              <w:jc w:val="center"/>
              <w:rPr>
                <w:rFonts w:ascii="仿宋_GB2312" w:hAnsi="宋体" w:eastAsia="仿宋_GB2312"/>
                <w:b/>
                <w:color w:val="auto"/>
                <w:sz w:val="24"/>
                <w:highlight w:val="none"/>
              </w:rPr>
            </w:pPr>
          </w:p>
        </w:tc>
        <w:tc>
          <w:tcPr>
            <w:tcW w:w="1294" w:type="dxa"/>
            <w:vAlign w:val="center"/>
          </w:tcPr>
          <w:p w14:paraId="67F273B4">
            <w:pPr>
              <w:spacing w:line="360" w:lineRule="exact"/>
              <w:jc w:val="center"/>
              <w:rPr>
                <w:rFonts w:ascii="仿宋_GB2312" w:hAnsi="宋体" w:eastAsia="仿宋_GB2312"/>
                <w:b/>
                <w:color w:val="auto"/>
                <w:sz w:val="24"/>
                <w:highlight w:val="none"/>
              </w:rPr>
            </w:pPr>
          </w:p>
        </w:tc>
        <w:tc>
          <w:tcPr>
            <w:tcW w:w="1295" w:type="dxa"/>
            <w:vAlign w:val="center"/>
          </w:tcPr>
          <w:p w14:paraId="5B4DA744">
            <w:pPr>
              <w:spacing w:line="360" w:lineRule="exact"/>
              <w:jc w:val="center"/>
              <w:rPr>
                <w:rFonts w:ascii="仿宋_GB2312" w:hAnsi="宋体" w:eastAsia="仿宋_GB2312"/>
                <w:b/>
                <w:color w:val="auto"/>
                <w:sz w:val="24"/>
                <w:highlight w:val="none"/>
              </w:rPr>
            </w:pPr>
          </w:p>
        </w:tc>
        <w:tc>
          <w:tcPr>
            <w:tcW w:w="1295" w:type="dxa"/>
            <w:vAlign w:val="center"/>
          </w:tcPr>
          <w:p w14:paraId="4D16C49A">
            <w:pPr>
              <w:spacing w:line="360" w:lineRule="exact"/>
              <w:jc w:val="center"/>
              <w:rPr>
                <w:rFonts w:ascii="仿宋_GB2312" w:hAnsi="宋体" w:eastAsia="仿宋_GB2312"/>
                <w:b/>
                <w:color w:val="auto"/>
                <w:sz w:val="24"/>
                <w:highlight w:val="none"/>
              </w:rPr>
            </w:pPr>
          </w:p>
        </w:tc>
      </w:tr>
      <w:tr w14:paraId="53F58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5FAEDA08">
            <w:pPr>
              <w:spacing w:line="360" w:lineRule="exact"/>
              <w:jc w:val="center"/>
              <w:rPr>
                <w:rFonts w:ascii="仿宋_GB2312" w:hAnsi="宋体" w:eastAsia="仿宋_GB2312"/>
                <w:b/>
                <w:color w:val="auto"/>
                <w:sz w:val="24"/>
                <w:highlight w:val="none"/>
              </w:rPr>
            </w:pPr>
          </w:p>
        </w:tc>
        <w:tc>
          <w:tcPr>
            <w:tcW w:w="1275" w:type="dxa"/>
            <w:vAlign w:val="center"/>
          </w:tcPr>
          <w:p w14:paraId="51EF5838">
            <w:pPr>
              <w:spacing w:line="360" w:lineRule="exact"/>
              <w:jc w:val="center"/>
              <w:rPr>
                <w:rFonts w:ascii="仿宋_GB2312" w:hAnsi="宋体" w:eastAsia="仿宋_GB2312"/>
                <w:b/>
                <w:color w:val="auto"/>
                <w:sz w:val="24"/>
                <w:highlight w:val="none"/>
              </w:rPr>
            </w:pPr>
          </w:p>
        </w:tc>
        <w:tc>
          <w:tcPr>
            <w:tcW w:w="939" w:type="dxa"/>
            <w:vAlign w:val="center"/>
          </w:tcPr>
          <w:p w14:paraId="66184B16">
            <w:pPr>
              <w:spacing w:line="360" w:lineRule="exact"/>
              <w:jc w:val="center"/>
              <w:rPr>
                <w:rFonts w:ascii="仿宋_GB2312" w:hAnsi="宋体" w:eastAsia="仿宋_GB2312"/>
                <w:b/>
                <w:color w:val="auto"/>
                <w:sz w:val="24"/>
                <w:highlight w:val="none"/>
              </w:rPr>
            </w:pPr>
          </w:p>
        </w:tc>
        <w:tc>
          <w:tcPr>
            <w:tcW w:w="1294" w:type="dxa"/>
            <w:vAlign w:val="center"/>
          </w:tcPr>
          <w:p w14:paraId="4D0576AA">
            <w:pPr>
              <w:spacing w:line="360" w:lineRule="exact"/>
              <w:jc w:val="center"/>
              <w:rPr>
                <w:rFonts w:ascii="仿宋_GB2312" w:hAnsi="宋体" w:eastAsia="仿宋_GB2312"/>
                <w:b/>
                <w:color w:val="auto"/>
                <w:sz w:val="24"/>
                <w:highlight w:val="none"/>
              </w:rPr>
            </w:pPr>
          </w:p>
        </w:tc>
        <w:tc>
          <w:tcPr>
            <w:tcW w:w="1294" w:type="dxa"/>
            <w:vAlign w:val="center"/>
          </w:tcPr>
          <w:p w14:paraId="65A63245">
            <w:pPr>
              <w:spacing w:line="360" w:lineRule="exact"/>
              <w:jc w:val="center"/>
              <w:rPr>
                <w:rFonts w:ascii="仿宋_GB2312" w:hAnsi="宋体" w:eastAsia="仿宋_GB2312"/>
                <w:b/>
                <w:color w:val="auto"/>
                <w:sz w:val="24"/>
                <w:highlight w:val="none"/>
              </w:rPr>
            </w:pPr>
          </w:p>
        </w:tc>
        <w:tc>
          <w:tcPr>
            <w:tcW w:w="1295" w:type="dxa"/>
            <w:vAlign w:val="center"/>
          </w:tcPr>
          <w:p w14:paraId="33E36B17">
            <w:pPr>
              <w:spacing w:line="360" w:lineRule="exact"/>
              <w:jc w:val="center"/>
              <w:rPr>
                <w:rFonts w:ascii="仿宋_GB2312" w:hAnsi="宋体" w:eastAsia="仿宋_GB2312"/>
                <w:b/>
                <w:color w:val="auto"/>
                <w:sz w:val="24"/>
                <w:highlight w:val="none"/>
              </w:rPr>
            </w:pPr>
          </w:p>
        </w:tc>
        <w:tc>
          <w:tcPr>
            <w:tcW w:w="1295" w:type="dxa"/>
            <w:vAlign w:val="center"/>
          </w:tcPr>
          <w:p w14:paraId="36902C05">
            <w:pPr>
              <w:spacing w:line="360" w:lineRule="exact"/>
              <w:jc w:val="center"/>
              <w:rPr>
                <w:rFonts w:ascii="仿宋_GB2312" w:hAnsi="宋体" w:eastAsia="仿宋_GB2312"/>
                <w:b/>
                <w:color w:val="auto"/>
                <w:sz w:val="24"/>
                <w:highlight w:val="none"/>
              </w:rPr>
            </w:pPr>
          </w:p>
        </w:tc>
      </w:tr>
      <w:tr w14:paraId="5940E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E3EEDEF">
            <w:pPr>
              <w:spacing w:line="360" w:lineRule="exact"/>
              <w:jc w:val="center"/>
              <w:rPr>
                <w:rFonts w:ascii="仿宋_GB2312" w:hAnsi="宋体" w:eastAsia="仿宋_GB2312"/>
                <w:b/>
                <w:color w:val="auto"/>
                <w:sz w:val="24"/>
                <w:highlight w:val="none"/>
              </w:rPr>
            </w:pPr>
          </w:p>
        </w:tc>
        <w:tc>
          <w:tcPr>
            <w:tcW w:w="1275" w:type="dxa"/>
            <w:vAlign w:val="center"/>
          </w:tcPr>
          <w:p w14:paraId="1F3A95CF">
            <w:pPr>
              <w:spacing w:line="360" w:lineRule="exact"/>
              <w:jc w:val="center"/>
              <w:rPr>
                <w:rFonts w:ascii="仿宋_GB2312" w:hAnsi="宋体" w:eastAsia="仿宋_GB2312"/>
                <w:b/>
                <w:color w:val="auto"/>
                <w:sz w:val="24"/>
                <w:highlight w:val="none"/>
              </w:rPr>
            </w:pPr>
          </w:p>
        </w:tc>
        <w:tc>
          <w:tcPr>
            <w:tcW w:w="939" w:type="dxa"/>
            <w:vAlign w:val="center"/>
          </w:tcPr>
          <w:p w14:paraId="2591F194">
            <w:pPr>
              <w:spacing w:line="360" w:lineRule="exact"/>
              <w:jc w:val="center"/>
              <w:rPr>
                <w:rFonts w:ascii="仿宋_GB2312" w:hAnsi="宋体" w:eastAsia="仿宋_GB2312"/>
                <w:b/>
                <w:color w:val="auto"/>
                <w:sz w:val="24"/>
                <w:highlight w:val="none"/>
              </w:rPr>
            </w:pPr>
          </w:p>
        </w:tc>
        <w:tc>
          <w:tcPr>
            <w:tcW w:w="1294" w:type="dxa"/>
            <w:vAlign w:val="center"/>
          </w:tcPr>
          <w:p w14:paraId="6AED8A43">
            <w:pPr>
              <w:spacing w:line="360" w:lineRule="exact"/>
              <w:jc w:val="center"/>
              <w:rPr>
                <w:rFonts w:ascii="仿宋_GB2312" w:hAnsi="宋体" w:eastAsia="仿宋_GB2312"/>
                <w:b/>
                <w:color w:val="auto"/>
                <w:sz w:val="24"/>
                <w:highlight w:val="none"/>
              </w:rPr>
            </w:pPr>
          </w:p>
        </w:tc>
        <w:tc>
          <w:tcPr>
            <w:tcW w:w="1294" w:type="dxa"/>
            <w:vAlign w:val="center"/>
          </w:tcPr>
          <w:p w14:paraId="35DE21D4">
            <w:pPr>
              <w:spacing w:line="360" w:lineRule="exact"/>
              <w:jc w:val="center"/>
              <w:rPr>
                <w:rFonts w:ascii="仿宋_GB2312" w:hAnsi="宋体" w:eastAsia="仿宋_GB2312"/>
                <w:b/>
                <w:color w:val="auto"/>
                <w:sz w:val="24"/>
                <w:highlight w:val="none"/>
              </w:rPr>
            </w:pPr>
          </w:p>
        </w:tc>
        <w:tc>
          <w:tcPr>
            <w:tcW w:w="1295" w:type="dxa"/>
            <w:vAlign w:val="center"/>
          </w:tcPr>
          <w:p w14:paraId="25C494AA">
            <w:pPr>
              <w:spacing w:line="360" w:lineRule="exact"/>
              <w:jc w:val="center"/>
              <w:rPr>
                <w:rFonts w:ascii="仿宋_GB2312" w:hAnsi="宋体" w:eastAsia="仿宋_GB2312"/>
                <w:b/>
                <w:color w:val="auto"/>
                <w:sz w:val="24"/>
                <w:highlight w:val="none"/>
              </w:rPr>
            </w:pPr>
          </w:p>
        </w:tc>
        <w:tc>
          <w:tcPr>
            <w:tcW w:w="1295" w:type="dxa"/>
            <w:vAlign w:val="center"/>
          </w:tcPr>
          <w:p w14:paraId="0187FEA6">
            <w:pPr>
              <w:spacing w:line="360" w:lineRule="exact"/>
              <w:jc w:val="center"/>
              <w:rPr>
                <w:rFonts w:ascii="仿宋_GB2312" w:hAnsi="宋体" w:eastAsia="仿宋_GB2312"/>
                <w:b/>
                <w:color w:val="auto"/>
                <w:sz w:val="24"/>
                <w:highlight w:val="none"/>
              </w:rPr>
            </w:pPr>
          </w:p>
        </w:tc>
      </w:tr>
      <w:tr w14:paraId="6D65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9AA4B6A">
            <w:pPr>
              <w:spacing w:line="360" w:lineRule="exact"/>
              <w:jc w:val="left"/>
              <w:rPr>
                <w:rFonts w:ascii="仿宋_GB2312" w:hAnsi="宋体" w:eastAsia="仿宋_GB2312"/>
                <w:color w:val="auto"/>
                <w:sz w:val="24"/>
                <w:highlight w:val="none"/>
              </w:rPr>
            </w:pPr>
            <w:r>
              <w:rPr>
                <w:rFonts w:hint="eastAsia" w:ascii="仿宋_GB2312" w:hAnsi="仿宋" w:eastAsia="仿宋_GB2312"/>
                <w:color w:val="auto"/>
                <w:sz w:val="24"/>
                <w:highlight w:val="none"/>
              </w:rPr>
              <w:t>总计</w:t>
            </w:r>
          </w:p>
        </w:tc>
        <w:tc>
          <w:tcPr>
            <w:tcW w:w="1275" w:type="dxa"/>
            <w:vAlign w:val="center"/>
          </w:tcPr>
          <w:p w14:paraId="051BF189">
            <w:pPr>
              <w:spacing w:line="360" w:lineRule="exact"/>
              <w:jc w:val="center"/>
              <w:rPr>
                <w:rFonts w:ascii="仿宋_GB2312" w:hAnsi="宋体" w:eastAsia="仿宋_GB2312"/>
                <w:b/>
                <w:color w:val="auto"/>
                <w:sz w:val="24"/>
                <w:highlight w:val="none"/>
              </w:rPr>
            </w:pPr>
          </w:p>
        </w:tc>
        <w:tc>
          <w:tcPr>
            <w:tcW w:w="939" w:type="dxa"/>
            <w:vAlign w:val="center"/>
          </w:tcPr>
          <w:p w14:paraId="1C0DC7F3">
            <w:pPr>
              <w:spacing w:line="360" w:lineRule="exact"/>
              <w:jc w:val="center"/>
              <w:rPr>
                <w:rFonts w:ascii="仿宋_GB2312" w:hAnsi="宋体" w:eastAsia="仿宋_GB2312"/>
                <w:b/>
                <w:color w:val="auto"/>
                <w:sz w:val="24"/>
                <w:highlight w:val="none"/>
              </w:rPr>
            </w:pPr>
          </w:p>
        </w:tc>
        <w:tc>
          <w:tcPr>
            <w:tcW w:w="1294" w:type="dxa"/>
            <w:vAlign w:val="center"/>
          </w:tcPr>
          <w:p w14:paraId="57BC6B13">
            <w:pPr>
              <w:spacing w:line="360" w:lineRule="exact"/>
              <w:jc w:val="center"/>
              <w:rPr>
                <w:rFonts w:ascii="仿宋_GB2312" w:hAnsi="宋体" w:eastAsia="仿宋_GB2312"/>
                <w:b/>
                <w:color w:val="auto"/>
                <w:sz w:val="24"/>
                <w:highlight w:val="none"/>
              </w:rPr>
            </w:pPr>
          </w:p>
        </w:tc>
        <w:tc>
          <w:tcPr>
            <w:tcW w:w="1294" w:type="dxa"/>
            <w:vAlign w:val="center"/>
          </w:tcPr>
          <w:p w14:paraId="7264A1C6">
            <w:pPr>
              <w:spacing w:line="360" w:lineRule="exact"/>
              <w:jc w:val="center"/>
              <w:rPr>
                <w:rFonts w:ascii="仿宋_GB2312" w:hAnsi="宋体" w:eastAsia="仿宋_GB2312"/>
                <w:b/>
                <w:color w:val="auto"/>
                <w:sz w:val="24"/>
                <w:highlight w:val="none"/>
              </w:rPr>
            </w:pPr>
          </w:p>
        </w:tc>
        <w:tc>
          <w:tcPr>
            <w:tcW w:w="1295" w:type="dxa"/>
            <w:vAlign w:val="center"/>
          </w:tcPr>
          <w:p w14:paraId="199F1C06">
            <w:pPr>
              <w:spacing w:line="360" w:lineRule="exact"/>
              <w:jc w:val="center"/>
              <w:rPr>
                <w:rFonts w:ascii="仿宋_GB2312" w:hAnsi="宋体" w:eastAsia="仿宋_GB2312"/>
                <w:b/>
                <w:color w:val="auto"/>
                <w:sz w:val="24"/>
                <w:highlight w:val="none"/>
              </w:rPr>
            </w:pPr>
          </w:p>
        </w:tc>
        <w:tc>
          <w:tcPr>
            <w:tcW w:w="1295" w:type="dxa"/>
            <w:vAlign w:val="center"/>
          </w:tcPr>
          <w:p w14:paraId="0802C5A9">
            <w:pPr>
              <w:spacing w:line="360" w:lineRule="exact"/>
              <w:jc w:val="center"/>
              <w:rPr>
                <w:rFonts w:ascii="仿宋_GB2312" w:hAnsi="宋体" w:eastAsia="仿宋_GB2312"/>
                <w:b/>
                <w:color w:val="auto"/>
                <w:sz w:val="24"/>
                <w:highlight w:val="none"/>
              </w:rPr>
            </w:pPr>
          </w:p>
        </w:tc>
      </w:tr>
    </w:tbl>
    <w:p w14:paraId="6C46C5C7">
      <w:pPr>
        <w:spacing w:line="360" w:lineRule="exact"/>
        <w:rPr>
          <w:rFonts w:ascii="仿宋_GB2312" w:hAnsi="仿宋" w:eastAsia="仿宋_GB2312"/>
          <w:color w:val="auto"/>
          <w:sz w:val="30"/>
          <w:highlight w:val="none"/>
        </w:rPr>
      </w:pPr>
    </w:p>
    <w:p w14:paraId="721E57F4">
      <w:pPr>
        <w:spacing w:line="360" w:lineRule="exact"/>
        <w:rPr>
          <w:rFonts w:ascii="仿宋_GB2312" w:hAnsi="仿宋" w:eastAsia="仿宋_GB2312"/>
          <w:color w:val="auto"/>
          <w:sz w:val="30"/>
          <w:highlight w:val="none"/>
        </w:rPr>
      </w:pPr>
    </w:p>
    <w:p w14:paraId="112124CE">
      <w:pPr>
        <w:spacing w:line="360" w:lineRule="exact"/>
        <w:rPr>
          <w:rFonts w:ascii="仿宋_GB2312" w:hAnsi="仿宋" w:eastAsia="仿宋_GB2312"/>
          <w:color w:val="auto"/>
          <w:sz w:val="32"/>
          <w:szCs w:val="32"/>
          <w:highlight w:val="none"/>
        </w:rPr>
      </w:pPr>
    </w:p>
    <w:p w14:paraId="3F8D9B5F">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368E6F9E">
      <w:pPr>
        <w:wordWrap w:val="0"/>
        <w:spacing w:line="440" w:lineRule="exact"/>
        <w:jc w:val="right"/>
        <w:rPr>
          <w:rFonts w:ascii="仿宋_GB2312" w:hAnsi="宋体" w:eastAsia="仿宋_GB2312"/>
          <w:b/>
          <w:color w:val="auto"/>
          <w:sz w:val="32"/>
          <w:szCs w:val="32"/>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115CCDA7">
      <w:pPr>
        <w:spacing w:line="560" w:lineRule="exact"/>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r>
        <w:rPr>
          <w:rFonts w:hint="eastAsia" w:ascii="黑体" w:hAnsi="黑体" w:eastAsia="黑体"/>
          <w:color w:val="auto"/>
          <w:sz w:val="44"/>
          <w:szCs w:val="44"/>
          <w:highlight w:val="none"/>
        </w:rPr>
        <w:t>质保期内能供应的备品备件价格明细表（如有）</w:t>
      </w:r>
    </w:p>
    <w:p w14:paraId="304A3D8F">
      <w:pPr>
        <w:ind w:right="280"/>
        <w:jc w:val="right"/>
        <w:rPr>
          <w:rFonts w:ascii="仿宋_GB2312" w:hAnsi="仿宋" w:eastAsia="仿宋_GB2312"/>
          <w:bCs/>
          <w:color w:val="auto"/>
          <w:sz w:val="30"/>
          <w:szCs w:val="30"/>
          <w:highlight w:val="none"/>
          <w:u w:val="single"/>
        </w:rPr>
      </w:pPr>
      <w:r>
        <w:rPr>
          <w:rFonts w:hint="eastAsia" w:ascii="仿宋_GB2312" w:hAnsi="仿宋" w:eastAsia="仿宋_GB2312"/>
          <w:color w:val="auto"/>
          <w:sz w:val="30"/>
          <w:szCs w:val="30"/>
          <w:highlight w:val="none"/>
        </w:rPr>
        <w:t>单位：元</w:t>
      </w:r>
    </w:p>
    <w:tbl>
      <w:tblPr>
        <w:tblStyle w:val="34"/>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08"/>
        <w:gridCol w:w="1800"/>
        <w:gridCol w:w="2340"/>
        <w:gridCol w:w="900"/>
        <w:gridCol w:w="1260"/>
        <w:gridCol w:w="1080"/>
        <w:gridCol w:w="1170"/>
      </w:tblGrid>
      <w:tr w14:paraId="24F44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36"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B28722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序号</w:t>
            </w:r>
          </w:p>
        </w:tc>
        <w:tc>
          <w:tcPr>
            <w:tcW w:w="1800" w:type="dxa"/>
            <w:tcBorders>
              <w:top w:val="single" w:color="auto" w:sz="4" w:space="0"/>
              <w:left w:val="single" w:color="auto" w:sz="4" w:space="0"/>
              <w:bottom w:val="single" w:color="auto" w:sz="4" w:space="0"/>
              <w:right w:val="single" w:color="auto" w:sz="4" w:space="0"/>
            </w:tcBorders>
            <w:vAlign w:val="center"/>
          </w:tcPr>
          <w:p w14:paraId="49AF84BA">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备品备件、</w:t>
            </w:r>
          </w:p>
          <w:p w14:paraId="6D83AF8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易损件名称</w:t>
            </w:r>
          </w:p>
        </w:tc>
        <w:tc>
          <w:tcPr>
            <w:tcW w:w="2340" w:type="dxa"/>
            <w:tcBorders>
              <w:top w:val="single" w:color="auto" w:sz="4" w:space="0"/>
              <w:left w:val="single" w:color="auto" w:sz="4" w:space="0"/>
              <w:bottom w:val="single" w:color="auto" w:sz="4" w:space="0"/>
              <w:right w:val="single" w:color="auto" w:sz="4" w:space="0"/>
            </w:tcBorders>
            <w:vAlign w:val="center"/>
          </w:tcPr>
          <w:p w14:paraId="6FF0E33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规格型号</w:t>
            </w:r>
          </w:p>
        </w:tc>
        <w:tc>
          <w:tcPr>
            <w:tcW w:w="900" w:type="dxa"/>
            <w:tcBorders>
              <w:top w:val="single" w:color="auto" w:sz="4" w:space="0"/>
              <w:left w:val="single" w:color="auto" w:sz="4" w:space="0"/>
              <w:bottom w:val="single" w:color="auto" w:sz="4" w:space="0"/>
              <w:right w:val="single" w:color="auto" w:sz="4" w:space="0"/>
            </w:tcBorders>
            <w:vAlign w:val="center"/>
          </w:tcPr>
          <w:p w14:paraId="0748CE68">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数量</w:t>
            </w:r>
          </w:p>
        </w:tc>
        <w:tc>
          <w:tcPr>
            <w:tcW w:w="1260" w:type="dxa"/>
            <w:tcBorders>
              <w:top w:val="single" w:color="auto" w:sz="4" w:space="0"/>
              <w:left w:val="single" w:color="auto" w:sz="4" w:space="0"/>
              <w:bottom w:val="single" w:color="auto" w:sz="4" w:space="0"/>
              <w:right w:val="single" w:color="auto" w:sz="4" w:space="0"/>
            </w:tcBorders>
            <w:vAlign w:val="center"/>
          </w:tcPr>
          <w:p w14:paraId="0F232C26">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单价</w:t>
            </w:r>
          </w:p>
        </w:tc>
        <w:tc>
          <w:tcPr>
            <w:tcW w:w="1080" w:type="dxa"/>
            <w:tcBorders>
              <w:top w:val="single" w:color="auto" w:sz="4" w:space="0"/>
              <w:left w:val="single" w:color="auto" w:sz="4" w:space="0"/>
              <w:bottom w:val="single" w:color="auto" w:sz="4" w:space="0"/>
              <w:right w:val="single" w:color="auto" w:sz="4" w:space="0"/>
            </w:tcBorders>
            <w:vAlign w:val="center"/>
          </w:tcPr>
          <w:p w14:paraId="53616267">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合价</w:t>
            </w:r>
          </w:p>
        </w:tc>
        <w:tc>
          <w:tcPr>
            <w:tcW w:w="1170" w:type="dxa"/>
            <w:tcBorders>
              <w:top w:val="single" w:color="auto" w:sz="4" w:space="0"/>
              <w:left w:val="single" w:color="auto" w:sz="4" w:space="0"/>
              <w:bottom w:val="single" w:color="auto" w:sz="4" w:space="0"/>
              <w:right w:val="single" w:color="auto" w:sz="4" w:space="0"/>
            </w:tcBorders>
            <w:vAlign w:val="center"/>
          </w:tcPr>
          <w:p w14:paraId="5A08F6E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备注</w:t>
            </w:r>
          </w:p>
        </w:tc>
      </w:tr>
      <w:tr w14:paraId="05ADC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4AE5150C">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51655103">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36E1D04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FFF4A99">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FDD8228">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7FD729AB">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7C668FF6">
            <w:pPr>
              <w:spacing w:line="360" w:lineRule="auto"/>
              <w:jc w:val="center"/>
              <w:rPr>
                <w:rFonts w:ascii="仿宋_GB2312" w:hAnsi="仿宋" w:eastAsia="仿宋_GB2312"/>
                <w:color w:val="auto"/>
                <w:sz w:val="30"/>
                <w:szCs w:val="30"/>
                <w:highlight w:val="none"/>
              </w:rPr>
            </w:pPr>
          </w:p>
        </w:tc>
      </w:tr>
      <w:tr w14:paraId="467F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75C01E75">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65D74C6">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2A55BCF4">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363E9B22">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1AD22D9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C2AA85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5B8989FE">
            <w:pPr>
              <w:spacing w:line="360" w:lineRule="auto"/>
              <w:jc w:val="center"/>
              <w:rPr>
                <w:rFonts w:ascii="仿宋_GB2312" w:hAnsi="仿宋" w:eastAsia="仿宋_GB2312"/>
                <w:color w:val="auto"/>
                <w:sz w:val="30"/>
                <w:szCs w:val="30"/>
                <w:highlight w:val="none"/>
              </w:rPr>
            </w:pPr>
          </w:p>
        </w:tc>
      </w:tr>
      <w:tr w14:paraId="25F11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C39D40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4187D1E1">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28B8D91">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EC2AB93">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5D3CED35">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564FD0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E4C7354">
            <w:pPr>
              <w:spacing w:line="360" w:lineRule="auto"/>
              <w:jc w:val="center"/>
              <w:rPr>
                <w:rFonts w:ascii="仿宋_GB2312" w:hAnsi="仿宋" w:eastAsia="仿宋_GB2312"/>
                <w:color w:val="auto"/>
                <w:sz w:val="30"/>
                <w:szCs w:val="30"/>
                <w:highlight w:val="none"/>
              </w:rPr>
            </w:pPr>
          </w:p>
        </w:tc>
      </w:tr>
      <w:tr w14:paraId="6B92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D64C39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0DB0542C">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4099C71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6676C206">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74FE3AC4">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58216232">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13C0EEB6">
            <w:pPr>
              <w:spacing w:line="360" w:lineRule="auto"/>
              <w:jc w:val="center"/>
              <w:rPr>
                <w:rFonts w:ascii="仿宋_GB2312" w:hAnsi="仿宋" w:eastAsia="仿宋_GB2312"/>
                <w:color w:val="auto"/>
                <w:sz w:val="30"/>
                <w:szCs w:val="30"/>
                <w:highlight w:val="none"/>
              </w:rPr>
            </w:pPr>
          </w:p>
        </w:tc>
      </w:tr>
      <w:tr w14:paraId="541DB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6AA21978">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7B7F4C5">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7362427">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1315A5F1">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08BC3C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4CE1753D">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05B92DC">
            <w:pPr>
              <w:spacing w:line="360" w:lineRule="auto"/>
              <w:jc w:val="center"/>
              <w:rPr>
                <w:rFonts w:ascii="仿宋_GB2312" w:hAnsi="仿宋" w:eastAsia="仿宋_GB2312"/>
                <w:color w:val="auto"/>
                <w:sz w:val="30"/>
                <w:szCs w:val="30"/>
                <w:highlight w:val="none"/>
              </w:rPr>
            </w:pPr>
          </w:p>
        </w:tc>
      </w:tr>
    </w:tbl>
    <w:p w14:paraId="1251E0E7">
      <w:pPr>
        <w:spacing w:line="360" w:lineRule="exact"/>
        <w:rPr>
          <w:rFonts w:ascii="仿宋_GB2312" w:hAnsi="仿宋" w:eastAsia="仿宋_GB2312"/>
          <w:color w:val="auto"/>
          <w:sz w:val="28"/>
          <w:highlight w:val="none"/>
        </w:rPr>
      </w:pPr>
    </w:p>
    <w:p w14:paraId="6A2DCAB8">
      <w:pPr>
        <w:spacing w:line="360" w:lineRule="exact"/>
        <w:rPr>
          <w:rFonts w:ascii="仿宋_GB2312" w:hAnsi="仿宋" w:eastAsia="仿宋_GB2312"/>
          <w:color w:val="auto"/>
          <w:sz w:val="28"/>
          <w:highlight w:val="none"/>
        </w:rPr>
      </w:pPr>
    </w:p>
    <w:p w14:paraId="79C6D5A6">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5BFF3538">
      <w:pPr>
        <w:wordWrap w:val="0"/>
        <w:spacing w:line="440" w:lineRule="exact"/>
        <w:jc w:val="right"/>
        <w:rPr>
          <w:rFonts w:ascii="仿宋_GB2312" w:hAnsi="宋体" w:eastAsia="仿宋_GB2312"/>
          <w:b/>
          <w:color w:val="auto"/>
          <w:sz w:val="28"/>
          <w:szCs w:val="28"/>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68A97F2E">
      <w:pPr>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p>
    <w:p w14:paraId="7BEB6A35">
      <w:pPr>
        <w:jc w:val="center"/>
        <w:rPr>
          <w:rFonts w:ascii="Arial" w:hAnsi="Arial" w:eastAsia="黑体"/>
          <w:bCs/>
          <w:color w:val="auto"/>
          <w:sz w:val="44"/>
          <w:szCs w:val="32"/>
          <w:highlight w:val="none"/>
        </w:rPr>
      </w:pPr>
      <w:r>
        <w:rPr>
          <w:rFonts w:hint="eastAsia" w:ascii="黑体" w:hAnsi="黑体" w:eastAsia="黑体"/>
          <w:color w:val="auto"/>
          <w:sz w:val="44"/>
          <w:szCs w:val="44"/>
          <w:highlight w:val="none"/>
        </w:rPr>
        <w:t>技术文件</w:t>
      </w:r>
    </w:p>
    <w:p w14:paraId="115675B5">
      <w:pPr>
        <w:widowControl/>
        <w:jc w:val="center"/>
        <w:rPr>
          <w:rFonts w:ascii="仿宋_GB2312" w:hAnsi="仿宋" w:eastAsia="仿宋_GB2312"/>
          <w:color w:val="auto"/>
          <w:sz w:val="30"/>
          <w:szCs w:val="30"/>
          <w:highlight w:val="none"/>
        </w:rPr>
      </w:pPr>
    </w:p>
    <w:p w14:paraId="3CEE5D5F">
      <w:pPr>
        <w:widowControl/>
        <w:jc w:val="center"/>
        <w:rPr>
          <w:rFonts w:ascii="黑体" w:hAnsi="黑体" w:eastAsia="黑体"/>
          <w:color w:val="auto"/>
          <w:sz w:val="32"/>
          <w:szCs w:val="32"/>
          <w:highlight w:val="none"/>
        </w:rPr>
      </w:pPr>
      <w:r>
        <w:rPr>
          <w:rFonts w:ascii="仿宋_GB2312" w:hAnsi="仿宋" w:eastAsia="仿宋_GB2312"/>
          <w:color w:val="auto"/>
          <w:sz w:val="30"/>
          <w:szCs w:val="30"/>
          <w:highlight w:val="none"/>
        </w:rPr>
        <w:br w:type="page"/>
      </w:r>
      <w:r>
        <w:rPr>
          <w:rFonts w:hint="eastAsia" w:ascii="黑体" w:hAnsi="黑体" w:eastAsia="黑体"/>
          <w:color w:val="auto"/>
          <w:sz w:val="32"/>
          <w:szCs w:val="32"/>
          <w:highlight w:val="none"/>
        </w:rPr>
        <w:t>技术服务、培训和售后服务内容及承诺书</w:t>
      </w:r>
    </w:p>
    <w:p w14:paraId="1F80DD54">
      <w:pPr>
        <w:rPr>
          <w:rFonts w:ascii="仿宋" w:hAnsi="仿宋" w:eastAsia="仿宋"/>
          <w:color w:val="auto"/>
          <w:highlight w:val="none"/>
        </w:rPr>
      </w:pPr>
    </w:p>
    <w:tbl>
      <w:tblPr>
        <w:tblStyle w:val="34"/>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820"/>
      </w:tblGrid>
      <w:tr w14:paraId="18517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34" w:hRule="atLeast"/>
          <w:jc w:val="center"/>
        </w:trPr>
        <w:tc>
          <w:tcPr>
            <w:tcW w:w="8820" w:type="dxa"/>
            <w:tcBorders>
              <w:top w:val="single" w:color="auto" w:sz="4" w:space="0"/>
              <w:left w:val="single" w:color="auto" w:sz="4" w:space="0"/>
              <w:bottom w:val="single" w:color="auto" w:sz="4" w:space="0"/>
              <w:right w:val="single" w:color="auto" w:sz="4" w:space="0"/>
            </w:tcBorders>
          </w:tcPr>
          <w:p w14:paraId="2DB7B4DC">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技术、培训和售后服务承诺：</w:t>
            </w:r>
          </w:p>
          <w:p w14:paraId="7BA2317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tc>
      </w:tr>
      <w:tr w14:paraId="39E98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963" w:hRule="atLeast"/>
          <w:jc w:val="center"/>
        </w:trPr>
        <w:tc>
          <w:tcPr>
            <w:tcW w:w="8820" w:type="dxa"/>
            <w:tcBorders>
              <w:top w:val="single" w:color="auto" w:sz="4" w:space="0"/>
              <w:left w:val="single" w:color="auto" w:sz="4" w:space="0"/>
              <w:bottom w:val="single" w:color="auto" w:sz="4" w:space="0"/>
              <w:right w:val="single" w:color="auto" w:sz="4" w:space="0"/>
            </w:tcBorders>
          </w:tcPr>
          <w:p w14:paraId="07B1264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售后服务承诺至少包含下列内容</w:t>
            </w:r>
          </w:p>
          <w:p w14:paraId="3216A4B9">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响应时间：</w:t>
            </w:r>
          </w:p>
          <w:p w14:paraId="29BA1DC2">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到达现场时间：</w:t>
            </w:r>
          </w:p>
          <w:p w14:paraId="6414591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完成修复时间：</w:t>
            </w:r>
          </w:p>
          <w:p w14:paraId="7BA9C6D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不能修复的保证措施：</w:t>
            </w:r>
          </w:p>
          <w:p w14:paraId="3B3E85B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质保期内措施：</w:t>
            </w:r>
          </w:p>
          <w:p w14:paraId="689BB1B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质保期外措施：</w:t>
            </w:r>
          </w:p>
          <w:p w14:paraId="37FE82B7">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w:t>
            </w:r>
          </w:p>
        </w:tc>
      </w:tr>
    </w:tbl>
    <w:p w14:paraId="4EAA52ED">
      <w:pPr>
        <w:ind w:firstLine="4200" w:firstLineChars="1400"/>
        <w:rPr>
          <w:rFonts w:ascii="仿宋" w:hAnsi="仿宋" w:eastAsia="仿宋"/>
          <w:color w:val="auto"/>
          <w:sz w:val="30"/>
          <w:szCs w:val="30"/>
          <w:highlight w:val="none"/>
        </w:rPr>
      </w:pPr>
    </w:p>
    <w:p w14:paraId="773C240A">
      <w:pPr>
        <w:wordWrap w:val="0"/>
        <w:spacing w:line="520" w:lineRule="exact"/>
        <w:ind w:firstLine="4050" w:firstLineChars="1350"/>
        <w:jc w:val="right"/>
        <w:rPr>
          <w:rFonts w:ascii="仿宋" w:hAnsi="仿宋" w:eastAsia="仿宋"/>
          <w:color w:val="auto"/>
          <w:sz w:val="30"/>
          <w:szCs w:val="30"/>
          <w:highlight w:val="none"/>
        </w:rPr>
      </w:pPr>
      <w:r>
        <w:rPr>
          <w:rFonts w:hint="eastAsia" w:ascii="仿宋" w:hAnsi="仿宋" w:eastAsia="仿宋"/>
          <w:color w:val="auto"/>
          <w:sz w:val="30"/>
          <w:szCs w:val="30"/>
          <w:highlight w:val="none"/>
        </w:rPr>
        <w:t xml:space="preserve">供应商名称(盖章):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593F7A95">
      <w:pPr>
        <w:wordWrap w:val="0"/>
        <w:spacing w:line="560" w:lineRule="exact"/>
        <w:ind w:firstLine="600" w:firstLineChars="200"/>
        <w:jc w:val="right"/>
        <w:rPr>
          <w:rFonts w:ascii="仿宋_GB2312" w:hAnsi="宋体" w:eastAsia="仿宋_GB2312" w:cs="宋体"/>
          <w:color w:val="auto"/>
          <w:sz w:val="28"/>
          <w:szCs w:val="28"/>
          <w:highlight w:val="none"/>
        </w:rPr>
      </w:pPr>
      <w:r>
        <w:rPr>
          <w:rFonts w:hint="eastAsia" w:ascii="仿宋" w:hAnsi="仿宋" w:eastAsia="仿宋"/>
          <w:color w:val="auto"/>
          <w:sz w:val="30"/>
          <w:szCs w:val="30"/>
          <w:highlight w:val="none"/>
        </w:rPr>
        <w:t xml:space="preserve">法定代表人（依法登记的负责人）或授权代表（签字或签章）： </w:t>
      </w: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734E9625">
      <w:pPr>
        <w:jc w:val="right"/>
        <w:rPr>
          <w:rFonts w:ascii="仿宋_GB2312" w:hAnsi="宋体" w:eastAsia="仿宋_GB2312"/>
          <w:color w:val="auto"/>
          <w:sz w:val="22"/>
          <w:szCs w:val="28"/>
          <w:highlight w:val="none"/>
        </w:rPr>
      </w:pPr>
      <w:r>
        <w:rPr>
          <w:rFonts w:ascii="仿宋_GB2312" w:hAnsi="宋体" w:eastAsia="仿宋_GB2312" w:cs="宋体"/>
          <w:bCs/>
          <w:color w:val="auto"/>
          <w:sz w:val="28"/>
          <w:szCs w:val="28"/>
          <w:highlight w:val="none"/>
        </w:rPr>
        <w:br w:type="page"/>
      </w:r>
    </w:p>
    <w:p w14:paraId="04D50299">
      <w:pPr>
        <w:jc w:val="right"/>
        <w:rPr>
          <w:rFonts w:ascii="仿宋_GB2312" w:hAnsi="Times New Roman" w:eastAsia="仿宋_GB2312" w:cs="Times New Roman"/>
          <w:color w:val="auto"/>
          <w:sz w:val="24"/>
          <w:highlight w:val="none"/>
        </w:rPr>
      </w:pPr>
      <w:r>
        <w:rPr>
          <w:rFonts w:hint="eastAsia" w:ascii="仿宋_GB2312" w:hAnsi="Times New Roman" w:eastAsia="仿宋_GB2312" w:cs="Times New Roman"/>
          <w:color w:val="auto"/>
          <w:sz w:val="24"/>
          <w:highlight w:val="none"/>
        </w:rPr>
        <w:t>如中标（成交），随中标（成交）公告公示</w:t>
      </w:r>
    </w:p>
    <w:p w14:paraId="7AD15F8D">
      <w:pPr>
        <w:keepNext/>
        <w:keepLines/>
        <w:widowControl w:val="0"/>
        <w:spacing w:before="340" w:after="330" w:line="578" w:lineRule="auto"/>
        <w:jc w:val="center"/>
        <w:outlineLvl w:val="0"/>
        <w:rPr>
          <w:rFonts w:ascii="Times New Roman" w:hAnsi="Times New Roman" w:eastAsia="宋体" w:cs="Times New Roman"/>
          <w:b/>
          <w:bCs/>
          <w:color w:val="auto"/>
          <w:kern w:val="44"/>
          <w:sz w:val="44"/>
          <w:szCs w:val="44"/>
          <w:highlight w:val="none"/>
          <w:lang w:val="en-US" w:eastAsia="zh-CN" w:bidi="ar-SA"/>
        </w:rPr>
      </w:pPr>
      <w:bookmarkStart w:id="0" w:name="_Toc193291800"/>
      <w:r>
        <w:rPr>
          <w:rFonts w:hint="eastAsia" w:ascii="Times New Roman" w:hAnsi="Times New Roman" w:eastAsia="宋体" w:cs="Times New Roman"/>
          <w:b/>
          <w:bCs/>
          <w:color w:val="auto"/>
          <w:kern w:val="44"/>
          <w:sz w:val="44"/>
          <w:szCs w:val="44"/>
          <w:highlight w:val="none"/>
          <w:lang w:val="en-US" w:eastAsia="zh-CN" w:bidi="ar-SA"/>
        </w:rPr>
        <w:t>国内同类项目业绩表</w:t>
      </w:r>
      <w:bookmarkEnd w:id="0"/>
    </w:p>
    <w:tbl>
      <w:tblPr>
        <w:tblStyle w:val="34"/>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序号</w:t>
            </w:r>
          </w:p>
        </w:tc>
        <w:tc>
          <w:tcPr>
            <w:tcW w:w="1244" w:type="dxa"/>
            <w:vAlign w:val="center"/>
          </w:tcPr>
          <w:p w14:paraId="6820F03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用户名称</w:t>
            </w:r>
          </w:p>
        </w:tc>
        <w:tc>
          <w:tcPr>
            <w:tcW w:w="1985" w:type="dxa"/>
            <w:vAlign w:val="center"/>
          </w:tcPr>
          <w:p w14:paraId="52AD46C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项目名称</w:t>
            </w:r>
          </w:p>
        </w:tc>
        <w:tc>
          <w:tcPr>
            <w:tcW w:w="1374" w:type="dxa"/>
            <w:vAlign w:val="center"/>
          </w:tcPr>
          <w:p w14:paraId="5C81FCD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合同额</w:t>
            </w:r>
          </w:p>
        </w:tc>
        <w:tc>
          <w:tcPr>
            <w:tcW w:w="1417" w:type="dxa"/>
            <w:vAlign w:val="center"/>
          </w:tcPr>
          <w:p w14:paraId="01CE94B0">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签订时间</w:t>
            </w:r>
          </w:p>
        </w:tc>
        <w:tc>
          <w:tcPr>
            <w:tcW w:w="1276" w:type="dxa"/>
            <w:vAlign w:val="center"/>
          </w:tcPr>
          <w:p w14:paraId="6D2AD4B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电话/联系人</w:t>
            </w:r>
          </w:p>
        </w:tc>
        <w:tc>
          <w:tcPr>
            <w:tcW w:w="1210" w:type="dxa"/>
            <w:vAlign w:val="center"/>
          </w:tcPr>
          <w:p w14:paraId="1F2F53D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hAnsi="Times New Roman" w:eastAsia="仿宋_GB2312" w:cs="Times New Roman"/>
                <w:color w:val="auto"/>
                <w:sz w:val="30"/>
                <w:szCs w:val="30"/>
                <w:highlight w:val="none"/>
              </w:rPr>
            </w:pPr>
          </w:p>
        </w:tc>
        <w:tc>
          <w:tcPr>
            <w:tcW w:w="1244" w:type="dxa"/>
            <w:vAlign w:val="center"/>
          </w:tcPr>
          <w:p w14:paraId="4D52EF47">
            <w:pPr>
              <w:rPr>
                <w:rFonts w:ascii="仿宋_GB2312" w:hAnsi="Times New Roman" w:eastAsia="仿宋_GB2312" w:cs="Times New Roman"/>
                <w:color w:val="auto"/>
                <w:sz w:val="30"/>
                <w:szCs w:val="30"/>
                <w:highlight w:val="none"/>
              </w:rPr>
            </w:pPr>
          </w:p>
        </w:tc>
        <w:tc>
          <w:tcPr>
            <w:tcW w:w="1985" w:type="dxa"/>
            <w:vAlign w:val="center"/>
          </w:tcPr>
          <w:p w14:paraId="01B24FF7">
            <w:pPr>
              <w:rPr>
                <w:rFonts w:ascii="仿宋_GB2312" w:hAnsi="Times New Roman" w:eastAsia="仿宋_GB2312" w:cs="Times New Roman"/>
                <w:color w:val="auto"/>
                <w:sz w:val="30"/>
                <w:szCs w:val="30"/>
                <w:highlight w:val="none"/>
              </w:rPr>
            </w:pPr>
          </w:p>
        </w:tc>
        <w:tc>
          <w:tcPr>
            <w:tcW w:w="1374" w:type="dxa"/>
            <w:vAlign w:val="center"/>
          </w:tcPr>
          <w:p w14:paraId="30B25527">
            <w:pPr>
              <w:rPr>
                <w:rFonts w:ascii="仿宋_GB2312" w:hAnsi="Times New Roman" w:eastAsia="仿宋_GB2312" w:cs="Times New Roman"/>
                <w:color w:val="auto"/>
                <w:sz w:val="30"/>
                <w:szCs w:val="30"/>
                <w:highlight w:val="none"/>
              </w:rPr>
            </w:pPr>
          </w:p>
        </w:tc>
        <w:tc>
          <w:tcPr>
            <w:tcW w:w="1417" w:type="dxa"/>
            <w:vAlign w:val="center"/>
          </w:tcPr>
          <w:p w14:paraId="44798945">
            <w:pPr>
              <w:rPr>
                <w:rFonts w:ascii="仿宋_GB2312" w:hAnsi="Times New Roman" w:eastAsia="仿宋_GB2312" w:cs="Times New Roman"/>
                <w:color w:val="auto"/>
                <w:sz w:val="30"/>
                <w:szCs w:val="30"/>
                <w:highlight w:val="none"/>
              </w:rPr>
            </w:pPr>
          </w:p>
        </w:tc>
        <w:tc>
          <w:tcPr>
            <w:tcW w:w="1276" w:type="dxa"/>
            <w:vAlign w:val="center"/>
          </w:tcPr>
          <w:p w14:paraId="0593ED38">
            <w:pPr>
              <w:rPr>
                <w:rFonts w:ascii="仿宋_GB2312" w:hAnsi="Times New Roman" w:eastAsia="仿宋_GB2312" w:cs="Times New Roman"/>
                <w:color w:val="auto"/>
                <w:sz w:val="30"/>
                <w:szCs w:val="30"/>
                <w:highlight w:val="none"/>
              </w:rPr>
            </w:pPr>
          </w:p>
        </w:tc>
        <w:tc>
          <w:tcPr>
            <w:tcW w:w="1210" w:type="dxa"/>
            <w:vAlign w:val="center"/>
          </w:tcPr>
          <w:p w14:paraId="170025F5">
            <w:pPr>
              <w:rPr>
                <w:rFonts w:ascii="仿宋_GB2312" w:hAnsi="Times New Roman" w:eastAsia="仿宋_GB2312" w:cs="Times New Roman"/>
                <w:color w:val="auto"/>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hAnsi="Times New Roman" w:eastAsia="仿宋_GB2312" w:cs="Times New Roman"/>
                <w:color w:val="auto"/>
                <w:sz w:val="30"/>
                <w:szCs w:val="30"/>
                <w:highlight w:val="none"/>
              </w:rPr>
            </w:pPr>
          </w:p>
        </w:tc>
        <w:tc>
          <w:tcPr>
            <w:tcW w:w="1244" w:type="dxa"/>
            <w:vAlign w:val="center"/>
          </w:tcPr>
          <w:p w14:paraId="262ED24D">
            <w:pPr>
              <w:rPr>
                <w:rFonts w:ascii="仿宋_GB2312" w:hAnsi="Times New Roman" w:eastAsia="仿宋_GB2312" w:cs="Times New Roman"/>
                <w:color w:val="auto"/>
                <w:sz w:val="30"/>
                <w:szCs w:val="30"/>
                <w:highlight w:val="none"/>
              </w:rPr>
            </w:pPr>
          </w:p>
        </w:tc>
        <w:tc>
          <w:tcPr>
            <w:tcW w:w="1985" w:type="dxa"/>
            <w:vAlign w:val="center"/>
          </w:tcPr>
          <w:p w14:paraId="6D46ABA3">
            <w:pPr>
              <w:rPr>
                <w:rFonts w:ascii="仿宋_GB2312" w:hAnsi="Times New Roman" w:eastAsia="仿宋_GB2312" w:cs="Times New Roman"/>
                <w:color w:val="auto"/>
                <w:sz w:val="30"/>
                <w:szCs w:val="30"/>
                <w:highlight w:val="none"/>
              </w:rPr>
            </w:pPr>
          </w:p>
        </w:tc>
        <w:tc>
          <w:tcPr>
            <w:tcW w:w="1374" w:type="dxa"/>
            <w:vAlign w:val="center"/>
          </w:tcPr>
          <w:p w14:paraId="4B3379FC">
            <w:pPr>
              <w:rPr>
                <w:rFonts w:ascii="仿宋_GB2312" w:hAnsi="Times New Roman" w:eastAsia="仿宋_GB2312" w:cs="Times New Roman"/>
                <w:color w:val="auto"/>
                <w:sz w:val="30"/>
                <w:szCs w:val="30"/>
                <w:highlight w:val="none"/>
              </w:rPr>
            </w:pPr>
          </w:p>
        </w:tc>
        <w:tc>
          <w:tcPr>
            <w:tcW w:w="1417" w:type="dxa"/>
            <w:vAlign w:val="center"/>
          </w:tcPr>
          <w:p w14:paraId="10DB966F">
            <w:pPr>
              <w:rPr>
                <w:rFonts w:ascii="仿宋_GB2312" w:hAnsi="Times New Roman" w:eastAsia="仿宋_GB2312" w:cs="Times New Roman"/>
                <w:color w:val="auto"/>
                <w:sz w:val="30"/>
                <w:szCs w:val="30"/>
                <w:highlight w:val="none"/>
              </w:rPr>
            </w:pPr>
          </w:p>
        </w:tc>
        <w:tc>
          <w:tcPr>
            <w:tcW w:w="1276" w:type="dxa"/>
            <w:vAlign w:val="center"/>
          </w:tcPr>
          <w:p w14:paraId="5326EAA7">
            <w:pPr>
              <w:rPr>
                <w:rFonts w:ascii="仿宋_GB2312" w:hAnsi="Times New Roman" w:eastAsia="仿宋_GB2312" w:cs="Times New Roman"/>
                <w:color w:val="auto"/>
                <w:sz w:val="30"/>
                <w:szCs w:val="30"/>
                <w:highlight w:val="none"/>
              </w:rPr>
            </w:pPr>
          </w:p>
        </w:tc>
        <w:tc>
          <w:tcPr>
            <w:tcW w:w="1210" w:type="dxa"/>
            <w:vAlign w:val="center"/>
          </w:tcPr>
          <w:p w14:paraId="1704E9B4">
            <w:pPr>
              <w:rPr>
                <w:rFonts w:ascii="仿宋_GB2312" w:hAnsi="Times New Roman" w:eastAsia="仿宋_GB2312" w:cs="Times New Roman"/>
                <w:color w:val="auto"/>
                <w:sz w:val="30"/>
                <w:szCs w:val="30"/>
                <w:highlight w:val="none"/>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hAnsi="Times New Roman" w:eastAsia="仿宋_GB2312" w:cs="Times New Roman"/>
                <w:color w:val="auto"/>
                <w:sz w:val="30"/>
                <w:szCs w:val="30"/>
                <w:highlight w:val="none"/>
              </w:rPr>
            </w:pPr>
          </w:p>
        </w:tc>
        <w:tc>
          <w:tcPr>
            <w:tcW w:w="1244" w:type="dxa"/>
            <w:vAlign w:val="center"/>
          </w:tcPr>
          <w:p w14:paraId="1FFF4B9B">
            <w:pPr>
              <w:rPr>
                <w:rFonts w:ascii="仿宋_GB2312" w:hAnsi="Times New Roman" w:eastAsia="仿宋_GB2312" w:cs="Times New Roman"/>
                <w:color w:val="auto"/>
                <w:sz w:val="30"/>
                <w:szCs w:val="30"/>
                <w:highlight w:val="none"/>
              </w:rPr>
            </w:pPr>
          </w:p>
        </w:tc>
        <w:tc>
          <w:tcPr>
            <w:tcW w:w="1985" w:type="dxa"/>
            <w:vAlign w:val="center"/>
          </w:tcPr>
          <w:p w14:paraId="20044C42">
            <w:pPr>
              <w:rPr>
                <w:rFonts w:ascii="仿宋_GB2312" w:hAnsi="Times New Roman" w:eastAsia="仿宋_GB2312" w:cs="Times New Roman"/>
                <w:color w:val="auto"/>
                <w:sz w:val="30"/>
                <w:szCs w:val="30"/>
                <w:highlight w:val="none"/>
              </w:rPr>
            </w:pPr>
          </w:p>
        </w:tc>
        <w:tc>
          <w:tcPr>
            <w:tcW w:w="1374" w:type="dxa"/>
            <w:vAlign w:val="center"/>
          </w:tcPr>
          <w:p w14:paraId="5FEE365F">
            <w:pPr>
              <w:rPr>
                <w:rFonts w:ascii="仿宋_GB2312" w:hAnsi="Times New Roman" w:eastAsia="仿宋_GB2312" w:cs="Times New Roman"/>
                <w:color w:val="auto"/>
                <w:sz w:val="30"/>
                <w:szCs w:val="30"/>
                <w:highlight w:val="none"/>
              </w:rPr>
            </w:pPr>
          </w:p>
        </w:tc>
        <w:tc>
          <w:tcPr>
            <w:tcW w:w="1417" w:type="dxa"/>
            <w:vAlign w:val="center"/>
          </w:tcPr>
          <w:p w14:paraId="50A8D5C5">
            <w:pPr>
              <w:rPr>
                <w:rFonts w:ascii="仿宋_GB2312" w:hAnsi="Times New Roman" w:eastAsia="仿宋_GB2312" w:cs="Times New Roman"/>
                <w:color w:val="auto"/>
                <w:sz w:val="30"/>
                <w:szCs w:val="30"/>
                <w:highlight w:val="none"/>
              </w:rPr>
            </w:pPr>
          </w:p>
        </w:tc>
        <w:tc>
          <w:tcPr>
            <w:tcW w:w="1276" w:type="dxa"/>
            <w:vAlign w:val="center"/>
          </w:tcPr>
          <w:p w14:paraId="781DB8AF">
            <w:pPr>
              <w:rPr>
                <w:rFonts w:ascii="仿宋_GB2312" w:hAnsi="Times New Roman" w:eastAsia="仿宋_GB2312" w:cs="Times New Roman"/>
                <w:color w:val="auto"/>
                <w:sz w:val="30"/>
                <w:szCs w:val="30"/>
                <w:highlight w:val="none"/>
              </w:rPr>
            </w:pPr>
          </w:p>
        </w:tc>
        <w:tc>
          <w:tcPr>
            <w:tcW w:w="1210" w:type="dxa"/>
            <w:vAlign w:val="center"/>
          </w:tcPr>
          <w:p w14:paraId="274314C7">
            <w:pPr>
              <w:rPr>
                <w:rFonts w:ascii="仿宋_GB2312" w:hAnsi="Times New Roman" w:eastAsia="仿宋_GB2312" w:cs="Times New Roman"/>
                <w:color w:val="auto"/>
                <w:sz w:val="30"/>
                <w:szCs w:val="30"/>
                <w:highlight w:val="none"/>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hAnsi="Times New Roman" w:eastAsia="仿宋_GB2312" w:cs="Times New Roman"/>
                <w:color w:val="auto"/>
                <w:sz w:val="30"/>
                <w:szCs w:val="30"/>
                <w:highlight w:val="none"/>
              </w:rPr>
            </w:pPr>
          </w:p>
        </w:tc>
        <w:tc>
          <w:tcPr>
            <w:tcW w:w="1244" w:type="dxa"/>
            <w:vAlign w:val="center"/>
          </w:tcPr>
          <w:p w14:paraId="6D97FE7C">
            <w:pPr>
              <w:rPr>
                <w:rFonts w:ascii="仿宋_GB2312" w:hAnsi="Times New Roman" w:eastAsia="仿宋_GB2312" w:cs="Times New Roman"/>
                <w:color w:val="auto"/>
                <w:sz w:val="30"/>
                <w:szCs w:val="30"/>
                <w:highlight w:val="none"/>
              </w:rPr>
            </w:pPr>
          </w:p>
        </w:tc>
        <w:tc>
          <w:tcPr>
            <w:tcW w:w="1985" w:type="dxa"/>
            <w:vAlign w:val="center"/>
          </w:tcPr>
          <w:p w14:paraId="7B0ADA1F">
            <w:pPr>
              <w:rPr>
                <w:rFonts w:ascii="仿宋_GB2312" w:hAnsi="Times New Roman" w:eastAsia="仿宋_GB2312" w:cs="Times New Roman"/>
                <w:color w:val="auto"/>
                <w:sz w:val="30"/>
                <w:szCs w:val="30"/>
                <w:highlight w:val="none"/>
              </w:rPr>
            </w:pPr>
          </w:p>
        </w:tc>
        <w:tc>
          <w:tcPr>
            <w:tcW w:w="1374" w:type="dxa"/>
            <w:vAlign w:val="center"/>
          </w:tcPr>
          <w:p w14:paraId="6A5ED9DC">
            <w:pPr>
              <w:rPr>
                <w:rFonts w:ascii="仿宋_GB2312" w:hAnsi="Times New Roman" w:eastAsia="仿宋_GB2312" w:cs="Times New Roman"/>
                <w:color w:val="auto"/>
                <w:sz w:val="30"/>
                <w:szCs w:val="30"/>
                <w:highlight w:val="none"/>
              </w:rPr>
            </w:pPr>
          </w:p>
        </w:tc>
        <w:tc>
          <w:tcPr>
            <w:tcW w:w="1417" w:type="dxa"/>
            <w:vAlign w:val="center"/>
          </w:tcPr>
          <w:p w14:paraId="53D8BDD7">
            <w:pPr>
              <w:rPr>
                <w:rFonts w:ascii="仿宋_GB2312" w:hAnsi="Times New Roman" w:eastAsia="仿宋_GB2312" w:cs="Times New Roman"/>
                <w:color w:val="auto"/>
                <w:sz w:val="30"/>
                <w:szCs w:val="30"/>
                <w:highlight w:val="none"/>
              </w:rPr>
            </w:pPr>
          </w:p>
        </w:tc>
        <w:tc>
          <w:tcPr>
            <w:tcW w:w="1276" w:type="dxa"/>
            <w:vAlign w:val="center"/>
          </w:tcPr>
          <w:p w14:paraId="3CF7B0AE">
            <w:pPr>
              <w:rPr>
                <w:rFonts w:ascii="仿宋_GB2312" w:hAnsi="Times New Roman" w:eastAsia="仿宋_GB2312" w:cs="Times New Roman"/>
                <w:color w:val="auto"/>
                <w:sz w:val="30"/>
                <w:szCs w:val="30"/>
                <w:highlight w:val="none"/>
              </w:rPr>
            </w:pPr>
          </w:p>
        </w:tc>
        <w:tc>
          <w:tcPr>
            <w:tcW w:w="1210" w:type="dxa"/>
            <w:vAlign w:val="center"/>
          </w:tcPr>
          <w:p w14:paraId="0541D94F">
            <w:pPr>
              <w:rPr>
                <w:rFonts w:ascii="仿宋_GB2312" w:hAnsi="Times New Roman" w:eastAsia="仿宋_GB2312" w:cs="Times New Roman"/>
                <w:color w:val="auto"/>
                <w:sz w:val="30"/>
                <w:szCs w:val="30"/>
                <w:highlight w:val="none"/>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hAnsi="Times New Roman" w:eastAsia="仿宋_GB2312" w:cs="Times New Roman"/>
                <w:color w:val="auto"/>
                <w:sz w:val="30"/>
                <w:szCs w:val="30"/>
                <w:highlight w:val="none"/>
              </w:rPr>
            </w:pPr>
          </w:p>
        </w:tc>
        <w:tc>
          <w:tcPr>
            <w:tcW w:w="1244" w:type="dxa"/>
            <w:vAlign w:val="center"/>
          </w:tcPr>
          <w:p w14:paraId="0DF80AB8">
            <w:pPr>
              <w:rPr>
                <w:rFonts w:ascii="仿宋_GB2312" w:hAnsi="Times New Roman" w:eastAsia="仿宋_GB2312" w:cs="Times New Roman"/>
                <w:color w:val="auto"/>
                <w:sz w:val="30"/>
                <w:szCs w:val="30"/>
                <w:highlight w:val="none"/>
              </w:rPr>
            </w:pPr>
          </w:p>
        </w:tc>
        <w:tc>
          <w:tcPr>
            <w:tcW w:w="1985" w:type="dxa"/>
            <w:vAlign w:val="center"/>
          </w:tcPr>
          <w:p w14:paraId="7FBFF0DC">
            <w:pPr>
              <w:rPr>
                <w:rFonts w:ascii="仿宋_GB2312" w:hAnsi="Times New Roman" w:eastAsia="仿宋_GB2312" w:cs="Times New Roman"/>
                <w:color w:val="auto"/>
                <w:sz w:val="30"/>
                <w:szCs w:val="30"/>
                <w:highlight w:val="none"/>
              </w:rPr>
            </w:pPr>
          </w:p>
        </w:tc>
        <w:tc>
          <w:tcPr>
            <w:tcW w:w="1374" w:type="dxa"/>
            <w:vAlign w:val="center"/>
          </w:tcPr>
          <w:p w14:paraId="018814B9">
            <w:pPr>
              <w:rPr>
                <w:rFonts w:ascii="仿宋_GB2312" w:hAnsi="Times New Roman" w:eastAsia="仿宋_GB2312" w:cs="Times New Roman"/>
                <w:color w:val="auto"/>
                <w:sz w:val="30"/>
                <w:szCs w:val="30"/>
                <w:highlight w:val="none"/>
              </w:rPr>
            </w:pPr>
          </w:p>
        </w:tc>
        <w:tc>
          <w:tcPr>
            <w:tcW w:w="1417" w:type="dxa"/>
            <w:vAlign w:val="center"/>
          </w:tcPr>
          <w:p w14:paraId="5C8FA6CA">
            <w:pPr>
              <w:rPr>
                <w:rFonts w:ascii="仿宋_GB2312" w:hAnsi="Times New Roman" w:eastAsia="仿宋_GB2312" w:cs="Times New Roman"/>
                <w:color w:val="auto"/>
                <w:sz w:val="30"/>
                <w:szCs w:val="30"/>
                <w:highlight w:val="none"/>
              </w:rPr>
            </w:pPr>
          </w:p>
        </w:tc>
        <w:tc>
          <w:tcPr>
            <w:tcW w:w="1276" w:type="dxa"/>
            <w:vAlign w:val="center"/>
          </w:tcPr>
          <w:p w14:paraId="0DFE8C52">
            <w:pPr>
              <w:rPr>
                <w:rFonts w:ascii="仿宋_GB2312" w:hAnsi="Times New Roman" w:eastAsia="仿宋_GB2312" w:cs="Times New Roman"/>
                <w:color w:val="auto"/>
                <w:sz w:val="30"/>
                <w:szCs w:val="30"/>
                <w:highlight w:val="none"/>
              </w:rPr>
            </w:pPr>
          </w:p>
        </w:tc>
        <w:tc>
          <w:tcPr>
            <w:tcW w:w="1210" w:type="dxa"/>
            <w:vAlign w:val="center"/>
          </w:tcPr>
          <w:p w14:paraId="7959EB2B">
            <w:pPr>
              <w:rPr>
                <w:rFonts w:ascii="仿宋_GB2312" w:hAnsi="Times New Roman" w:eastAsia="仿宋_GB2312" w:cs="Times New Roman"/>
                <w:color w:val="auto"/>
                <w:sz w:val="30"/>
                <w:szCs w:val="30"/>
                <w:highlight w:val="none"/>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hAnsi="Times New Roman" w:eastAsia="仿宋_GB2312" w:cs="Times New Roman"/>
                <w:color w:val="auto"/>
                <w:sz w:val="30"/>
                <w:szCs w:val="30"/>
                <w:highlight w:val="none"/>
              </w:rPr>
            </w:pPr>
          </w:p>
        </w:tc>
        <w:tc>
          <w:tcPr>
            <w:tcW w:w="1244" w:type="dxa"/>
            <w:vAlign w:val="center"/>
          </w:tcPr>
          <w:p w14:paraId="3DF95A43">
            <w:pPr>
              <w:rPr>
                <w:rFonts w:ascii="仿宋_GB2312" w:hAnsi="Times New Roman" w:eastAsia="仿宋_GB2312" w:cs="Times New Roman"/>
                <w:color w:val="auto"/>
                <w:sz w:val="30"/>
                <w:szCs w:val="30"/>
                <w:highlight w:val="none"/>
              </w:rPr>
            </w:pPr>
          </w:p>
        </w:tc>
        <w:tc>
          <w:tcPr>
            <w:tcW w:w="1985" w:type="dxa"/>
            <w:vAlign w:val="center"/>
          </w:tcPr>
          <w:p w14:paraId="2208864C">
            <w:pPr>
              <w:rPr>
                <w:rFonts w:ascii="仿宋_GB2312" w:hAnsi="Times New Roman" w:eastAsia="仿宋_GB2312" w:cs="Times New Roman"/>
                <w:color w:val="auto"/>
                <w:sz w:val="30"/>
                <w:szCs w:val="30"/>
                <w:highlight w:val="none"/>
              </w:rPr>
            </w:pPr>
          </w:p>
        </w:tc>
        <w:tc>
          <w:tcPr>
            <w:tcW w:w="1374" w:type="dxa"/>
            <w:vAlign w:val="center"/>
          </w:tcPr>
          <w:p w14:paraId="3C14CFCD">
            <w:pPr>
              <w:rPr>
                <w:rFonts w:ascii="仿宋_GB2312" w:hAnsi="Times New Roman" w:eastAsia="仿宋_GB2312" w:cs="Times New Roman"/>
                <w:color w:val="auto"/>
                <w:sz w:val="30"/>
                <w:szCs w:val="30"/>
                <w:highlight w:val="none"/>
              </w:rPr>
            </w:pPr>
          </w:p>
        </w:tc>
        <w:tc>
          <w:tcPr>
            <w:tcW w:w="1417" w:type="dxa"/>
            <w:vAlign w:val="center"/>
          </w:tcPr>
          <w:p w14:paraId="0574BC2D">
            <w:pPr>
              <w:rPr>
                <w:rFonts w:ascii="仿宋_GB2312" w:hAnsi="Times New Roman" w:eastAsia="仿宋_GB2312" w:cs="Times New Roman"/>
                <w:color w:val="auto"/>
                <w:sz w:val="30"/>
                <w:szCs w:val="30"/>
                <w:highlight w:val="none"/>
              </w:rPr>
            </w:pPr>
          </w:p>
        </w:tc>
        <w:tc>
          <w:tcPr>
            <w:tcW w:w="1276" w:type="dxa"/>
            <w:vAlign w:val="center"/>
          </w:tcPr>
          <w:p w14:paraId="6A63AF83">
            <w:pPr>
              <w:rPr>
                <w:rFonts w:ascii="仿宋_GB2312" w:hAnsi="Times New Roman" w:eastAsia="仿宋_GB2312" w:cs="Times New Roman"/>
                <w:color w:val="auto"/>
                <w:sz w:val="30"/>
                <w:szCs w:val="30"/>
                <w:highlight w:val="none"/>
              </w:rPr>
            </w:pPr>
          </w:p>
        </w:tc>
        <w:tc>
          <w:tcPr>
            <w:tcW w:w="1210" w:type="dxa"/>
            <w:vAlign w:val="center"/>
          </w:tcPr>
          <w:p w14:paraId="0D511207">
            <w:pPr>
              <w:rPr>
                <w:rFonts w:ascii="仿宋_GB2312" w:hAnsi="Times New Roman" w:eastAsia="仿宋_GB2312" w:cs="Times New Roman"/>
                <w:color w:val="auto"/>
                <w:sz w:val="30"/>
                <w:szCs w:val="30"/>
                <w:highlight w:val="none"/>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hAnsi="Times New Roman" w:eastAsia="仿宋_GB2312" w:cs="Times New Roman"/>
                <w:color w:val="auto"/>
                <w:sz w:val="30"/>
                <w:szCs w:val="30"/>
                <w:highlight w:val="none"/>
              </w:rPr>
            </w:pPr>
          </w:p>
        </w:tc>
        <w:tc>
          <w:tcPr>
            <w:tcW w:w="1244" w:type="dxa"/>
            <w:vAlign w:val="center"/>
          </w:tcPr>
          <w:p w14:paraId="17017D8F">
            <w:pPr>
              <w:rPr>
                <w:rFonts w:ascii="仿宋_GB2312" w:hAnsi="Times New Roman" w:eastAsia="仿宋_GB2312" w:cs="Times New Roman"/>
                <w:color w:val="auto"/>
                <w:sz w:val="30"/>
                <w:szCs w:val="30"/>
                <w:highlight w:val="none"/>
              </w:rPr>
            </w:pPr>
          </w:p>
        </w:tc>
        <w:tc>
          <w:tcPr>
            <w:tcW w:w="1985" w:type="dxa"/>
            <w:vAlign w:val="center"/>
          </w:tcPr>
          <w:p w14:paraId="2F3A9A16">
            <w:pPr>
              <w:rPr>
                <w:rFonts w:ascii="仿宋_GB2312" w:hAnsi="Times New Roman" w:eastAsia="仿宋_GB2312" w:cs="Times New Roman"/>
                <w:color w:val="auto"/>
                <w:sz w:val="30"/>
                <w:szCs w:val="30"/>
                <w:highlight w:val="none"/>
              </w:rPr>
            </w:pPr>
          </w:p>
        </w:tc>
        <w:tc>
          <w:tcPr>
            <w:tcW w:w="1374" w:type="dxa"/>
            <w:vAlign w:val="center"/>
          </w:tcPr>
          <w:p w14:paraId="76360E3D">
            <w:pPr>
              <w:rPr>
                <w:rFonts w:ascii="仿宋_GB2312" w:hAnsi="Times New Roman" w:eastAsia="仿宋_GB2312" w:cs="Times New Roman"/>
                <w:color w:val="auto"/>
                <w:sz w:val="30"/>
                <w:szCs w:val="30"/>
                <w:highlight w:val="none"/>
              </w:rPr>
            </w:pPr>
          </w:p>
        </w:tc>
        <w:tc>
          <w:tcPr>
            <w:tcW w:w="1417" w:type="dxa"/>
            <w:vAlign w:val="center"/>
          </w:tcPr>
          <w:p w14:paraId="12CD289C">
            <w:pPr>
              <w:rPr>
                <w:rFonts w:ascii="仿宋_GB2312" w:hAnsi="Times New Roman" w:eastAsia="仿宋_GB2312" w:cs="Times New Roman"/>
                <w:color w:val="auto"/>
                <w:sz w:val="30"/>
                <w:szCs w:val="30"/>
                <w:highlight w:val="none"/>
              </w:rPr>
            </w:pPr>
          </w:p>
        </w:tc>
        <w:tc>
          <w:tcPr>
            <w:tcW w:w="1276" w:type="dxa"/>
            <w:vAlign w:val="center"/>
          </w:tcPr>
          <w:p w14:paraId="639B9241">
            <w:pPr>
              <w:rPr>
                <w:rFonts w:ascii="仿宋_GB2312" w:hAnsi="Times New Roman" w:eastAsia="仿宋_GB2312" w:cs="Times New Roman"/>
                <w:color w:val="auto"/>
                <w:sz w:val="30"/>
                <w:szCs w:val="30"/>
                <w:highlight w:val="none"/>
              </w:rPr>
            </w:pPr>
          </w:p>
        </w:tc>
        <w:tc>
          <w:tcPr>
            <w:tcW w:w="1210" w:type="dxa"/>
            <w:vAlign w:val="center"/>
          </w:tcPr>
          <w:p w14:paraId="6246C08C">
            <w:pPr>
              <w:rPr>
                <w:rFonts w:ascii="仿宋_GB2312" w:hAnsi="Times New Roman" w:eastAsia="仿宋_GB2312" w:cs="Times New Roman"/>
                <w:color w:val="auto"/>
                <w:sz w:val="30"/>
                <w:szCs w:val="30"/>
                <w:highlight w:val="none"/>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hAnsi="Times New Roman" w:eastAsia="仿宋_GB2312" w:cs="Times New Roman"/>
                <w:color w:val="auto"/>
                <w:sz w:val="30"/>
                <w:szCs w:val="30"/>
                <w:highlight w:val="none"/>
              </w:rPr>
            </w:pPr>
          </w:p>
        </w:tc>
        <w:tc>
          <w:tcPr>
            <w:tcW w:w="1244" w:type="dxa"/>
            <w:vAlign w:val="center"/>
          </w:tcPr>
          <w:p w14:paraId="4B030703">
            <w:pPr>
              <w:rPr>
                <w:rFonts w:ascii="仿宋_GB2312" w:hAnsi="Times New Roman" w:eastAsia="仿宋_GB2312" w:cs="Times New Roman"/>
                <w:color w:val="auto"/>
                <w:sz w:val="30"/>
                <w:szCs w:val="30"/>
                <w:highlight w:val="none"/>
              </w:rPr>
            </w:pPr>
          </w:p>
        </w:tc>
        <w:tc>
          <w:tcPr>
            <w:tcW w:w="1985" w:type="dxa"/>
            <w:vAlign w:val="center"/>
          </w:tcPr>
          <w:p w14:paraId="4E30EC89">
            <w:pPr>
              <w:rPr>
                <w:rFonts w:ascii="仿宋_GB2312" w:hAnsi="Times New Roman" w:eastAsia="仿宋_GB2312" w:cs="Times New Roman"/>
                <w:color w:val="auto"/>
                <w:sz w:val="30"/>
                <w:szCs w:val="30"/>
                <w:highlight w:val="none"/>
              </w:rPr>
            </w:pPr>
          </w:p>
        </w:tc>
        <w:tc>
          <w:tcPr>
            <w:tcW w:w="1374" w:type="dxa"/>
            <w:vAlign w:val="center"/>
          </w:tcPr>
          <w:p w14:paraId="45EF1391">
            <w:pPr>
              <w:rPr>
                <w:rFonts w:ascii="仿宋_GB2312" w:hAnsi="Times New Roman" w:eastAsia="仿宋_GB2312" w:cs="Times New Roman"/>
                <w:color w:val="auto"/>
                <w:sz w:val="30"/>
                <w:szCs w:val="30"/>
                <w:highlight w:val="none"/>
              </w:rPr>
            </w:pPr>
          </w:p>
        </w:tc>
        <w:tc>
          <w:tcPr>
            <w:tcW w:w="1417" w:type="dxa"/>
            <w:vAlign w:val="center"/>
          </w:tcPr>
          <w:p w14:paraId="7FCE8CAB">
            <w:pPr>
              <w:rPr>
                <w:rFonts w:ascii="仿宋_GB2312" w:hAnsi="Times New Roman" w:eastAsia="仿宋_GB2312" w:cs="Times New Roman"/>
                <w:color w:val="auto"/>
                <w:sz w:val="30"/>
                <w:szCs w:val="30"/>
                <w:highlight w:val="none"/>
              </w:rPr>
            </w:pPr>
          </w:p>
        </w:tc>
        <w:tc>
          <w:tcPr>
            <w:tcW w:w="1276" w:type="dxa"/>
            <w:vAlign w:val="center"/>
          </w:tcPr>
          <w:p w14:paraId="31F78B03">
            <w:pPr>
              <w:rPr>
                <w:rFonts w:ascii="仿宋_GB2312" w:hAnsi="Times New Roman" w:eastAsia="仿宋_GB2312" w:cs="Times New Roman"/>
                <w:color w:val="auto"/>
                <w:sz w:val="30"/>
                <w:szCs w:val="30"/>
                <w:highlight w:val="none"/>
              </w:rPr>
            </w:pPr>
          </w:p>
        </w:tc>
        <w:tc>
          <w:tcPr>
            <w:tcW w:w="1210" w:type="dxa"/>
            <w:vAlign w:val="center"/>
          </w:tcPr>
          <w:p w14:paraId="009CB48E">
            <w:pPr>
              <w:rPr>
                <w:rFonts w:ascii="仿宋_GB2312" w:hAnsi="Times New Roman" w:eastAsia="仿宋_GB2312" w:cs="Times New Roman"/>
                <w:color w:val="auto"/>
                <w:sz w:val="30"/>
                <w:szCs w:val="30"/>
                <w:highlight w:val="none"/>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hAnsi="Times New Roman" w:eastAsia="仿宋_GB2312" w:cs="Times New Roman"/>
                <w:color w:val="auto"/>
                <w:sz w:val="30"/>
                <w:szCs w:val="30"/>
                <w:highlight w:val="none"/>
              </w:rPr>
            </w:pPr>
          </w:p>
        </w:tc>
        <w:tc>
          <w:tcPr>
            <w:tcW w:w="1244" w:type="dxa"/>
            <w:vAlign w:val="center"/>
          </w:tcPr>
          <w:p w14:paraId="10B7737D">
            <w:pPr>
              <w:rPr>
                <w:rFonts w:ascii="仿宋_GB2312" w:hAnsi="Times New Roman" w:eastAsia="仿宋_GB2312" w:cs="Times New Roman"/>
                <w:color w:val="auto"/>
                <w:sz w:val="30"/>
                <w:szCs w:val="30"/>
                <w:highlight w:val="none"/>
              </w:rPr>
            </w:pPr>
          </w:p>
        </w:tc>
        <w:tc>
          <w:tcPr>
            <w:tcW w:w="1985" w:type="dxa"/>
            <w:vAlign w:val="center"/>
          </w:tcPr>
          <w:p w14:paraId="68D64F0F">
            <w:pPr>
              <w:rPr>
                <w:rFonts w:ascii="仿宋_GB2312" w:hAnsi="Times New Roman" w:eastAsia="仿宋_GB2312" w:cs="Times New Roman"/>
                <w:color w:val="auto"/>
                <w:sz w:val="30"/>
                <w:szCs w:val="30"/>
                <w:highlight w:val="none"/>
              </w:rPr>
            </w:pPr>
          </w:p>
        </w:tc>
        <w:tc>
          <w:tcPr>
            <w:tcW w:w="1374" w:type="dxa"/>
            <w:vAlign w:val="center"/>
          </w:tcPr>
          <w:p w14:paraId="00A3EBB0">
            <w:pPr>
              <w:rPr>
                <w:rFonts w:ascii="仿宋_GB2312" w:hAnsi="Times New Roman" w:eastAsia="仿宋_GB2312" w:cs="Times New Roman"/>
                <w:color w:val="auto"/>
                <w:sz w:val="30"/>
                <w:szCs w:val="30"/>
                <w:highlight w:val="none"/>
              </w:rPr>
            </w:pPr>
          </w:p>
        </w:tc>
        <w:tc>
          <w:tcPr>
            <w:tcW w:w="1417" w:type="dxa"/>
            <w:vAlign w:val="center"/>
          </w:tcPr>
          <w:p w14:paraId="2B956E5E">
            <w:pPr>
              <w:rPr>
                <w:rFonts w:ascii="仿宋_GB2312" w:hAnsi="Times New Roman" w:eastAsia="仿宋_GB2312" w:cs="Times New Roman"/>
                <w:color w:val="auto"/>
                <w:sz w:val="30"/>
                <w:szCs w:val="30"/>
                <w:highlight w:val="none"/>
              </w:rPr>
            </w:pPr>
          </w:p>
        </w:tc>
        <w:tc>
          <w:tcPr>
            <w:tcW w:w="1276" w:type="dxa"/>
            <w:vAlign w:val="center"/>
          </w:tcPr>
          <w:p w14:paraId="1EB7E52B">
            <w:pPr>
              <w:rPr>
                <w:rFonts w:ascii="仿宋_GB2312" w:hAnsi="Times New Roman" w:eastAsia="仿宋_GB2312" w:cs="Times New Roman"/>
                <w:color w:val="auto"/>
                <w:sz w:val="30"/>
                <w:szCs w:val="30"/>
                <w:highlight w:val="none"/>
              </w:rPr>
            </w:pPr>
          </w:p>
        </w:tc>
        <w:tc>
          <w:tcPr>
            <w:tcW w:w="1210" w:type="dxa"/>
            <w:vAlign w:val="center"/>
          </w:tcPr>
          <w:p w14:paraId="0FDF5982">
            <w:pPr>
              <w:rPr>
                <w:rFonts w:ascii="仿宋_GB2312" w:hAnsi="Times New Roman" w:eastAsia="仿宋_GB2312" w:cs="Times New Roman"/>
                <w:color w:val="auto"/>
                <w:sz w:val="30"/>
                <w:szCs w:val="30"/>
                <w:highlight w:val="none"/>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hAnsi="Times New Roman" w:eastAsia="仿宋_GB2312" w:cs="Times New Roman"/>
                <w:color w:val="auto"/>
                <w:sz w:val="30"/>
                <w:szCs w:val="30"/>
                <w:highlight w:val="none"/>
              </w:rPr>
            </w:pPr>
          </w:p>
        </w:tc>
        <w:tc>
          <w:tcPr>
            <w:tcW w:w="1244" w:type="dxa"/>
            <w:vAlign w:val="center"/>
          </w:tcPr>
          <w:p w14:paraId="1978B351">
            <w:pPr>
              <w:rPr>
                <w:rFonts w:ascii="仿宋_GB2312" w:hAnsi="Times New Roman" w:eastAsia="仿宋_GB2312" w:cs="Times New Roman"/>
                <w:color w:val="auto"/>
                <w:sz w:val="30"/>
                <w:szCs w:val="30"/>
                <w:highlight w:val="none"/>
              </w:rPr>
            </w:pPr>
          </w:p>
        </w:tc>
        <w:tc>
          <w:tcPr>
            <w:tcW w:w="1985" w:type="dxa"/>
            <w:vAlign w:val="center"/>
          </w:tcPr>
          <w:p w14:paraId="4683EF66">
            <w:pPr>
              <w:rPr>
                <w:rFonts w:ascii="仿宋_GB2312" w:hAnsi="Times New Roman" w:eastAsia="仿宋_GB2312" w:cs="Times New Roman"/>
                <w:color w:val="auto"/>
                <w:sz w:val="30"/>
                <w:szCs w:val="30"/>
                <w:highlight w:val="none"/>
              </w:rPr>
            </w:pPr>
          </w:p>
        </w:tc>
        <w:tc>
          <w:tcPr>
            <w:tcW w:w="1374" w:type="dxa"/>
            <w:vAlign w:val="center"/>
          </w:tcPr>
          <w:p w14:paraId="4E840165">
            <w:pPr>
              <w:rPr>
                <w:rFonts w:ascii="仿宋_GB2312" w:hAnsi="Times New Roman" w:eastAsia="仿宋_GB2312" w:cs="Times New Roman"/>
                <w:color w:val="auto"/>
                <w:sz w:val="30"/>
                <w:szCs w:val="30"/>
                <w:highlight w:val="none"/>
              </w:rPr>
            </w:pPr>
          </w:p>
        </w:tc>
        <w:tc>
          <w:tcPr>
            <w:tcW w:w="1417" w:type="dxa"/>
            <w:vAlign w:val="center"/>
          </w:tcPr>
          <w:p w14:paraId="3936600D">
            <w:pPr>
              <w:rPr>
                <w:rFonts w:ascii="仿宋_GB2312" w:hAnsi="Times New Roman" w:eastAsia="仿宋_GB2312" w:cs="Times New Roman"/>
                <w:color w:val="auto"/>
                <w:sz w:val="30"/>
                <w:szCs w:val="30"/>
                <w:highlight w:val="none"/>
              </w:rPr>
            </w:pPr>
          </w:p>
        </w:tc>
        <w:tc>
          <w:tcPr>
            <w:tcW w:w="1276" w:type="dxa"/>
            <w:vAlign w:val="center"/>
          </w:tcPr>
          <w:p w14:paraId="760F9CD3">
            <w:pPr>
              <w:rPr>
                <w:rFonts w:ascii="仿宋_GB2312" w:hAnsi="Times New Roman" w:eastAsia="仿宋_GB2312" w:cs="Times New Roman"/>
                <w:color w:val="auto"/>
                <w:sz w:val="30"/>
                <w:szCs w:val="30"/>
                <w:highlight w:val="none"/>
              </w:rPr>
            </w:pPr>
          </w:p>
        </w:tc>
        <w:tc>
          <w:tcPr>
            <w:tcW w:w="1210" w:type="dxa"/>
            <w:vAlign w:val="center"/>
          </w:tcPr>
          <w:p w14:paraId="50003D24">
            <w:pPr>
              <w:rPr>
                <w:rFonts w:ascii="仿宋_GB2312" w:hAnsi="Times New Roman" w:eastAsia="仿宋_GB2312" w:cs="Times New Roman"/>
                <w:color w:val="auto"/>
                <w:sz w:val="30"/>
                <w:szCs w:val="30"/>
                <w:highlight w:val="none"/>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hAnsi="Times New Roman" w:eastAsia="仿宋_GB2312" w:cs="Times New Roman"/>
                <w:color w:val="auto"/>
                <w:sz w:val="30"/>
                <w:szCs w:val="30"/>
                <w:highlight w:val="none"/>
              </w:rPr>
            </w:pPr>
          </w:p>
        </w:tc>
        <w:tc>
          <w:tcPr>
            <w:tcW w:w="1244" w:type="dxa"/>
            <w:vAlign w:val="center"/>
          </w:tcPr>
          <w:p w14:paraId="3B9D74C6">
            <w:pPr>
              <w:rPr>
                <w:rFonts w:ascii="仿宋_GB2312" w:hAnsi="Times New Roman" w:eastAsia="仿宋_GB2312" w:cs="Times New Roman"/>
                <w:color w:val="auto"/>
                <w:sz w:val="30"/>
                <w:szCs w:val="30"/>
                <w:highlight w:val="none"/>
              </w:rPr>
            </w:pPr>
          </w:p>
        </w:tc>
        <w:tc>
          <w:tcPr>
            <w:tcW w:w="1985" w:type="dxa"/>
            <w:vAlign w:val="center"/>
          </w:tcPr>
          <w:p w14:paraId="229593F7">
            <w:pPr>
              <w:rPr>
                <w:rFonts w:ascii="仿宋_GB2312" w:hAnsi="Times New Roman" w:eastAsia="仿宋_GB2312" w:cs="Times New Roman"/>
                <w:color w:val="auto"/>
                <w:sz w:val="30"/>
                <w:szCs w:val="30"/>
                <w:highlight w:val="none"/>
              </w:rPr>
            </w:pPr>
          </w:p>
        </w:tc>
        <w:tc>
          <w:tcPr>
            <w:tcW w:w="1374" w:type="dxa"/>
            <w:vAlign w:val="center"/>
          </w:tcPr>
          <w:p w14:paraId="5F5A41DF">
            <w:pPr>
              <w:rPr>
                <w:rFonts w:ascii="仿宋_GB2312" w:hAnsi="Times New Roman" w:eastAsia="仿宋_GB2312" w:cs="Times New Roman"/>
                <w:color w:val="auto"/>
                <w:sz w:val="30"/>
                <w:szCs w:val="30"/>
                <w:highlight w:val="none"/>
              </w:rPr>
            </w:pPr>
          </w:p>
        </w:tc>
        <w:tc>
          <w:tcPr>
            <w:tcW w:w="1417" w:type="dxa"/>
            <w:vAlign w:val="center"/>
          </w:tcPr>
          <w:p w14:paraId="249DEB5E">
            <w:pPr>
              <w:rPr>
                <w:rFonts w:ascii="仿宋_GB2312" w:hAnsi="Times New Roman" w:eastAsia="仿宋_GB2312" w:cs="Times New Roman"/>
                <w:color w:val="auto"/>
                <w:sz w:val="30"/>
                <w:szCs w:val="30"/>
                <w:highlight w:val="none"/>
              </w:rPr>
            </w:pPr>
          </w:p>
        </w:tc>
        <w:tc>
          <w:tcPr>
            <w:tcW w:w="1276" w:type="dxa"/>
            <w:vAlign w:val="center"/>
          </w:tcPr>
          <w:p w14:paraId="595B4971">
            <w:pPr>
              <w:rPr>
                <w:rFonts w:ascii="仿宋_GB2312" w:hAnsi="Times New Roman" w:eastAsia="仿宋_GB2312" w:cs="Times New Roman"/>
                <w:color w:val="auto"/>
                <w:sz w:val="30"/>
                <w:szCs w:val="30"/>
                <w:highlight w:val="none"/>
              </w:rPr>
            </w:pPr>
          </w:p>
        </w:tc>
        <w:tc>
          <w:tcPr>
            <w:tcW w:w="1210" w:type="dxa"/>
            <w:vAlign w:val="center"/>
          </w:tcPr>
          <w:p w14:paraId="1E1D5B28">
            <w:pPr>
              <w:rPr>
                <w:rFonts w:ascii="仿宋_GB2312" w:hAnsi="Times New Roman" w:eastAsia="仿宋_GB2312" w:cs="Times New Roman"/>
                <w:color w:val="auto"/>
                <w:sz w:val="30"/>
                <w:szCs w:val="30"/>
                <w:highlight w:val="none"/>
              </w:rPr>
            </w:pPr>
          </w:p>
        </w:tc>
      </w:tr>
    </w:tbl>
    <w:p w14:paraId="6D233F89">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备注：此表应认真填写，不得提供虚假业绩。</w:t>
      </w:r>
    </w:p>
    <w:p w14:paraId="7C4954F1">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后附合同</w:t>
      </w:r>
      <w:r>
        <w:rPr>
          <w:rFonts w:hint="eastAsia" w:ascii="仿宋_GB2312" w:hAnsi="Times New Roman" w:eastAsia="仿宋_GB2312" w:cs="Times New Roman"/>
          <w:color w:val="auto"/>
          <w:sz w:val="30"/>
          <w:szCs w:val="30"/>
          <w:highlight w:val="none"/>
          <w:lang w:eastAsia="zh-CN"/>
        </w:rPr>
        <w:t>、</w:t>
      </w:r>
      <w:r>
        <w:rPr>
          <w:rFonts w:hint="eastAsia" w:ascii="仿宋_GB2312" w:hAnsi="Times New Roman" w:eastAsia="仿宋_GB2312" w:cs="Times New Roman"/>
          <w:color w:val="auto"/>
          <w:sz w:val="30"/>
          <w:szCs w:val="30"/>
          <w:highlight w:val="none"/>
          <w:lang w:val="en-US" w:eastAsia="zh-CN"/>
        </w:rPr>
        <w:t>中标通知书</w:t>
      </w:r>
      <w:r>
        <w:rPr>
          <w:rFonts w:hint="eastAsia" w:ascii="仿宋_GB2312" w:hAnsi="Times New Roman" w:eastAsia="仿宋_GB2312" w:cs="Times New Roman"/>
          <w:color w:val="auto"/>
          <w:sz w:val="30"/>
          <w:szCs w:val="30"/>
          <w:highlight w:val="none"/>
        </w:rPr>
        <w:t>的扫描件；</w:t>
      </w:r>
    </w:p>
    <w:p w14:paraId="244C8A3A">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界定日期以合同签订时间为准。</w:t>
      </w:r>
    </w:p>
    <w:p w14:paraId="275FA378">
      <w:pPr>
        <w:rPr>
          <w:rFonts w:ascii="仿宋_GB2312" w:hAnsi="Times New Roman" w:eastAsia="仿宋_GB2312" w:cs="Times New Roman"/>
          <w:color w:val="auto"/>
          <w:sz w:val="30"/>
          <w:szCs w:val="30"/>
          <w:highlight w:val="none"/>
        </w:rPr>
      </w:pPr>
    </w:p>
    <w:p w14:paraId="1B0F089D">
      <w:pPr>
        <w:jc w:val="right"/>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投标人名称(盖章):</w:t>
      </w:r>
    </w:p>
    <w:p w14:paraId="07C953E4">
      <w:pPr>
        <w:jc w:val="center"/>
        <w:rPr>
          <w:rFonts w:ascii="黑体" w:hAnsi="黑体" w:eastAsia="黑体"/>
          <w:color w:val="auto"/>
          <w:sz w:val="44"/>
          <w:szCs w:val="44"/>
          <w:highlight w:val="none"/>
        </w:rPr>
      </w:pPr>
      <w:r>
        <w:rPr>
          <w:rFonts w:hint="eastAsia" w:ascii="仿宋_GB2312" w:hAnsi="Times New Roman" w:eastAsia="仿宋_GB2312" w:cs="Times New Roman"/>
          <w:color w:val="auto"/>
          <w:sz w:val="30"/>
          <w:szCs w:val="30"/>
          <w:highlight w:val="none"/>
        </w:rPr>
        <w:t>法定代表人或授权代表（</w:t>
      </w:r>
      <w:r>
        <w:rPr>
          <w:rFonts w:hint="eastAsia" w:ascii="仿宋_GB2312" w:hAnsi="仿宋" w:eastAsia="仿宋_GB2312" w:cs="Times New Roman"/>
          <w:color w:val="auto"/>
          <w:sz w:val="32"/>
          <w:szCs w:val="32"/>
          <w:highlight w:val="none"/>
        </w:rPr>
        <w:t>签字或盖章</w:t>
      </w:r>
      <w:r>
        <w:rPr>
          <w:rFonts w:hint="eastAsia" w:ascii="仿宋_GB2312" w:hAnsi="Times New Roman" w:eastAsia="仿宋_GB2312" w:cs="Times New Roman"/>
          <w:color w:val="auto"/>
          <w:sz w:val="30"/>
          <w:szCs w:val="30"/>
          <w:highlight w:val="none"/>
        </w:rPr>
        <w:t>）:</w:t>
      </w:r>
      <w:r>
        <w:rPr>
          <w:rFonts w:ascii="仿宋_GB2312" w:hAnsi="仿宋" w:eastAsia="仿宋_GB2312" w:cs="Times New Roman"/>
          <w:bCs/>
          <w:color w:val="auto"/>
          <w:sz w:val="30"/>
          <w:szCs w:val="30"/>
          <w:highlight w:val="none"/>
        </w:rPr>
        <w:br w:type="page"/>
      </w:r>
      <w:r>
        <w:rPr>
          <w:rFonts w:hint="eastAsia" w:ascii="黑体" w:hAnsi="黑体" w:eastAsia="黑体"/>
          <w:color w:val="auto"/>
          <w:sz w:val="44"/>
          <w:szCs w:val="44"/>
          <w:highlight w:val="none"/>
        </w:rPr>
        <w:t>需要采购人提供的配合</w:t>
      </w:r>
    </w:p>
    <w:p w14:paraId="51A414BD">
      <w:pPr>
        <w:rPr>
          <w:color w:val="auto"/>
          <w:highlight w:val="none"/>
        </w:rPr>
        <w:sectPr>
          <w:headerReference r:id="rId19" w:type="default"/>
          <w:footerReference r:id="rId20" w:type="default"/>
          <w:pgSz w:w="11906" w:h="16838"/>
          <w:pgMar w:top="1440" w:right="1080" w:bottom="1440" w:left="1080" w:header="851" w:footer="992" w:gutter="0"/>
          <w:cols w:space="720" w:num="1"/>
          <w:docGrid w:type="lines" w:linePitch="312" w:charSpace="0"/>
        </w:sectPr>
      </w:pPr>
      <w:r>
        <w:rPr>
          <w:color w:val="auto"/>
          <w:highlight w:val="none"/>
        </w:rPr>
        <w:br w:type="page"/>
      </w:r>
    </w:p>
    <w:p w14:paraId="1EBC785E">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 采购合同（范本）</w:t>
      </w:r>
    </w:p>
    <w:p w14:paraId="3F628298">
      <w:pPr>
        <w:rPr>
          <w:color w:val="auto"/>
          <w:highlight w:val="none"/>
        </w:rPr>
      </w:pPr>
    </w:p>
    <w:p w14:paraId="4138CFE5">
      <w:pPr>
        <w:pStyle w:val="3"/>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auto"/>
          <w:sz w:val="32"/>
          <w:szCs w:val="32"/>
          <w:highlight w:val="none"/>
          <w:lang w:eastAsia="zh-CN"/>
        </w:rPr>
      </w:pPr>
      <w:r>
        <w:rPr>
          <w:rFonts w:hAnsi="宋体"/>
          <w:color w:val="auto"/>
          <w:sz w:val="52"/>
          <w:szCs w:val="52"/>
          <w:highlight w:val="none"/>
        </w:rPr>
        <w:br w:type="page"/>
      </w:r>
      <w:r>
        <w:rPr>
          <w:rFonts w:hint="eastAsia" w:ascii="仿宋_GB2312" w:hAnsi="仿宋" w:eastAsia="仿宋_GB2312" w:cs="宋体"/>
          <w:b/>
          <w:bCs/>
          <w:color w:val="auto"/>
          <w:sz w:val="32"/>
          <w:szCs w:val="32"/>
          <w:highlight w:val="none"/>
          <w:shd w:val="solid" w:color="EEECE1" w:fill="FFFFFF"/>
        </w:rPr>
        <w:t>合同编号：</w:t>
      </w:r>
      <w:r>
        <w:rPr>
          <w:rFonts w:hint="eastAsia" w:ascii="仿宋_GB2312" w:hAnsi="仿宋" w:eastAsia="仿宋_GB2312" w:cs="宋体"/>
          <w:b/>
          <w:bCs/>
          <w:color w:val="auto"/>
          <w:sz w:val="32"/>
          <w:szCs w:val="32"/>
          <w:highlight w:val="none"/>
          <w:shd w:val="solid" w:color="EEECE1" w:fill="FFFFFF"/>
          <w:lang w:eastAsia="zh-CN"/>
        </w:rPr>
        <w:t>WHJX-ZB-2026-030</w:t>
      </w:r>
    </w:p>
    <w:p w14:paraId="3B8C5364">
      <w:pPr>
        <w:jc w:val="center"/>
        <w:rPr>
          <w:rFonts w:ascii="仿宋_GB2312" w:hAnsi="仿宋" w:eastAsia="仿宋_GB2312"/>
          <w:b/>
          <w:color w:val="auto"/>
          <w:sz w:val="44"/>
          <w:szCs w:val="44"/>
          <w:highlight w:val="none"/>
        </w:rPr>
      </w:pPr>
    </w:p>
    <w:p w14:paraId="1167FCF2">
      <w:pPr>
        <w:pStyle w:val="2"/>
        <w:ind w:firstLine="880"/>
        <w:rPr>
          <w:rFonts w:ascii="仿宋_GB2312" w:hAnsi="仿宋" w:eastAsia="仿宋_GB2312"/>
          <w:color w:val="auto"/>
          <w:sz w:val="44"/>
          <w:szCs w:val="44"/>
          <w:highlight w:val="none"/>
        </w:rPr>
      </w:pPr>
    </w:p>
    <w:p w14:paraId="57C3311F">
      <w:pPr>
        <w:pStyle w:val="2"/>
        <w:ind w:firstLine="880"/>
        <w:rPr>
          <w:rFonts w:ascii="仿宋_GB2312" w:hAnsi="仿宋" w:eastAsia="仿宋_GB2312"/>
          <w:color w:val="auto"/>
          <w:sz w:val="44"/>
          <w:szCs w:val="44"/>
          <w:highlight w:val="none"/>
        </w:rPr>
      </w:pPr>
    </w:p>
    <w:p w14:paraId="3BE4E8DE">
      <w:pPr>
        <w:pStyle w:val="2"/>
        <w:ind w:firstLine="880"/>
        <w:rPr>
          <w:rFonts w:ascii="仿宋_GB2312" w:hAnsi="仿宋" w:eastAsia="仿宋_GB2312"/>
          <w:color w:val="auto"/>
          <w:sz w:val="44"/>
          <w:szCs w:val="44"/>
          <w:highlight w:val="none"/>
        </w:rPr>
      </w:pPr>
    </w:p>
    <w:p w14:paraId="5D5F8CAE">
      <w:pPr>
        <w:pStyle w:val="2"/>
        <w:rPr>
          <w:rFonts w:ascii="仿宋_GB2312" w:hAnsi="仿宋" w:eastAsia="仿宋_GB2312"/>
          <w:color w:val="auto"/>
          <w:sz w:val="44"/>
          <w:szCs w:val="44"/>
          <w:highlight w:val="none"/>
        </w:rPr>
      </w:pPr>
    </w:p>
    <w:p w14:paraId="35A4D4F7">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乳山市市政建设工程有限公司</w:t>
      </w:r>
    </w:p>
    <w:p w14:paraId="0F8AD4D6">
      <w:pPr>
        <w:ind w:firstLine="883" w:firstLineChars="200"/>
        <w:rPr>
          <w:rFonts w:ascii="仿宋_GB2312" w:hAnsi="仿宋" w:eastAsia="仿宋_GB2312"/>
          <w:b/>
          <w:color w:val="auto"/>
          <w:sz w:val="44"/>
          <w:szCs w:val="44"/>
          <w:highlight w:val="none"/>
        </w:rPr>
      </w:pPr>
    </w:p>
    <w:p w14:paraId="5C13C5B2">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路沿石、人行道板采购</w:t>
      </w:r>
      <w:r>
        <w:rPr>
          <w:rFonts w:hint="eastAsia" w:ascii="仿宋_GB2312" w:hAnsi="仿宋" w:eastAsia="仿宋_GB2312"/>
          <w:b/>
          <w:color w:val="auto"/>
          <w:sz w:val="44"/>
          <w:szCs w:val="44"/>
          <w:highlight w:val="none"/>
        </w:rPr>
        <w:t>合同</w:t>
      </w:r>
    </w:p>
    <w:p w14:paraId="7D942117">
      <w:pPr>
        <w:ind w:firstLine="3080" w:firstLineChars="700"/>
        <w:rPr>
          <w:rFonts w:ascii="仿宋_GB2312" w:hAnsi="仿宋" w:eastAsia="仿宋_GB2312"/>
          <w:color w:val="auto"/>
          <w:sz w:val="44"/>
          <w:szCs w:val="44"/>
          <w:highlight w:val="none"/>
        </w:rPr>
      </w:pPr>
    </w:p>
    <w:p w14:paraId="5772C696">
      <w:pPr>
        <w:pStyle w:val="2"/>
        <w:rPr>
          <w:rFonts w:ascii="仿宋_GB2312" w:hAnsi="仿宋" w:eastAsia="仿宋_GB2312"/>
          <w:color w:val="auto"/>
          <w:sz w:val="44"/>
          <w:szCs w:val="44"/>
          <w:highlight w:val="none"/>
        </w:rPr>
      </w:pPr>
    </w:p>
    <w:p w14:paraId="1468B60A">
      <w:pPr>
        <w:pStyle w:val="2"/>
        <w:rPr>
          <w:rFonts w:ascii="仿宋_GB2312" w:hAnsi="仿宋" w:eastAsia="仿宋_GB2312"/>
          <w:color w:val="auto"/>
          <w:sz w:val="44"/>
          <w:szCs w:val="44"/>
          <w:highlight w:val="none"/>
        </w:rPr>
      </w:pPr>
    </w:p>
    <w:p w14:paraId="36C670FB">
      <w:pPr>
        <w:pStyle w:val="2"/>
        <w:ind w:left="0" w:leftChars="0" w:firstLine="880"/>
        <w:rPr>
          <w:rFonts w:ascii="仿宋_GB2312" w:hAnsi="仿宋" w:eastAsia="仿宋_GB2312"/>
          <w:color w:val="auto"/>
          <w:sz w:val="44"/>
          <w:szCs w:val="44"/>
          <w:highlight w:val="none"/>
        </w:rPr>
      </w:pPr>
    </w:p>
    <w:p w14:paraId="75E93050">
      <w:pPr>
        <w:ind w:firstLine="2080" w:firstLineChars="650"/>
        <w:rPr>
          <w:rFonts w:hint="eastAsia" w:ascii="仿宋_GB2312" w:hAnsi="仿宋" w:eastAsia="仿宋_GB2312"/>
          <w:color w:val="auto"/>
          <w:sz w:val="32"/>
          <w:szCs w:val="32"/>
          <w:highlight w:val="none"/>
          <w:lang w:eastAsia="zh-CN"/>
        </w:rPr>
      </w:pPr>
      <w:r>
        <w:rPr>
          <w:rFonts w:hint="eastAsia" w:ascii="仿宋_GB2312" w:hAnsi="仿宋" w:eastAsia="仿宋_GB2312"/>
          <w:color w:val="auto"/>
          <w:sz w:val="32"/>
          <w:szCs w:val="32"/>
          <w:highlight w:val="none"/>
        </w:rPr>
        <w:t xml:space="preserve">甲    方: </w:t>
      </w:r>
      <w:r>
        <w:rPr>
          <w:rFonts w:hint="eastAsia" w:ascii="仿宋_GB2312" w:hAnsi="仿宋" w:eastAsia="仿宋_GB2312"/>
          <w:color w:val="auto"/>
          <w:sz w:val="32"/>
          <w:szCs w:val="32"/>
          <w:highlight w:val="none"/>
          <w:lang w:eastAsia="zh-CN"/>
        </w:rPr>
        <w:t>乳山市市政建设工程有限公司</w:t>
      </w:r>
    </w:p>
    <w:p w14:paraId="0DEF52D2">
      <w:pPr>
        <w:ind w:firstLine="2080" w:firstLineChars="650"/>
        <w:rPr>
          <w:rFonts w:ascii="仿宋_GB2312" w:hAnsi="仿宋" w:eastAsia="仿宋_GB2312"/>
          <w:color w:val="auto"/>
          <w:sz w:val="32"/>
          <w:szCs w:val="32"/>
          <w:highlight w:val="none"/>
        </w:rPr>
      </w:pPr>
    </w:p>
    <w:p w14:paraId="3148E92E">
      <w:pPr>
        <w:ind w:firstLine="2080" w:firstLineChars="65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乙    方: </w:t>
      </w:r>
    </w:p>
    <w:p w14:paraId="5526479A">
      <w:pPr>
        <w:pStyle w:val="20"/>
        <w:ind w:firstLine="2728" w:firstLineChars="620"/>
        <w:rPr>
          <w:rFonts w:ascii="仿宋_GB2312" w:hAnsi="仿宋" w:eastAsia="仿宋_GB2312"/>
          <w:color w:val="auto"/>
          <w:sz w:val="44"/>
          <w:szCs w:val="44"/>
          <w:highlight w:val="none"/>
        </w:rPr>
      </w:pPr>
    </w:p>
    <w:p w14:paraId="3895BA22">
      <w:pPr>
        <w:pStyle w:val="20"/>
        <w:ind w:firstLine="1984" w:firstLineChars="62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签订日期:    年   月  日</w:t>
      </w:r>
    </w:p>
    <w:p w14:paraId="6312865D">
      <w:pPr>
        <w:spacing w:line="360" w:lineRule="auto"/>
        <w:ind w:firstLine="624" w:firstLineChars="200"/>
        <w:rPr>
          <w:rFonts w:ascii="仿宋_GB2312" w:hAnsi="仿宋" w:eastAsia="仿宋_GB2312"/>
          <w:color w:val="auto"/>
          <w:sz w:val="30"/>
          <w:szCs w:val="30"/>
          <w:highlight w:val="none"/>
        </w:rPr>
      </w:pPr>
      <w:r>
        <w:rPr>
          <w:rFonts w:hint="eastAsia" w:ascii="仿宋_GB2312" w:hAnsi="仿宋" w:eastAsia="仿宋_GB2312" w:cs="宋体"/>
          <w:color w:val="auto"/>
          <w:spacing w:val="6"/>
          <w:sz w:val="30"/>
          <w:szCs w:val="30"/>
          <w:highlight w:val="none"/>
        </w:rPr>
        <w:br w:type="page"/>
      </w:r>
      <w:r>
        <w:rPr>
          <w:rFonts w:hint="eastAsia" w:ascii="仿宋_GB2312" w:hAnsi="仿宋" w:eastAsia="仿宋_GB2312"/>
          <w:color w:val="auto"/>
          <w:sz w:val="30"/>
          <w:szCs w:val="30"/>
          <w:highlight w:val="none"/>
        </w:rPr>
        <w:t>本合同于20</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年</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月</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日由甲、乙两方共同签订。甲方为用户单位</w:t>
      </w:r>
      <w:r>
        <w:rPr>
          <w:rFonts w:hint="eastAsia" w:ascii="仿宋_GB2312" w:hAnsi="仿宋" w:eastAsia="仿宋_GB2312"/>
          <w:bCs/>
          <w:color w:val="auto"/>
          <w:sz w:val="30"/>
          <w:szCs w:val="30"/>
          <w:highlight w:val="none"/>
        </w:rPr>
        <w:t xml:space="preserve"> </w:t>
      </w:r>
      <w:r>
        <w:rPr>
          <w:rFonts w:hint="eastAsia" w:ascii="仿宋_GB2312" w:hAnsi="仿宋" w:eastAsia="仿宋_GB2312"/>
          <w:color w:val="auto"/>
          <w:sz w:val="30"/>
          <w:szCs w:val="30"/>
          <w:highlight w:val="none"/>
        </w:rPr>
        <w:t>、乙方为成交供应商。合同各方必须遵守《中华人民共和国民法典》，并各自履行应负的全部责任。本合同书共四份。</w:t>
      </w:r>
    </w:p>
    <w:p w14:paraId="58B979B9">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一、合同的组成部分</w:t>
      </w:r>
    </w:p>
    <w:p w14:paraId="5E7F832D">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1、成交通知书</w:t>
      </w:r>
    </w:p>
    <w:p w14:paraId="5CD82E70">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2、本合同书</w:t>
      </w:r>
    </w:p>
    <w:p w14:paraId="6C7A5766">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3、乙方在评审过程中补充、修改或澄清的文件</w:t>
      </w:r>
    </w:p>
    <w:p w14:paraId="2C77E6A8">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4、</w:t>
      </w:r>
      <w:r>
        <w:rPr>
          <w:rFonts w:hint="eastAsia" w:ascii="仿宋_GB2312" w:hAnsi="仿宋" w:eastAsia="仿宋_GB2312" w:cs="宋体"/>
          <w:color w:val="auto"/>
          <w:spacing w:val="6"/>
          <w:sz w:val="30"/>
          <w:szCs w:val="30"/>
          <w:highlight w:val="none"/>
          <w:lang w:eastAsia="zh-CN"/>
        </w:rPr>
        <w:t>WHJX-ZB-2026-030</w:t>
      </w:r>
      <w:r>
        <w:rPr>
          <w:rFonts w:hint="eastAsia" w:ascii="仿宋_GB2312" w:hAnsi="仿宋" w:eastAsia="仿宋_GB2312" w:cs="宋体"/>
          <w:color w:val="auto"/>
          <w:spacing w:val="6"/>
          <w:sz w:val="30"/>
          <w:szCs w:val="30"/>
          <w:highlight w:val="none"/>
        </w:rPr>
        <w:t>竞争谈判文件</w:t>
      </w:r>
    </w:p>
    <w:p w14:paraId="0ED88597">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5、乙方的响应文件</w:t>
      </w:r>
    </w:p>
    <w:p w14:paraId="23899B11">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6、本合同附件</w:t>
      </w:r>
    </w:p>
    <w:p w14:paraId="710EB144">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上述文件将相互补充，合同各方必须予以遵守执行。若有不明确或不一致之处，以上列次序在先者为准。</w:t>
      </w:r>
    </w:p>
    <w:p w14:paraId="5BB37297">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二、标的物及数量：</w:t>
      </w:r>
    </w:p>
    <w:p w14:paraId="0E3FF27C">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三、价款：</w:t>
      </w:r>
    </w:p>
    <w:p w14:paraId="46463A8A">
      <w:pPr>
        <w:pStyle w:val="20"/>
        <w:spacing w:line="360" w:lineRule="auto"/>
        <w:ind w:firstLine="560"/>
        <w:rPr>
          <w:rFonts w:ascii="仿宋_GB2312" w:hAnsi="仿宋" w:eastAsia="仿宋_GB2312"/>
          <w:bCs/>
          <w:color w:val="auto"/>
          <w:sz w:val="30"/>
          <w:szCs w:val="30"/>
          <w:highlight w:val="none"/>
        </w:rPr>
      </w:pPr>
      <w:r>
        <w:rPr>
          <w:rFonts w:hint="eastAsia" w:ascii="仿宋_GB2312" w:hAnsi="仿宋" w:eastAsia="仿宋_GB2312"/>
          <w:bCs/>
          <w:color w:val="auto"/>
          <w:sz w:val="30"/>
          <w:szCs w:val="30"/>
          <w:highlight w:val="none"/>
        </w:rPr>
        <w:t>本合同总价款为人民币</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元整（￥</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w:t>
      </w:r>
    </w:p>
    <w:p w14:paraId="0F40A284">
      <w:pPr>
        <w:spacing w:line="360" w:lineRule="auto"/>
        <w:ind w:firstLine="600" w:firstLineChars="200"/>
        <w:rPr>
          <w:rFonts w:ascii="仿宋_GB2312" w:hAnsi="仿宋" w:eastAsia="仿宋_GB2312"/>
          <w:b/>
          <w:bCs/>
          <w:color w:val="auto"/>
          <w:sz w:val="30"/>
          <w:szCs w:val="30"/>
          <w:highlight w:val="none"/>
        </w:rPr>
      </w:pPr>
      <w:r>
        <w:rPr>
          <w:rFonts w:hint="eastAsia" w:ascii="仿宋_GB2312" w:hAnsi="仿宋" w:eastAsia="仿宋_GB2312"/>
          <w:color w:val="auto"/>
          <w:sz w:val="30"/>
          <w:szCs w:val="30"/>
          <w:highlight w:val="none"/>
        </w:rPr>
        <w:t>四、质量及专利权</w:t>
      </w:r>
    </w:p>
    <w:p w14:paraId="3DA76863">
      <w:pPr>
        <w:spacing w:line="360" w:lineRule="auto"/>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１.乙方提供的标的物的技术参数必须符合该项目的采购文件的要求、乙方响应文件的承诺及乙方在评审过程中做出的澄清、说明或者补正内容。</w:t>
      </w:r>
    </w:p>
    <w:p w14:paraId="5A5C6DE9">
      <w:pPr>
        <w:widowControl/>
        <w:tabs>
          <w:tab w:val="left" w:pos="1080"/>
          <w:tab w:val="left" w:pos="1260"/>
        </w:tabs>
        <w:spacing w:line="360" w:lineRule="auto"/>
        <w:ind w:firstLine="600" w:firstLineChars="200"/>
        <w:jc w:val="left"/>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2.乙方应保证甲方在中华人民共和国境内使用其提供的标的物或标的物的任何一部分时，免受第三方提起的侵犯其专利权、商标权、著作权或其他产权纠纷，否则由乙方承担一切法律责任。</w:t>
      </w:r>
    </w:p>
    <w:p w14:paraId="26F17C95">
      <w:pPr>
        <w:pStyle w:val="20"/>
        <w:tabs>
          <w:tab w:val="left" w:pos="60"/>
        </w:tabs>
        <w:spacing w:line="360" w:lineRule="auto"/>
        <w:ind w:left="665"/>
        <w:rPr>
          <w:rFonts w:ascii="仿宋_GB2312" w:hAnsi="仿宋" w:eastAsia="仿宋_GB2312" w:cs="宋体"/>
          <w:color w:val="auto"/>
          <w:sz w:val="30"/>
          <w:szCs w:val="30"/>
          <w:highlight w:val="none"/>
        </w:rPr>
      </w:pPr>
      <w:r>
        <w:rPr>
          <w:rFonts w:hint="eastAsia" w:ascii="仿宋_GB2312" w:hAnsi="仿宋" w:eastAsia="仿宋_GB2312"/>
          <w:color w:val="auto"/>
          <w:sz w:val="30"/>
          <w:szCs w:val="30"/>
          <w:highlight w:val="none"/>
        </w:rPr>
        <w:t>3.质量保证期：</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w:t>
      </w:r>
      <w:r>
        <w:rPr>
          <w:rFonts w:hint="eastAsia" w:ascii="仿宋_GB2312" w:hAnsi="仿宋" w:eastAsia="仿宋_GB2312" w:cs="宋体"/>
          <w:color w:val="auto"/>
          <w:sz w:val="30"/>
          <w:szCs w:val="30"/>
          <w:highlight w:val="none"/>
        </w:rPr>
        <w:t xml:space="preserve"> </w:t>
      </w:r>
    </w:p>
    <w:p w14:paraId="19451A0D">
      <w:pPr>
        <w:spacing w:line="360" w:lineRule="auto"/>
        <w:ind w:left="56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五、供货地点及联系人：</w:t>
      </w:r>
    </w:p>
    <w:p w14:paraId="0B0527D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供货地点：甲方指定地点。</w:t>
      </w:r>
    </w:p>
    <w:p w14:paraId="5FD6F32B">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联系人：</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任康辉</w:t>
      </w:r>
      <w:r>
        <w:rPr>
          <w:rFonts w:hint="eastAsia" w:ascii="仿宋_GB2312" w:hAnsi="仿宋" w:eastAsia="仿宋_GB2312" w:cs="宋体"/>
          <w:color w:val="auto"/>
          <w:sz w:val="30"/>
          <w:szCs w:val="30"/>
          <w:highlight w:val="none"/>
        </w:rPr>
        <w:t>；</w:t>
      </w:r>
    </w:p>
    <w:p w14:paraId="543BA711">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18561278337</w:t>
      </w:r>
      <w:r>
        <w:rPr>
          <w:rFonts w:hint="eastAsia" w:ascii="仿宋_GB2312" w:hAnsi="仿宋" w:eastAsia="仿宋_GB2312" w:cs="宋体"/>
          <w:color w:val="auto"/>
          <w:sz w:val="30"/>
          <w:szCs w:val="30"/>
          <w:highlight w:val="none"/>
        </w:rPr>
        <w:t>。</w:t>
      </w:r>
    </w:p>
    <w:p w14:paraId="0F8506FA">
      <w:pPr>
        <w:spacing w:line="360" w:lineRule="auto"/>
        <w:ind w:firstLine="525"/>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六、交货期： 。</w:t>
      </w:r>
    </w:p>
    <w:p w14:paraId="7D696974">
      <w:pPr>
        <w:spacing w:line="360" w:lineRule="auto"/>
        <w:ind w:firstLine="525"/>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七、验收</w:t>
      </w:r>
    </w:p>
    <w:p w14:paraId="4FFF6FAA">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1、标的物应按照国家及有关部门的规定进行包装，以确保其安全无损地运抵交货地点。</w:t>
      </w:r>
    </w:p>
    <w:p w14:paraId="156BB596">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6021F363">
      <w:pPr>
        <w:pStyle w:val="20"/>
        <w:tabs>
          <w:tab w:val="left" w:pos="720"/>
          <w:tab w:val="left" w:pos="900"/>
        </w:tabs>
        <w:spacing w:line="360" w:lineRule="auto"/>
        <w:ind w:left="50" w:leftChars="24" w:firstLine="590" w:firstLineChars="196"/>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八、付款：</w:t>
      </w:r>
    </w:p>
    <w:p w14:paraId="11830A23">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（1）本合同以人民币付款。</w:t>
      </w:r>
    </w:p>
    <w:p w14:paraId="6B28AD24">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 xml:space="preserve">（2）付款方式： </w:t>
      </w:r>
    </w:p>
    <w:p w14:paraId="12872269">
      <w:pPr>
        <w:pStyle w:val="20"/>
        <w:tabs>
          <w:tab w:val="left" w:pos="1040"/>
        </w:tabs>
        <w:spacing w:line="360" w:lineRule="auto"/>
        <w:ind w:left="50" w:firstLine="600" w:firstLineChars="200"/>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（3）付款按以下资信办理</w:t>
      </w:r>
    </w:p>
    <w:p w14:paraId="653FD20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收 款 人：</w:t>
      </w:r>
    </w:p>
    <w:p w14:paraId="5C689BF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开户银行：</w:t>
      </w:r>
    </w:p>
    <w:p w14:paraId="34339178">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银行账号：</w:t>
      </w:r>
    </w:p>
    <w:p w14:paraId="39607A6B">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 系 人：</w:t>
      </w:r>
    </w:p>
    <w:p w14:paraId="45451BD5">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p>
    <w:p w14:paraId="0749A6BB">
      <w:pPr>
        <w:pStyle w:val="20"/>
        <w:spacing w:line="360" w:lineRule="auto"/>
        <w:ind w:left="50" w:firstLine="64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九、售后服务：</w:t>
      </w:r>
    </w:p>
    <w:p w14:paraId="2F8DFA13">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1.根据甲方需要，乙方应派技术人员现场服务，处理现场出现的技术问题。</w:t>
      </w:r>
    </w:p>
    <w:p w14:paraId="74BF6FD5">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2.乙方要保证提供优质的售后服务，其服务必须达到或超过标的物生产厂提供的承诺。质保期内，免费负责三包（包退、包换、保修）。</w:t>
      </w:r>
    </w:p>
    <w:p w14:paraId="6F3242C6">
      <w:pPr>
        <w:widowControl/>
        <w:spacing w:line="360" w:lineRule="auto"/>
        <w:ind w:firstLine="600" w:firstLineChars="200"/>
        <w:jc w:val="left"/>
        <w:rPr>
          <w:rFonts w:ascii="仿宋_GB2312" w:hAnsi="宋体" w:eastAsia="仿宋_GB2312" w:cs="仿宋_GB2312"/>
          <w:color w:val="auto"/>
          <w:kern w:val="0"/>
          <w:sz w:val="30"/>
          <w:szCs w:val="30"/>
          <w:highlight w:val="none"/>
        </w:rPr>
      </w:pPr>
      <w:r>
        <w:rPr>
          <w:rFonts w:hint="eastAsia" w:ascii="仿宋_GB2312" w:hAnsi="宋体" w:eastAsia="仿宋_GB2312"/>
          <w:color w:val="auto"/>
          <w:kern w:val="0"/>
          <w:sz w:val="30"/>
          <w:szCs w:val="30"/>
          <w:highlight w:val="none"/>
        </w:rPr>
        <w:t>3.</w:t>
      </w:r>
      <w:r>
        <w:rPr>
          <w:rFonts w:hint="eastAsia" w:ascii="仿宋_GB2312" w:hAnsi="宋体" w:eastAsia="仿宋_GB2312" w:cs="仿宋_GB2312"/>
          <w:color w:val="auto"/>
          <w:kern w:val="0"/>
          <w:sz w:val="30"/>
          <w:szCs w:val="30"/>
          <w:highlight w:val="none"/>
        </w:rPr>
        <w:t>标的物出现问题时，无论质保期内外，乙方均须保证</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分钟内响应甲方的要求，</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小时内到达现场，</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内完成修复，以保证甲方工作的正常进行。</w:t>
      </w:r>
    </w:p>
    <w:p w14:paraId="7638A4A1">
      <w:pPr>
        <w:widowControl/>
        <w:spacing w:line="360" w:lineRule="auto"/>
        <w:ind w:firstLine="600" w:firstLineChars="200"/>
        <w:jc w:val="left"/>
        <w:rPr>
          <w:rFonts w:ascii="仿宋_GB2312" w:hAnsi="宋体" w:eastAsia="仿宋_GB2312"/>
          <w:color w:val="auto"/>
          <w:szCs w:val="28"/>
          <w:highlight w:val="none"/>
        </w:rPr>
      </w:pPr>
      <w:r>
        <w:rPr>
          <w:rFonts w:hint="eastAsia" w:ascii="仿宋_GB2312" w:hAnsi="宋体" w:eastAsia="仿宋_GB2312"/>
          <w:color w:val="auto"/>
          <w:sz w:val="30"/>
          <w:szCs w:val="30"/>
          <w:highlight w:val="none"/>
        </w:rPr>
        <w:t>4.乙方应严格履行其在该项目的响应文件中所做出的承诺。</w:t>
      </w:r>
    </w:p>
    <w:p w14:paraId="7610BAAF">
      <w:pPr>
        <w:spacing w:line="360" w:lineRule="auto"/>
        <w:ind w:left="-10" w:firstLine="561"/>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十、变更与修改</w:t>
      </w:r>
    </w:p>
    <w:p w14:paraId="7AD6B1B3">
      <w:pPr>
        <w:pStyle w:val="20"/>
        <w:spacing w:line="360" w:lineRule="auto"/>
        <w:ind w:left="50" w:firstLine="638"/>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乙方应严格按合同要求供货、安装、调试，未经甲方书面同意，乙方不得擅自就合同标的物的数量、质量、供货或完工日期、技术规格以及其他的合同条款进行变更、修改。</w:t>
      </w:r>
    </w:p>
    <w:p w14:paraId="196C100C">
      <w:pPr>
        <w:spacing w:line="360" w:lineRule="auto"/>
        <w:ind w:firstLine="602" w:firstLineChars="200"/>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十一、</w:t>
      </w:r>
      <w:r>
        <w:rPr>
          <w:rFonts w:hint="eastAsia" w:ascii="仿宋_GB2312" w:hAnsi="仿宋" w:eastAsia="仿宋_GB2312" w:cs="宋体"/>
          <w:b/>
          <w:bCs/>
          <w:color w:val="auto"/>
          <w:sz w:val="30"/>
          <w:szCs w:val="30"/>
          <w:highlight w:val="none"/>
        </w:rPr>
        <w:t>合同解除：</w:t>
      </w:r>
    </w:p>
    <w:p w14:paraId="61B0651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有下列情况之一的，招标公司经甲方书面同意，可向乙方发出书面通知，解除本合同。</w:t>
      </w:r>
    </w:p>
    <w:p w14:paraId="4723F1AF">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（1）乙方未能在合同约定的限期内履行合同义务的；</w:t>
      </w:r>
    </w:p>
    <w:p w14:paraId="48FBB2D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（2）乙方没有按照合同约定的要求交付标的物，或标的物验收不合格的；</w:t>
      </w:r>
    </w:p>
    <w:p w14:paraId="7B08F45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（3）乙方未经书面同意部分转让或全部转让其应履行的合同义务；</w:t>
      </w:r>
    </w:p>
    <w:p w14:paraId="21938335">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十二、违约赔偿：</w:t>
      </w:r>
    </w:p>
    <w:p w14:paraId="331D3FA1">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1、除“不可抗力”外，乙方延期交货或验收不合格而造成的损失由乙方承担。“不可抗力”仅限于战争、严重火灾、洪水、台风、地震及甲方认可的其他事件。</w:t>
      </w:r>
    </w:p>
    <w:p w14:paraId="041EBFE2">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2、乙方逾期交货的，除甲方书面同意的原因外，每逾期一日按照逾期交货部分合同价款的3‰向甲方交纳违约金，不足一日，按一日计算（下同）。</w:t>
      </w:r>
    </w:p>
    <w:p w14:paraId="2AB40404">
      <w:pPr>
        <w:spacing w:line="360" w:lineRule="auto"/>
        <w:ind w:firstLine="534"/>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十三、争议解决：</w:t>
      </w:r>
    </w:p>
    <w:p w14:paraId="570AC8CC">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1、合同双方应通过友好协商，解决执行本合同中所发生的或与本合同有关的一切争议，如协商不成，可向合同签约地的人民法院提起诉讼；</w:t>
      </w:r>
    </w:p>
    <w:p w14:paraId="53C60E8D">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2、在诉讼期间，本合同无争议的部分应继续执行。</w:t>
      </w:r>
    </w:p>
    <w:p w14:paraId="70292C42">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十四、合同生效：</w:t>
      </w:r>
    </w:p>
    <w:p w14:paraId="7693D58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本合同由双方代表签字或加盖双方公章或合同章后生效。</w:t>
      </w:r>
    </w:p>
    <w:p w14:paraId="2073E8D3">
      <w:pPr>
        <w:widowControl/>
        <w:spacing w:line="360" w:lineRule="auto"/>
        <w:ind w:firstLine="605" w:firstLineChars="201"/>
        <w:jc w:val="left"/>
        <w:rPr>
          <w:rFonts w:ascii="仿宋_GB2312" w:hAnsi="仿宋" w:eastAsia="仿宋_GB2312" w:cs="宋体"/>
          <w:color w:val="auto"/>
          <w:sz w:val="30"/>
          <w:szCs w:val="30"/>
          <w:highlight w:val="none"/>
          <w:shd w:val="pct10" w:color="auto" w:fill="FFFFFF"/>
        </w:rPr>
      </w:pPr>
      <w:r>
        <w:rPr>
          <w:rFonts w:hint="eastAsia" w:ascii="仿宋_GB2312" w:hAnsi="仿宋" w:eastAsia="仿宋_GB2312" w:cs="宋体"/>
          <w:b/>
          <w:bCs/>
          <w:color w:val="auto"/>
          <w:sz w:val="30"/>
          <w:szCs w:val="30"/>
          <w:highlight w:val="none"/>
        </w:rPr>
        <w:t>十五、签约地点：</w:t>
      </w:r>
      <w:r>
        <w:rPr>
          <w:rFonts w:hint="eastAsia" w:ascii="仿宋_GB2312" w:hAnsi="仿宋" w:eastAsia="仿宋_GB2312" w:cs="宋体"/>
          <w:color w:val="auto"/>
          <w:sz w:val="30"/>
          <w:szCs w:val="30"/>
          <w:highlight w:val="none"/>
        </w:rPr>
        <w:t>山东省乳山市。</w:t>
      </w:r>
    </w:p>
    <w:p w14:paraId="19B7AA77">
      <w:pPr>
        <w:spacing w:line="360" w:lineRule="auto"/>
        <w:ind w:firstLine="605" w:firstLineChars="201"/>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十六、通知与送达</w:t>
      </w:r>
    </w:p>
    <w:p w14:paraId="3613597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1F5C19F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双方地址与联系方式如下：</w:t>
      </w:r>
    </w:p>
    <w:p w14:paraId="2B5C527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如致甲方：【</w:t>
      </w:r>
      <w:r>
        <w:rPr>
          <w:rFonts w:hint="eastAsia" w:ascii="仿宋_GB2312" w:hAnsi="仿宋" w:eastAsia="仿宋_GB2312" w:cs="宋体"/>
          <w:color w:val="auto"/>
          <w:sz w:val="30"/>
          <w:szCs w:val="30"/>
          <w:highlight w:val="none"/>
          <w:lang w:eastAsia="zh-CN"/>
        </w:rPr>
        <w:t>任康辉</w:t>
      </w:r>
      <w:r>
        <w:rPr>
          <w:rFonts w:hint="eastAsia" w:ascii="仿宋_GB2312" w:hAnsi="仿宋" w:eastAsia="仿宋_GB2312" w:cs="宋体"/>
          <w:color w:val="auto"/>
          <w:sz w:val="30"/>
          <w:szCs w:val="30"/>
          <w:highlight w:val="none"/>
        </w:rPr>
        <w:t>】</w:t>
      </w:r>
    </w:p>
    <w:p w14:paraId="0FD3D11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r>
        <w:rPr>
          <w:rFonts w:hint="eastAsia" w:ascii="仿宋_GB2312" w:hAnsi="宋体" w:eastAsia="仿宋_GB2312"/>
          <w:color w:val="auto"/>
          <w:sz w:val="28"/>
          <w:szCs w:val="21"/>
          <w:highlight w:val="none"/>
          <w:lang w:eastAsia="zh-CN"/>
        </w:rPr>
        <w:t>山东省威海市乳山市深圳路8号</w:t>
      </w:r>
      <w:r>
        <w:rPr>
          <w:rFonts w:hint="eastAsia" w:ascii="仿宋_GB2312" w:hAnsi="仿宋" w:eastAsia="仿宋_GB2312" w:cs="宋体"/>
          <w:color w:val="auto"/>
          <w:sz w:val="30"/>
          <w:szCs w:val="30"/>
          <w:highlight w:val="none"/>
        </w:rPr>
        <w:t>】</w:t>
      </w:r>
    </w:p>
    <w:p w14:paraId="4C08DB2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r>
        <w:rPr>
          <w:rFonts w:hint="eastAsia" w:ascii="仿宋_GB2312" w:hAnsi="仿宋" w:eastAsia="仿宋_GB2312" w:cs="宋体"/>
          <w:color w:val="auto"/>
          <w:sz w:val="30"/>
          <w:szCs w:val="30"/>
          <w:highlight w:val="none"/>
          <w:lang w:eastAsia="zh-CN"/>
        </w:rPr>
        <w:t>18561278337</w:t>
      </w:r>
      <w:r>
        <w:rPr>
          <w:rFonts w:hint="eastAsia" w:ascii="仿宋_GB2312" w:hAnsi="仿宋" w:eastAsia="仿宋_GB2312" w:cs="宋体"/>
          <w:color w:val="auto"/>
          <w:sz w:val="30"/>
          <w:szCs w:val="30"/>
          <w:highlight w:val="none"/>
        </w:rPr>
        <w:t>】</w:t>
      </w:r>
    </w:p>
    <w:p w14:paraId="0ACC872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p w14:paraId="6369425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如致乙方：</w:t>
      </w:r>
    </w:p>
    <w:p w14:paraId="58233B1B">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p>
    <w:p w14:paraId="5A9F4E6D">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p>
    <w:p w14:paraId="2C90A0B6">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p>
    <w:p w14:paraId="43723C4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tbl>
      <w:tblPr>
        <w:tblStyle w:val="34"/>
        <w:tblW w:w="0" w:type="auto"/>
        <w:tblInd w:w="0" w:type="dxa"/>
        <w:tblLayout w:type="autofit"/>
        <w:tblCellMar>
          <w:top w:w="0" w:type="dxa"/>
          <w:left w:w="108" w:type="dxa"/>
          <w:bottom w:w="0" w:type="dxa"/>
          <w:right w:w="108" w:type="dxa"/>
        </w:tblCellMar>
      </w:tblPr>
      <w:tblGrid>
        <w:gridCol w:w="4984"/>
        <w:gridCol w:w="4984"/>
      </w:tblGrid>
      <w:tr w14:paraId="7AB38972">
        <w:tblPrEx>
          <w:tblCellMar>
            <w:top w:w="0" w:type="dxa"/>
            <w:left w:w="108" w:type="dxa"/>
            <w:bottom w:w="0" w:type="dxa"/>
            <w:right w:w="108" w:type="dxa"/>
          </w:tblCellMar>
        </w:tblPrEx>
        <w:trPr>
          <w:trHeight w:val="1064" w:hRule="atLeast"/>
        </w:trPr>
        <w:tc>
          <w:tcPr>
            <w:tcW w:w="5035" w:type="dxa"/>
          </w:tcPr>
          <w:p w14:paraId="107F9204">
            <w:pPr>
              <w:pStyle w:val="20"/>
              <w:rPr>
                <w:rFonts w:hint="eastAsia" w:ascii="仿宋_GB2312" w:hAnsi="仿宋" w:eastAsia="仿宋_GB2312" w:cs="宋体"/>
                <w:color w:val="auto"/>
                <w:sz w:val="30"/>
                <w:szCs w:val="30"/>
                <w:highlight w:val="none"/>
                <w:lang w:eastAsia="zh-CN"/>
              </w:rPr>
            </w:pPr>
            <w:r>
              <w:rPr>
                <w:rFonts w:hint="eastAsia" w:ascii="仿宋_GB2312" w:hAnsi="仿宋" w:eastAsia="仿宋_GB2312"/>
                <w:bCs/>
                <w:color w:val="auto"/>
                <w:sz w:val="30"/>
                <w:szCs w:val="30"/>
                <w:highlight w:val="none"/>
              </w:rPr>
              <w:t>甲方:</w:t>
            </w:r>
            <w:r>
              <w:rPr>
                <w:rFonts w:hint="eastAsia" w:ascii="仿宋_GB2312" w:hAnsi="仿宋" w:eastAsia="仿宋_GB2312"/>
                <w:bCs/>
                <w:color w:val="auto"/>
                <w:sz w:val="30"/>
                <w:szCs w:val="30"/>
                <w:highlight w:val="none"/>
                <w:lang w:eastAsia="zh-CN"/>
              </w:rPr>
              <w:t>乳山市市政建设工程有限公司</w:t>
            </w:r>
          </w:p>
        </w:tc>
        <w:tc>
          <w:tcPr>
            <w:tcW w:w="5035" w:type="dxa"/>
          </w:tcPr>
          <w:p w14:paraId="09116099">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乙方:</w:t>
            </w:r>
          </w:p>
        </w:tc>
      </w:tr>
      <w:tr w14:paraId="7D484F57">
        <w:tblPrEx>
          <w:tblCellMar>
            <w:top w:w="0" w:type="dxa"/>
            <w:left w:w="108" w:type="dxa"/>
            <w:bottom w:w="0" w:type="dxa"/>
            <w:right w:w="108" w:type="dxa"/>
          </w:tblCellMar>
        </w:tblPrEx>
        <w:trPr>
          <w:trHeight w:val="1681" w:hRule="atLeast"/>
        </w:trPr>
        <w:tc>
          <w:tcPr>
            <w:tcW w:w="5035" w:type="dxa"/>
          </w:tcPr>
          <w:p w14:paraId="54ACDFA3">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c>
          <w:tcPr>
            <w:tcW w:w="5035" w:type="dxa"/>
          </w:tcPr>
          <w:p w14:paraId="070C488F">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r>
      <w:tr w14:paraId="675A729E">
        <w:tblPrEx>
          <w:tblCellMar>
            <w:top w:w="0" w:type="dxa"/>
            <w:left w:w="108" w:type="dxa"/>
            <w:bottom w:w="0" w:type="dxa"/>
            <w:right w:w="108" w:type="dxa"/>
          </w:tblCellMar>
        </w:tblPrEx>
        <w:trPr>
          <w:trHeight w:val="1713" w:hRule="atLeast"/>
        </w:trPr>
        <w:tc>
          <w:tcPr>
            <w:tcW w:w="5035" w:type="dxa"/>
          </w:tcPr>
          <w:p w14:paraId="5A18C20D">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c>
          <w:tcPr>
            <w:tcW w:w="5035" w:type="dxa"/>
          </w:tcPr>
          <w:p w14:paraId="02D959E6">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r>
    </w:tbl>
    <w:p w14:paraId="13EBFBBC">
      <w:pPr>
        <w:pStyle w:val="20"/>
        <w:ind w:firstLine="560"/>
        <w:rPr>
          <w:rFonts w:ascii="仿宋_GB2312" w:hAnsi="仿宋" w:eastAsia="仿宋_GB2312" w:cs="宋体"/>
          <w:color w:val="auto"/>
          <w:sz w:val="30"/>
          <w:szCs w:val="30"/>
          <w:highlight w:val="none"/>
        </w:rPr>
      </w:pPr>
    </w:p>
    <w:p w14:paraId="5F2507BA">
      <w:pPr>
        <w:spacing w:line="560" w:lineRule="exact"/>
        <w:ind w:firstLine="560" w:firstLineChars="200"/>
        <w:jc w:val="center"/>
        <w:rPr>
          <w:rFonts w:ascii="仿宋_GB2312" w:hAnsi="宋体" w:eastAsia="仿宋_GB2312"/>
          <w:color w:val="auto"/>
          <w:sz w:val="28"/>
          <w:szCs w:val="28"/>
          <w:highlight w:val="none"/>
        </w:rPr>
        <w:sectPr>
          <w:footerReference r:id="rId21" w:type="default"/>
          <w:type w:val="continuous"/>
          <w:pgSz w:w="11906" w:h="16838"/>
          <w:pgMar w:top="1440" w:right="1077" w:bottom="1440" w:left="1077" w:header="851" w:footer="992" w:gutter="0"/>
          <w:cols w:space="720" w:num="1"/>
          <w:docGrid w:type="lines" w:linePitch="312" w:charSpace="0"/>
        </w:sectPr>
      </w:pPr>
    </w:p>
    <w:p w14:paraId="2AA65FC3">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附表如下：</w:t>
      </w:r>
    </w:p>
    <w:tbl>
      <w:tblPr>
        <w:tblStyle w:val="34"/>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A919D7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4BB4729D">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序号</w:t>
            </w:r>
          </w:p>
        </w:tc>
        <w:tc>
          <w:tcPr>
            <w:tcW w:w="435" w:type="pct"/>
            <w:tcBorders>
              <w:top w:val="single" w:color="auto" w:sz="4" w:space="0"/>
            </w:tcBorders>
            <w:vAlign w:val="center"/>
          </w:tcPr>
          <w:p w14:paraId="649DC268">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货物内容</w:t>
            </w:r>
          </w:p>
        </w:tc>
        <w:tc>
          <w:tcPr>
            <w:tcW w:w="515" w:type="pct"/>
            <w:tcBorders>
              <w:top w:val="single" w:color="auto" w:sz="4" w:space="0"/>
              <w:right w:val="single" w:color="auto" w:sz="4" w:space="0"/>
            </w:tcBorders>
            <w:vAlign w:val="center"/>
          </w:tcPr>
          <w:p w14:paraId="1337F3AA">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品牌型号</w:t>
            </w:r>
          </w:p>
        </w:tc>
        <w:tc>
          <w:tcPr>
            <w:tcW w:w="1487" w:type="pct"/>
            <w:tcBorders>
              <w:top w:val="single" w:color="auto" w:sz="4" w:space="0"/>
            </w:tcBorders>
            <w:vAlign w:val="center"/>
          </w:tcPr>
          <w:p w14:paraId="648B791A">
            <w:pPr>
              <w:spacing w:line="560" w:lineRule="exact"/>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详细配置</w:t>
            </w:r>
          </w:p>
        </w:tc>
        <w:tc>
          <w:tcPr>
            <w:tcW w:w="787" w:type="pct"/>
            <w:tcBorders>
              <w:top w:val="single" w:color="auto" w:sz="4" w:space="0"/>
            </w:tcBorders>
            <w:vAlign w:val="center"/>
          </w:tcPr>
          <w:p w14:paraId="55B1CB10">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生产厂家</w:t>
            </w:r>
          </w:p>
        </w:tc>
        <w:tc>
          <w:tcPr>
            <w:tcW w:w="472" w:type="pct"/>
            <w:tcBorders>
              <w:top w:val="single" w:color="auto" w:sz="4" w:space="0"/>
              <w:right w:val="single" w:color="auto" w:sz="4" w:space="0"/>
            </w:tcBorders>
            <w:vAlign w:val="center"/>
          </w:tcPr>
          <w:p w14:paraId="20C7FEE1">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数量</w:t>
            </w:r>
          </w:p>
        </w:tc>
        <w:tc>
          <w:tcPr>
            <w:tcW w:w="520" w:type="pct"/>
            <w:tcBorders>
              <w:top w:val="single" w:color="auto" w:sz="4" w:space="0"/>
              <w:left w:val="single" w:color="auto" w:sz="4" w:space="0"/>
              <w:right w:val="single" w:color="auto" w:sz="4" w:space="0"/>
            </w:tcBorders>
            <w:vAlign w:val="center"/>
          </w:tcPr>
          <w:p w14:paraId="3389BDF4">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单价（元）</w:t>
            </w:r>
          </w:p>
        </w:tc>
        <w:tc>
          <w:tcPr>
            <w:tcW w:w="496" w:type="pct"/>
            <w:tcBorders>
              <w:top w:val="single" w:color="auto" w:sz="4" w:space="0"/>
              <w:left w:val="single" w:color="auto" w:sz="4" w:space="0"/>
            </w:tcBorders>
            <w:vAlign w:val="center"/>
          </w:tcPr>
          <w:p w14:paraId="464906AB">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总价（元）</w:t>
            </w:r>
          </w:p>
        </w:tc>
      </w:tr>
      <w:tr w14:paraId="03C174E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3F52EC25">
            <w:pPr>
              <w:rPr>
                <w:rFonts w:ascii="仿宋_GB2312" w:hAnsi="宋体" w:eastAsia="仿宋_GB2312"/>
                <w:color w:val="auto"/>
                <w:sz w:val="24"/>
                <w:szCs w:val="24"/>
                <w:highlight w:val="none"/>
              </w:rPr>
            </w:pPr>
            <w:r>
              <w:rPr>
                <w:rFonts w:hint="eastAsia" w:ascii="仿宋_GB2312" w:hAnsi="宋体" w:eastAsia="仿宋_GB2312"/>
                <w:bCs/>
                <w:color w:val="auto"/>
                <w:sz w:val="24"/>
                <w:szCs w:val="24"/>
                <w:highlight w:val="none"/>
              </w:rPr>
              <w:t>0</w:t>
            </w:r>
          </w:p>
        </w:tc>
        <w:tc>
          <w:tcPr>
            <w:tcW w:w="435" w:type="pct"/>
            <w:vAlign w:val="center"/>
          </w:tcPr>
          <w:p w14:paraId="6B3A227A">
            <w:pPr>
              <w:rPr>
                <w:rFonts w:ascii="仿宋_GB2312" w:hAnsi="宋体" w:eastAsia="仿宋_GB2312"/>
                <w:color w:val="auto"/>
                <w:sz w:val="24"/>
                <w:szCs w:val="24"/>
                <w:highlight w:val="none"/>
              </w:rPr>
            </w:pPr>
          </w:p>
        </w:tc>
        <w:tc>
          <w:tcPr>
            <w:tcW w:w="515" w:type="pct"/>
            <w:tcBorders>
              <w:right w:val="single" w:color="auto" w:sz="4" w:space="0"/>
            </w:tcBorders>
            <w:vAlign w:val="center"/>
          </w:tcPr>
          <w:p w14:paraId="304996C3">
            <w:pPr>
              <w:rPr>
                <w:rFonts w:ascii="仿宋_GB2312" w:hAnsi="宋体" w:eastAsia="仿宋_GB2312"/>
                <w:color w:val="auto"/>
                <w:sz w:val="24"/>
                <w:szCs w:val="24"/>
                <w:highlight w:val="none"/>
              </w:rPr>
            </w:pPr>
          </w:p>
        </w:tc>
        <w:tc>
          <w:tcPr>
            <w:tcW w:w="1487" w:type="pct"/>
            <w:vAlign w:val="center"/>
          </w:tcPr>
          <w:p w14:paraId="122974CF">
            <w:pPr>
              <w:jc w:val="center"/>
              <w:rPr>
                <w:rFonts w:ascii="仿宋_GB2312" w:hAnsi="宋体" w:eastAsia="仿宋_GB2312"/>
                <w:bCs/>
                <w:color w:val="auto"/>
                <w:sz w:val="24"/>
                <w:szCs w:val="24"/>
                <w:highlight w:val="none"/>
              </w:rPr>
            </w:pPr>
          </w:p>
        </w:tc>
        <w:tc>
          <w:tcPr>
            <w:tcW w:w="787" w:type="pct"/>
            <w:vAlign w:val="center"/>
          </w:tcPr>
          <w:p w14:paraId="5B72E4FE">
            <w:pPr>
              <w:rPr>
                <w:rFonts w:ascii="仿宋_GB2312" w:hAnsi="宋体" w:eastAsia="仿宋_GB2312"/>
                <w:color w:val="auto"/>
                <w:sz w:val="24"/>
                <w:szCs w:val="24"/>
                <w:highlight w:val="none"/>
              </w:rPr>
            </w:pPr>
          </w:p>
        </w:tc>
        <w:tc>
          <w:tcPr>
            <w:tcW w:w="472" w:type="pct"/>
            <w:tcBorders>
              <w:right w:val="single" w:color="auto" w:sz="4" w:space="0"/>
            </w:tcBorders>
            <w:vAlign w:val="center"/>
          </w:tcPr>
          <w:p w14:paraId="61C7BC2A">
            <w:pPr>
              <w:rPr>
                <w:rFonts w:ascii="仿宋_GB2312" w:hAnsi="宋体" w:eastAsia="仿宋_GB2312"/>
                <w:color w:val="auto"/>
                <w:sz w:val="24"/>
                <w:szCs w:val="24"/>
                <w:highlight w:val="none"/>
              </w:rPr>
            </w:pPr>
          </w:p>
        </w:tc>
        <w:tc>
          <w:tcPr>
            <w:tcW w:w="520" w:type="pct"/>
            <w:tcBorders>
              <w:left w:val="single" w:color="auto" w:sz="4" w:space="0"/>
              <w:right w:val="single" w:color="auto" w:sz="4" w:space="0"/>
            </w:tcBorders>
            <w:vAlign w:val="center"/>
          </w:tcPr>
          <w:p w14:paraId="468A7392">
            <w:pPr>
              <w:rPr>
                <w:rFonts w:ascii="仿宋_GB2312" w:hAnsi="宋体" w:eastAsia="仿宋_GB2312"/>
                <w:color w:val="auto"/>
                <w:sz w:val="24"/>
                <w:szCs w:val="24"/>
                <w:highlight w:val="none"/>
              </w:rPr>
            </w:pPr>
          </w:p>
        </w:tc>
        <w:tc>
          <w:tcPr>
            <w:tcW w:w="496" w:type="pct"/>
            <w:tcBorders>
              <w:left w:val="single" w:color="auto" w:sz="4" w:space="0"/>
            </w:tcBorders>
            <w:vAlign w:val="center"/>
          </w:tcPr>
          <w:p w14:paraId="4880797C">
            <w:pPr>
              <w:rPr>
                <w:rFonts w:ascii="仿宋_GB2312" w:hAnsi="宋体" w:eastAsia="仿宋_GB2312"/>
                <w:color w:val="auto"/>
                <w:sz w:val="24"/>
                <w:szCs w:val="24"/>
                <w:highlight w:val="none"/>
              </w:rPr>
            </w:pPr>
          </w:p>
        </w:tc>
      </w:tr>
      <w:tr w14:paraId="63C1A50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2FAE4FC8">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本表总计</w:t>
            </w:r>
          </w:p>
        </w:tc>
        <w:tc>
          <w:tcPr>
            <w:tcW w:w="496" w:type="pct"/>
            <w:tcBorders>
              <w:left w:val="single" w:color="auto" w:sz="4" w:space="0"/>
            </w:tcBorders>
            <w:vAlign w:val="center"/>
          </w:tcPr>
          <w:p w14:paraId="4D377649">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0</w:t>
            </w:r>
          </w:p>
        </w:tc>
      </w:tr>
    </w:tbl>
    <w:p w14:paraId="16E628C9">
      <w:pPr>
        <w:spacing w:line="560" w:lineRule="exact"/>
        <w:rPr>
          <w:rFonts w:ascii="仿宋_GB2312" w:hAnsi="宋体" w:eastAsia="仿宋_GB2312"/>
          <w:bCs/>
          <w:color w:val="auto"/>
          <w:sz w:val="28"/>
          <w:szCs w:val="28"/>
          <w:highlight w:val="none"/>
        </w:rPr>
      </w:pPr>
      <w:r>
        <w:rPr>
          <w:rFonts w:hint="eastAsia" w:ascii="仿宋_GB2312" w:hAnsi="宋体" w:eastAsia="仿宋_GB2312"/>
          <w:bCs/>
          <w:color w:val="auto"/>
          <w:sz w:val="28"/>
          <w:szCs w:val="28"/>
          <w:highlight w:val="none"/>
        </w:rPr>
        <w:t xml:space="preserve"> </w:t>
      </w:r>
    </w:p>
    <w:p w14:paraId="16B775EC">
      <w:pPr>
        <w:rPr>
          <w:color w:val="auto"/>
          <w:highlight w:val="none"/>
        </w:rPr>
      </w:pPr>
    </w:p>
    <w:p w14:paraId="17339C7A">
      <w:pPr>
        <w:rPr>
          <w:color w:val="auto"/>
          <w:highlight w:val="none"/>
        </w:rPr>
      </w:pPr>
    </w:p>
    <w:p w14:paraId="3206C193">
      <w:pPr>
        <w:rPr>
          <w:color w:val="auto"/>
          <w:highlight w:val="none"/>
        </w:rPr>
      </w:pPr>
    </w:p>
    <w:p w14:paraId="483CE24B">
      <w:pPr>
        <w:rPr>
          <w:color w:val="auto"/>
          <w:highlight w:val="none"/>
        </w:rPr>
        <w:sectPr>
          <w:pgSz w:w="16838" w:h="11906" w:orient="landscape"/>
          <w:pgMar w:top="1077" w:right="1440" w:bottom="1077" w:left="1440" w:header="851" w:footer="992" w:gutter="0"/>
          <w:cols w:space="720" w:num="1"/>
          <w:docGrid w:type="lines" w:linePitch="312" w:charSpace="0"/>
        </w:sectPr>
      </w:pPr>
    </w:p>
    <w:p w14:paraId="62C2326F">
      <w:pPr>
        <w:rPr>
          <w:color w:val="auto"/>
          <w:highlight w:val="none"/>
        </w:rPr>
      </w:pPr>
    </w:p>
    <w:sectPr>
      <w:type w:val="continuous"/>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D527A8B-0A4F-4CF0-B60C-A9CDADC982D2}"/>
  </w:font>
  <w:font w:name="黑体">
    <w:panose1 w:val="02010609060101010101"/>
    <w:charset w:val="86"/>
    <w:family w:val="auto"/>
    <w:pitch w:val="default"/>
    <w:sig w:usb0="800002BF" w:usb1="38CF7CFA" w:usb2="00000016" w:usb3="00000000" w:csb0="00040001" w:csb1="00000000"/>
    <w:embedRegular r:id="rId2" w:fontKey="{3D9618B8-1031-4166-AEB5-DA417666378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4C4A9583-2A7E-4FE6-AE62-1D0A2A9545C2}"/>
  </w:font>
  <w:font w:name="等线">
    <w:panose1 w:val="02010600030101010101"/>
    <w:charset w:val="86"/>
    <w:family w:val="auto"/>
    <w:pitch w:val="default"/>
    <w:sig w:usb0="A00002BF" w:usb1="38CF7CFA" w:usb2="00000016" w:usb3="00000000" w:csb0="0004000F" w:csb1="00000000"/>
    <w:embedRegular r:id="rId4" w:fontKey="{BB37C0DC-62A8-4830-BAF3-D3141A5CBC09}"/>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5" w:fontKey="{4D21D7E0-F959-440E-83D1-7EB3282B79AF}"/>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auto"/>
    <w:pitch w:val="default"/>
    <w:sig w:usb0="00000001" w:usb1="080E0000" w:usb2="00000000" w:usb3="00000000" w:csb0="00040000" w:csb1="00000000"/>
    <w:embedRegular r:id="rId6" w:fontKey="{E7B8B68E-0E7C-463D-99FB-9D98978AA6E7}"/>
  </w:font>
  <w:font w:name="仿宋">
    <w:panose1 w:val="02010609060101010101"/>
    <w:charset w:val="86"/>
    <w:family w:val="modern"/>
    <w:pitch w:val="default"/>
    <w:sig w:usb0="800002BF" w:usb1="38CF7CFA" w:usb2="00000016" w:usb3="00000000" w:csb0="00040001" w:csb1="00000000"/>
    <w:embedRegular r:id="rId7" w:fontKey="{39926B9B-372D-4B5D-91F4-485E7F3ECFF2}"/>
  </w:font>
  <w:font w:name="方正楷体简体">
    <w:panose1 w:val="02000000000000000000"/>
    <w:charset w:val="86"/>
    <w:family w:val="auto"/>
    <w:pitch w:val="default"/>
    <w:sig w:usb0="A00002BF" w:usb1="184F6CFA" w:usb2="00000012" w:usb3="00000000" w:csb0="00040001" w:csb1="00000000"/>
    <w:embedRegular r:id="rId8" w:fontKey="{C10F8E48-4D7B-46FB-B1CE-B85F5011AA6C}"/>
  </w:font>
  <w:font w:name="楷体_GB2312">
    <w:altName w:val="楷体"/>
    <w:panose1 w:val="02010609030101010101"/>
    <w:charset w:val="86"/>
    <w:family w:val="modern"/>
    <w:pitch w:val="default"/>
    <w:sig w:usb0="00000000" w:usb1="00000000" w:usb2="00000000" w:usb3="00000000" w:csb0="00040000" w:csb1="00000000"/>
    <w:embedRegular r:id="rId9" w:fontKey="{659D321F-80F1-481C-B0B0-61742B6F9270}"/>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90DA2">
    <w:pPr>
      <w:jc w:val="center"/>
    </w:pPr>
    <w:r>
      <w:fldChar w:fldCharType="begin"/>
    </w:r>
    <w:r>
      <w:instrText xml:space="preserve"> PAGE   \* MERGEFORMAT </w:instrText>
    </w:r>
    <w:r>
      <w:fldChar w:fldCharType="separate"/>
    </w:r>
    <w:r>
      <w:t>2</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56CFA">
    <w:pPr>
      <w:jc w:val="center"/>
    </w:pPr>
    <w:r>
      <w:fldChar w:fldCharType="begin"/>
    </w:r>
    <w:r>
      <w:instrText xml:space="preserve"> PAGE   \* MERGEFORMAT </w:instrText>
    </w:r>
    <w:r>
      <w:fldChar w:fldCharType="separate"/>
    </w:r>
    <w:r>
      <w:t>1</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D710F">
    <w:pPr>
      <w:pStyle w:val="24"/>
      <w:ind w:left="420" w:hanging="420"/>
      <w:jc w:val="center"/>
    </w:pPr>
    <w:r>
      <w:fldChar w:fldCharType="begin"/>
    </w:r>
    <w:r>
      <w:instrText xml:space="preserve">PAGE   \* MERGEFORMAT</w:instrText>
    </w:r>
    <w:r>
      <w:fldChar w:fldCharType="separate"/>
    </w:r>
    <w:r>
      <w:rPr>
        <w:lang w:val="zh-CN"/>
      </w:rPr>
      <w:t>2</w:t>
    </w:r>
    <w:r>
      <w:fldChar w:fldCharType="end"/>
    </w:r>
  </w:p>
  <w:p w14:paraId="05771B3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5D481">
    <w:pPr>
      <w:jc w:val="center"/>
    </w:pPr>
    <w:r>
      <w:fldChar w:fldCharType="begin"/>
    </w:r>
    <w:r>
      <w:instrText xml:space="preserve"> PAGE   \* MERGEFORMAT </w:instrText>
    </w:r>
    <w:r>
      <w:fldChar w:fldCharType="separate"/>
    </w:r>
    <w:r>
      <w:t>56</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AC848">
    <w:pPr>
      <w:pStyle w:val="24"/>
      <w:jc w:val="center"/>
    </w:pPr>
    <w:r>
      <w:fldChar w:fldCharType="begin"/>
    </w:r>
    <w:r>
      <w:instrText xml:space="preserve">PAGE   \* MERGEFORMAT</w:instrText>
    </w:r>
    <w:r>
      <w:fldChar w:fldCharType="separate"/>
    </w:r>
    <w:r>
      <w:rPr>
        <w:lang w:val="zh-CN"/>
      </w:rPr>
      <w:t>2</w:t>
    </w:r>
    <w:r>
      <w:fldChar w:fldCharType="end"/>
    </w:r>
  </w:p>
  <w:p w14:paraId="1A823718">
    <w:pPr>
      <w:pStyle w:val="24"/>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D3AEE">
    <w:pPr>
      <w:jc w:val="center"/>
    </w:pPr>
    <w:r>
      <w:fldChar w:fldCharType="begin"/>
    </w:r>
    <w:r>
      <w:instrText xml:space="preserve"> PAGE   \* MERGEFORMAT </w:instrText>
    </w:r>
    <w:r>
      <w:fldChar w:fldCharType="separate"/>
    </w:r>
    <w:r>
      <w:t>68</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44633"/>
  <w:p w14:paraId="7285FF8C">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86CD7">
    <w:pPr>
      <w:pStyle w:val="24"/>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39443D16">
    <w:pPr>
      <w:pStyle w:val="13"/>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226DD">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11398"/>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9390E">
    <w:pPr>
      <w:tabs>
        <w:tab w:val="left" w:pos="3135"/>
      </w:tab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03C9B">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43393">
    <w:pPr>
      <w:pStyle w:val="2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DD602">
    <w:pPr>
      <w:pStyle w:val="2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3EA3C">
    <w:pPr>
      <w:pStyle w:val="25"/>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E0C73">
    <w:pPr>
      <w:pStyle w:val="25"/>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70728">
    <w:pPr>
      <w:pStyle w:val="25"/>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4CE9D">
    <w:pPr>
      <w:pStyle w:val="25"/>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D6E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B3B"/>
    <w:rsid w:val="00004509"/>
    <w:rsid w:val="0006593B"/>
    <w:rsid w:val="00066DC0"/>
    <w:rsid w:val="00081DC3"/>
    <w:rsid w:val="00095DA2"/>
    <w:rsid w:val="000E1096"/>
    <w:rsid w:val="00134CDC"/>
    <w:rsid w:val="001A31B6"/>
    <w:rsid w:val="001D5DD6"/>
    <w:rsid w:val="00263B3B"/>
    <w:rsid w:val="002A529D"/>
    <w:rsid w:val="00302AAD"/>
    <w:rsid w:val="00356352"/>
    <w:rsid w:val="003E30B9"/>
    <w:rsid w:val="004123D2"/>
    <w:rsid w:val="0043339C"/>
    <w:rsid w:val="004B5521"/>
    <w:rsid w:val="004F7A61"/>
    <w:rsid w:val="00514BFC"/>
    <w:rsid w:val="00524419"/>
    <w:rsid w:val="00525664"/>
    <w:rsid w:val="00544C00"/>
    <w:rsid w:val="00576774"/>
    <w:rsid w:val="0059528B"/>
    <w:rsid w:val="00612CA9"/>
    <w:rsid w:val="006208A5"/>
    <w:rsid w:val="00693C16"/>
    <w:rsid w:val="006C11F2"/>
    <w:rsid w:val="006C16DB"/>
    <w:rsid w:val="006E4D65"/>
    <w:rsid w:val="007333B8"/>
    <w:rsid w:val="0076321E"/>
    <w:rsid w:val="00781E15"/>
    <w:rsid w:val="007B4E47"/>
    <w:rsid w:val="007C0BBA"/>
    <w:rsid w:val="007C5C0D"/>
    <w:rsid w:val="008E5743"/>
    <w:rsid w:val="00921853"/>
    <w:rsid w:val="00934A11"/>
    <w:rsid w:val="00945DD6"/>
    <w:rsid w:val="00954E82"/>
    <w:rsid w:val="00A072A4"/>
    <w:rsid w:val="00A3106A"/>
    <w:rsid w:val="00A3269B"/>
    <w:rsid w:val="00A4374B"/>
    <w:rsid w:val="00A70D97"/>
    <w:rsid w:val="00AB7711"/>
    <w:rsid w:val="00AC79CB"/>
    <w:rsid w:val="00AD0A0D"/>
    <w:rsid w:val="00B746A9"/>
    <w:rsid w:val="00B813D2"/>
    <w:rsid w:val="00BD2457"/>
    <w:rsid w:val="00BE4FD9"/>
    <w:rsid w:val="00C13F1B"/>
    <w:rsid w:val="00C83406"/>
    <w:rsid w:val="00C91EC9"/>
    <w:rsid w:val="00CE2B00"/>
    <w:rsid w:val="00D56EF1"/>
    <w:rsid w:val="00D733D3"/>
    <w:rsid w:val="00DF7166"/>
    <w:rsid w:val="00E006CA"/>
    <w:rsid w:val="00E169D2"/>
    <w:rsid w:val="00E24A6C"/>
    <w:rsid w:val="00E35E1F"/>
    <w:rsid w:val="00E40AB8"/>
    <w:rsid w:val="00E544BA"/>
    <w:rsid w:val="00E90025"/>
    <w:rsid w:val="00EB02DD"/>
    <w:rsid w:val="00EB1E84"/>
    <w:rsid w:val="00EE60C0"/>
    <w:rsid w:val="00F015A7"/>
    <w:rsid w:val="00F212C6"/>
    <w:rsid w:val="00F55BB8"/>
    <w:rsid w:val="00F61AF3"/>
    <w:rsid w:val="00F92CA3"/>
    <w:rsid w:val="00F967F6"/>
    <w:rsid w:val="00FC31FD"/>
    <w:rsid w:val="00FF37FD"/>
    <w:rsid w:val="0A6461C7"/>
    <w:rsid w:val="1CAC5CD3"/>
    <w:rsid w:val="1E59000C"/>
    <w:rsid w:val="28CD65D8"/>
    <w:rsid w:val="2B4D3342"/>
    <w:rsid w:val="413E4331"/>
    <w:rsid w:val="42B15B0D"/>
    <w:rsid w:val="4F344AEC"/>
    <w:rsid w:val="63BA47E8"/>
    <w:rsid w:val="64067F39"/>
    <w:rsid w:val="6C500C0A"/>
    <w:rsid w:val="721310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2"/>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3"/>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4"/>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5"/>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6"/>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7"/>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48"/>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49"/>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0"/>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66"/>
    <w:unhideWhenUsed/>
    <w:qFormat/>
    <w:uiPriority w:val="99"/>
    <w:pPr>
      <w:spacing w:after="120"/>
      <w:ind w:left="420" w:leftChars="200" w:firstLine="420" w:firstLineChars="200"/>
    </w:pPr>
    <w:rPr>
      <w:kern w:val="2"/>
      <w:sz w:val="21"/>
      <w:szCs w:val="22"/>
    </w:rPr>
  </w:style>
  <w:style w:type="paragraph" w:styleId="3">
    <w:name w:val="Body Text Indent"/>
    <w:basedOn w:val="1"/>
    <w:link w:val="55"/>
    <w:qFormat/>
    <w:uiPriority w:val="99"/>
    <w:pPr>
      <w:ind w:firstLine="600"/>
    </w:pPr>
    <w:rPr>
      <w:kern w:val="0"/>
      <w:sz w:val="20"/>
      <w:szCs w:val="20"/>
    </w:rPr>
  </w:style>
  <w:style w:type="paragraph" w:styleId="13">
    <w:name w:val="Normal Indent"/>
    <w:basedOn w:val="1"/>
    <w:link w:val="51"/>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52"/>
    <w:qFormat/>
    <w:uiPriority w:val="0"/>
    <w:rPr>
      <w:rFonts w:ascii="宋体"/>
      <w:sz w:val="18"/>
      <w:szCs w:val="18"/>
    </w:rPr>
  </w:style>
  <w:style w:type="paragraph" w:styleId="16">
    <w:name w:val="annotation text"/>
    <w:basedOn w:val="1"/>
    <w:link w:val="53"/>
    <w:qFormat/>
    <w:uiPriority w:val="0"/>
    <w:pPr>
      <w:jc w:val="left"/>
    </w:pPr>
    <w:rPr>
      <w:kern w:val="0"/>
      <w:sz w:val="28"/>
      <w:szCs w:val="28"/>
    </w:rPr>
  </w:style>
  <w:style w:type="paragraph" w:styleId="17">
    <w:name w:val="Body Text"/>
    <w:basedOn w:val="1"/>
    <w:link w:val="54"/>
    <w:qFormat/>
    <w:uiPriority w:val="0"/>
    <w:pPr>
      <w:spacing w:line="420" w:lineRule="auto"/>
    </w:pPr>
    <w:rPr>
      <w:kern w:val="0"/>
      <w:sz w:val="24"/>
      <w:szCs w:val="24"/>
    </w:rPr>
  </w:style>
  <w:style w:type="paragraph" w:styleId="18">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toc 3"/>
    <w:basedOn w:val="1"/>
    <w:next w:val="1"/>
    <w:qFormat/>
    <w:uiPriority w:val="0"/>
    <w:pPr>
      <w:ind w:left="840" w:leftChars="400"/>
    </w:pPr>
    <w:rPr>
      <w:szCs w:val="21"/>
    </w:rPr>
  </w:style>
  <w:style w:type="paragraph" w:styleId="20">
    <w:name w:val="Plain Text"/>
    <w:basedOn w:val="1"/>
    <w:link w:val="56"/>
    <w:qFormat/>
    <w:uiPriority w:val="0"/>
    <w:rPr>
      <w:rFonts w:ascii="宋体" w:hAnsi="Courier New"/>
      <w:kern w:val="0"/>
      <w:szCs w:val="21"/>
    </w:rPr>
  </w:style>
  <w:style w:type="paragraph" w:styleId="21">
    <w:name w:val="Date"/>
    <w:basedOn w:val="1"/>
    <w:next w:val="1"/>
    <w:link w:val="57"/>
    <w:qFormat/>
    <w:uiPriority w:val="0"/>
    <w:pPr>
      <w:ind w:left="100" w:leftChars="2500"/>
    </w:pPr>
    <w:rPr>
      <w:rFonts w:eastAsia="等线"/>
      <w:szCs w:val="21"/>
    </w:rPr>
  </w:style>
  <w:style w:type="paragraph" w:styleId="22">
    <w:name w:val="Body Text Indent 2"/>
    <w:basedOn w:val="1"/>
    <w:link w:val="58"/>
    <w:qFormat/>
    <w:uiPriority w:val="0"/>
    <w:pPr>
      <w:spacing w:after="120" w:line="480" w:lineRule="auto"/>
      <w:ind w:left="420" w:leftChars="200"/>
    </w:pPr>
    <w:rPr>
      <w:rFonts w:eastAsia="等线"/>
      <w:szCs w:val="21"/>
    </w:rPr>
  </w:style>
  <w:style w:type="paragraph" w:styleId="23">
    <w:name w:val="Balloon Text"/>
    <w:basedOn w:val="1"/>
    <w:link w:val="59"/>
    <w:qFormat/>
    <w:uiPriority w:val="0"/>
    <w:rPr>
      <w:kern w:val="0"/>
      <w:sz w:val="18"/>
      <w:szCs w:val="18"/>
    </w:rPr>
  </w:style>
  <w:style w:type="paragraph" w:styleId="24">
    <w:name w:val="footer"/>
    <w:basedOn w:val="1"/>
    <w:link w:val="60"/>
    <w:qFormat/>
    <w:uiPriority w:val="99"/>
    <w:pPr>
      <w:tabs>
        <w:tab w:val="center" w:pos="4153"/>
        <w:tab w:val="right" w:pos="8306"/>
      </w:tabs>
      <w:snapToGrid w:val="0"/>
      <w:jc w:val="left"/>
    </w:pPr>
    <w:rPr>
      <w:kern w:val="0"/>
      <w:sz w:val="18"/>
      <w:szCs w:val="18"/>
    </w:rPr>
  </w:style>
  <w:style w:type="paragraph" w:styleId="25">
    <w:name w:val="header"/>
    <w:basedOn w:val="1"/>
    <w:link w:val="61"/>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qFormat/>
    <w:uiPriority w:val="0"/>
    <w:rPr>
      <w:szCs w:val="21"/>
    </w:rPr>
  </w:style>
  <w:style w:type="paragraph" w:styleId="27">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8">
    <w:name w:val="Body Text Indent 3"/>
    <w:basedOn w:val="1"/>
    <w:link w:val="62"/>
    <w:qFormat/>
    <w:uiPriority w:val="0"/>
    <w:pPr>
      <w:spacing w:after="120"/>
      <w:ind w:left="420" w:leftChars="200"/>
    </w:pPr>
    <w:rPr>
      <w:kern w:val="0"/>
      <w:sz w:val="16"/>
      <w:szCs w:val="16"/>
    </w:rPr>
  </w:style>
  <w:style w:type="paragraph" w:styleId="29">
    <w:name w:val="Body Text 2"/>
    <w:basedOn w:val="1"/>
    <w:link w:val="63"/>
    <w:qFormat/>
    <w:uiPriority w:val="0"/>
    <w:pPr>
      <w:spacing w:after="120" w:line="480" w:lineRule="auto"/>
    </w:pPr>
    <w:rPr>
      <w:kern w:val="0"/>
      <w:sz w:val="24"/>
      <w:szCs w:val="24"/>
    </w:rPr>
  </w:style>
  <w:style w:type="paragraph" w:styleId="30">
    <w:name w:val="Normal (Web)"/>
    <w:basedOn w:val="1"/>
    <w:qFormat/>
    <w:uiPriority w:val="0"/>
    <w:rPr>
      <w:sz w:val="24"/>
      <w:szCs w:val="24"/>
    </w:rPr>
  </w:style>
  <w:style w:type="paragraph" w:styleId="31">
    <w:name w:val="index 1"/>
    <w:basedOn w:val="1"/>
    <w:next w:val="1"/>
    <w:unhideWhenUsed/>
    <w:qFormat/>
    <w:uiPriority w:val="99"/>
  </w:style>
  <w:style w:type="paragraph" w:styleId="32">
    <w:name w:val="Title"/>
    <w:basedOn w:val="1"/>
    <w:next w:val="1"/>
    <w:link w:val="64"/>
    <w:qFormat/>
    <w:uiPriority w:val="0"/>
    <w:pPr>
      <w:spacing w:before="240" w:after="60"/>
      <w:jc w:val="center"/>
      <w:outlineLvl w:val="0"/>
    </w:pPr>
    <w:rPr>
      <w:rFonts w:ascii="Cambria" w:hAnsi="Cambria"/>
      <w:b/>
      <w:bCs/>
      <w:kern w:val="0"/>
      <w:sz w:val="32"/>
      <w:szCs w:val="32"/>
    </w:rPr>
  </w:style>
  <w:style w:type="paragraph" w:styleId="33">
    <w:name w:val="annotation subject"/>
    <w:basedOn w:val="16"/>
    <w:next w:val="16"/>
    <w:link w:val="65"/>
    <w:qFormat/>
    <w:uiPriority w:val="0"/>
    <w:rPr>
      <w:rFonts w:eastAsia="等线"/>
      <w:b/>
      <w:bCs/>
      <w:kern w:val="2"/>
      <w:sz w:val="24"/>
      <w:szCs w:val="24"/>
    </w:rPr>
  </w:style>
  <w:style w:type="table" w:styleId="35">
    <w:name w:val="Table Grid"/>
    <w:basedOn w:val="34"/>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7">
    <w:name w:val="Strong"/>
    <w:qFormat/>
    <w:uiPriority w:val="0"/>
    <w:rPr>
      <w:b/>
      <w:bCs/>
    </w:rPr>
  </w:style>
  <w:style w:type="character" w:styleId="38">
    <w:name w:val="page number"/>
    <w:qFormat/>
    <w:uiPriority w:val="0"/>
  </w:style>
  <w:style w:type="character" w:styleId="39">
    <w:name w:val="FollowedHyperlink"/>
    <w:qFormat/>
    <w:uiPriority w:val="99"/>
    <w:rPr>
      <w:color w:val="800080"/>
      <w:u w:val="single"/>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标题 1 字符"/>
    <w:link w:val="4"/>
    <w:qFormat/>
    <w:uiPriority w:val="0"/>
    <w:rPr>
      <w:rFonts w:ascii="Times New Roman" w:hAnsi="Times New Roman" w:eastAsia="宋体" w:cs="Times New Roman"/>
      <w:b/>
      <w:bCs/>
      <w:kern w:val="44"/>
      <w:sz w:val="44"/>
      <w:szCs w:val="44"/>
    </w:rPr>
  </w:style>
  <w:style w:type="character" w:customStyle="1" w:styleId="43">
    <w:name w:val="标题 2 字符"/>
    <w:link w:val="5"/>
    <w:qFormat/>
    <w:uiPriority w:val="0"/>
    <w:rPr>
      <w:rFonts w:ascii="Cambria" w:hAnsi="Cambria" w:eastAsia="宋体" w:cs="Times New Roman"/>
      <w:b/>
      <w:bCs/>
      <w:kern w:val="0"/>
      <w:sz w:val="28"/>
      <w:szCs w:val="28"/>
    </w:rPr>
  </w:style>
  <w:style w:type="character" w:customStyle="1" w:styleId="44">
    <w:name w:val="标题 3 字符"/>
    <w:link w:val="6"/>
    <w:qFormat/>
    <w:uiPriority w:val="0"/>
    <w:rPr>
      <w:rFonts w:ascii="Times New Roman" w:hAnsi="Times New Roman" w:eastAsia="宋体" w:cs="Times New Roman"/>
      <w:b/>
      <w:bCs/>
      <w:kern w:val="0"/>
      <w:sz w:val="32"/>
      <w:szCs w:val="32"/>
    </w:rPr>
  </w:style>
  <w:style w:type="character" w:customStyle="1" w:styleId="45">
    <w:name w:val="标题 4 字符"/>
    <w:link w:val="7"/>
    <w:qFormat/>
    <w:uiPriority w:val="0"/>
    <w:rPr>
      <w:rFonts w:ascii="Cambria" w:hAnsi="Cambria" w:eastAsia="宋体" w:cs="Times New Roman"/>
      <w:b/>
      <w:bCs/>
      <w:kern w:val="0"/>
      <w:sz w:val="28"/>
      <w:szCs w:val="28"/>
    </w:rPr>
  </w:style>
  <w:style w:type="character" w:customStyle="1" w:styleId="46">
    <w:name w:val="标题 5 字符"/>
    <w:link w:val="8"/>
    <w:qFormat/>
    <w:uiPriority w:val="0"/>
    <w:rPr>
      <w:rFonts w:ascii="Times New Roman" w:hAnsi="Times New Roman" w:eastAsia="宋体" w:cs="Times New Roman"/>
      <w:b/>
      <w:bCs/>
      <w:kern w:val="0"/>
      <w:sz w:val="28"/>
      <w:szCs w:val="28"/>
    </w:rPr>
  </w:style>
  <w:style w:type="character" w:customStyle="1" w:styleId="47">
    <w:name w:val="标题 6 字符"/>
    <w:link w:val="9"/>
    <w:qFormat/>
    <w:uiPriority w:val="9"/>
    <w:rPr>
      <w:rFonts w:ascii="Arial" w:hAnsi="Arial" w:eastAsia="黑体" w:cs="Times New Roman"/>
      <w:b/>
      <w:bCs/>
      <w:kern w:val="0"/>
      <w:sz w:val="24"/>
      <w:szCs w:val="24"/>
    </w:rPr>
  </w:style>
  <w:style w:type="character" w:customStyle="1" w:styleId="48">
    <w:name w:val="标题 7 字符"/>
    <w:link w:val="10"/>
    <w:qFormat/>
    <w:uiPriority w:val="0"/>
    <w:rPr>
      <w:rFonts w:ascii="Times New Roman" w:hAnsi="Times New Roman" w:eastAsia="宋体" w:cs="Times New Roman"/>
      <w:b/>
      <w:bCs/>
      <w:kern w:val="0"/>
      <w:sz w:val="24"/>
      <w:szCs w:val="24"/>
    </w:rPr>
  </w:style>
  <w:style w:type="character" w:customStyle="1" w:styleId="49">
    <w:name w:val="标题 8 字符"/>
    <w:link w:val="11"/>
    <w:qFormat/>
    <w:uiPriority w:val="0"/>
    <w:rPr>
      <w:rFonts w:ascii="Arial" w:hAnsi="Arial" w:eastAsia="黑体" w:cs="Times New Roman"/>
      <w:kern w:val="0"/>
      <w:sz w:val="24"/>
      <w:szCs w:val="24"/>
    </w:rPr>
  </w:style>
  <w:style w:type="character" w:customStyle="1" w:styleId="50">
    <w:name w:val="标题 9 字符"/>
    <w:link w:val="12"/>
    <w:qFormat/>
    <w:uiPriority w:val="0"/>
    <w:rPr>
      <w:rFonts w:ascii="Arial" w:hAnsi="Arial" w:eastAsia="黑体" w:cs="Times New Roman"/>
      <w:kern w:val="0"/>
      <w:sz w:val="20"/>
      <w:szCs w:val="20"/>
    </w:rPr>
  </w:style>
  <w:style w:type="character" w:customStyle="1" w:styleId="51">
    <w:name w:val="正文缩进 字符"/>
    <w:link w:val="13"/>
    <w:qFormat/>
    <w:locked/>
    <w:uiPriority w:val="0"/>
    <w:rPr>
      <w:rFonts w:ascii="Times New Roman" w:hAnsi="Times New Roman" w:eastAsia="宋体" w:cs="Times New Roman"/>
      <w:szCs w:val="21"/>
    </w:rPr>
  </w:style>
  <w:style w:type="character" w:customStyle="1" w:styleId="52">
    <w:name w:val="文档结构图 字符"/>
    <w:link w:val="15"/>
    <w:qFormat/>
    <w:uiPriority w:val="0"/>
    <w:rPr>
      <w:rFonts w:ascii="宋体" w:hAnsi="Times New Roman" w:eastAsia="宋体" w:cs="Times New Roman"/>
      <w:sz w:val="18"/>
      <w:szCs w:val="18"/>
    </w:rPr>
  </w:style>
  <w:style w:type="character" w:customStyle="1" w:styleId="53">
    <w:name w:val="批注文字 字符"/>
    <w:link w:val="16"/>
    <w:qFormat/>
    <w:uiPriority w:val="0"/>
    <w:rPr>
      <w:rFonts w:ascii="Times New Roman" w:hAnsi="Times New Roman" w:eastAsia="宋体" w:cs="Times New Roman"/>
      <w:kern w:val="0"/>
      <w:sz w:val="28"/>
      <w:szCs w:val="28"/>
    </w:rPr>
  </w:style>
  <w:style w:type="character" w:customStyle="1" w:styleId="54">
    <w:name w:val="正文文本 字符"/>
    <w:link w:val="17"/>
    <w:qFormat/>
    <w:uiPriority w:val="0"/>
    <w:rPr>
      <w:rFonts w:ascii="Times New Roman" w:hAnsi="Times New Roman" w:eastAsia="宋体" w:cs="Times New Roman"/>
      <w:kern w:val="0"/>
      <w:sz w:val="24"/>
      <w:szCs w:val="24"/>
    </w:rPr>
  </w:style>
  <w:style w:type="character" w:customStyle="1" w:styleId="55">
    <w:name w:val="正文文本缩进 字符"/>
    <w:link w:val="3"/>
    <w:qFormat/>
    <w:uiPriority w:val="99"/>
    <w:rPr>
      <w:rFonts w:ascii="Times New Roman" w:hAnsi="Times New Roman" w:eastAsia="宋体" w:cs="Times New Roman"/>
      <w:kern w:val="0"/>
      <w:sz w:val="20"/>
      <w:szCs w:val="20"/>
    </w:rPr>
  </w:style>
  <w:style w:type="character" w:customStyle="1" w:styleId="56">
    <w:name w:val="纯文本 字符"/>
    <w:link w:val="20"/>
    <w:qFormat/>
    <w:uiPriority w:val="0"/>
    <w:rPr>
      <w:rFonts w:ascii="宋体" w:hAnsi="Courier New" w:eastAsia="宋体" w:cs="Times New Roman"/>
      <w:kern w:val="0"/>
      <w:szCs w:val="21"/>
    </w:rPr>
  </w:style>
  <w:style w:type="character" w:customStyle="1" w:styleId="57">
    <w:name w:val="日期 字符"/>
    <w:link w:val="21"/>
    <w:qFormat/>
    <w:locked/>
    <w:uiPriority w:val="0"/>
    <w:rPr>
      <w:rFonts w:ascii="Times New Roman" w:hAnsi="Times New Roman"/>
      <w:szCs w:val="21"/>
    </w:rPr>
  </w:style>
  <w:style w:type="character" w:customStyle="1" w:styleId="58">
    <w:name w:val="正文文本缩进 2 字符"/>
    <w:link w:val="22"/>
    <w:qFormat/>
    <w:locked/>
    <w:uiPriority w:val="0"/>
    <w:rPr>
      <w:rFonts w:ascii="Times New Roman" w:hAnsi="Times New Roman"/>
      <w:szCs w:val="21"/>
    </w:rPr>
  </w:style>
  <w:style w:type="character" w:customStyle="1" w:styleId="59">
    <w:name w:val="批注框文本 字符"/>
    <w:link w:val="23"/>
    <w:qFormat/>
    <w:uiPriority w:val="0"/>
    <w:rPr>
      <w:rFonts w:ascii="Times New Roman" w:hAnsi="Times New Roman" w:eastAsia="宋体" w:cs="Times New Roman"/>
      <w:kern w:val="0"/>
      <w:sz w:val="18"/>
      <w:szCs w:val="18"/>
    </w:rPr>
  </w:style>
  <w:style w:type="character" w:customStyle="1" w:styleId="60">
    <w:name w:val="页脚 字符"/>
    <w:link w:val="24"/>
    <w:qFormat/>
    <w:uiPriority w:val="99"/>
    <w:rPr>
      <w:rFonts w:ascii="Times New Roman" w:hAnsi="Times New Roman" w:eastAsia="宋体" w:cs="Times New Roman"/>
      <w:kern w:val="0"/>
      <w:sz w:val="18"/>
      <w:szCs w:val="18"/>
    </w:rPr>
  </w:style>
  <w:style w:type="character" w:customStyle="1" w:styleId="61">
    <w:name w:val="页眉 字符"/>
    <w:link w:val="25"/>
    <w:qFormat/>
    <w:uiPriority w:val="0"/>
    <w:rPr>
      <w:rFonts w:ascii="Times New Roman" w:hAnsi="Times New Roman" w:eastAsia="宋体" w:cs="Times New Roman"/>
      <w:kern w:val="0"/>
      <w:sz w:val="18"/>
      <w:szCs w:val="18"/>
    </w:rPr>
  </w:style>
  <w:style w:type="character" w:customStyle="1" w:styleId="62">
    <w:name w:val="正文文本缩进 3 字符"/>
    <w:link w:val="28"/>
    <w:qFormat/>
    <w:uiPriority w:val="0"/>
    <w:rPr>
      <w:rFonts w:ascii="Times New Roman" w:hAnsi="Times New Roman" w:eastAsia="宋体" w:cs="Times New Roman"/>
      <w:kern w:val="0"/>
      <w:sz w:val="16"/>
      <w:szCs w:val="16"/>
    </w:rPr>
  </w:style>
  <w:style w:type="character" w:customStyle="1" w:styleId="63">
    <w:name w:val="正文文本 2 字符"/>
    <w:link w:val="29"/>
    <w:qFormat/>
    <w:uiPriority w:val="0"/>
    <w:rPr>
      <w:rFonts w:ascii="Times New Roman" w:hAnsi="Times New Roman" w:eastAsia="宋体" w:cs="Times New Roman"/>
      <w:kern w:val="0"/>
      <w:sz w:val="24"/>
      <w:szCs w:val="24"/>
    </w:rPr>
  </w:style>
  <w:style w:type="character" w:customStyle="1" w:styleId="64">
    <w:name w:val="标题 字符"/>
    <w:link w:val="32"/>
    <w:qFormat/>
    <w:uiPriority w:val="0"/>
    <w:rPr>
      <w:rFonts w:ascii="Cambria" w:hAnsi="Cambria" w:eastAsia="宋体" w:cs="Times New Roman"/>
      <w:b/>
      <w:bCs/>
      <w:kern w:val="0"/>
      <w:sz w:val="32"/>
      <w:szCs w:val="32"/>
    </w:rPr>
  </w:style>
  <w:style w:type="character" w:customStyle="1" w:styleId="65">
    <w:name w:val="批注主题 字符"/>
    <w:link w:val="33"/>
    <w:qFormat/>
    <w:locked/>
    <w:uiPriority w:val="0"/>
    <w:rPr>
      <w:rFonts w:ascii="Times New Roman" w:hAnsi="Times New Roman"/>
      <w:b/>
      <w:bCs/>
      <w:sz w:val="24"/>
      <w:szCs w:val="24"/>
    </w:rPr>
  </w:style>
  <w:style w:type="character" w:customStyle="1" w:styleId="66">
    <w:name w:val="正文文本首行缩进 2 字符"/>
    <w:link w:val="2"/>
    <w:semiHidden/>
    <w:qFormat/>
    <w:uiPriority w:val="99"/>
  </w:style>
  <w:style w:type="paragraph" w:styleId="67">
    <w:name w:val="List Paragraph"/>
    <w:basedOn w:val="1"/>
    <w:qFormat/>
    <w:uiPriority w:val="0"/>
    <w:pPr>
      <w:ind w:firstLine="420" w:firstLineChars="200"/>
    </w:pPr>
    <w:rPr>
      <w:sz w:val="28"/>
      <w:szCs w:val="28"/>
    </w:rPr>
  </w:style>
  <w:style w:type="character" w:customStyle="1" w:styleId="68">
    <w:name w:val="标题 4 Char"/>
    <w:qFormat/>
    <w:uiPriority w:val="0"/>
    <w:rPr>
      <w:rFonts w:ascii="Cambria" w:hAnsi="Cambria" w:cs="宋体"/>
      <w:b/>
      <w:bCs/>
      <w:kern w:val="2"/>
      <w:sz w:val="28"/>
      <w:szCs w:val="28"/>
    </w:rPr>
  </w:style>
  <w:style w:type="table" w:customStyle="1" w:styleId="69">
    <w:name w:val="网格型1"/>
    <w:basedOn w:val="34"/>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0">
    <w:name w:val="列出段落1"/>
    <w:basedOn w:val="1"/>
    <w:qFormat/>
    <w:uiPriority w:val="0"/>
    <w:pPr>
      <w:ind w:firstLine="420" w:firstLineChars="200"/>
    </w:pPr>
    <w:rPr>
      <w:rFonts w:cs="Calibri"/>
      <w:szCs w:val="21"/>
    </w:rPr>
  </w:style>
  <w:style w:type="paragraph" w:customStyle="1" w:styleId="71">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2">
    <w:name w:val="Char Char"/>
    <w:basedOn w:val="1"/>
    <w:qFormat/>
    <w:uiPriority w:val="0"/>
    <w:rPr>
      <w:rFonts w:ascii="Tahoma" w:hAnsi="Tahoma" w:cs="Tahoma"/>
      <w:sz w:val="24"/>
      <w:szCs w:val="24"/>
    </w:rPr>
  </w:style>
  <w:style w:type="paragraph" w:customStyle="1" w:styleId="73">
    <w:name w:val="大汉方案正文"/>
    <w:basedOn w:val="1"/>
    <w:qFormat/>
    <w:uiPriority w:val="0"/>
    <w:pPr>
      <w:spacing w:line="360" w:lineRule="auto"/>
      <w:ind w:firstLine="200" w:firstLineChars="200"/>
    </w:pPr>
    <w:rPr>
      <w:rFonts w:ascii="Arial" w:hAnsi="Arial" w:cs="Arial"/>
      <w:sz w:val="24"/>
      <w:szCs w:val="24"/>
    </w:rPr>
  </w:style>
  <w:style w:type="character" w:customStyle="1" w:styleId="74">
    <w:name w:val="纯文本 Char1"/>
    <w:qFormat/>
    <w:uiPriority w:val="0"/>
    <w:rPr>
      <w:rFonts w:ascii="宋体" w:hAnsi="Courier New" w:cs="宋体"/>
      <w:kern w:val="2"/>
      <w:sz w:val="21"/>
      <w:szCs w:val="21"/>
    </w:rPr>
  </w:style>
  <w:style w:type="character" w:customStyle="1" w:styleId="75">
    <w:name w:val="批注文字 Char1"/>
    <w:qFormat/>
    <w:uiPriority w:val="0"/>
    <w:rPr>
      <w:rFonts w:ascii="Times New Roman" w:hAnsi="Times New Roman" w:eastAsia="宋体" w:cs="Times New Roman"/>
      <w:sz w:val="24"/>
      <w:szCs w:val="24"/>
    </w:rPr>
  </w:style>
  <w:style w:type="paragraph" w:customStyle="1" w:styleId="76">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7">
    <w:name w:val="apple-converted-space"/>
    <w:qFormat/>
    <w:uiPriority w:val="0"/>
  </w:style>
  <w:style w:type="paragraph" w:customStyle="1" w:styleId="78">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0">
    <w:name w:val="列出段落2"/>
    <w:basedOn w:val="1"/>
    <w:qFormat/>
    <w:uiPriority w:val="0"/>
    <w:pPr>
      <w:ind w:firstLine="420" w:firstLineChars="200"/>
    </w:pPr>
    <w:rPr>
      <w:rFonts w:cs="Calibri"/>
      <w:szCs w:val="21"/>
    </w:rPr>
  </w:style>
  <w:style w:type="paragraph" w:customStyle="1" w:styleId="81">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2">
    <w:name w:val="标题 3 Char1"/>
    <w:qFormat/>
    <w:uiPriority w:val="0"/>
    <w:rPr>
      <w:rFonts w:ascii="Times New Roman" w:hAnsi="Times New Roman" w:eastAsia="宋体" w:cs="Times New Roman"/>
      <w:sz w:val="20"/>
      <w:szCs w:val="20"/>
    </w:rPr>
  </w:style>
  <w:style w:type="paragraph" w:customStyle="1" w:styleId="83">
    <w:name w:val="Char Char11 Char Char Char Char"/>
    <w:basedOn w:val="1"/>
    <w:qFormat/>
    <w:uiPriority w:val="0"/>
    <w:pPr>
      <w:tabs>
        <w:tab w:val="left" w:pos="360"/>
      </w:tabs>
    </w:pPr>
    <w:rPr>
      <w:szCs w:val="21"/>
    </w:rPr>
  </w:style>
  <w:style w:type="paragraph" w:customStyle="1" w:styleId="84">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5">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2">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7">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8">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0">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2">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3">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5">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7">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9">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7">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8">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9">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1">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2">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3">
    <w:name w:val="纯文本 Char3"/>
    <w:qFormat/>
    <w:uiPriority w:val="0"/>
    <w:rPr>
      <w:rFonts w:ascii="宋体" w:hAnsi="Courier New"/>
      <w:sz w:val="21"/>
      <w:szCs w:val="21"/>
    </w:rPr>
  </w:style>
  <w:style w:type="character" w:customStyle="1" w:styleId="124">
    <w:name w:val="正文文本缩进 2 字符1"/>
    <w:semiHidden/>
    <w:qFormat/>
    <w:uiPriority w:val="99"/>
    <w:rPr>
      <w:rFonts w:ascii="Times New Roman" w:hAnsi="Times New Roman" w:eastAsia="宋体" w:cs="Times New Roman"/>
    </w:rPr>
  </w:style>
  <w:style w:type="character" w:customStyle="1" w:styleId="125">
    <w:name w:val="正文文本缩进 2 Char1"/>
    <w:qFormat/>
    <w:uiPriority w:val="0"/>
    <w:rPr>
      <w:kern w:val="2"/>
      <w:sz w:val="21"/>
      <w:szCs w:val="22"/>
    </w:rPr>
  </w:style>
  <w:style w:type="character" w:customStyle="1" w:styleId="126">
    <w:name w:val="日期 字符1"/>
    <w:semiHidden/>
    <w:qFormat/>
    <w:uiPriority w:val="99"/>
    <w:rPr>
      <w:rFonts w:ascii="Times New Roman" w:hAnsi="Times New Roman" w:eastAsia="宋体" w:cs="Times New Roman"/>
    </w:rPr>
  </w:style>
  <w:style w:type="character" w:customStyle="1" w:styleId="127">
    <w:name w:val="日期 Char1"/>
    <w:qFormat/>
    <w:uiPriority w:val="0"/>
    <w:rPr>
      <w:kern w:val="2"/>
      <w:sz w:val="21"/>
      <w:szCs w:val="22"/>
    </w:rPr>
  </w:style>
  <w:style w:type="character" w:customStyle="1" w:styleId="128">
    <w:name w:val="标题 Char1"/>
    <w:qFormat/>
    <w:uiPriority w:val="0"/>
    <w:rPr>
      <w:rFonts w:ascii="Cambria" w:hAnsi="Cambria" w:cs="Times New Roman"/>
      <w:b/>
      <w:bCs/>
      <w:kern w:val="2"/>
      <w:sz w:val="32"/>
      <w:szCs w:val="32"/>
    </w:rPr>
  </w:style>
  <w:style w:type="character" w:customStyle="1" w:styleId="129">
    <w:name w:val="纯文本 字符1"/>
    <w:semiHidden/>
    <w:qFormat/>
    <w:uiPriority w:val="99"/>
    <w:rPr>
      <w:rFonts w:ascii="等线" w:hAnsi="Courier New" w:eastAsia="等线" w:cs="Courier New"/>
      <w:kern w:val="2"/>
      <w:sz w:val="21"/>
      <w:szCs w:val="22"/>
    </w:rPr>
  </w:style>
  <w:style w:type="character" w:customStyle="1" w:styleId="130">
    <w:name w:val="批注主题 字符1"/>
    <w:semiHidden/>
    <w:qFormat/>
    <w:uiPriority w:val="99"/>
    <w:rPr>
      <w:rFonts w:ascii="Times New Roman" w:hAnsi="Times New Roman" w:eastAsia="宋体" w:cs="Times New Roman"/>
      <w:b/>
      <w:bCs/>
      <w:kern w:val="0"/>
      <w:sz w:val="28"/>
      <w:szCs w:val="28"/>
    </w:rPr>
  </w:style>
  <w:style w:type="character" w:customStyle="1" w:styleId="131">
    <w:name w:val="批注主题 Char1"/>
    <w:qFormat/>
    <w:uiPriority w:val="0"/>
    <w:rPr>
      <w:b/>
      <w:bCs/>
      <w:kern w:val="2"/>
      <w:sz w:val="21"/>
      <w:szCs w:val="22"/>
    </w:rPr>
  </w:style>
  <w:style w:type="character" w:customStyle="1" w:styleId="132">
    <w:name w:val="纯文本 Char2"/>
    <w:qFormat/>
    <w:uiPriority w:val="0"/>
    <w:rPr>
      <w:rFonts w:ascii="宋体" w:hAnsi="Courier New"/>
      <w:sz w:val="21"/>
      <w:szCs w:val="21"/>
    </w:rPr>
  </w:style>
  <w:style w:type="character" w:customStyle="1" w:styleId="133">
    <w:name w:val="Unresolved Mention"/>
    <w:unhideWhenUsed/>
    <w:qFormat/>
    <w:uiPriority w:val="99"/>
    <w:rPr>
      <w:color w:val="605E5C"/>
      <w:shd w:val="clear" w:color="auto" w:fill="E1DFDD"/>
    </w:rPr>
  </w:style>
  <w:style w:type="paragraph" w:customStyle="1" w:styleId="134">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5">
    <w:name w:val="No Spacing"/>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theme" Target="theme/theme1.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86</Pages>
  <Words>25835</Words>
  <Characters>27718</Characters>
  <Lines>326</Lines>
  <Paragraphs>1239</Paragraphs>
  <TotalTime>0</TotalTime>
  <ScaleCrop>false</ScaleCrop>
  <LinksUpToDate>false</LinksUpToDate>
  <CharactersWithSpaces>27862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2026-03-11T08:00:00Z</dcterms:created>
  <dc:creator>耀辉</dc:creator>
  <cp:lastModifiedBy>__阳光未必暖人心。</cp:lastModifiedBy>
  <dcterms:modified xsi:type="dcterms:W3CDTF">2026-04-20T07:48:00Z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91069B538A284716B210C280269F4E2B</vt:lpwstr>
  </property>
  <property fmtid="{D5CDD505-2E9C-101B-9397-08002B2CF9AE}" pid="4" name="KSOTemplateDocerSaveRecord">
    <vt:lpwstr>eyJoZGlkIjoiZjY0MTQ2NDk3NTNiNjJkMTBiNTBhNzNkOTJmMjVmOWIiLCJ1c2VySWQiOiI4NTE2NTIxOTAifQ==</vt:lpwstr>
  </property>
</Properties>
</file>