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952D39">
      <w:pPr>
        <w:widowControl/>
        <w:adjustRightInd w:val="0"/>
        <w:spacing w:line="240" w:lineRule="atLeast"/>
        <w:jc w:val="center"/>
        <w:rPr>
          <w:rFonts w:eastAsia="方正小标宋简体" w:cs="宋体"/>
          <w:color w:val="auto"/>
          <w:sz w:val="36"/>
          <w:szCs w:val="36"/>
          <w:highlight w:val="none"/>
        </w:rPr>
      </w:pPr>
    </w:p>
    <w:p w14:paraId="7A20A11D">
      <w:pPr>
        <w:spacing w:line="360" w:lineRule="exact"/>
        <w:rPr>
          <w:rFonts w:ascii="宋体" w:hAnsi="宋体"/>
          <w:color w:val="auto"/>
          <w:szCs w:val="21"/>
          <w:highlight w:val="none"/>
        </w:rPr>
      </w:pPr>
    </w:p>
    <w:p w14:paraId="56E87BEF">
      <w:pPr>
        <w:spacing w:line="360" w:lineRule="exact"/>
        <w:rPr>
          <w:rFonts w:ascii="宋体" w:hAnsi="宋体"/>
          <w:color w:val="auto"/>
          <w:szCs w:val="21"/>
          <w:highlight w:val="none"/>
        </w:rPr>
      </w:pPr>
    </w:p>
    <w:p w14:paraId="72D98F6F">
      <w:pPr>
        <w:spacing w:line="360" w:lineRule="auto"/>
        <w:ind w:firstLine="565" w:firstLineChars="201"/>
        <w:jc w:val="center"/>
        <w:rPr>
          <w:rFonts w:ascii="宋体" w:hAnsi="宋体"/>
          <w:b/>
          <w:bCs/>
          <w:color w:val="auto"/>
          <w:kern w:val="0"/>
          <w:sz w:val="28"/>
          <w:szCs w:val="28"/>
          <w:highlight w:val="none"/>
        </w:rPr>
      </w:pPr>
    </w:p>
    <w:p w14:paraId="0DB2C2B4">
      <w:pPr>
        <w:snapToGrid w:val="0"/>
        <w:jc w:val="center"/>
        <w:rPr>
          <w:rFonts w:ascii="方正小标宋简体" w:hAnsi="黑体" w:eastAsia="方正小标宋简体" w:cs="方正小标宋简体"/>
          <w:color w:val="auto"/>
          <w:kern w:val="0"/>
          <w:sz w:val="56"/>
          <w:szCs w:val="52"/>
          <w:highlight w:val="none"/>
        </w:rPr>
      </w:pPr>
      <w:r>
        <w:rPr>
          <w:rFonts w:hint="eastAsia" w:ascii="方正小标宋简体" w:hAnsi="黑体" w:eastAsia="方正小标宋简体" w:cs="方正小标宋简体"/>
          <w:color w:val="auto"/>
          <w:kern w:val="0"/>
          <w:sz w:val="56"/>
          <w:szCs w:val="52"/>
          <w:highlight w:val="none"/>
        </w:rPr>
        <w:t>乳山市兴宇安装工程有限公司</w:t>
      </w:r>
    </w:p>
    <w:p w14:paraId="41F3CBB6">
      <w:pPr>
        <w:spacing w:before="624" w:beforeLines="200" w:line="360" w:lineRule="auto"/>
        <w:jc w:val="center"/>
        <w:rPr>
          <w:rFonts w:ascii="方正小标宋简体" w:hAnsi="黑体" w:eastAsia="方正小标宋简体"/>
          <w:color w:val="auto"/>
          <w:kern w:val="0"/>
          <w:sz w:val="72"/>
          <w:szCs w:val="52"/>
          <w:highlight w:val="none"/>
        </w:rPr>
      </w:pPr>
      <w:r>
        <w:rPr>
          <w:rFonts w:hint="eastAsia" w:ascii="方正小标宋简体" w:hAnsi="黑体" w:eastAsia="方正小标宋简体" w:cs="方正小标宋简体"/>
          <w:color w:val="auto"/>
          <w:kern w:val="0"/>
          <w:sz w:val="72"/>
          <w:szCs w:val="52"/>
          <w:highlight w:val="none"/>
        </w:rPr>
        <w:t>自愿公开招标文件</w:t>
      </w:r>
    </w:p>
    <w:p w14:paraId="087A1D1F">
      <w:pPr>
        <w:spacing w:line="360" w:lineRule="auto"/>
        <w:ind w:firstLine="723" w:firstLineChars="201"/>
        <w:jc w:val="left"/>
        <w:rPr>
          <w:rFonts w:ascii="宋体" w:hAnsi="宋体"/>
          <w:color w:val="auto"/>
          <w:sz w:val="36"/>
          <w:szCs w:val="36"/>
          <w:highlight w:val="none"/>
        </w:rPr>
      </w:pPr>
    </w:p>
    <w:p w14:paraId="1A0A554A">
      <w:pPr>
        <w:spacing w:line="360" w:lineRule="auto"/>
        <w:jc w:val="left"/>
        <w:rPr>
          <w:rFonts w:ascii="宋体" w:hAnsi="宋体"/>
          <w:color w:val="auto"/>
          <w:sz w:val="36"/>
          <w:szCs w:val="36"/>
          <w:highlight w:val="none"/>
        </w:rPr>
      </w:pPr>
      <w:r>
        <w:rPr>
          <w:rFonts w:hint="eastAsia" w:ascii="宋体" w:hAnsi="宋体"/>
          <w:color w:val="auto"/>
          <w:sz w:val="36"/>
          <w:szCs w:val="36"/>
          <w:highlight w:val="none"/>
        </w:rPr>
        <w:t xml:space="preserve">    </w:t>
      </w:r>
    </w:p>
    <w:p w14:paraId="7E5F84C4">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项目名称：</w:t>
      </w:r>
      <w:r>
        <w:rPr>
          <w:rFonts w:hint="eastAsia" w:ascii="仿宋_GB2312" w:hAnsi="仿宋" w:eastAsia="仿宋_GB2312" w:cs="方正楷体简体"/>
          <w:color w:val="auto"/>
          <w:sz w:val="36"/>
          <w:szCs w:val="36"/>
          <w:highlight w:val="none"/>
        </w:rPr>
        <w:t>2026年乳山市松材线虫病媒介昆虫飞防药剂采购项目</w:t>
      </w:r>
    </w:p>
    <w:p w14:paraId="3C0E104C">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项目编号：</w:t>
      </w:r>
      <w:r>
        <w:rPr>
          <w:rFonts w:hint="eastAsia" w:ascii="仿宋_GB2312" w:hAnsi="仿宋" w:eastAsia="仿宋_GB2312" w:cs="方正楷体简体"/>
          <w:color w:val="auto"/>
          <w:sz w:val="36"/>
          <w:szCs w:val="36"/>
          <w:highlight w:val="none"/>
        </w:rPr>
        <w:t>SDRS-TPZB-2026-084</w:t>
      </w:r>
    </w:p>
    <w:p w14:paraId="1F205DF8">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包段名称：</w:t>
      </w:r>
      <w:r>
        <w:rPr>
          <w:rFonts w:hint="eastAsia" w:ascii="仿宋_GB2312" w:hAnsi="仿宋" w:eastAsia="仿宋_GB2312" w:cs="方正楷体简体"/>
          <w:color w:val="auto"/>
          <w:sz w:val="36"/>
          <w:szCs w:val="36"/>
          <w:highlight w:val="none"/>
        </w:rPr>
        <w:t xml:space="preserve">2026年乳山市松材线虫病媒介昆虫飞防药剂采购项目(第A包，共1包) </w:t>
      </w:r>
    </w:p>
    <w:p w14:paraId="4193C444">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采购方式：</w:t>
      </w:r>
      <w:r>
        <w:rPr>
          <w:rFonts w:hint="eastAsia" w:ascii="仿宋_GB2312" w:hAnsi="仿宋" w:eastAsia="仿宋_GB2312" w:cs="方正楷体简体"/>
          <w:color w:val="auto"/>
          <w:sz w:val="36"/>
          <w:szCs w:val="36"/>
          <w:highlight w:val="none"/>
        </w:rPr>
        <w:t>自愿公开招标</w:t>
      </w:r>
    </w:p>
    <w:p w14:paraId="65EE46E7">
      <w:pPr>
        <w:spacing w:line="360" w:lineRule="auto"/>
        <w:rPr>
          <w:rFonts w:ascii="仿宋_GB2312" w:hAnsi="仿宋" w:eastAsia="仿宋_GB2312" w:cs="方正楷体简体"/>
          <w:b/>
          <w:color w:val="auto"/>
          <w:sz w:val="16"/>
          <w:szCs w:val="36"/>
          <w:highlight w:val="none"/>
        </w:rPr>
      </w:pPr>
    </w:p>
    <w:p w14:paraId="1C74ACB8">
      <w:pPr>
        <w:spacing w:line="360" w:lineRule="auto"/>
        <w:ind w:firstLine="363" w:firstLineChars="201"/>
        <w:jc w:val="center"/>
        <w:rPr>
          <w:rFonts w:ascii="仿宋_GB2312" w:hAnsi="仿宋" w:eastAsia="仿宋_GB2312" w:cs="方正楷体简体"/>
          <w:b/>
          <w:color w:val="auto"/>
          <w:sz w:val="18"/>
          <w:szCs w:val="36"/>
          <w:highlight w:val="none"/>
        </w:rPr>
      </w:pPr>
    </w:p>
    <w:p w14:paraId="468A96FB">
      <w:pPr>
        <w:spacing w:before="156" w:beforeLines="50" w:line="360" w:lineRule="auto"/>
        <w:jc w:val="center"/>
        <w:rPr>
          <w:rFonts w:ascii="仿宋_GB2312" w:hAnsi="仿宋" w:eastAsia="仿宋_GB2312"/>
          <w:b/>
          <w:bCs/>
          <w:color w:val="auto"/>
          <w:kern w:val="0"/>
          <w:sz w:val="36"/>
          <w:szCs w:val="36"/>
          <w:highlight w:val="none"/>
        </w:rPr>
      </w:pPr>
      <w:r>
        <w:rPr>
          <w:rFonts w:hint="eastAsia" w:ascii="仿宋_GB2312" w:hAnsi="仿宋" w:eastAsia="仿宋_GB2312" w:cs="方正楷体简体"/>
          <w:b/>
          <w:color w:val="auto"/>
          <w:sz w:val="36"/>
          <w:szCs w:val="36"/>
          <w:highlight w:val="none"/>
        </w:rPr>
        <w:t>代理机构：</w:t>
      </w:r>
      <w:r>
        <w:rPr>
          <w:rFonts w:hint="eastAsia" w:ascii="仿宋_GB2312" w:hAnsi="仿宋" w:eastAsia="仿宋_GB2312" w:cs="方正楷体简体"/>
          <w:color w:val="auto"/>
          <w:sz w:val="36"/>
          <w:szCs w:val="36"/>
          <w:highlight w:val="none"/>
        </w:rPr>
        <w:t>乳山天平建设工程咨询有限公司</w:t>
      </w:r>
    </w:p>
    <w:p w14:paraId="674AE894">
      <w:pPr>
        <w:spacing w:before="156" w:beforeLines="50" w:line="360" w:lineRule="auto"/>
        <w:ind w:firstLine="726" w:firstLineChars="201"/>
        <w:jc w:val="center"/>
        <w:rPr>
          <w:rFonts w:ascii="仿宋_GB2312" w:hAnsi="仿宋" w:eastAsia="仿宋_GB2312" w:cs="方正楷体简体"/>
          <w:color w:val="auto"/>
          <w:sz w:val="36"/>
          <w:szCs w:val="36"/>
          <w:highlight w:val="none"/>
        </w:rPr>
      </w:pPr>
      <w:r>
        <w:rPr>
          <w:rFonts w:hint="eastAsia" w:ascii="仿宋_GB2312" w:hAnsi="仿宋" w:eastAsia="仿宋_GB2312" w:cs="方正楷体简体"/>
          <w:b/>
          <w:color w:val="auto"/>
          <w:sz w:val="36"/>
          <w:szCs w:val="36"/>
          <w:highlight w:val="none"/>
        </w:rPr>
        <w:t>编制时间：</w:t>
      </w:r>
      <w:r>
        <w:rPr>
          <w:rFonts w:hint="eastAsia" w:ascii="仿宋_GB2312" w:hAnsi="仿宋" w:eastAsia="仿宋_GB2312" w:cs="方正楷体简体"/>
          <w:color w:val="auto"/>
          <w:sz w:val="36"/>
          <w:szCs w:val="36"/>
          <w:highlight w:val="none"/>
        </w:rPr>
        <w:t xml:space="preserve"> 2026年04月2</w:t>
      </w:r>
      <w:r>
        <w:rPr>
          <w:rFonts w:hint="eastAsia" w:ascii="仿宋_GB2312" w:hAnsi="仿宋" w:eastAsia="仿宋_GB2312" w:cs="方正楷体简体"/>
          <w:color w:val="auto"/>
          <w:sz w:val="36"/>
          <w:szCs w:val="36"/>
          <w:highlight w:val="none"/>
          <w:lang w:val="en-US" w:eastAsia="zh-CN"/>
        </w:rPr>
        <w:t>9</w:t>
      </w:r>
      <w:r>
        <w:rPr>
          <w:rFonts w:hint="eastAsia" w:ascii="仿宋_GB2312" w:hAnsi="仿宋" w:eastAsia="仿宋_GB2312" w:cs="方正楷体简体"/>
          <w:color w:val="auto"/>
          <w:sz w:val="36"/>
          <w:szCs w:val="36"/>
          <w:highlight w:val="none"/>
        </w:rPr>
        <w:t>日</w:t>
      </w:r>
    </w:p>
    <w:p w14:paraId="1B1B32C7">
      <w:pPr>
        <w:spacing w:before="156" w:beforeLines="50" w:line="360" w:lineRule="auto"/>
        <w:ind w:firstLine="726" w:firstLineChars="201"/>
        <w:jc w:val="center"/>
        <w:rPr>
          <w:rFonts w:ascii="仿宋_GB2312" w:hAnsi="仿宋" w:eastAsia="仿宋_GB2312" w:cs="方正楷体简体"/>
          <w:b/>
          <w:color w:val="auto"/>
          <w:sz w:val="36"/>
          <w:szCs w:val="36"/>
          <w:highlight w:val="none"/>
        </w:rPr>
      </w:pPr>
    </w:p>
    <w:p w14:paraId="1096CEF0">
      <w:pPr>
        <w:spacing w:line="360" w:lineRule="auto"/>
        <w:ind w:firstLine="1045" w:firstLineChars="201"/>
        <w:jc w:val="center"/>
        <w:rPr>
          <w:rFonts w:ascii="黑体" w:hAnsi="黑体" w:eastAsia="黑体" w:cs="方正小标宋简体"/>
          <w:color w:val="auto"/>
          <w:kern w:val="0"/>
          <w:sz w:val="52"/>
          <w:szCs w:val="52"/>
          <w:highlight w:val="none"/>
        </w:rPr>
        <w:sectPr>
          <w:footerReference r:id="rId3" w:type="default"/>
          <w:pgSz w:w="11906" w:h="16838"/>
          <w:pgMar w:top="1440" w:right="1080" w:bottom="1440" w:left="1080" w:header="851" w:footer="992" w:gutter="0"/>
          <w:pgNumType w:start="1"/>
          <w:cols w:space="720" w:num="1"/>
          <w:docGrid w:type="lines" w:linePitch="312" w:charSpace="0"/>
        </w:sectPr>
      </w:pPr>
    </w:p>
    <w:p w14:paraId="374A0FEB">
      <w:pPr>
        <w:spacing w:line="360" w:lineRule="auto"/>
        <w:ind w:firstLine="1045" w:firstLineChars="201"/>
        <w:jc w:val="center"/>
        <w:rPr>
          <w:rFonts w:ascii="黑体" w:hAnsi="黑体" w:eastAsia="黑体"/>
          <w:b/>
          <w:color w:val="auto"/>
          <w:sz w:val="44"/>
          <w:szCs w:val="44"/>
          <w:highlight w:val="none"/>
        </w:rPr>
      </w:pPr>
      <w:r>
        <w:rPr>
          <w:rFonts w:hint="eastAsia" w:ascii="黑体" w:hAnsi="黑体" w:eastAsia="黑体" w:cs="方正小标宋简体"/>
          <w:color w:val="auto"/>
          <w:kern w:val="0"/>
          <w:sz w:val="52"/>
          <w:szCs w:val="52"/>
          <w:highlight w:val="none"/>
        </w:rPr>
        <w:t>目  录</w:t>
      </w:r>
    </w:p>
    <w:p w14:paraId="3EB905F4">
      <w:pPr>
        <w:spacing w:line="560" w:lineRule="exact"/>
        <w:ind w:firstLine="562" w:firstLineChars="201"/>
        <w:jc w:val="left"/>
        <w:rPr>
          <w:rFonts w:ascii="宋体" w:hAnsi="宋体" w:cs="方正楷体简体"/>
          <w:color w:val="auto"/>
          <w:sz w:val="28"/>
          <w:szCs w:val="28"/>
          <w:highlight w:val="none"/>
        </w:rPr>
      </w:pPr>
    </w:p>
    <w:p w14:paraId="1F92A64C">
      <w:pPr>
        <w:spacing w:line="560" w:lineRule="exact"/>
        <w:ind w:firstLine="562" w:firstLineChars="201"/>
        <w:jc w:val="left"/>
        <w:rPr>
          <w:rFonts w:ascii="宋体" w:hAnsi="宋体" w:cs="方正楷体简体"/>
          <w:color w:val="auto"/>
          <w:sz w:val="28"/>
          <w:szCs w:val="28"/>
          <w:highlight w:val="none"/>
        </w:rPr>
      </w:pPr>
    </w:p>
    <w:p w14:paraId="26097A3B">
      <w:pPr>
        <w:spacing w:line="720" w:lineRule="exact"/>
        <w:ind w:firstLine="565" w:firstLineChars="201"/>
        <w:jc w:val="left"/>
        <w:rPr>
          <w:rFonts w:ascii="宋体" w:hAnsi="宋体" w:cs="宋体"/>
          <w:color w:val="auto"/>
          <w:sz w:val="24"/>
          <w:szCs w:val="44"/>
          <w:highlight w:val="none"/>
        </w:rPr>
      </w:pPr>
      <w:r>
        <w:rPr>
          <w:rFonts w:hint="eastAsia" w:ascii="仿宋_GB2312" w:hAnsi="黑体" w:eastAsia="仿宋_GB2312" w:cs="宋体"/>
          <w:b/>
          <w:bCs/>
          <w:caps/>
          <w:color w:val="auto"/>
          <w:sz w:val="28"/>
          <w:szCs w:val="28"/>
          <w:highlight w:val="none"/>
        </w:rPr>
        <w:t>第一章   自愿公开招标公告</w:t>
      </w:r>
    </w:p>
    <w:p w14:paraId="0F9F772E">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第二章   投标须知</w:t>
      </w:r>
    </w:p>
    <w:p w14:paraId="02C20B38">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第三章   采购内容与要求</w:t>
      </w:r>
    </w:p>
    <w:p w14:paraId="080AAE8E">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第四章   评标原则和方法</w:t>
      </w:r>
    </w:p>
    <w:p w14:paraId="22256434">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第五章   投标文件格式与要求</w:t>
      </w:r>
    </w:p>
    <w:p w14:paraId="53D55D14">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第六章   政府采购合同（范本）</w:t>
      </w:r>
    </w:p>
    <w:p w14:paraId="0D8D4FE0">
      <w:pPr>
        <w:spacing w:line="560" w:lineRule="exact"/>
        <w:ind w:firstLine="565" w:firstLineChars="201"/>
        <w:jc w:val="left"/>
        <w:rPr>
          <w:rFonts w:ascii="仿宋_GB2312" w:hAnsi="宋体" w:eastAsia="仿宋_GB2312" w:cs="宋体"/>
          <w:b/>
          <w:bCs/>
          <w:caps/>
          <w:color w:val="auto"/>
          <w:sz w:val="28"/>
          <w:szCs w:val="28"/>
          <w:highlight w:val="none"/>
        </w:rPr>
      </w:pPr>
    </w:p>
    <w:p w14:paraId="5D8EE82E">
      <w:pPr>
        <w:rPr>
          <w:rFonts w:ascii="仿宋_GB2312" w:hAnsi="宋体" w:eastAsia="仿宋_GB2312"/>
          <w:b/>
          <w:color w:val="auto"/>
          <w:highlight w:val="none"/>
        </w:rPr>
      </w:pPr>
    </w:p>
    <w:p w14:paraId="49DDEDFC">
      <w:pPr>
        <w:spacing w:line="560" w:lineRule="exact"/>
        <w:ind w:firstLine="565" w:firstLineChars="201"/>
        <w:jc w:val="left"/>
        <w:rPr>
          <w:rFonts w:ascii="仿宋_GB2312" w:hAnsi="宋体" w:eastAsia="仿宋_GB2312"/>
          <w:b/>
          <w:bCs/>
          <w:caps/>
          <w:color w:val="auto"/>
          <w:sz w:val="28"/>
          <w:szCs w:val="28"/>
          <w:highlight w:val="none"/>
        </w:rPr>
      </w:pPr>
    </w:p>
    <w:p w14:paraId="743DE8ED">
      <w:pPr>
        <w:spacing w:line="560" w:lineRule="exact"/>
        <w:ind w:firstLine="424" w:firstLineChars="151"/>
        <w:jc w:val="left"/>
        <w:rPr>
          <w:rFonts w:ascii="仿宋_GB2312" w:hAnsi="宋体" w:eastAsia="仿宋_GB2312" w:cs="宋体"/>
          <w:b/>
          <w:bCs/>
          <w:caps/>
          <w:color w:val="auto"/>
          <w:sz w:val="28"/>
          <w:szCs w:val="28"/>
          <w:highlight w:val="none"/>
        </w:rPr>
      </w:pPr>
    </w:p>
    <w:p w14:paraId="6CB56A3E">
      <w:pPr>
        <w:spacing w:line="560" w:lineRule="exact"/>
        <w:ind w:firstLine="424" w:firstLineChars="151"/>
        <w:jc w:val="left"/>
        <w:rPr>
          <w:rFonts w:ascii="仿宋_GB2312" w:hAnsi="宋体" w:eastAsia="仿宋_GB2312"/>
          <w:b/>
          <w:bCs/>
          <w:caps/>
          <w:color w:val="auto"/>
          <w:sz w:val="28"/>
          <w:szCs w:val="28"/>
          <w:highlight w:val="none"/>
        </w:rPr>
      </w:pPr>
    </w:p>
    <w:p w14:paraId="3A5AE045">
      <w:pPr>
        <w:rPr>
          <w:rFonts w:ascii="宋体" w:hAnsi="宋体"/>
          <w:color w:val="auto"/>
          <w:kern w:val="0"/>
          <w:highlight w:val="none"/>
        </w:rPr>
        <w:sectPr>
          <w:headerReference r:id="rId4" w:type="default"/>
          <w:pgSz w:w="11906" w:h="16838"/>
          <w:pgMar w:top="1440" w:right="1080" w:bottom="1440" w:left="1080" w:header="851" w:footer="992" w:gutter="0"/>
          <w:pgNumType w:start="1"/>
          <w:cols w:space="720" w:num="1"/>
          <w:docGrid w:type="lines" w:linePitch="312" w:charSpace="0"/>
        </w:sectPr>
      </w:pPr>
    </w:p>
    <w:p w14:paraId="66C0A743">
      <w:pPr>
        <w:bidi w:val="0"/>
        <w:rPr>
          <w:rFonts w:hint="eastAsia"/>
          <w:color w:val="auto"/>
          <w:highlight w:val="none"/>
        </w:rPr>
      </w:pPr>
    </w:p>
    <w:p w14:paraId="3D5F39DC">
      <w:pPr>
        <w:bidi w:val="0"/>
        <w:rPr>
          <w:rFonts w:hint="eastAsia"/>
          <w:color w:val="auto"/>
          <w:highlight w:val="none"/>
        </w:rPr>
      </w:pPr>
    </w:p>
    <w:p w14:paraId="10E5D957">
      <w:pPr>
        <w:bidi w:val="0"/>
        <w:rPr>
          <w:rFonts w:hint="eastAsia"/>
          <w:color w:val="auto"/>
          <w:highlight w:val="none"/>
        </w:rPr>
      </w:pPr>
    </w:p>
    <w:p w14:paraId="21DCAFB0">
      <w:pPr>
        <w:bidi w:val="0"/>
        <w:rPr>
          <w:rFonts w:hint="eastAsia"/>
          <w:color w:val="auto"/>
          <w:highlight w:val="none"/>
        </w:rPr>
      </w:pPr>
    </w:p>
    <w:p w14:paraId="39CBE484">
      <w:pPr>
        <w:bidi w:val="0"/>
        <w:rPr>
          <w:rFonts w:hint="eastAsia"/>
          <w:color w:val="auto"/>
          <w:highlight w:val="none"/>
        </w:rPr>
      </w:pPr>
    </w:p>
    <w:p w14:paraId="7D631593">
      <w:pPr>
        <w:bidi w:val="0"/>
        <w:rPr>
          <w:rFonts w:hint="eastAsia"/>
          <w:color w:val="auto"/>
          <w:highlight w:val="none"/>
        </w:rPr>
      </w:pPr>
    </w:p>
    <w:p w14:paraId="6DE4D37D">
      <w:pPr>
        <w:bidi w:val="0"/>
        <w:rPr>
          <w:rFonts w:hint="eastAsia"/>
          <w:color w:val="auto"/>
          <w:highlight w:val="none"/>
        </w:rPr>
      </w:pPr>
    </w:p>
    <w:p w14:paraId="3219C8EB">
      <w:pPr>
        <w:bidi w:val="0"/>
        <w:rPr>
          <w:rFonts w:hint="eastAsia"/>
          <w:color w:val="auto"/>
          <w:highlight w:val="none"/>
        </w:rPr>
      </w:pPr>
    </w:p>
    <w:p w14:paraId="54AD8EB4">
      <w:pPr>
        <w:bidi w:val="0"/>
        <w:rPr>
          <w:rFonts w:hint="eastAsia"/>
          <w:color w:val="auto"/>
          <w:highlight w:val="none"/>
        </w:rPr>
      </w:pPr>
    </w:p>
    <w:p w14:paraId="21B51C0C">
      <w:pPr>
        <w:bidi w:val="0"/>
        <w:rPr>
          <w:rFonts w:hint="eastAsia"/>
          <w:color w:val="auto"/>
          <w:highlight w:val="none"/>
        </w:rPr>
      </w:pPr>
    </w:p>
    <w:p w14:paraId="2A079FD3">
      <w:pPr>
        <w:bidi w:val="0"/>
        <w:rPr>
          <w:rFonts w:hint="eastAsia"/>
          <w:color w:val="auto"/>
          <w:highlight w:val="none"/>
        </w:rPr>
      </w:pPr>
    </w:p>
    <w:p w14:paraId="09BF2954">
      <w:pPr>
        <w:bidi w:val="0"/>
        <w:rPr>
          <w:rFonts w:hint="eastAsia"/>
          <w:color w:val="auto"/>
          <w:highlight w:val="none"/>
        </w:rPr>
      </w:pPr>
    </w:p>
    <w:p w14:paraId="7B374638">
      <w:pPr>
        <w:bidi w:val="0"/>
        <w:rPr>
          <w:rFonts w:hint="eastAsia"/>
          <w:color w:val="auto"/>
          <w:highlight w:val="none"/>
        </w:rPr>
      </w:pPr>
    </w:p>
    <w:p w14:paraId="0A556E29">
      <w:pPr>
        <w:bidi w:val="0"/>
        <w:rPr>
          <w:rFonts w:hint="eastAsia"/>
          <w:color w:val="auto"/>
          <w:highlight w:val="none"/>
        </w:rPr>
      </w:pPr>
    </w:p>
    <w:p w14:paraId="23E87511">
      <w:pPr>
        <w:bidi w:val="0"/>
        <w:rPr>
          <w:rFonts w:hint="eastAsia"/>
          <w:color w:val="auto"/>
          <w:highlight w:val="none"/>
        </w:rPr>
      </w:pPr>
    </w:p>
    <w:p w14:paraId="26A3490E">
      <w:pPr>
        <w:bidi w:val="0"/>
        <w:rPr>
          <w:rFonts w:hint="eastAsia"/>
          <w:color w:val="auto"/>
          <w:highlight w:val="none"/>
        </w:rPr>
      </w:pPr>
    </w:p>
    <w:p w14:paraId="54D05664">
      <w:pPr>
        <w:bidi w:val="0"/>
        <w:rPr>
          <w:rFonts w:hint="eastAsia"/>
          <w:color w:val="auto"/>
          <w:highlight w:val="none"/>
        </w:rPr>
      </w:pPr>
    </w:p>
    <w:p w14:paraId="226D07B4">
      <w:pPr>
        <w:bidi w:val="0"/>
        <w:rPr>
          <w:rFonts w:hint="eastAsia"/>
          <w:color w:val="auto"/>
          <w:highlight w:val="none"/>
        </w:rPr>
      </w:pPr>
    </w:p>
    <w:p w14:paraId="2A6FFCFA">
      <w:pPr>
        <w:pStyle w:val="28"/>
        <w:spacing w:before="100" w:beforeAutospacing="1" w:after="100" w:afterAutospacing="1" w:line="415" w:lineRule="auto"/>
        <w:rPr>
          <w:rFonts w:ascii="宋体" w:hAnsi="宋体" w:cs="宋体"/>
          <w:color w:val="auto"/>
          <w:sz w:val="24"/>
          <w:szCs w:val="44"/>
          <w:highlight w:val="none"/>
        </w:rPr>
      </w:pPr>
      <w:r>
        <w:rPr>
          <w:rFonts w:hint="eastAsia" w:ascii="楷体_GB2312" w:hAnsi="宋体" w:eastAsia="楷体_GB2312" w:cs="宋体"/>
          <w:color w:val="auto"/>
          <w:sz w:val="44"/>
          <w:szCs w:val="44"/>
          <w:highlight w:val="none"/>
        </w:rPr>
        <w:t>第一章 采购公告</w:t>
      </w:r>
    </w:p>
    <w:p w14:paraId="579B6011">
      <w:pPr>
        <w:rPr>
          <w:color w:val="auto"/>
          <w:highlight w:val="none"/>
        </w:rPr>
      </w:pPr>
    </w:p>
    <w:p w14:paraId="046110D8">
      <w:pPr>
        <w:rPr>
          <w:color w:val="auto"/>
          <w:highlight w:val="none"/>
        </w:r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45273FB4">
      <w:pPr>
        <w:jc w:val="center"/>
        <w:rPr>
          <w:rFonts w:ascii="方正小标宋简体" w:eastAsia="方正小标宋简体"/>
          <w:b/>
          <w:color w:val="auto"/>
          <w:sz w:val="30"/>
          <w:szCs w:val="30"/>
          <w:highlight w:val="none"/>
        </w:rPr>
      </w:pPr>
      <w:r>
        <w:rPr>
          <w:rFonts w:hint="eastAsia" w:ascii="方正小标宋简体" w:eastAsia="方正小标宋简体"/>
          <w:b/>
          <w:color w:val="auto"/>
          <w:sz w:val="30"/>
          <w:szCs w:val="30"/>
          <w:highlight w:val="none"/>
        </w:rPr>
        <w:t>2026年乳山市松材线虫病媒介昆虫飞防药剂采购项目</w:t>
      </w:r>
    </w:p>
    <w:p w14:paraId="126A50B9">
      <w:pPr>
        <w:jc w:val="center"/>
        <w:rPr>
          <w:rFonts w:ascii="方正小标宋简体" w:eastAsia="方正小标宋简体"/>
          <w:b/>
          <w:color w:val="auto"/>
          <w:sz w:val="30"/>
          <w:szCs w:val="30"/>
          <w:highlight w:val="none"/>
        </w:rPr>
      </w:pPr>
      <w:r>
        <w:rPr>
          <w:rFonts w:hint="eastAsia" w:ascii="方正小标宋简体" w:eastAsia="方正小标宋简体"/>
          <w:b/>
          <w:color w:val="auto"/>
          <w:sz w:val="30"/>
          <w:szCs w:val="30"/>
          <w:highlight w:val="none"/>
        </w:rPr>
        <w:t>自愿公开招标公告</w:t>
      </w:r>
    </w:p>
    <w:p w14:paraId="5BF4FC5F">
      <w:pPr>
        <w:jc w:val="center"/>
        <w:rPr>
          <w:rFonts w:ascii="方正小标宋简体" w:eastAsia="方正小标宋简体"/>
          <w:b/>
          <w:color w:val="auto"/>
          <w:sz w:val="30"/>
          <w:szCs w:val="30"/>
          <w:highlight w:val="none"/>
        </w:rPr>
      </w:pPr>
    </w:p>
    <w:p w14:paraId="2728429E">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项目概况</w:t>
      </w:r>
    </w:p>
    <w:p w14:paraId="08C6D800">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2026年乳山市松材线虫病媒介昆虫飞防药剂采购项目的潜在投标人应</w:t>
      </w:r>
      <w:r>
        <w:rPr>
          <w:rFonts w:hint="eastAsia" w:ascii="仿宋_GB2312" w:hAnsi="仿宋" w:eastAsia="仿宋_GB2312" w:cs="宋体"/>
          <w:color w:val="auto"/>
          <w:spacing w:val="8"/>
          <w:kern w:val="0"/>
          <w:sz w:val="28"/>
          <w:szCs w:val="28"/>
          <w:highlight w:val="none"/>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auto"/>
          <w:spacing w:val="8"/>
          <w:kern w:val="0"/>
          <w:sz w:val="28"/>
          <w:szCs w:val="28"/>
          <w:highlight w:val="none"/>
        </w:rPr>
        <w:t>获取招标文件，并于</w:t>
      </w:r>
      <w:r>
        <w:rPr>
          <w:rFonts w:hint="eastAsia" w:ascii="仿宋_GB2312" w:hAnsi="宋体" w:eastAsia="仿宋_GB2312" w:cs="宋体"/>
          <w:color w:val="auto"/>
          <w:spacing w:val="8"/>
          <w:kern w:val="0"/>
          <w:sz w:val="28"/>
          <w:szCs w:val="28"/>
          <w:highlight w:val="none"/>
          <w:u w:val="single"/>
        </w:rPr>
        <w:t xml:space="preserve"> </w:t>
      </w:r>
      <w:r>
        <w:rPr>
          <w:rFonts w:hint="eastAsia" w:ascii="仿宋_GB2312" w:hAnsi="仿宋" w:eastAsia="仿宋_GB2312" w:cs="宋体"/>
          <w:color w:val="auto"/>
          <w:spacing w:val="8"/>
          <w:kern w:val="0"/>
          <w:sz w:val="28"/>
          <w:szCs w:val="28"/>
          <w:highlight w:val="none"/>
          <w:u w:val="single"/>
          <w:lang w:eastAsia="zh-CN"/>
        </w:rPr>
        <w:t>2026年05月12日14时00</w:t>
      </w:r>
      <w:r>
        <w:rPr>
          <w:rFonts w:hint="eastAsia" w:ascii="仿宋_GB2312" w:hAnsi="仿宋" w:eastAsia="仿宋_GB2312" w:cs="宋体"/>
          <w:color w:val="auto"/>
          <w:spacing w:val="8"/>
          <w:kern w:val="0"/>
          <w:sz w:val="28"/>
          <w:szCs w:val="28"/>
          <w:highlight w:val="none"/>
          <w:u w:val="single"/>
        </w:rPr>
        <w:t>分（北京时间）</w:t>
      </w:r>
      <w:r>
        <w:rPr>
          <w:rFonts w:hint="eastAsia" w:ascii="仿宋_GB2312" w:hAnsi="仿宋" w:eastAsia="仿宋_GB2312" w:cs="宋体"/>
          <w:color w:val="auto"/>
          <w:spacing w:val="8"/>
          <w:kern w:val="0"/>
          <w:sz w:val="28"/>
          <w:szCs w:val="28"/>
          <w:highlight w:val="none"/>
        </w:rPr>
        <w:t>前递交投标文件。</w:t>
      </w:r>
    </w:p>
    <w:p w14:paraId="477A6E06">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一、项目基本情况</w:t>
      </w:r>
    </w:p>
    <w:p w14:paraId="2355D59E">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项目编号：SDRS-TPZB-2026-084</w:t>
      </w:r>
    </w:p>
    <w:p w14:paraId="204E3995">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项目名称：2026年乳山市松材线虫病媒介昆虫飞防药剂采购项目</w:t>
      </w:r>
    </w:p>
    <w:p w14:paraId="53E12F89">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1425"/>
        <w:gridCol w:w="1425"/>
        <w:gridCol w:w="1426"/>
        <w:gridCol w:w="1426"/>
        <w:gridCol w:w="1426"/>
        <w:gridCol w:w="1426"/>
      </w:tblGrid>
      <w:tr w14:paraId="14CA2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425" w:type="dxa"/>
            <w:tcBorders>
              <w:bottom w:val="single" w:color="auto" w:sz="4" w:space="0"/>
            </w:tcBorders>
            <w:vAlign w:val="center"/>
          </w:tcPr>
          <w:p w14:paraId="0FBC8083">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标包</w:t>
            </w:r>
          </w:p>
        </w:tc>
        <w:tc>
          <w:tcPr>
            <w:tcW w:w="1425" w:type="dxa"/>
            <w:vAlign w:val="center"/>
          </w:tcPr>
          <w:p w14:paraId="3B42D24A">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名称</w:t>
            </w:r>
          </w:p>
        </w:tc>
        <w:tc>
          <w:tcPr>
            <w:tcW w:w="1425" w:type="dxa"/>
            <w:vAlign w:val="center"/>
          </w:tcPr>
          <w:p w14:paraId="1420405D">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数量</w:t>
            </w:r>
          </w:p>
        </w:tc>
        <w:tc>
          <w:tcPr>
            <w:tcW w:w="1426" w:type="dxa"/>
            <w:tcBorders>
              <w:right w:val="single" w:color="auto" w:sz="4" w:space="0"/>
            </w:tcBorders>
            <w:vAlign w:val="center"/>
          </w:tcPr>
          <w:p w14:paraId="4662D63F">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包预算金额</w:t>
            </w:r>
          </w:p>
          <w:p w14:paraId="5F70251C">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（元）</w:t>
            </w:r>
          </w:p>
        </w:tc>
        <w:tc>
          <w:tcPr>
            <w:tcW w:w="1426" w:type="dxa"/>
            <w:vAlign w:val="center"/>
          </w:tcPr>
          <w:p w14:paraId="70C2144A">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最高限价（元）</w:t>
            </w:r>
          </w:p>
        </w:tc>
        <w:tc>
          <w:tcPr>
            <w:tcW w:w="1426" w:type="dxa"/>
            <w:tcBorders>
              <w:right w:val="single" w:color="auto" w:sz="4" w:space="0"/>
            </w:tcBorders>
            <w:vAlign w:val="center"/>
          </w:tcPr>
          <w:p w14:paraId="0F5D498A">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采购需求</w:t>
            </w:r>
          </w:p>
        </w:tc>
        <w:tc>
          <w:tcPr>
            <w:tcW w:w="1426" w:type="dxa"/>
            <w:tcBorders>
              <w:right w:val="single" w:color="auto" w:sz="4" w:space="0"/>
            </w:tcBorders>
            <w:vAlign w:val="center"/>
          </w:tcPr>
          <w:p w14:paraId="2E1A7172">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合同履行期限</w:t>
            </w:r>
          </w:p>
        </w:tc>
      </w:tr>
      <w:tr w14:paraId="70B0B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425" w:type="dxa"/>
            <w:tcBorders>
              <w:top w:val="single" w:color="auto" w:sz="4" w:space="0"/>
              <w:bottom w:val="single" w:color="auto" w:sz="4" w:space="0"/>
            </w:tcBorders>
            <w:vAlign w:val="center"/>
          </w:tcPr>
          <w:p w14:paraId="20F67202">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A</w:t>
            </w:r>
          </w:p>
        </w:tc>
        <w:tc>
          <w:tcPr>
            <w:tcW w:w="1425" w:type="dxa"/>
            <w:vAlign w:val="center"/>
          </w:tcPr>
          <w:p w14:paraId="144FF6BC">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2026年乳山市松材线虫病媒介昆虫飞防药剂采购项目</w:t>
            </w:r>
          </w:p>
        </w:tc>
        <w:tc>
          <w:tcPr>
            <w:tcW w:w="1425" w:type="dxa"/>
            <w:vAlign w:val="center"/>
          </w:tcPr>
          <w:p w14:paraId="09A917D6">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1宗</w:t>
            </w:r>
          </w:p>
        </w:tc>
        <w:tc>
          <w:tcPr>
            <w:tcW w:w="1426" w:type="dxa"/>
            <w:tcBorders>
              <w:right w:val="single" w:color="auto" w:sz="4" w:space="0"/>
            </w:tcBorders>
            <w:vAlign w:val="center"/>
          </w:tcPr>
          <w:p w14:paraId="19289FBB">
            <w:pPr>
              <w:widowControl/>
              <w:adjustRightInd w:val="0"/>
              <w:snapToGrid w:val="0"/>
              <w:jc w:val="center"/>
              <w:rPr>
                <w:rFonts w:hint="eastAsia" w:ascii="仿宋_GB2312" w:hAnsi="宋体" w:eastAsia="仿宋_GB2312" w:cs="宋体"/>
                <w:color w:val="auto"/>
                <w:kern w:val="0"/>
                <w:sz w:val="24"/>
                <w:highlight w:val="none"/>
                <w:lang w:eastAsia="zh-CN"/>
              </w:rPr>
            </w:pPr>
            <w:r>
              <w:rPr>
                <w:rFonts w:hint="eastAsia" w:ascii="仿宋_GB2312" w:hAnsi="宋体" w:eastAsia="仿宋_GB2312" w:cs="宋体"/>
                <w:color w:val="auto"/>
                <w:kern w:val="0"/>
                <w:sz w:val="24"/>
                <w:highlight w:val="none"/>
                <w:lang w:eastAsia="zh-CN"/>
              </w:rPr>
              <w:t>2159811.00</w:t>
            </w:r>
          </w:p>
        </w:tc>
        <w:tc>
          <w:tcPr>
            <w:tcW w:w="1426" w:type="dxa"/>
            <w:vAlign w:val="center"/>
          </w:tcPr>
          <w:p w14:paraId="3A3CF067">
            <w:pPr>
              <w:widowControl/>
              <w:adjustRightInd w:val="0"/>
              <w:snapToGrid w:val="0"/>
              <w:jc w:val="center"/>
              <w:rPr>
                <w:rFonts w:hint="eastAsia" w:ascii="仿宋_GB2312" w:hAnsi="宋体" w:eastAsia="仿宋_GB2312" w:cs="宋体"/>
                <w:color w:val="auto"/>
                <w:kern w:val="0"/>
                <w:sz w:val="24"/>
                <w:highlight w:val="none"/>
                <w:lang w:eastAsia="zh-CN"/>
              </w:rPr>
            </w:pPr>
            <w:r>
              <w:rPr>
                <w:rFonts w:hint="eastAsia" w:ascii="仿宋_GB2312" w:hAnsi="宋体" w:eastAsia="仿宋_GB2312" w:cs="宋体"/>
                <w:color w:val="auto"/>
                <w:kern w:val="0"/>
                <w:sz w:val="24"/>
                <w:highlight w:val="none"/>
                <w:lang w:eastAsia="zh-CN"/>
              </w:rPr>
              <w:t>2159811.00</w:t>
            </w:r>
          </w:p>
        </w:tc>
        <w:tc>
          <w:tcPr>
            <w:tcW w:w="1426" w:type="dxa"/>
            <w:tcBorders>
              <w:right w:val="single" w:color="auto" w:sz="4" w:space="0"/>
            </w:tcBorders>
            <w:vAlign w:val="center"/>
          </w:tcPr>
          <w:p w14:paraId="73C31575">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详见招标文件</w:t>
            </w:r>
          </w:p>
        </w:tc>
        <w:tc>
          <w:tcPr>
            <w:tcW w:w="1426" w:type="dxa"/>
            <w:tcBorders>
              <w:right w:val="single" w:color="auto" w:sz="4" w:space="0"/>
            </w:tcBorders>
            <w:vAlign w:val="center"/>
          </w:tcPr>
          <w:p w14:paraId="1C1DBC55">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详见招标文件</w:t>
            </w:r>
          </w:p>
        </w:tc>
      </w:tr>
    </w:tbl>
    <w:p w14:paraId="17FB1CF4">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本项目不接受联合体投标</w:t>
      </w:r>
    </w:p>
    <w:p w14:paraId="7EF4358F">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二、申请人的资格要求：</w:t>
      </w:r>
    </w:p>
    <w:p w14:paraId="465E360B">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1）具有独立承担民事责任能力；</w:t>
      </w:r>
    </w:p>
    <w:p w14:paraId="524EF047">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2）具有农药经营许可证；</w:t>
      </w:r>
    </w:p>
    <w:p w14:paraId="7AD2B009">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3）具有良好的商业信誉和健全的财务会计制度；</w:t>
      </w:r>
    </w:p>
    <w:p w14:paraId="7E2A5EB5">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4）具有依法缴纳税收和社会保障资金良好记录；</w:t>
      </w:r>
    </w:p>
    <w:p w14:paraId="0ED02849">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5）具有履行合同所必须的设备和专业技术能力，并能提供优质服务；</w:t>
      </w:r>
    </w:p>
    <w:p w14:paraId="4E91ED57">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6）参加本次招标活动前三年内，在经营活动中没有重大违法记录；</w:t>
      </w:r>
    </w:p>
    <w:p w14:paraId="0FF4F68B">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7）本项目不接受联合体投标。</w:t>
      </w:r>
    </w:p>
    <w:p w14:paraId="43A6AB03">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三、获取招标文件</w:t>
      </w:r>
    </w:p>
    <w:p w14:paraId="1CA0DEAB">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1.时间：2026年04月2</w:t>
      </w:r>
      <w:r>
        <w:rPr>
          <w:rFonts w:hint="eastAsia" w:ascii="仿宋_GB2312" w:hAnsi="仿宋" w:eastAsia="仿宋_GB2312" w:cs="宋体"/>
          <w:color w:val="auto"/>
          <w:spacing w:val="8"/>
          <w:kern w:val="0"/>
          <w:sz w:val="28"/>
          <w:szCs w:val="28"/>
          <w:highlight w:val="none"/>
          <w:lang w:val="en-US" w:eastAsia="zh-CN"/>
        </w:rPr>
        <w:t>9</w:t>
      </w:r>
      <w:r>
        <w:rPr>
          <w:rFonts w:hint="eastAsia" w:ascii="仿宋_GB2312" w:hAnsi="仿宋" w:eastAsia="仿宋_GB2312" w:cs="宋体"/>
          <w:color w:val="auto"/>
          <w:spacing w:val="8"/>
          <w:kern w:val="0"/>
          <w:sz w:val="28"/>
          <w:szCs w:val="28"/>
          <w:highlight w:val="none"/>
        </w:rPr>
        <w:t>日17时00分至2026年05月0</w:t>
      </w:r>
      <w:r>
        <w:rPr>
          <w:rFonts w:hint="eastAsia" w:ascii="仿宋_GB2312" w:hAnsi="仿宋" w:eastAsia="仿宋_GB2312" w:cs="宋体"/>
          <w:color w:val="auto"/>
          <w:spacing w:val="8"/>
          <w:kern w:val="0"/>
          <w:sz w:val="28"/>
          <w:szCs w:val="28"/>
          <w:highlight w:val="none"/>
          <w:lang w:val="en-US" w:eastAsia="zh-CN"/>
        </w:rPr>
        <w:t>9</w:t>
      </w:r>
      <w:r>
        <w:rPr>
          <w:rFonts w:hint="eastAsia" w:ascii="仿宋_GB2312" w:hAnsi="仿宋" w:eastAsia="仿宋_GB2312" w:cs="宋体"/>
          <w:color w:val="auto"/>
          <w:spacing w:val="8"/>
          <w:kern w:val="0"/>
          <w:sz w:val="28"/>
          <w:szCs w:val="28"/>
          <w:highlight w:val="none"/>
        </w:rPr>
        <w:t>日17时00分（北京时间）</w:t>
      </w:r>
    </w:p>
    <w:p w14:paraId="3ED44C70">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2.地点：登录威海市公共资源交易网（乳山分中心）首页右侧“交易服务一网通办系统-（新版）一网通办系统”进行平台切换点击“国企采购”进入国有企业阳光采购电子化服务平台获取文件（网址：</w:t>
      </w:r>
      <w:r>
        <w:rPr>
          <w:color w:val="auto"/>
          <w:highlight w:val="none"/>
        </w:rPr>
        <w:fldChar w:fldCharType="begin"/>
      </w:r>
      <w:r>
        <w:rPr>
          <w:color w:val="auto"/>
          <w:highlight w:val="none"/>
        </w:rPr>
        <w:instrText xml:space="preserve"> HYPERLINK "http://ggzyjy.weihai.cn/rongcheng/）。逾期无法从威海市国有企业阳光采购电子化服务平台中获取文件，未在规定时间内从系统中获取招标文件的投标人将无法递交电子投标文件。" </w:instrText>
      </w:r>
      <w:r>
        <w:rPr>
          <w:color w:val="auto"/>
          <w:highlight w:val="none"/>
        </w:rPr>
        <w:fldChar w:fldCharType="separate"/>
      </w:r>
      <w:r>
        <w:rPr>
          <w:rFonts w:hint="eastAsia" w:ascii="仿宋_GB2312" w:hAnsi="仿宋" w:eastAsia="仿宋_GB2312" w:cs="宋体"/>
          <w:color w:val="auto"/>
          <w:spacing w:val="8"/>
          <w:kern w:val="0"/>
          <w:sz w:val="28"/>
          <w:szCs w:val="28"/>
          <w:highlight w:val="none"/>
        </w:rPr>
        <w:t>http://ggzyjy.weihai.cn/rushan/）。逾期无法从威海市国有企业阳光采购电子化服务平台中获取文件，未在规定时间内从系统中获取招标文件的投标人将无法递交电子投标文件。</w:t>
      </w:r>
      <w:r>
        <w:rPr>
          <w:rFonts w:hint="eastAsia" w:ascii="仿宋_GB2312" w:hAnsi="仿宋" w:eastAsia="仿宋_GB2312" w:cs="宋体"/>
          <w:color w:val="auto"/>
          <w:spacing w:val="8"/>
          <w:kern w:val="0"/>
          <w:sz w:val="28"/>
          <w:szCs w:val="28"/>
          <w:highlight w:val="none"/>
        </w:rPr>
        <w:fldChar w:fldCharType="end"/>
      </w:r>
    </w:p>
    <w:p w14:paraId="707979D6">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交易服务一网通办系统技术支持电话：4009980000（受理问题：系统登录、CA锁绑定、平台切换）， 一网通办技术支持QQ群：1143439694 ；CA锁办理咨询电话：0631-5307028；国企采购技术支持电话：17863029936，国企采购技术支持QQ群（报价单位）：1046971257。</w:t>
      </w:r>
    </w:p>
    <w:p w14:paraId="04CD5C58">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注：未注册用户请先免费注册。在“威海市国有企业阳光采购电子化服务平台”（威海市公共资源交易网（乳山分中心）右侧“国企采购”按钮）登录端口注册登记，并办理“安全证书（CA）”和“电子签章”进行获取文件。“安全证书（CA）”和“电子签章”办理请按照“威海市公共资源交易网（乳山分中心）”右侧“CA办理”中“CA证书办理介绍”进行办理。</w:t>
      </w:r>
    </w:p>
    <w:p w14:paraId="2C3473FB">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3.售价：免费</w:t>
      </w:r>
    </w:p>
    <w:p w14:paraId="54B5B748">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四、提交投标文件截止时间、开标时间和地点</w:t>
      </w:r>
    </w:p>
    <w:p w14:paraId="750F0683">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1.提交投标文件时间：2026年04月2</w:t>
      </w:r>
      <w:r>
        <w:rPr>
          <w:rFonts w:hint="eastAsia" w:ascii="仿宋_GB2312" w:hAnsi="仿宋" w:eastAsia="仿宋_GB2312" w:cs="宋体"/>
          <w:color w:val="auto"/>
          <w:spacing w:val="8"/>
          <w:kern w:val="0"/>
          <w:sz w:val="28"/>
          <w:szCs w:val="28"/>
          <w:highlight w:val="none"/>
          <w:lang w:val="en-US" w:eastAsia="zh-CN"/>
        </w:rPr>
        <w:t>9</w:t>
      </w:r>
      <w:r>
        <w:rPr>
          <w:rFonts w:hint="eastAsia" w:ascii="仿宋_GB2312" w:hAnsi="仿宋" w:eastAsia="仿宋_GB2312" w:cs="宋体"/>
          <w:color w:val="auto"/>
          <w:spacing w:val="8"/>
          <w:kern w:val="0"/>
          <w:sz w:val="28"/>
          <w:szCs w:val="28"/>
          <w:highlight w:val="none"/>
        </w:rPr>
        <w:t>日18时00分至</w:t>
      </w:r>
      <w:r>
        <w:rPr>
          <w:rFonts w:hint="eastAsia" w:ascii="仿宋_GB2312" w:hAnsi="仿宋" w:eastAsia="仿宋_GB2312" w:cs="宋体"/>
          <w:color w:val="auto"/>
          <w:spacing w:val="8"/>
          <w:kern w:val="0"/>
          <w:sz w:val="28"/>
          <w:szCs w:val="28"/>
          <w:highlight w:val="none"/>
          <w:lang w:eastAsia="zh-CN"/>
        </w:rPr>
        <w:t>2026年05月12日14时00</w:t>
      </w:r>
      <w:r>
        <w:rPr>
          <w:rFonts w:hint="eastAsia" w:ascii="仿宋_GB2312" w:hAnsi="仿宋" w:eastAsia="仿宋_GB2312" w:cs="宋体"/>
          <w:color w:val="auto"/>
          <w:spacing w:val="8"/>
          <w:kern w:val="0"/>
          <w:sz w:val="28"/>
          <w:szCs w:val="28"/>
          <w:highlight w:val="none"/>
        </w:rPr>
        <w:t>分</w:t>
      </w:r>
    </w:p>
    <w:p w14:paraId="468D2B75">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2.地点：</w:t>
      </w:r>
      <w:r>
        <w:rPr>
          <w:rFonts w:hint="eastAsia" w:ascii="仿宋_GB2312" w:hAnsi="仿宋" w:eastAsia="仿宋_GB2312" w:cs="宋体"/>
          <w:color w:val="auto"/>
          <w:spacing w:val="8"/>
          <w:sz w:val="28"/>
          <w:szCs w:val="28"/>
          <w:highlight w:val="none"/>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auto"/>
          <w:spacing w:val="8"/>
          <w:kern w:val="0"/>
          <w:sz w:val="28"/>
          <w:szCs w:val="28"/>
          <w:highlight w:val="none"/>
        </w:rPr>
        <w:t>已在威海市国有企业阳光采购电子化服务平台获取文件的投标人在规定时间内递交电子投标文件。</w:t>
      </w:r>
    </w:p>
    <w:p w14:paraId="31811252">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3.开标时间：</w:t>
      </w:r>
      <w:r>
        <w:rPr>
          <w:rFonts w:hint="eastAsia" w:ascii="仿宋_GB2312" w:hAnsi="仿宋" w:eastAsia="仿宋_GB2312" w:cs="宋体"/>
          <w:color w:val="auto"/>
          <w:spacing w:val="8"/>
          <w:kern w:val="0"/>
          <w:sz w:val="28"/>
          <w:szCs w:val="28"/>
          <w:highlight w:val="none"/>
          <w:lang w:eastAsia="zh-CN"/>
        </w:rPr>
        <w:t>2026年05月12日14时00</w:t>
      </w:r>
      <w:r>
        <w:rPr>
          <w:rFonts w:hint="eastAsia" w:ascii="仿宋_GB2312" w:hAnsi="仿宋" w:eastAsia="仿宋_GB2312" w:cs="宋体"/>
          <w:color w:val="auto"/>
          <w:spacing w:val="8"/>
          <w:kern w:val="0"/>
          <w:sz w:val="28"/>
          <w:szCs w:val="28"/>
          <w:highlight w:val="none"/>
        </w:rPr>
        <w:t>分（北京时间）</w:t>
      </w:r>
    </w:p>
    <w:p w14:paraId="0C742FD5">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4.开标地点：威海市乳山市深圳路108号市民服务中心三楼</w:t>
      </w:r>
    </w:p>
    <w:p w14:paraId="6F9FBB38">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五、公告期限</w:t>
      </w:r>
    </w:p>
    <w:p w14:paraId="7AC3E18F">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自本公告发布之日起5日历天。</w:t>
      </w:r>
    </w:p>
    <w:p w14:paraId="43D5806C">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六、其他补充事宜</w:t>
      </w:r>
    </w:p>
    <w:p w14:paraId="7AB0290F">
      <w:pPr>
        <w:spacing w:line="520" w:lineRule="exact"/>
        <w:ind w:firstLine="592" w:firstLineChars="200"/>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本项目实行全流程电子化，实行远程开标，投标人无需到现场，并保持通讯畅通，提前在个人电脑上进行测试确保音频、视频功能可正常使用，因通讯不畅造成的一切后果由供应商自行承担。</w:t>
      </w:r>
    </w:p>
    <w:p w14:paraId="130D18E2">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七、对本次招标提出询问，请按以下方式联系。</w:t>
      </w:r>
    </w:p>
    <w:p w14:paraId="5AC1B056">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1.采购人信息</w:t>
      </w:r>
    </w:p>
    <w:p w14:paraId="1570EADF">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名  称：乳山市兴宇安装工程有限公司</w:t>
      </w:r>
    </w:p>
    <w:p w14:paraId="2831AF60">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地  址：山东省威海市乳山市北环路21号</w:t>
      </w:r>
    </w:p>
    <w:p w14:paraId="5F423337">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联系方式：13206316663</w:t>
      </w:r>
    </w:p>
    <w:p w14:paraId="62B8AECB">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2.采购代理机构信息</w:t>
      </w:r>
    </w:p>
    <w:p w14:paraId="5F640F02">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名  称：乳山天平建设工程咨询有限公司</w:t>
      </w:r>
    </w:p>
    <w:p w14:paraId="5C5DF93E">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地  址：乳山市北环路21号</w:t>
      </w:r>
    </w:p>
    <w:p w14:paraId="170C9600">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项目联系人：刘伟</w:t>
      </w:r>
    </w:p>
    <w:p w14:paraId="6878B77C">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电  话：0631-6868778</w:t>
      </w:r>
    </w:p>
    <w:p w14:paraId="7B4808E8">
      <w:pPr>
        <w:spacing w:line="560" w:lineRule="exact"/>
        <w:ind w:firstLine="560" w:firstLineChars="200"/>
        <w:rPr>
          <w:rFonts w:hint="eastAsia"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八、发布公告的媒介</w:t>
      </w:r>
    </w:p>
    <w:p w14:paraId="2DF6E83D">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微软雅黑" w:eastAsia="仿宋_GB2312" w:cs="宋体"/>
          <w:color w:val="auto"/>
          <w:spacing w:val="8"/>
          <w:kern w:val="0"/>
          <w:sz w:val="28"/>
          <w:szCs w:val="28"/>
          <w:highlight w:val="none"/>
        </w:rPr>
        <w:t>本次公告在中国招标投标公共服务平台（www.cebpubservice.com）、威海市公共资源交易网（乳山分中心）（http://ggzyjy.weihai.cn/rushan/）同时发布，其它媒介转发无效。</w:t>
      </w:r>
    </w:p>
    <w:p w14:paraId="70617F7A">
      <w:pPr>
        <w:spacing w:line="560" w:lineRule="exact"/>
        <w:jc w:val="right"/>
        <w:rPr>
          <w:rFonts w:hint="eastAsia" w:ascii="仿宋_GB2312" w:hAnsi="宋体" w:eastAsia="仿宋_GB2312" w:cs="宋体"/>
          <w:color w:val="auto"/>
          <w:kern w:val="0"/>
          <w:sz w:val="28"/>
          <w:szCs w:val="28"/>
          <w:highlight w:val="none"/>
        </w:rPr>
      </w:pPr>
    </w:p>
    <w:p w14:paraId="228339A1">
      <w:pPr>
        <w:spacing w:line="560" w:lineRule="exact"/>
        <w:jc w:val="right"/>
        <w:rPr>
          <w:rFonts w:hint="eastAsia" w:ascii="仿宋_GB2312" w:hAnsi="宋体" w:eastAsia="仿宋_GB2312" w:cs="宋体"/>
          <w:color w:val="auto"/>
          <w:kern w:val="0"/>
          <w:sz w:val="28"/>
          <w:szCs w:val="28"/>
          <w:highlight w:val="none"/>
        </w:rPr>
      </w:pPr>
    </w:p>
    <w:p w14:paraId="684E748C">
      <w:pPr>
        <w:spacing w:line="560" w:lineRule="exact"/>
        <w:jc w:val="right"/>
        <w:rPr>
          <w:rFonts w:ascii="仿宋_GB2312" w:hAnsi="宋体" w:eastAsia="仿宋_GB2312"/>
          <w:color w:val="auto"/>
          <w:sz w:val="28"/>
          <w:szCs w:val="28"/>
          <w:highlight w:val="none"/>
        </w:rPr>
      </w:pPr>
      <w:r>
        <w:rPr>
          <w:rFonts w:hint="eastAsia" w:ascii="仿宋_GB2312" w:hAnsi="宋体" w:eastAsia="仿宋_GB2312" w:cs="宋体"/>
          <w:color w:val="auto"/>
          <w:kern w:val="0"/>
          <w:sz w:val="28"/>
          <w:szCs w:val="28"/>
          <w:highlight w:val="none"/>
        </w:rPr>
        <w:t>发布人：乳山天平建设工程咨询有限公司</w:t>
      </w:r>
      <w:r>
        <w:rPr>
          <w:rFonts w:hint="eastAsia" w:ascii="仿宋_GB2312" w:hAnsi="宋体" w:eastAsia="仿宋_GB2312"/>
          <w:color w:val="auto"/>
          <w:sz w:val="28"/>
          <w:szCs w:val="28"/>
          <w:highlight w:val="none"/>
        </w:rPr>
        <w:t xml:space="preserve"> </w:t>
      </w:r>
    </w:p>
    <w:p w14:paraId="5C7EEFF2">
      <w:pPr>
        <w:widowControl/>
        <w:adjustRightInd w:val="0"/>
        <w:spacing w:line="360" w:lineRule="auto"/>
        <w:ind w:left="-240"/>
        <w:jc w:val="right"/>
        <w:rPr>
          <w:rFonts w:ascii="仿宋_GB2312" w:hAnsi="宋体" w:eastAsia="仿宋_GB2312" w:cs="宋体"/>
          <w:color w:val="auto"/>
          <w:kern w:val="0"/>
          <w:sz w:val="28"/>
          <w:szCs w:val="28"/>
          <w:highlight w:val="none"/>
        </w:rPr>
      </w:pPr>
      <w:r>
        <w:rPr>
          <w:rFonts w:hint="eastAsia" w:ascii="仿宋_GB2312" w:hAnsi="宋体" w:eastAsia="仿宋_GB2312" w:cs="宋体"/>
          <w:color w:val="auto"/>
          <w:kern w:val="0"/>
          <w:sz w:val="28"/>
          <w:szCs w:val="28"/>
          <w:highlight w:val="none"/>
        </w:rPr>
        <w:t>发布时间：2026年04月2</w:t>
      </w:r>
      <w:r>
        <w:rPr>
          <w:rFonts w:hint="eastAsia" w:ascii="仿宋_GB2312" w:hAnsi="宋体" w:eastAsia="仿宋_GB2312" w:cs="宋体"/>
          <w:color w:val="auto"/>
          <w:kern w:val="0"/>
          <w:sz w:val="28"/>
          <w:szCs w:val="28"/>
          <w:highlight w:val="none"/>
          <w:lang w:val="en-US" w:eastAsia="zh-CN"/>
        </w:rPr>
        <w:t>9</w:t>
      </w:r>
      <w:r>
        <w:rPr>
          <w:rFonts w:hint="eastAsia" w:ascii="仿宋_GB2312" w:hAnsi="宋体" w:eastAsia="仿宋_GB2312" w:cs="宋体"/>
          <w:color w:val="auto"/>
          <w:kern w:val="0"/>
          <w:sz w:val="28"/>
          <w:szCs w:val="28"/>
          <w:highlight w:val="none"/>
        </w:rPr>
        <w:t>日</w:t>
      </w:r>
    </w:p>
    <w:p w14:paraId="43FDB2FE">
      <w:pPr>
        <w:widowControl/>
        <w:adjustRightInd w:val="0"/>
        <w:spacing w:line="360" w:lineRule="auto"/>
        <w:ind w:left="-240"/>
        <w:jc w:val="right"/>
        <w:rPr>
          <w:rFonts w:hint="eastAsia" w:ascii="宋体" w:hAnsi="宋体" w:cs="宋体"/>
          <w:color w:val="auto"/>
          <w:kern w:val="0"/>
          <w:sz w:val="24"/>
          <w:highlight w:val="none"/>
        </w:rPr>
      </w:pPr>
    </w:p>
    <w:p w14:paraId="1DE9F0FE">
      <w:pPr>
        <w:rPr>
          <w:color w:val="auto"/>
          <w:highlight w:val="none"/>
        </w:rPr>
        <w:sectPr>
          <w:footerReference r:id="rId8" w:type="default"/>
          <w:pgSz w:w="11906" w:h="16838"/>
          <w:pgMar w:top="1440" w:right="1080" w:bottom="1440" w:left="1080" w:header="851" w:footer="992" w:gutter="0"/>
          <w:cols w:space="720" w:num="1"/>
          <w:docGrid w:type="lines" w:linePitch="312" w:charSpace="0"/>
        </w:sectPr>
      </w:pPr>
    </w:p>
    <w:p w14:paraId="21CA12D0">
      <w:pPr>
        <w:bidi w:val="0"/>
        <w:rPr>
          <w:rFonts w:hint="eastAsia"/>
          <w:color w:val="auto"/>
          <w:highlight w:val="none"/>
        </w:rPr>
      </w:pPr>
    </w:p>
    <w:p w14:paraId="1621A7F7">
      <w:pPr>
        <w:bidi w:val="0"/>
        <w:rPr>
          <w:rFonts w:hint="eastAsia"/>
          <w:color w:val="auto"/>
          <w:highlight w:val="none"/>
        </w:rPr>
      </w:pPr>
    </w:p>
    <w:p w14:paraId="3EDB4831">
      <w:pPr>
        <w:bidi w:val="0"/>
        <w:rPr>
          <w:rFonts w:hint="eastAsia"/>
          <w:color w:val="auto"/>
          <w:highlight w:val="none"/>
        </w:rPr>
      </w:pPr>
    </w:p>
    <w:p w14:paraId="02135637">
      <w:pPr>
        <w:bidi w:val="0"/>
        <w:rPr>
          <w:rFonts w:hint="eastAsia"/>
          <w:color w:val="auto"/>
          <w:highlight w:val="none"/>
        </w:rPr>
      </w:pPr>
    </w:p>
    <w:p w14:paraId="1A1234F9">
      <w:pPr>
        <w:bidi w:val="0"/>
        <w:rPr>
          <w:rFonts w:hint="eastAsia"/>
          <w:color w:val="auto"/>
          <w:highlight w:val="none"/>
        </w:rPr>
      </w:pPr>
    </w:p>
    <w:p w14:paraId="2CC73E7F">
      <w:pPr>
        <w:bidi w:val="0"/>
        <w:rPr>
          <w:rFonts w:hint="eastAsia"/>
          <w:color w:val="auto"/>
          <w:highlight w:val="none"/>
        </w:rPr>
      </w:pPr>
    </w:p>
    <w:p w14:paraId="592D3D14">
      <w:pPr>
        <w:bidi w:val="0"/>
        <w:rPr>
          <w:rFonts w:hint="eastAsia"/>
          <w:color w:val="auto"/>
          <w:highlight w:val="none"/>
        </w:rPr>
      </w:pPr>
    </w:p>
    <w:p w14:paraId="58817074">
      <w:pPr>
        <w:bidi w:val="0"/>
        <w:rPr>
          <w:rFonts w:hint="eastAsia"/>
          <w:color w:val="auto"/>
          <w:highlight w:val="none"/>
        </w:rPr>
      </w:pPr>
    </w:p>
    <w:p w14:paraId="50B8BC7C">
      <w:pPr>
        <w:bidi w:val="0"/>
        <w:rPr>
          <w:rFonts w:hint="eastAsia"/>
          <w:color w:val="auto"/>
          <w:highlight w:val="none"/>
        </w:rPr>
      </w:pPr>
    </w:p>
    <w:p w14:paraId="0F6F7AB1">
      <w:pPr>
        <w:bidi w:val="0"/>
        <w:rPr>
          <w:rFonts w:hint="eastAsia"/>
          <w:color w:val="auto"/>
          <w:highlight w:val="none"/>
        </w:rPr>
      </w:pPr>
    </w:p>
    <w:p w14:paraId="00275693">
      <w:pPr>
        <w:bidi w:val="0"/>
        <w:rPr>
          <w:rFonts w:hint="eastAsia"/>
          <w:color w:val="auto"/>
          <w:highlight w:val="none"/>
        </w:rPr>
      </w:pPr>
    </w:p>
    <w:p w14:paraId="25499147">
      <w:pPr>
        <w:bidi w:val="0"/>
        <w:rPr>
          <w:rFonts w:hint="eastAsia"/>
          <w:color w:val="auto"/>
          <w:highlight w:val="none"/>
        </w:rPr>
      </w:pPr>
    </w:p>
    <w:p w14:paraId="64EE4A02">
      <w:pPr>
        <w:bidi w:val="0"/>
        <w:rPr>
          <w:rFonts w:hint="eastAsia"/>
          <w:color w:val="auto"/>
          <w:highlight w:val="none"/>
        </w:rPr>
      </w:pPr>
    </w:p>
    <w:p w14:paraId="063C03DC">
      <w:pPr>
        <w:bidi w:val="0"/>
        <w:rPr>
          <w:rFonts w:hint="eastAsia"/>
          <w:color w:val="auto"/>
          <w:highlight w:val="none"/>
        </w:rPr>
      </w:pPr>
    </w:p>
    <w:p w14:paraId="7408615C">
      <w:pPr>
        <w:bidi w:val="0"/>
        <w:rPr>
          <w:rFonts w:hint="eastAsia"/>
          <w:color w:val="auto"/>
          <w:highlight w:val="none"/>
        </w:rPr>
      </w:pPr>
    </w:p>
    <w:p w14:paraId="4247529C">
      <w:pPr>
        <w:bidi w:val="0"/>
        <w:rPr>
          <w:rFonts w:hint="eastAsia"/>
          <w:color w:val="auto"/>
          <w:highlight w:val="none"/>
        </w:rPr>
      </w:pPr>
    </w:p>
    <w:p w14:paraId="2A5AE103">
      <w:pPr>
        <w:pStyle w:val="28"/>
        <w:spacing w:before="100" w:beforeAutospacing="1" w:after="100" w:afterAutospacing="1" w:line="415" w:lineRule="auto"/>
        <w:rPr>
          <w:rFonts w:ascii="楷体_GB2312" w:hAnsi="宋体" w:eastAsia="楷体_GB2312" w:cs="宋体"/>
          <w:color w:val="auto"/>
          <w:sz w:val="44"/>
          <w:szCs w:val="44"/>
          <w:highlight w:val="none"/>
        </w:rPr>
      </w:pPr>
      <w:r>
        <w:rPr>
          <w:rFonts w:hint="eastAsia" w:ascii="楷体_GB2312" w:hAnsi="宋体" w:eastAsia="楷体_GB2312" w:cs="宋体"/>
          <w:color w:val="auto"/>
          <w:sz w:val="44"/>
          <w:szCs w:val="44"/>
          <w:highlight w:val="none"/>
        </w:rPr>
        <w:t>第二章 投标（响应）须知</w:t>
      </w:r>
    </w:p>
    <w:p w14:paraId="2C3FAF43">
      <w:pPr>
        <w:rPr>
          <w:color w:val="auto"/>
          <w:highlight w:val="none"/>
        </w:rPr>
      </w:pPr>
    </w:p>
    <w:p w14:paraId="49305166">
      <w:pPr>
        <w:rPr>
          <w:color w:val="auto"/>
          <w:highlight w:val="none"/>
        </w:rPr>
        <w:sectPr>
          <w:pgSz w:w="11906" w:h="16838"/>
          <w:pgMar w:top="1440" w:right="1077" w:bottom="1440" w:left="1077" w:header="851" w:footer="992" w:gutter="0"/>
          <w:cols w:space="720" w:num="1"/>
          <w:docGrid w:type="lines" w:linePitch="312" w:charSpace="0"/>
        </w:sectPr>
      </w:pPr>
    </w:p>
    <w:p w14:paraId="1DA397E4">
      <w:pPr>
        <w:jc w:val="center"/>
        <w:rPr>
          <w:rFonts w:ascii="黑体" w:hAnsi="黑体" w:eastAsia="黑体"/>
          <w:color w:val="auto"/>
          <w:sz w:val="32"/>
          <w:szCs w:val="32"/>
          <w:highlight w:val="none"/>
        </w:rPr>
      </w:pPr>
      <w:r>
        <w:rPr>
          <w:rFonts w:hint="eastAsia" w:ascii="黑体" w:hAnsi="黑体" w:eastAsia="黑体"/>
          <w:color w:val="auto"/>
          <w:sz w:val="32"/>
          <w:szCs w:val="32"/>
          <w:highlight w:val="none"/>
        </w:rPr>
        <w:t>投标须知前附表</w:t>
      </w:r>
    </w:p>
    <w:p w14:paraId="7EE625E4">
      <w:pPr>
        <w:spacing w:line="560" w:lineRule="exact"/>
        <w:ind w:firstLine="560" w:firstLineChars="200"/>
        <w:jc w:val="left"/>
        <w:rPr>
          <w:rFonts w:ascii="仿宋_GB2312" w:hAnsi="宋体" w:eastAsia="仿宋_GB2312"/>
          <w:color w:val="auto"/>
          <w:sz w:val="28"/>
          <w:szCs w:val="28"/>
          <w:highlight w:val="none"/>
        </w:rPr>
      </w:pPr>
    </w:p>
    <w:p w14:paraId="433B225C">
      <w:pPr>
        <w:spacing w:line="560" w:lineRule="exact"/>
        <w:ind w:firstLine="560" w:firstLineChars="20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5436C6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71B00180">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序号</w:t>
            </w:r>
          </w:p>
        </w:tc>
        <w:tc>
          <w:tcPr>
            <w:tcW w:w="8291" w:type="dxa"/>
            <w:tcBorders>
              <w:top w:val="single" w:color="auto" w:sz="4" w:space="0"/>
              <w:left w:val="single" w:color="auto" w:sz="4" w:space="0"/>
              <w:bottom w:val="single" w:color="auto" w:sz="4" w:space="0"/>
            </w:tcBorders>
            <w:vAlign w:val="center"/>
          </w:tcPr>
          <w:p w14:paraId="173EF792">
            <w:pPr>
              <w:spacing w:line="560" w:lineRule="exact"/>
              <w:jc w:val="center"/>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内           容</w:t>
            </w:r>
          </w:p>
        </w:tc>
      </w:tr>
      <w:tr w14:paraId="058B52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261B6FF9">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p>
        </w:tc>
        <w:tc>
          <w:tcPr>
            <w:tcW w:w="8291" w:type="dxa"/>
            <w:tcBorders>
              <w:top w:val="single" w:color="auto" w:sz="4" w:space="0"/>
              <w:left w:val="single" w:color="auto" w:sz="4" w:space="0"/>
              <w:bottom w:val="single" w:color="auto" w:sz="4" w:space="0"/>
            </w:tcBorders>
            <w:vAlign w:val="center"/>
          </w:tcPr>
          <w:p w14:paraId="36F6860F">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项目名称：2026年乳山市松材线虫病媒介昆虫飞防药剂采购项目</w:t>
            </w:r>
          </w:p>
        </w:tc>
      </w:tr>
      <w:tr w14:paraId="039C0B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7705E8FC">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p>
        </w:tc>
        <w:tc>
          <w:tcPr>
            <w:tcW w:w="8291" w:type="dxa"/>
            <w:tcBorders>
              <w:top w:val="single" w:color="auto" w:sz="4" w:space="0"/>
              <w:left w:val="single" w:color="auto" w:sz="4" w:space="0"/>
              <w:bottom w:val="single" w:color="auto" w:sz="4" w:space="0"/>
            </w:tcBorders>
            <w:vAlign w:val="center"/>
          </w:tcPr>
          <w:p w14:paraId="4DA3F9B4">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项目编号：SDRS-TPZB-2026-084</w:t>
            </w:r>
          </w:p>
        </w:tc>
      </w:tr>
      <w:tr w14:paraId="75C632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050A751F">
            <w:pPr>
              <w:spacing w:line="560" w:lineRule="exact"/>
              <w:jc w:val="center"/>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w:t>
            </w:r>
          </w:p>
        </w:tc>
        <w:tc>
          <w:tcPr>
            <w:tcW w:w="8291" w:type="dxa"/>
            <w:tcBorders>
              <w:top w:val="single" w:color="auto" w:sz="4" w:space="0"/>
              <w:left w:val="single" w:color="auto" w:sz="4" w:space="0"/>
              <w:bottom w:val="single" w:color="auto" w:sz="4" w:space="0"/>
            </w:tcBorders>
            <w:vAlign w:val="center"/>
          </w:tcPr>
          <w:p w14:paraId="21E1AAC6">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采购人名称：乳山市兴宇安装工程有限公司</w:t>
            </w:r>
          </w:p>
          <w:p w14:paraId="152E92C4">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地址：</w:t>
            </w:r>
            <w:r>
              <w:rPr>
                <w:rFonts w:hint="eastAsia" w:ascii="仿宋_GB2312" w:hAnsi="仿宋" w:eastAsia="仿宋_GB2312" w:cs="宋体"/>
                <w:color w:val="auto"/>
                <w:spacing w:val="8"/>
                <w:sz w:val="28"/>
                <w:szCs w:val="28"/>
                <w:highlight w:val="none"/>
              </w:rPr>
              <w:t>山东省威海市乳山市北环路21号</w:t>
            </w:r>
          </w:p>
          <w:p w14:paraId="5CF4E120">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联系人：王臣</w:t>
            </w:r>
          </w:p>
          <w:p w14:paraId="6BE4B726">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联系方式：13206316663</w:t>
            </w:r>
          </w:p>
        </w:tc>
      </w:tr>
      <w:tr w14:paraId="324C5E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03B44D6C">
            <w:pPr>
              <w:spacing w:line="560" w:lineRule="exact"/>
              <w:jc w:val="center"/>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w:t>
            </w:r>
          </w:p>
        </w:tc>
        <w:tc>
          <w:tcPr>
            <w:tcW w:w="8291" w:type="dxa"/>
            <w:tcBorders>
              <w:top w:val="single" w:color="auto" w:sz="4" w:space="0"/>
              <w:left w:val="single" w:color="auto" w:sz="4" w:space="0"/>
              <w:bottom w:val="single" w:color="auto" w:sz="4" w:space="0"/>
            </w:tcBorders>
            <w:vAlign w:val="center"/>
          </w:tcPr>
          <w:p w14:paraId="09ACE3E3">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采购代理机构名称：乳山天平建设工程咨询有限公司</w:t>
            </w:r>
          </w:p>
          <w:p w14:paraId="625AEC47">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地址：乳山市北环路21号</w:t>
            </w:r>
            <w:r>
              <w:rPr>
                <w:rFonts w:ascii="仿宋_GB2312" w:hAnsi="宋体" w:eastAsia="仿宋_GB2312"/>
                <w:color w:val="auto"/>
                <w:sz w:val="28"/>
                <w:szCs w:val="28"/>
                <w:highlight w:val="none"/>
              </w:rPr>
              <w:t xml:space="preserve"> </w:t>
            </w:r>
          </w:p>
          <w:p w14:paraId="3E1CCA5B">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联系人：刘伟</w:t>
            </w:r>
          </w:p>
          <w:p w14:paraId="334374CD">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联系方式：0631-6868778</w:t>
            </w:r>
          </w:p>
        </w:tc>
      </w:tr>
      <w:tr w14:paraId="0773ED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76F43FB4">
            <w:pPr>
              <w:spacing w:line="560" w:lineRule="exact"/>
              <w:jc w:val="center"/>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w:t>
            </w:r>
          </w:p>
        </w:tc>
        <w:tc>
          <w:tcPr>
            <w:tcW w:w="8291" w:type="dxa"/>
            <w:tcBorders>
              <w:top w:val="single" w:color="auto" w:sz="4" w:space="0"/>
              <w:left w:val="single" w:color="auto" w:sz="4" w:space="0"/>
              <w:bottom w:val="single" w:color="auto" w:sz="4" w:space="0"/>
            </w:tcBorders>
            <w:vAlign w:val="center"/>
          </w:tcPr>
          <w:p w14:paraId="227B047E">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1．登录威海市公共资源交易网（乳山分中心）（</w:t>
            </w:r>
            <w:r>
              <w:rPr>
                <w:color w:val="auto"/>
                <w:highlight w:val="none"/>
              </w:rPr>
              <w:fldChar w:fldCharType="begin"/>
            </w:r>
            <w:r>
              <w:rPr>
                <w:color w:val="auto"/>
                <w:highlight w:val="none"/>
              </w:rPr>
              <w:instrText xml:space="preserve"> HYPERLINK "http://rc.whggzyjy.cn/" </w:instrText>
            </w:r>
            <w:r>
              <w:rPr>
                <w:color w:val="auto"/>
                <w:highlight w:val="none"/>
              </w:rPr>
              <w:fldChar w:fldCharType="separate"/>
            </w:r>
            <w:r>
              <w:rPr>
                <w:rFonts w:hint="eastAsia" w:ascii="仿宋_GB2312" w:hAnsi="宋体" w:eastAsia="仿宋_GB2312"/>
                <w:color w:val="auto"/>
                <w:sz w:val="28"/>
                <w:szCs w:val="28"/>
                <w:highlight w:val="none"/>
              </w:rPr>
              <w:t>http://ggzyjy.weihai.cn/rushan/</w:t>
            </w:r>
            <w:r>
              <w:rPr>
                <w:rFonts w:hint="eastAsia" w:ascii="仿宋_GB2312" w:hAnsi="宋体" w:eastAsia="仿宋_GB2312"/>
                <w:color w:val="auto"/>
                <w:sz w:val="28"/>
                <w:szCs w:val="28"/>
                <w:highlight w:val="none"/>
              </w:rPr>
              <w:fldChar w:fldCharType="end"/>
            </w:r>
            <w:r>
              <w:rPr>
                <w:rFonts w:hint="eastAsia" w:ascii="仿宋_GB2312" w:hAnsi="宋体" w:eastAsia="仿宋_GB2312"/>
                <w:color w:val="auto"/>
                <w:sz w:val="28"/>
                <w:szCs w:val="28"/>
                <w:highlight w:val="none"/>
              </w:rPr>
              <w:t>）（右上角【交易服务一网通办系统】按钮）进入“威海市国有企业阳光采购电子化服务平台”进行注册，取得用户名和密码（已经完成注册无须重复注册）；首次注册的投标人应及时办理安全证书（CA锁）及电子签章。</w:t>
            </w:r>
          </w:p>
          <w:p w14:paraId="4CFB543B">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3655F3CD">
            <w:pPr>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w:t>
            </w:r>
            <w:r>
              <w:rPr>
                <w:rFonts w:ascii="仿宋_GB2312" w:hAnsi="宋体" w:eastAsia="仿宋_GB2312"/>
                <w:color w:val="auto"/>
                <w:sz w:val="28"/>
                <w:szCs w:val="28"/>
                <w:highlight w:val="none"/>
              </w:rPr>
              <w:t>18769124292</w:t>
            </w:r>
            <w:r>
              <w:rPr>
                <w:rFonts w:hint="eastAsia" w:ascii="仿宋_GB2312" w:hAnsi="宋体" w:eastAsia="仿宋_GB2312"/>
                <w:color w:val="auto"/>
                <w:sz w:val="28"/>
                <w:szCs w:val="28"/>
                <w:highlight w:val="none"/>
              </w:rPr>
              <w:t>；0631-5307028；平台QQ服务群：</w:t>
            </w:r>
            <w:r>
              <w:rPr>
                <w:rFonts w:ascii="仿宋_GB2312" w:hAnsi="宋体" w:eastAsia="仿宋_GB2312"/>
                <w:color w:val="auto"/>
                <w:sz w:val="28"/>
                <w:szCs w:val="28"/>
                <w:highlight w:val="none"/>
              </w:rPr>
              <w:t>1146578397</w:t>
            </w:r>
            <w:r>
              <w:rPr>
                <w:rFonts w:hint="eastAsia" w:ascii="仿宋_GB2312" w:hAnsi="宋体" w:eastAsia="仿宋_GB2312"/>
                <w:color w:val="auto"/>
                <w:sz w:val="28"/>
                <w:szCs w:val="28"/>
                <w:highlight w:val="none"/>
              </w:rPr>
              <w:t>。</w:t>
            </w:r>
          </w:p>
          <w:p w14:paraId="026FB444">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3D3DEA8E">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38E82C4C">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6C990FED">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7．投标人投标文件中的相关扫描件应保证清晰度，无法辨认的评审时受到影响的，由投标人承担相应责任。</w:t>
            </w:r>
          </w:p>
          <w:p w14:paraId="670FDF32">
            <w:pPr>
              <w:snapToGrid w:val="0"/>
              <w:spacing w:line="560" w:lineRule="exact"/>
              <w:ind w:right="-105" w:rightChars="-5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8．除网上递交电子投标文件外，如有要求递交相关资质证明文件原件的，还须按其要求独立密封递交（被授权人身份证原件除外）</w:t>
            </w:r>
          </w:p>
          <w:p w14:paraId="67D90530">
            <w:pPr>
              <w:snapToGrid w:val="0"/>
              <w:spacing w:line="560" w:lineRule="exact"/>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9．投标人应充分考虑到网上递交投标文件会发生的故障和风险。对发生的任何故障和风险造成投标人报价内容不一致或利益受损或投标失败的，招标人及</w:t>
            </w:r>
            <w:r>
              <w:rPr>
                <w:rFonts w:ascii="仿宋_GB2312" w:hAnsi="宋体" w:eastAsia="仿宋_GB2312"/>
                <w:color w:val="auto"/>
                <w:sz w:val="28"/>
                <w:szCs w:val="28"/>
                <w:highlight w:val="none"/>
              </w:rPr>
              <w:t>招标代理机构</w:t>
            </w:r>
            <w:r>
              <w:rPr>
                <w:rFonts w:hint="eastAsia" w:ascii="仿宋_GB2312" w:hAnsi="宋体" w:eastAsia="仿宋_GB2312"/>
                <w:color w:val="auto"/>
                <w:sz w:val="28"/>
                <w:szCs w:val="28"/>
                <w:highlight w:val="none"/>
              </w:rPr>
              <w:t>不承担任何责任。</w:t>
            </w:r>
          </w:p>
        </w:tc>
      </w:tr>
      <w:tr w14:paraId="3C4A6A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59BDDC5C">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6</w:t>
            </w:r>
          </w:p>
        </w:tc>
        <w:tc>
          <w:tcPr>
            <w:tcW w:w="8291" w:type="dxa"/>
            <w:tcBorders>
              <w:top w:val="single" w:color="auto" w:sz="4" w:space="0"/>
              <w:left w:val="single" w:color="auto" w:sz="4" w:space="0"/>
              <w:bottom w:val="single" w:color="auto" w:sz="4" w:space="0"/>
            </w:tcBorders>
            <w:vAlign w:val="center"/>
          </w:tcPr>
          <w:p w14:paraId="1D060E63">
            <w:pPr>
              <w:spacing w:line="560" w:lineRule="exact"/>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资质证明文件原件：无需提供资质证明文件原件</w:t>
            </w:r>
          </w:p>
        </w:tc>
      </w:tr>
      <w:tr w14:paraId="734356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2F6316D8">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7</w:t>
            </w:r>
          </w:p>
        </w:tc>
        <w:tc>
          <w:tcPr>
            <w:tcW w:w="8291" w:type="dxa"/>
            <w:tcBorders>
              <w:top w:val="single" w:color="auto" w:sz="4" w:space="0"/>
              <w:left w:val="single" w:color="auto" w:sz="4" w:space="0"/>
              <w:bottom w:val="single" w:color="auto" w:sz="4" w:space="0"/>
            </w:tcBorders>
            <w:vAlign w:val="center"/>
          </w:tcPr>
          <w:p w14:paraId="2311B790">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投标文件份数：网上按时递交电子投标文件1份</w:t>
            </w:r>
          </w:p>
        </w:tc>
      </w:tr>
      <w:tr w14:paraId="65DBFC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1268B51D">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8</w:t>
            </w:r>
          </w:p>
        </w:tc>
        <w:tc>
          <w:tcPr>
            <w:tcW w:w="8291" w:type="dxa"/>
            <w:tcBorders>
              <w:top w:val="single" w:color="auto" w:sz="4" w:space="0"/>
              <w:left w:val="single" w:color="auto" w:sz="4" w:space="0"/>
              <w:bottom w:val="single" w:color="auto" w:sz="4" w:space="0"/>
            </w:tcBorders>
            <w:vAlign w:val="center"/>
          </w:tcPr>
          <w:p w14:paraId="0EE0E932">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实物样品：无 </w:t>
            </w:r>
          </w:p>
        </w:tc>
      </w:tr>
      <w:tr w14:paraId="135049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4E61D8DD">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9</w:t>
            </w:r>
          </w:p>
        </w:tc>
        <w:tc>
          <w:tcPr>
            <w:tcW w:w="8291" w:type="dxa"/>
            <w:tcBorders>
              <w:top w:val="single" w:color="auto" w:sz="4" w:space="0"/>
              <w:left w:val="single" w:color="auto" w:sz="4" w:space="0"/>
              <w:bottom w:val="single" w:color="auto" w:sz="4" w:space="0"/>
            </w:tcBorders>
            <w:vAlign w:val="center"/>
          </w:tcPr>
          <w:p w14:paraId="439CEAB7">
            <w:pPr>
              <w:spacing w:line="560" w:lineRule="exact"/>
              <w:textAlignment w:val="top"/>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现场踏勘：无 </w:t>
            </w:r>
          </w:p>
        </w:tc>
      </w:tr>
      <w:tr w14:paraId="426316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59D0A2C1">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10</w:t>
            </w:r>
          </w:p>
        </w:tc>
        <w:tc>
          <w:tcPr>
            <w:tcW w:w="8291" w:type="dxa"/>
            <w:tcBorders>
              <w:top w:val="single" w:color="auto" w:sz="4" w:space="0"/>
              <w:left w:val="single" w:color="auto" w:sz="4" w:space="0"/>
              <w:bottom w:val="single" w:color="auto" w:sz="4" w:space="0"/>
            </w:tcBorders>
            <w:vAlign w:val="center"/>
          </w:tcPr>
          <w:p w14:paraId="4614CFF9">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现场演示：无 </w:t>
            </w:r>
          </w:p>
        </w:tc>
      </w:tr>
      <w:tr w14:paraId="75AA07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C416FA2">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1</w:t>
            </w:r>
          </w:p>
        </w:tc>
        <w:tc>
          <w:tcPr>
            <w:tcW w:w="8291" w:type="dxa"/>
            <w:tcBorders>
              <w:top w:val="single" w:color="auto" w:sz="4" w:space="0"/>
              <w:left w:val="single" w:color="auto" w:sz="4" w:space="0"/>
              <w:bottom w:val="single" w:color="auto" w:sz="4" w:space="0"/>
            </w:tcBorders>
            <w:vAlign w:val="center"/>
          </w:tcPr>
          <w:p w14:paraId="3F36B6D6">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报价有效期：开标之日起</w:t>
            </w:r>
            <w:r>
              <w:rPr>
                <w:rFonts w:ascii="仿宋_GB2312" w:hAnsi="宋体" w:eastAsia="仿宋_GB2312"/>
                <w:color w:val="auto"/>
                <w:sz w:val="28"/>
                <w:szCs w:val="28"/>
                <w:highlight w:val="none"/>
              </w:rPr>
              <w:t>9</w:t>
            </w:r>
            <w:r>
              <w:rPr>
                <w:rFonts w:hint="eastAsia" w:ascii="仿宋_GB2312" w:hAnsi="宋体" w:eastAsia="仿宋_GB2312"/>
                <w:color w:val="auto"/>
                <w:sz w:val="28"/>
                <w:szCs w:val="28"/>
                <w:highlight w:val="none"/>
              </w:rPr>
              <w:t>0天</w:t>
            </w:r>
          </w:p>
        </w:tc>
      </w:tr>
      <w:tr w14:paraId="312678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41D99265">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2</w:t>
            </w:r>
          </w:p>
        </w:tc>
        <w:tc>
          <w:tcPr>
            <w:tcW w:w="8291" w:type="dxa"/>
            <w:tcBorders>
              <w:top w:val="single" w:color="auto" w:sz="4" w:space="0"/>
              <w:left w:val="single" w:color="auto" w:sz="4" w:space="0"/>
              <w:bottom w:val="single" w:color="auto" w:sz="4" w:space="0"/>
            </w:tcBorders>
            <w:vAlign w:val="center"/>
          </w:tcPr>
          <w:p w14:paraId="207A94BE">
            <w:pPr>
              <w:spacing w:line="600" w:lineRule="exact"/>
              <w:rPr>
                <w:rFonts w:hint="eastAsia" w:ascii="仿宋_GB2312" w:hAnsi="宋体" w:eastAsia="仿宋_GB2312"/>
                <w:b/>
                <w:bCs/>
                <w:color w:val="auto"/>
                <w:sz w:val="28"/>
                <w:szCs w:val="28"/>
                <w:highlight w:val="none"/>
              </w:rPr>
            </w:pPr>
            <w:r>
              <w:rPr>
                <w:rFonts w:hint="eastAsia" w:ascii="仿宋_GB2312" w:hAnsi="宋体" w:eastAsia="仿宋_GB2312"/>
                <w:b/>
                <w:bCs/>
                <w:color w:val="auto"/>
                <w:sz w:val="28"/>
                <w:szCs w:val="28"/>
                <w:highlight w:val="none"/>
              </w:rPr>
              <w:t>本分包最高限价：</w:t>
            </w:r>
            <w:r>
              <w:rPr>
                <w:rFonts w:hint="eastAsia" w:ascii="仿宋_GB2312" w:hAnsi="宋体" w:eastAsia="仿宋_GB2312"/>
                <w:b/>
                <w:bCs/>
                <w:color w:val="auto"/>
                <w:sz w:val="28"/>
                <w:szCs w:val="28"/>
                <w:highlight w:val="none"/>
                <w:u w:val="single"/>
                <w:lang w:eastAsia="zh-CN"/>
              </w:rPr>
              <w:t>2159811.00</w:t>
            </w:r>
            <w:r>
              <w:rPr>
                <w:rFonts w:hint="eastAsia" w:ascii="仿宋_GB2312" w:hAnsi="宋体" w:eastAsia="仿宋_GB2312"/>
                <w:b/>
                <w:bCs/>
                <w:color w:val="auto"/>
                <w:sz w:val="28"/>
                <w:szCs w:val="28"/>
                <w:highlight w:val="none"/>
              </w:rPr>
              <w:t>元</w:t>
            </w:r>
          </w:p>
          <w:p w14:paraId="037FCD15">
            <w:pPr>
              <w:spacing w:line="600" w:lineRule="exact"/>
              <w:rPr>
                <w:rFonts w:hint="eastAsia" w:ascii="Times New Roman" w:hAnsi="Times New Roman" w:eastAsia="仿宋_GB2312" w:cs="Times New Roman"/>
                <w:b/>
                <w:bCs/>
                <w:color w:val="auto"/>
                <w:sz w:val="28"/>
                <w:szCs w:val="21"/>
                <w:highlight w:val="none"/>
                <w:u w:val="none"/>
                <w:lang w:eastAsia="zh-CN"/>
              </w:rPr>
            </w:pPr>
            <w:r>
              <w:rPr>
                <w:rFonts w:hint="eastAsia" w:ascii="仿宋_GB2312" w:hAnsi="宋体" w:eastAsia="仿宋_GB2312"/>
                <w:b/>
                <w:bCs/>
                <w:color w:val="auto"/>
                <w:sz w:val="28"/>
                <w:szCs w:val="28"/>
                <w:highlight w:val="none"/>
                <w:lang w:val="en-US" w:eastAsia="zh-CN"/>
              </w:rPr>
              <w:t>其中：8%氯氰菊酯微囊悬浮剂，单价控制价70920.00</w:t>
            </w:r>
            <w:bookmarkStart w:id="0" w:name="_GoBack"/>
            <w:bookmarkEnd w:id="0"/>
            <w:r>
              <w:rPr>
                <w:rFonts w:hint="eastAsia" w:ascii="仿宋_GB2312" w:hAnsi="宋体" w:eastAsia="仿宋_GB2312"/>
                <w:b/>
                <w:bCs/>
                <w:color w:val="auto"/>
                <w:sz w:val="28"/>
                <w:szCs w:val="28"/>
                <w:highlight w:val="none"/>
                <w:lang w:val="en-US" w:eastAsia="zh-CN"/>
              </w:rPr>
              <w:t>元/吨；</w:t>
            </w:r>
            <w:r>
              <w:rPr>
                <w:rFonts w:hint="default" w:ascii="Times New Roman" w:hAnsi="Times New Roman" w:eastAsia="仿宋_GB2312" w:cs="Times New Roman"/>
                <w:b/>
                <w:bCs/>
                <w:color w:val="auto"/>
                <w:sz w:val="28"/>
                <w:szCs w:val="21"/>
                <w:highlight w:val="none"/>
                <w:u w:val="none"/>
              </w:rPr>
              <w:t>尿素</w:t>
            </w:r>
            <w:r>
              <w:rPr>
                <w:rFonts w:hint="eastAsia" w:ascii="仿宋_GB2312" w:hAnsi="宋体" w:eastAsia="仿宋_GB2312"/>
                <w:b/>
                <w:bCs/>
                <w:color w:val="auto"/>
                <w:sz w:val="28"/>
                <w:szCs w:val="28"/>
                <w:highlight w:val="none"/>
                <w:lang w:val="en-US" w:eastAsia="zh-CN"/>
              </w:rPr>
              <w:t>，单价控制价</w:t>
            </w:r>
            <w:r>
              <w:rPr>
                <w:rFonts w:hint="eastAsia" w:eastAsia="仿宋_GB2312" w:cs="Times New Roman"/>
                <w:b/>
                <w:bCs/>
                <w:color w:val="auto"/>
                <w:sz w:val="28"/>
                <w:szCs w:val="21"/>
                <w:highlight w:val="none"/>
                <w:u w:val="none"/>
                <w:lang w:val="en-US" w:eastAsia="zh-CN"/>
              </w:rPr>
              <w:t>3100.00</w:t>
            </w:r>
            <w:r>
              <w:rPr>
                <w:rFonts w:hint="default" w:ascii="Times New Roman" w:hAnsi="Times New Roman" w:eastAsia="仿宋_GB2312" w:cs="Times New Roman"/>
                <w:b/>
                <w:bCs/>
                <w:color w:val="auto"/>
                <w:sz w:val="28"/>
                <w:szCs w:val="21"/>
                <w:highlight w:val="none"/>
                <w:u w:val="none"/>
              </w:rPr>
              <w:t>元/吨</w:t>
            </w:r>
            <w:r>
              <w:rPr>
                <w:rFonts w:hint="eastAsia" w:ascii="Times New Roman" w:hAnsi="Times New Roman" w:eastAsia="仿宋_GB2312" w:cs="Times New Roman"/>
                <w:b/>
                <w:bCs/>
                <w:color w:val="auto"/>
                <w:sz w:val="28"/>
                <w:szCs w:val="21"/>
                <w:highlight w:val="none"/>
                <w:u w:val="none"/>
                <w:lang w:eastAsia="zh-CN"/>
              </w:rPr>
              <w:t>。</w:t>
            </w:r>
          </w:p>
          <w:p w14:paraId="0085BC34">
            <w:pPr>
              <w:pStyle w:val="60"/>
              <w:spacing w:line="560" w:lineRule="exact"/>
              <w:ind w:left="0" w:leftChars="0" w:firstLine="0" w:firstLineChars="0"/>
              <w:rPr>
                <w:rFonts w:hint="eastAsia" w:ascii="仿宋_GB2312" w:hAnsi="宋体" w:eastAsia="仿宋_GB2312"/>
                <w:color w:val="auto"/>
                <w:sz w:val="28"/>
                <w:szCs w:val="28"/>
                <w:highlight w:val="none"/>
                <w:lang w:val="en-US" w:eastAsia="zh-CN"/>
              </w:rPr>
            </w:pPr>
            <w:r>
              <w:rPr>
                <w:rFonts w:hint="eastAsia" w:ascii="仿宋_GB2312" w:hAnsi="宋体" w:eastAsia="仿宋_GB2312"/>
                <w:b/>
                <w:bCs/>
                <w:color w:val="auto"/>
                <w:highlight w:val="none"/>
              </w:rPr>
              <w:t>报价时不允许</w:t>
            </w:r>
            <w:r>
              <w:rPr>
                <w:rFonts w:hint="eastAsia" w:ascii="仿宋_GB2312" w:hAnsi="宋体" w:eastAsia="仿宋_GB2312"/>
                <w:b/>
                <w:bCs/>
                <w:color w:val="auto"/>
                <w:highlight w:val="none"/>
                <w:lang w:val="en-US" w:eastAsia="zh-CN"/>
              </w:rPr>
              <w:t>超</w:t>
            </w:r>
            <w:r>
              <w:rPr>
                <w:rFonts w:hint="eastAsia" w:ascii="仿宋_GB2312" w:hAnsi="宋体" w:eastAsia="仿宋_GB2312"/>
                <w:b/>
                <w:bCs/>
                <w:color w:val="auto"/>
                <w:highlight w:val="none"/>
              </w:rPr>
              <w:t>出控制单价，</w:t>
            </w:r>
            <w:r>
              <w:rPr>
                <w:rFonts w:hint="eastAsia" w:ascii="仿宋_GB2312" w:hAnsi="宋体" w:eastAsia="仿宋_GB2312"/>
                <w:b/>
                <w:bCs/>
                <w:color w:val="auto"/>
                <w:highlight w:val="none"/>
                <w:lang w:val="en-US" w:eastAsia="zh-CN"/>
              </w:rPr>
              <w:t>否则投标无效。</w:t>
            </w:r>
          </w:p>
        </w:tc>
      </w:tr>
      <w:tr w14:paraId="7D913D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04552CBD">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3</w:t>
            </w:r>
          </w:p>
        </w:tc>
        <w:tc>
          <w:tcPr>
            <w:tcW w:w="8291" w:type="dxa"/>
            <w:tcBorders>
              <w:top w:val="single" w:color="auto" w:sz="4" w:space="0"/>
              <w:left w:val="single" w:color="auto" w:sz="4" w:space="0"/>
              <w:bottom w:val="single" w:color="auto" w:sz="4" w:space="0"/>
            </w:tcBorders>
            <w:vAlign w:val="center"/>
          </w:tcPr>
          <w:p w14:paraId="3593B8B0">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本项目不接受联合体投标</w:t>
            </w:r>
          </w:p>
        </w:tc>
      </w:tr>
      <w:tr w14:paraId="74635E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01C62561">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4</w:t>
            </w:r>
          </w:p>
        </w:tc>
        <w:tc>
          <w:tcPr>
            <w:tcW w:w="8291" w:type="dxa"/>
            <w:tcBorders>
              <w:top w:val="single" w:color="auto" w:sz="4" w:space="0"/>
              <w:left w:val="single" w:color="auto" w:sz="4" w:space="0"/>
              <w:bottom w:val="single" w:color="auto" w:sz="4" w:space="0"/>
            </w:tcBorders>
            <w:vAlign w:val="center"/>
          </w:tcPr>
          <w:p w14:paraId="2C3BC02F">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本项目不收取投标保证金</w:t>
            </w:r>
          </w:p>
        </w:tc>
      </w:tr>
      <w:tr w14:paraId="0A82EF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3D4C69EB">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5</w:t>
            </w:r>
          </w:p>
        </w:tc>
        <w:tc>
          <w:tcPr>
            <w:tcW w:w="8291" w:type="dxa"/>
            <w:tcBorders>
              <w:top w:val="single" w:color="auto" w:sz="4" w:space="0"/>
              <w:left w:val="single" w:color="auto" w:sz="4" w:space="0"/>
              <w:bottom w:val="single" w:color="auto" w:sz="4" w:space="0"/>
            </w:tcBorders>
            <w:vAlign w:val="center"/>
          </w:tcPr>
          <w:p w14:paraId="7908936D">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投标文件递交时间：</w:t>
            </w:r>
          </w:p>
          <w:p w14:paraId="3A4F82FA">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2026年04月2</w:t>
            </w:r>
            <w:r>
              <w:rPr>
                <w:rFonts w:hint="eastAsia" w:ascii="仿宋_GB2312" w:hAnsi="宋体" w:eastAsia="仿宋_GB2312"/>
                <w:color w:val="auto"/>
                <w:sz w:val="28"/>
                <w:szCs w:val="28"/>
                <w:highlight w:val="none"/>
                <w:lang w:val="en-US" w:eastAsia="zh-CN"/>
              </w:rPr>
              <w:t>9</w:t>
            </w:r>
            <w:r>
              <w:rPr>
                <w:rFonts w:hint="eastAsia" w:ascii="仿宋_GB2312" w:hAnsi="宋体" w:eastAsia="仿宋_GB2312"/>
                <w:color w:val="auto"/>
                <w:sz w:val="28"/>
                <w:szCs w:val="28"/>
                <w:highlight w:val="none"/>
              </w:rPr>
              <w:t>日18时00分至</w:t>
            </w:r>
            <w:r>
              <w:rPr>
                <w:rFonts w:hint="eastAsia" w:ascii="仿宋_GB2312" w:hAnsi="宋体" w:eastAsia="仿宋_GB2312"/>
                <w:color w:val="auto"/>
                <w:sz w:val="28"/>
                <w:szCs w:val="28"/>
                <w:highlight w:val="none"/>
                <w:lang w:eastAsia="zh-CN"/>
              </w:rPr>
              <w:t>2026年05月12日14时00</w:t>
            </w:r>
            <w:r>
              <w:rPr>
                <w:rFonts w:hint="eastAsia" w:ascii="仿宋_GB2312" w:hAnsi="宋体" w:eastAsia="仿宋_GB2312"/>
                <w:color w:val="auto"/>
                <w:sz w:val="28"/>
                <w:szCs w:val="28"/>
                <w:highlight w:val="none"/>
              </w:rPr>
              <w:t>分（以电子交易系统具体显示时间为准）</w:t>
            </w:r>
          </w:p>
          <w:p w14:paraId="08FE2F46">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投标文件递交网址：</w:t>
            </w:r>
            <w:r>
              <w:rPr>
                <w:rFonts w:hint="eastAsia" w:ascii="仿宋_GB2312" w:hAnsi="仿宋" w:eastAsia="仿宋_GB2312" w:cs="宋体"/>
                <w:color w:val="auto"/>
                <w:spacing w:val="8"/>
                <w:sz w:val="28"/>
                <w:szCs w:val="28"/>
                <w:highlight w:val="none"/>
              </w:rPr>
              <w:t>登录威海市公共资源交易网（乳山分中心）首页右侧“交易服务一网通办系统-（新版）一网通办系统”进行平台切换点击“国企采购”进入国有企业阳光采购电子化服务平台网上递交。</w:t>
            </w:r>
          </w:p>
        </w:tc>
      </w:tr>
      <w:tr w14:paraId="06E9D7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208D805B">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6</w:t>
            </w:r>
          </w:p>
        </w:tc>
        <w:tc>
          <w:tcPr>
            <w:tcW w:w="8291" w:type="dxa"/>
            <w:tcBorders>
              <w:top w:val="single" w:color="auto" w:sz="4" w:space="0"/>
              <w:left w:val="single" w:color="auto" w:sz="4" w:space="0"/>
              <w:bottom w:val="single" w:color="auto" w:sz="4" w:space="0"/>
            </w:tcBorders>
            <w:vAlign w:val="center"/>
          </w:tcPr>
          <w:p w14:paraId="303F2DFA">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投标文件开启（解密）时间：</w:t>
            </w:r>
            <w:r>
              <w:rPr>
                <w:rFonts w:hint="eastAsia" w:ascii="仿宋_GB2312" w:hAnsi="宋体" w:eastAsia="仿宋_GB2312"/>
                <w:color w:val="auto"/>
                <w:sz w:val="28"/>
                <w:szCs w:val="28"/>
                <w:highlight w:val="none"/>
                <w:lang w:eastAsia="zh-CN"/>
              </w:rPr>
              <w:t>2026年05月12日14时00</w:t>
            </w:r>
            <w:r>
              <w:rPr>
                <w:rFonts w:hint="eastAsia" w:ascii="仿宋_GB2312" w:hAnsi="宋体" w:eastAsia="仿宋_GB2312"/>
                <w:color w:val="auto"/>
                <w:sz w:val="28"/>
                <w:szCs w:val="28"/>
                <w:highlight w:val="none"/>
              </w:rPr>
              <w:t>分</w:t>
            </w:r>
          </w:p>
          <w:p w14:paraId="7B3E9484">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开标地点：威海市乳山市深圳路108号市民服务中心三楼</w:t>
            </w:r>
          </w:p>
        </w:tc>
      </w:tr>
      <w:tr w14:paraId="738DEF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4058D326">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7</w:t>
            </w:r>
          </w:p>
        </w:tc>
        <w:tc>
          <w:tcPr>
            <w:tcW w:w="8291" w:type="dxa"/>
            <w:tcBorders>
              <w:top w:val="single" w:color="auto" w:sz="4" w:space="0"/>
              <w:left w:val="single" w:color="auto" w:sz="4" w:space="0"/>
              <w:bottom w:val="single" w:color="auto" w:sz="4" w:space="0"/>
            </w:tcBorders>
            <w:vAlign w:val="center"/>
          </w:tcPr>
          <w:p w14:paraId="0AA79C71">
            <w:pPr>
              <w:spacing w:line="560" w:lineRule="exact"/>
              <w:rPr>
                <w:rFonts w:ascii="仿宋_GB2312" w:hAnsi="宋体" w:eastAsia="仿宋_GB2312"/>
                <w:color w:val="auto"/>
                <w:sz w:val="28"/>
                <w:szCs w:val="28"/>
                <w:highlight w:val="none"/>
              </w:rPr>
            </w:pPr>
            <w:r>
              <w:rPr>
                <w:rFonts w:hint="eastAsia" w:ascii="仿宋_GB2312" w:eastAsia="仿宋_GB2312"/>
                <w:color w:val="auto"/>
                <w:sz w:val="28"/>
                <w:szCs w:val="28"/>
                <w:highlight w:val="none"/>
              </w:rPr>
              <w:t>投标文件开启（解密）、评标方式：远程解密、评标，投标人无需到现场参与解密、评标，</w:t>
            </w:r>
            <w:r>
              <w:rPr>
                <w:rFonts w:hint="eastAsia" w:ascii="仿宋_GB2312" w:hAnsi="宋体" w:eastAsia="仿宋_GB2312"/>
                <w:color w:val="auto"/>
                <w:sz w:val="28"/>
                <w:szCs w:val="28"/>
                <w:highlight w:val="none"/>
              </w:rPr>
              <w:t>请提前熟悉电子交易系统操作流程，并实时关注电子交易系统相关通知，且联络方式应保持通讯畅通。</w:t>
            </w:r>
          </w:p>
        </w:tc>
      </w:tr>
      <w:tr w14:paraId="472FE0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213FEACE">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8</w:t>
            </w:r>
          </w:p>
        </w:tc>
        <w:tc>
          <w:tcPr>
            <w:tcW w:w="8291" w:type="dxa"/>
            <w:tcBorders>
              <w:top w:val="single" w:color="auto" w:sz="4" w:space="0"/>
              <w:left w:val="single" w:color="auto" w:sz="4" w:space="0"/>
              <w:bottom w:val="single" w:color="auto" w:sz="4" w:space="0"/>
            </w:tcBorders>
            <w:vAlign w:val="center"/>
          </w:tcPr>
          <w:p w14:paraId="58CC60CF">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投标文件开启（解密）程序：</w:t>
            </w:r>
          </w:p>
          <w:p w14:paraId="2E119010">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投标文件开启（解密）后15分钟内完成解密</w:t>
            </w:r>
          </w:p>
        </w:tc>
      </w:tr>
      <w:tr w14:paraId="0104ED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354C2558">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19</w:t>
            </w:r>
          </w:p>
        </w:tc>
        <w:tc>
          <w:tcPr>
            <w:tcW w:w="8291" w:type="dxa"/>
            <w:tcBorders>
              <w:top w:val="single" w:color="auto" w:sz="4" w:space="0"/>
              <w:left w:val="single" w:color="auto" w:sz="4" w:space="0"/>
              <w:bottom w:val="single" w:color="auto" w:sz="4" w:space="0"/>
            </w:tcBorders>
            <w:vAlign w:val="center"/>
          </w:tcPr>
          <w:p w14:paraId="4DA58E4D">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2026年乳山市松材线虫病媒介昆虫飞防药剂采购项目(A包)</w:t>
            </w:r>
          </w:p>
          <w:p w14:paraId="42EEBE1A">
            <w:pPr>
              <w:spacing w:line="560" w:lineRule="exact"/>
              <w:rPr>
                <w:rFonts w:hint="default" w:ascii="仿宋_GB2312" w:hAnsi="宋体" w:eastAsia="仿宋_GB2312"/>
                <w:color w:val="auto"/>
                <w:sz w:val="28"/>
                <w:szCs w:val="28"/>
                <w:highlight w:val="none"/>
                <w:lang w:val="en-US" w:eastAsia="zh-CN"/>
              </w:rPr>
            </w:pPr>
            <w:r>
              <w:rPr>
                <w:rFonts w:hint="eastAsia" w:ascii="仿宋_GB2312" w:hAnsi="宋体" w:eastAsia="仿宋_GB2312"/>
                <w:color w:val="auto"/>
                <w:sz w:val="28"/>
                <w:szCs w:val="28"/>
                <w:highlight w:val="none"/>
              </w:rPr>
              <w:t>质保期：</w:t>
            </w:r>
            <w:r>
              <w:rPr>
                <w:rFonts w:hint="eastAsia" w:ascii="仿宋_GB2312" w:hAnsi="宋体" w:eastAsia="仿宋_GB2312"/>
                <w:color w:val="auto"/>
                <w:sz w:val="28"/>
                <w:szCs w:val="28"/>
                <w:highlight w:val="none"/>
                <w:lang w:val="en-US" w:eastAsia="zh-CN"/>
              </w:rPr>
              <w:t>不低于二年</w:t>
            </w:r>
          </w:p>
        </w:tc>
      </w:tr>
      <w:tr w14:paraId="4D7FC1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50F2853C">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20</w:t>
            </w:r>
          </w:p>
        </w:tc>
        <w:tc>
          <w:tcPr>
            <w:tcW w:w="8291" w:type="dxa"/>
            <w:tcBorders>
              <w:top w:val="single" w:color="auto" w:sz="4" w:space="0"/>
              <w:left w:val="single" w:color="auto" w:sz="4" w:space="0"/>
              <w:bottom w:val="single" w:color="auto" w:sz="4" w:space="0"/>
            </w:tcBorders>
            <w:vAlign w:val="center"/>
          </w:tcPr>
          <w:p w14:paraId="0528AF3A">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2026年乳山市松材线虫病媒介昆虫飞防药剂采购项目(A包)</w:t>
            </w:r>
          </w:p>
          <w:p w14:paraId="01257949">
            <w:pPr>
              <w:spacing w:line="560" w:lineRule="exact"/>
              <w:rPr>
                <w:rFonts w:hint="eastAsia" w:ascii="仿宋_GB2312" w:hAnsi="宋体" w:eastAsia="仿宋_GB2312"/>
                <w:color w:val="auto"/>
                <w:sz w:val="28"/>
                <w:szCs w:val="28"/>
                <w:highlight w:val="none"/>
                <w:lang w:eastAsia="zh-CN"/>
              </w:rPr>
            </w:pPr>
            <w:r>
              <w:rPr>
                <w:rFonts w:hint="eastAsia" w:ascii="仿宋_GB2312" w:hAnsi="宋体" w:eastAsia="仿宋_GB2312"/>
                <w:color w:val="auto"/>
                <w:sz w:val="28"/>
                <w:szCs w:val="28"/>
                <w:highlight w:val="none"/>
              </w:rPr>
              <w:t>交货期</w:t>
            </w:r>
            <w:r>
              <w:rPr>
                <w:rFonts w:hint="eastAsia" w:ascii="仿宋_GB2312" w:hAnsi="宋体" w:eastAsia="仿宋_GB2312"/>
                <w:color w:val="auto"/>
                <w:sz w:val="28"/>
                <w:szCs w:val="28"/>
                <w:highlight w:val="none"/>
                <w:lang w:eastAsia="zh-CN"/>
              </w:rPr>
              <w:t>：分批次送货，非一次性送货。中标人须根据采购人的要求，将所需货物送达采购人指定地点，并保证送货的及时性，一般在采购人通知时间48小时内送达。具体供货量根据甲方需求适时调整。</w:t>
            </w:r>
          </w:p>
          <w:p w14:paraId="0CEC98C7">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交付地点:采购人指定地点</w:t>
            </w:r>
          </w:p>
        </w:tc>
      </w:tr>
      <w:tr w14:paraId="0DF39A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79216AAD">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1</w:t>
            </w:r>
          </w:p>
        </w:tc>
        <w:tc>
          <w:tcPr>
            <w:tcW w:w="8291" w:type="dxa"/>
            <w:tcBorders>
              <w:top w:val="single" w:color="auto" w:sz="4" w:space="0"/>
              <w:left w:val="single" w:color="auto" w:sz="4" w:space="0"/>
              <w:bottom w:val="single" w:color="auto" w:sz="4" w:space="0"/>
            </w:tcBorders>
            <w:vAlign w:val="center"/>
          </w:tcPr>
          <w:p w14:paraId="25B774D8">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评标办法：2026年乳山市松材线虫病媒介昆虫飞防药剂采购项目(A包),综合评分法</w:t>
            </w:r>
          </w:p>
        </w:tc>
      </w:tr>
      <w:tr w14:paraId="01DAF3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718BF063">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2</w:t>
            </w:r>
          </w:p>
        </w:tc>
        <w:tc>
          <w:tcPr>
            <w:tcW w:w="8291" w:type="dxa"/>
            <w:tcBorders>
              <w:top w:val="single" w:color="auto" w:sz="4" w:space="0"/>
              <w:left w:val="single" w:color="auto" w:sz="4" w:space="0"/>
              <w:bottom w:val="single" w:color="auto" w:sz="4" w:space="0"/>
            </w:tcBorders>
            <w:vAlign w:val="center"/>
          </w:tcPr>
          <w:p w14:paraId="6FF7CF42">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本项目不收取履约保证金。</w:t>
            </w:r>
          </w:p>
        </w:tc>
      </w:tr>
      <w:tr w14:paraId="33EBEB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2C24E973">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3</w:t>
            </w:r>
          </w:p>
        </w:tc>
        <w:tc>
          <w:tcPr>
            <w:tcW w:w="8291" w:type="dxa"/>
            <w:tcBorders>
              <w:top w:val="single" w:color="auto" w:sz="4" w:space="0"/>
              <w:left w:val="single" w:color="auto" w:sz="4" w:space="0"/>
              <w:bottom w:val="single" w:color="auto" w:sz="4" w:space="0"/>
            </w:tcBorders>
            <w:vAlign w:val="center"/>
          </w:tcPr>
          <w:p w14:paraId="33397A6A">
            <w:pPr>
              <w:spacing w:line="600" w:lineRule="exact"/>
              <w:rPr>
                <w:rFonts w:ascii="仿宋_GB2312" w:hAnsi="宋体" w:eastAsia="仿宋_GB2312"/>
                <w:color w:val="auto"/>
                <w:sz w:val="28"/>
                <w:szCs w:val="28"/>
                <w:highlight w:val="none"/>
              </w:rPr>
            </w:pPr>
            <w:r>
              <w:rPr>
                <w:rFonts w:ascii="仿宋_GB2312" w:hAnsi="宋体" w:eastAsia="仿宋_GB2312"/>
                <w:color w:val="auto"/>
                <w:sz w:val="28"/>
                <w:szCs w:val="28"/>
                <w:highlight w:val="none"/>
              </w:rPr>
              <w:t>是否兼投不兼中：否</w:t>
            </w:r>
          </w:p>
        </w:tc>
      </w:tr>
      <w:tr w14:paraId="0E618A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75C49645">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4</w:t>
            </w:r>
          </w:p>
        </w:tc>
        <w:tc>
          <w:tcPr>
            <w:tcW w:w="8291" w:type="dxa"/>
            <w:tcBorders>
              <w:top w:val="single" w:color="auto" w:sz="4" w:space="0"/>
              <w:left w:val="single" w:color="auto" w:sz="4" w:space="0"/>
              <w:bottom w:val="single" w:color="auto" w:sz="4" w:space="0"/>
            </w:tcBorders>
            <w:vAlign w:val="center"/>
          </w:tcPr>
          <w:p w14:paraId="449459CA">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本项目付款方式如下：</w:t>
            </w:r>
          </w:p>
          <w:p w14:paraId="77963183">
            <w:pPr>
              <w:spacing w:line="560" w:lineRule="exact"/>
              <w:rPr>
                <w:rFonts w:hint="eastAsia" w:ascii="仿宋_GB2312" w:hAnsi="宋体" w:eastAsia="仿宋_GB2312"/>
                <w:color w:val="auto"/>
                <w:sz w:val="28"/>
                <w:szCs w:val="28"/>
                <w:highlight w:val="none"/>
                <w:lang w:eastAsia="zh-CN"/>
              </w:rPr>
            </w:pPr>
            <w:r>
              <w:rPr>
                <w:rFonts w:hint="eastAsia" w:ascii="仿宋_GB2312" w:hAnsi="宋体" w:eastAsia="仿宋_GB2312"/>
                <w:color w:val="auto"/>
                <w:sz w:val="28"/>
                <w:szCs w:val="28"/>
                <w:highlight w:val="none"/>
              </w:rPr>
              <w:t>本项目无预付款，采购人在标的物供货无误、样品检测合格后组织验收，验收合格后，第一年支付合同价款的50%，第二年支付20%，第三年支付20%，第四年支付10%</w:t>
            </w:r>
            <w:r>
              <w:rPr>
                <w:rFonts w:hint="eastAsia" w:ascii="仿宋_GB2312" w:hAnsi="宋体" w:eastAsia="仿宋_GB2312"/>
                <w:color w:val="auto"/>
                <w:sz w:val="28"/>
                <w:szCs w:val="28"/>
                <w:highlight w:val="none"/>
                <w:lang w:eastAsia="zh-CN"/>
              </w:rPr>
              <w:t>。</w:t>
            </w:r>
          </w:p>
          <w:p w14:paraId="03CEFDD0">
            <w:pPr>
              <w:spacing w:line="560" w:lineRule="exact"/>
              <w:rPr>
                <w:rFonts w:hint="eastAsia" w:ascii="仿宋_GB2312" w:hAnsi="宋体" w:eastAsia="仿宋_GB2312"/>
                <w:color w:val="auto"/>
                <w:sz w:val="28"/>
                <w:szCs w:val="28"/>
                <w:highlight w:val="none"/>
                <w:lang w:eastAsia="zh-CN"/>
              </w:rPr>
            </w:pPr>
            <w:r>
              <w:rPr>
                <w:rFonts w:hint="eastAsia" w:ascii="仿宋_GB2312" w:hAnsi="宋体" w:eastAsia="仿宋_GB2312"/>
                <w:color w:val="auto"/>
                <w:sz w:val="28"/>
                <w:szCs w:val="28"/>
                <w:highlight w:val="none"/>
              </w:rPr>
              <w:t>（注：拨款节点均为财政资金拨付至甲方账户后，由甲方在7个工作日内拨付至乙方账户）</w:t>
            </w:r>
            <w:r>
              <w:rPr>
                <w:rFonts w:hint="eastAsia" w:ascii="仿宋_GB2312" w:hAnsi="宋体" w:eastAsia="仿宋_GB2312"/>
                <w:color w:val="auto"/>
                <w:sz w:val="28"/>
                <w:szCs w:val="28"/>
                <w:highlight w:val="none"/>
                <w:lang w:eastAsia="zh-CN"/>
              </w:rPr>
              <w:t>。</w:t>
            </w:r>
          </w:p>
        </w:tc>
      </w:tr>
      <w:tr w14:paraId="6885AB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41FB9853">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5</w:t>
            </w:r>
          </w:p>
        </w:tc>
        <w:tc>
          <w:tcPr>
            <w:tcW w:w="8291" w:type="dxa"/>
            <w:tcBorders>
              <w:top w:val="single" w:color="auto" w:sz="4" w:space="0"/>
              <w:left w:val="single" w:color="auto" w:sz="4" w:space="0"/>
              <w:bottom w:val="single" w:color="auto" w:sz="4" w:space="0"/>
            </w:tcBorders>
            <w:vAlign w:val="center"/>
          </w:tcPr>
          <w:p w14:paraId="6C32CBC9">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是否委托评审委员会确定成交供应商：是</w:t>
            </w:r>
          </w:p>
        </w:tc>
      </w:tr>
      <w:tr w14:paraId="184228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3D58EC3F">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6</w:t>
            </w:r>
          </w:p>
        </w:tc>
        <w:tc>
          <w:tcPr>
            <w:tcW w:w="8291" w:type="dxa"/>
            <w:tcBorders>
              <w:top w:val="single" w:color="auto" w:sz="4" w:space="0"/>
              <w:left w:val="single" w:color="auto" w:sz="4" w:space="0"/>
              <w:bottom w:val="single" w:color="auto" w:sz="4" w:space="0"/>
            </w:tcBorders>
            <w:vAlign w:val="center"/>
          </w:tcPr>
          <w:p w14:paraId="1EF5AD03">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反腐倡廉监督联系方式：</w:t>
            </w:r>
          </w:p>
          <w:p w14:paraId="647294B4">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电话/邮箱：</w:t>
            </w:r>
            <w:r>
              <w:rPr>
                <w:rFonts w:ascii="仿宋_GB2312" w:hAnsi="宋体" w:eastAsia="仿宋_GB2312"/>
                <w:color w:val="auto"/>
                <w:sz w:val="28"/>
                <w:szCs w:val="28"/>
                <w:highlight w:val="none"/>
              </w:rPr>
              <w:t>0631-6662267/rushanjyzx@wh.shandong.cn</w:t>
            </w:r>
          </w:p>
        </w:tc>
      </w:tr>
      <w:tr w14:paraId="0D46E2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565E5E15">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27</w:t>
            </w:r>
          </w:p>
        </w:tc>
        <w:tc>
          <w:tcPr>
            <w:tcW w:w="8291" w:type="dxa"/>
            <w:tcBorders>
              <w:top w:val="single" w:color="auto" w:sz="4" w:space="0"/>
              <w:left w:val="single" w:color="auto" w:sz="4" w:space="0"/>
              <w:bottom w:val="single" w:color="auto" w:sz="4" w:space="0"/>
            </w:tcBorders>
            <w:vAlign w:val="center"/>
          </w:tcPr>
          <w:p w14:paraId="2F9E2C79">
            <w:pPr>
              <w:spacing w:line="560" w:lineRule="exact"/>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质疑受理方式：</w:t>
            </w:r>
          </w:p>
          <w:p w14:paraId="7799C050">
            <w:pPr>
              <w:spacing w:line="560" w:lineRule="exact"/>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（1）当面接收：接收地址详见本表采购人及代理机构地址。</w:t>
            </w:r>
          </w:p>
          <w:p w14:paraId="6C774619">
            <w:pPr>
              <w:spacing w:line="560" w:lineRule="exact"/>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（2）邮件接收：rstprea@163.com</w:t>
            </w:r>
          </w:p>
          <w:p w14:paraId="386A7224">
            <w:pPr>
              <w:spacing w:line="560" w:lineRule="exact"/>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（3）采购电子交易系统上传：通过威海市国有企业阳光采购电子化服务平台中“公文管理-供”功能上传。</w:t>
            </w:r>
          </w:p>
          <w:p w14:paraId="450BAABA">
            <w:pPr>
              <w:spacing w:line="560" w:lineRule="exact"/>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以上三种方式任选其一。</w:t>
            </w:r>
          </w:p>
        </w:tc>
      </w:tr>
      <w:tr w14:paraId="02877E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28FED1FA">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28</w:t>
            </w:r>
          </w:p>
        </w:tc>
        <w:tc>
          <w:tcPr>
            <w:tcW w:w="8291" w:type="dxa"/>
            <w:tcBorders>
              <w:top w:val="single" w:color="auto" w:sz="4" w:space="0"/>
              <w:left w:val="single" w:color="auto" w:sz="4" w:space="0"/>
              <w:bottom w:val="single" w:color="auto" w:sz="4" w:space="0"/>
            </w:tcBorders>
            <w:vAlign w:val="center"/>
          </w:tcPr>
          <w:p w14:paraId="63A94C15">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代理服务费：参照“发改价格[2011]534号”规定的收费标准收取代理服务费。人民币27760.00元，由成交单位在签订合同前向采购代理机构缴纳，包含在报价中。</w:t>
            </w:r>
          </w:p>
          <w:p w14:paraId="3233BC64">
            <w:pPr>
              <w:snapToGrid w:val="0"/>
              <w:spacing w:line="560" w:lineRule="exact"/>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开户名称：乳山天平建设工程咨询有限公司</w:t>
            </w:r>
          </w:p>
          <w:p w14:paraId="31011004">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开户行：威海银行股份有限公司乳山城区支行</w:t>
            </w:r>
          </w:p>
          <w:p w14:paraId="07DD60AC">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账号：817894001421003969</w:t>
            </w:r>
          </w:p>
        </w:tc>
      </w:tr>
      <w:tr w14:paraId="59640F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65FB774B">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29</w:t>
            </w:r>
          </w:p>
        </w:tc>
        <w:tc>
          <w:tcPr>
            <w:tcW w:w="8291" w:type="dxa"/>
            <w:tcBorders>
              <w:top w:val="single" w:color="auto" w:sz="4" w:space="0"/>
              <w:left w:val="single" w:color="auto" w:sz="4" w:space="0"/>
              <w:bottom w:val="single" w:color="auto" w:sz="4" w:space="0"/>
            </w:tcBorders>
            <w:vAlign w:val="center"/>
          </w:tcPr>
          <w:p w14:paraId="12D05653">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本项目按货物类以自愿公开招标方式实施采购</w:t>
            </w:r>
          </w:p>
        </w:tc>
      </w:tr>
    </w:tbl>
    <w:p w14:paraId="1193BB66">
      <w:pPr>
        <w:spacing w:line="560" w:lineRule="exact"/>
        <w:ind w:firstLine="560" w:firstLineChars="200"/>
        <w:jc w:val="left"/>
        <w:rPr>
          <w:rFonts w:ascii="仿宋_GB2312" w:hAnsi="宋体" w:eastAsia="仿宋_GB2312"/>
          <w:color w:val="auto"/>
          <w:sz w:val="28"/>
          <w:szCs w:val="28"/>
          <w:highlight w:val="none"/>
        </w:rPr>
      </w:pPr>
    </w:p>
    <w:p w14:paraId="5B273DD6">
      <w:pPr>
        <w:pStyle w:val="26"/>
        <w:spacing w:line="432" w:lineRule="auto"/>
        <w:ind w:firstLine="480" w:firstLineChars="150"/>
        <w:rPr>
          <w:rFonts w:eastAsia="黑体"/>
          <w:color w:val="auto"/>
          <w:sz w:val="32"/>
          <w:szCs w:val="32"/>
          <w:highlight w:val="none"/>
        </w:rPr>
      </w:pPr>
      <w:r>
        <w:rPr>
          <w:rFonts w:hint="eastAsia" w:eastAsia="黑体"/>
          <w:color w:val="auto"/>
          <w:sz w:val="32"/>
          <w:szCs w:val="32"/>
          <w:highlight w:val="none"/>
        </w:rPr>
        <w:t xml:space="preserve"> </w:t>
      </w:r>
    </w:p>
    <w:p w14:paraId="3A093456">
      <w:pPr>
        <w:spacing w:line="560" w:lineRule="exact"/>
        <w:ind w:firstLine="643" w:firstLineChars="201"/>
        <w:jc w:val="center"/>
        <w:rPr>
          <w:rFonts w:eastAsia="黑体"/>
          <w:color w:val="auto"/>
          <w:sz w:val="32"/>
          <w:szCs w:val="32"/>
          <w:highlight w:val="none"/>
        </w:rPr>
      </w:pPr>
      <w:r>
        <w:rPr>
          <w:rFonts w:eastAsia="黑体"/>
          <w:color w:val="auto"/>
          <w:sz w:val="32"/>
          <w:szCs w:val="32"/>
          <w:highlight w:val="none"/>
        </w:rPr>
        <w:br w:type="page"/>
      </w:r>
      <w:r>
        <w:rPr>
          <w:rFonts w:hint="eastAsia" w:eastAsia="黑体"/>
          <w:color w:val="auto"/>
          <w:sz w:val="32"/>
          <w:szCs w:val="32"/>
          <w:highlight w:val="none"/>
        </w:rPr>
        <w:t>《实质性条款一览表》</w:t>
      </w:r>
    </w:p>
    <w:p w14:paraId="2CACF735">
      <w:pPr>
        <w:snapToGrid w:val="0"/>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0B30F2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619EB332">
            <w:pPr>
              <w:spacing w:line="560" w:lineRule="exact"/>
              <w:rPr>
                <w:rFonts w:ascii="仿宋_GB2312" w:hAnsi="宋体" w:eastAsia="仿宋_GB2312"/>
                <w:b/>
                <w:bCs/>
                <w:color w:val="auto"/>
                <w:sz w:val="28"/>
                <w:szCs w:val="28"/>
                <w:highlight w:val="none"/>
              </w:rPr>
            </w:pPr>
            <w:r>
              <w:rPr>
                <w:rFonts w:hint="eastAsia" w:ascii="仿宋_GB2312" w:hAnsi="宋体" w:eastAsia="仿宋_GB2312"/>
                <w:b/>
                <w:bCs/>
                <w:color w:val="auto"/>
                <w:sz w:val="28"/>
                <w:szCs w:val="28"/>
                <w:highlight w:val="none"/>
              </w:rPr>
              <w:t>资格性核查</w:t>
            </w:r>
          </w:p>
        </w:tc>
      </w:tr>
      <w:tr w14:paraId="283257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55A109A5">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1、法人或其他组织的营业执照等证明文件扫描件；(A)包</w:t>
            </w:r>
          </w:p>
          <w:p w14:paraId="2D59608B">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2、具有农药经营许可证扫描件；(A)包</w:t>
            </w:r>
          </w:p>
          <w:p w14:paraId="697C8178">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3、法定代表人授权委托书；被授权人身份证扫描件；</w:t>
            </w:r>
          </w:p>
          <w:p w14:paraId="08248F9E">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若响应单位代表为企业法定代表人/单位负责人的，则只需提供企业法定代表人/单位负责人身份证扫描件；(A)包</w:t>
            </w:r>
          </w:p>
          <w:p w14:paraId="34F1B7D6">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4、依法缴纳税收和社会保障资金的声明（格式自拟）；近期的完税凭证及交纳社保资金凭证的扫描件（依法免税或不需要缴纳社会保障资金的供应商，应提供相关证明材料）；(A)包</w:t>
            </w:r>
          </w:p>
          <w:p w14:paraId="4F0978B1">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5、参加本项目报价前三年内无重大违法记录声明（格式自定）；(A)包</w:t>
            </w:r>
          </w:p>
          <w:p w14:paraId="27136509">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6、报价供应商未被工商行政管理机关在全国企业信用信息公示系统中列入严重违法失信企业名单网站截图（查询网址http://www.gsxt.gov.cn/index.html）；</w:t>
            </w:r>
          </w:p>
          <w:p w14:paraId="6BE5037D">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报价供应商及其法定代表人、授权委托人在“全国法院失信被执行人名单公布及查询（http://zxgk.court.gov.cn/shixin/）”网站截图；(A)包</w:t>
            </w:r>
          </w:p>
          <w:p w14:paraId="06474F1F">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7、财务状况报告等相关材料</w:t>
            </w:r>
          </w:p>
          <w:p w14:paraId="151F0626">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A.供应商自行编制的2025年度公司财务报表或由中介机构出具的2024年度或2025年度财务审计报告书扫描件；</w:t>
            </w:r>
          </w:p>
          <w:p w14:paraId="25DA8EEA">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B.银行出具的有效期内的资信证明扫描件。</w:t>
            </w:r>
          </w:p>
          <w:p w14:paraId="69600B69">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注：A、B两项提供任意一项均可。(A)包</w:t>
            </w:r>
          </w:p>
          <w:p w14:paraId="3D67207D">
            <w:pPr>
              <w:spacing w:line="560" w:lineRule="exact"/>
              <w:ind w:firstLine="341" w:firstLineChars="122"/>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8、具有履行合同所必需的人员、资金、设备能力承诺函（格式自拟）；(A)包</w:t>
            </w:r>
          </w:p>
        </w:tc>
      </w:tr>
      <w:tr w14:paraId="1623A0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5F07DE23">
            <w:pPr>
              <w:spacing w:line="560" w:lineRule="exact"/>
              <w:rPr>
                <w:rFonts w:ascii="仿宋_GB2312" w:hAnsi="宋体" w:eastAsia="仿宋_GB2312"/>
                <w:b/>
                <w:bCs/>
                <w:color w:val="auto"/>
                <w:sz w:val="28"/>
                <w:szCs w:val="28"/>
                <w:highlight w:val="none"/>
              </w:rPr>
            </w:pPr>
            <w:r>
              <w:rPr>
                <w:rFonts w:hint="eastAsia" w:ascii="仿宋_GB2312" w:hAnsi="宋体" w:eastAsia="仿宋_GB2312"/>
                <w:b/>
                <w:bCs/>
                <w:color w:val="auto"/>
                <w:sz w:val="28"/>
                <w:szCs w:val="28"/>
                <w:highlight w:val="none"/>
              </w:rPr>
              <w:t>符合性检查</w:t>
            </w:r>
          </w:p>
        </w:tc>
      </w:tr>
      <w:tr w14:paraId="1D2007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03CD40D4">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1、响应文件未按规定签章的，作为无效报价；(A)包</w:t>
            </w:r>
          </w:p>
          <w:p w14:paraId="7F9EC810">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2、被授权人未在规定时间内答疑或澄清的，作为无效报价；(A)包</w:t>
            </w:r>
          </w:p>
          <w:p w14:paraId="1A2EB91D">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3、响应文件含有采购人不能接受的附加条件的，作为无效报价；(A)包</w:t>
            </w:r>
          </w:p>
          <w:p w14:paraId="48994CB3">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4、响应报价、交付期（工期）、服务期（质保期）、付款方式、报价有效期等内容不满足采购文件要求的作为无效报价；(A)包</w:t>
            </w:r>
          </w:p>
          <w:p w14:paraId="29F577CF">
            <w:pPr>
              <w:widowControl/>
              <w:adjustRightInd w:val="0"/>
              <w:spacing w:line="520" w:lineRule="exact"/>
              <w:ind w:firstLine="341" w:firstLineChars="122"/>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5、参加同一项目的不同供应商的电子投标文件文件制作机器码（MAC地址、主硬盘序列号、CPU信息、计算机名称）一致导致串标率100%，将作为无效报价；(A)包</w:t>
            </w:r>
          </w:p>
          <w:p w14:paraId="059E2CD7">
            <w:pPr>
              <w:widowControl/>
              <w:adjustRightInd w:val="0"/>
              <w:spacing w:line="520" w:lineRule="exact"/>
              <w:ind w:firstLine="341" w:firstLineChars="122"/>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6、评审小组认为不符合采购文件其他实质性要求或法律法规规定的其他情形；作为无效报价。(A)包</w:t>
            </w:r>
          </w:p>
        </w:tc>
      </w:tr>
    </w:tbl>
    <w:p w14:paraId="5663F67D">
      <w:pPr>
        <w:rPr>
          <w:rFonts w:ascii="宋体" w:hAnsi="宋体"/>
          <w:color w:val="auto"/>
          <w:szCs w:val="28"/>
          <w:highlight w:val="none"/>
        </w:rPr>
      </w:pPr>
    </w:p>
    <w:p w14:paraId="0D616CED">
      <w:pPr>
        <w:pStyle w:val="3"/>
        <w:spacing w:before="0" w:after="0" w:line="560" w:lineRule="exact"/>
        <w:ind w:firstLine="562" w:firstLineChars="200"/>
        <w:rPr>
          <w:rFonts w:ascii="黑体" w:hAnsi="黑体" w:eastAsia="黑体"/>
          <w:b w:val="0"/>
          <w:color w:val="auto"/>
          <w:highlight w:val="none"/>
        </w:rPr>
      </w:pPr>
      <w:r>
        <w:rPr>
          <w:rFonts w:hint="eastAsia" w:ascii="宋体" w:hAnsi="宋体"/>
          <w:color w:val="auto"/>
          <w:highlight w:val="none"/>
        </w:rPr>
        <w:br w:type="page"/>
      </w:r>
      <w:r>
        <w:rPr>
          <w:rFonts w:hint="eastAsia" w:ascii="黑体" w:hAnsi="黑体" w:eastAsia="黑体"/>
          <w:b w:val="0"/>
          <w:color w:val="auto"/>
          <w:highlight w:val="none"/>
        </w:rPr>
        <w:t>一、说明</w:t>
      </w:r>
    </w:p>
    <w:p w14:paraId="0792F19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01E881E3">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1.适用范围</w:t>
      </w:r>
    </w:p>
    <w:p w14:paraId="232EAF0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 本招标文件仅适用于本次招标公告中所涉及的项目和内容。</w:t>
      </w:r>
    </w:p>
    <w:p w14:paraId="39F261C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1.2 本招标文件的解释权为</w:t>
      </w:r>
      <w:r>
        <w:rPr>
          <w:rFonts w:hint="eastAsia" w:ascii="仿宋_GB2312" w:hAnsi="宋体" w:eastAsia="仿宋_GB2312"/>
          <w:color w:val="auto"/>
          <w:sz w:val="28"/>
          <w:szCs w:val="28"/>
          <w:highlight w:val="none"/>
        </w:rPr>
        <w:t>乳山天平建设工程咨询有限公司</w:t>
      </w:r>
      <w:r>
        <w:rPr>
          <w:rFonts w:hint="eastAsia" w:ascii="仿宋_GB2312" w:hAnsi="仿宋" w:eastAsia="仿宋_GB2312" w:cs="宋体"/>
          <w:color w:val="auto"/>
          <w:sz w:val="28"/>
          <w:szCs w:val="28"/>
          <w:highlight w:val="none"/>
        </w:rPr>
        <w:t>，以书面解释为准。</w:t>
      </w:r>
    </w:p>
    <w:p w14:paraId="3763996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 招标文件未做须知明示，而又有相关法律、法规规定的，从其规定。</w:t>
      </w:r>
    </w:p>
    <w:p w14:paraId="1D878782">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2.采购人、采购代理机构及投标人</w:t>
      </w:r>
    </w:p>
    <w:p w14:paraId="7E5F4DB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2.1采购人：本项目的采购人见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2191B25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2.2采购代理机构：是指采购代理机构或从事采购代理业务的社会中介机构。本项目的采购代理机构见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33623B8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2.3投标人</w:t>
      </w:r>
      <w:r>
        <w:rPr>
          <w:rFonts w:ascii="仿宋_GB2312" w:hAnsi="仿宋" w:eastAsia="仿宋_GB2312" w:cs="宋体"/>
          <w:color w:val="auto"/>
          <w:sz w:val="28"/>
          <w:szCs w:val="28"/>
          <w:highlight w:val="none"/>
        </w:rPr>
        <w:t>：是指向采购人提供货物</w:t>
      </w:r>
      <w:r>
        <w:rPr>
          <w:rFonts w:hint="eastAsia" w:ascii="仿宋_GB2312" w:hAnsi="仿宋" w:eastAsia="仿宋_GB2312" w:cs="宋体"/>
          <w:color w:val="auto"/>
          <w:sz w:val="28"/>
          <w:szCs w:val="28"/>
          <w:highlight w:val="none"/>
        </w:rPr>
        <w:t>及伴随的</w:t>
      </w:r>
      <w:r>
        <w:rPr>
          <w:rFonts w:ascii="仿宋_GB2312" w:hAnsi="仿宋" w:eastAsia="仿宋_GB2312" w:cs="宋体"/>
          <w:color w:val="auto"/>
          <w:sz w:val="28"/>
          <w:szCs w:val="28"/>
          <w:highlight w:val="none"/>
        </w:rPr>
        <w:t>服务的法人、其他组织或者自然人。</w:t>
      </w:r>
      <w:r>
        <w:rPr>
          <w:rFonts w:hint="eastAsia" w:ascii="仿宋_GB2312" w:hAnsi="仿宋" w:eastAsia="仿宋_GB2312" w:cs="宋体"/>
          <w:color w:val="auto"/>
          <w:sz w:val="28"/>
          <w:szCs w:val="28"/>
          <w:highlight w:val="none"/>
        </w:rPr>
        <w:t>潜在</w:t>
      </w:r>
      <w:r>
        <w:rPr>
          <w:rFonts w:ascii="仿宋_GB2312" w:hAnsi="仿宋" w:eastAsia="仿宋_GB2312" w:cs="宋体"/>
          <w:color w:val="auto"/>
          <w:sz w:val="28"/>
          <w:szCs w:val="28"/>
          <w:highlight w:val="none"/>
        </w:rPr>
        <w:t>投标人：是指</w:t>
      </w:r>
      <w:r>
        <w:rPr>
          <w:rFonts w:hint="eastAsia" w:ascii="仿宋_GB2312" w:hAnsi="仿宋" w:eastAsia="仿宋_GB2312" w:cs="宋体"/>
          <w:color w:val="auto"/>
          <w:sz w:val="28"/>
          <w:szCs w:val="28"/>
          <w:highlight w:val="none"/>
        </w:rPr>
        <w:t>响应招标</w:t>
      </w:r>
      <w:r>
        <w:rPr>
          <w:rFonts w:ascii="仿宋_GB2312" w:hAnsi="仿宋" w:eastAsia="仿宋_GB2312" w:cs="宋体"/>
          <w:color w:val="auto"/>
          <w:sz w:val="28"/>
          <w:szCs w:val="28"/>
          <w:highlight w:val="none"/>
        </w:rPr>
        <w:t>、参加投标竞争的法人、其他组织或者自然人</w:t>
      </w:r>
      <w:r>
        <w:rPr>
          <w:rFonts w:hint="eastAsia" w:ascii="仿宋_GB2312" w:hAnsi="仿宋" w:eastAsia="仿宋_GB2312" w:cs="宋体"/>
          <w:color w:val="auto"/>
          <w:sz w:val="28"/>
          <w:szCs w:val="28"/>
          <w:highlight w:val="none"/>
        </w:rPr>
        <w:t>，以招标文件规定</w:t>
      </w:r>
      <w:r>
        <w:rPr>
          <w:rFonts w:ascii="仿宋_GB2312" w:hAnsi="仿宋" w:eastAsia="仿宋_GB2312" w:cs="宋体"/>
          <w:color w:val="auto"/>
          <w:sz w:val="28"/>
          <w:szCs w:val="28"/>
          <w:highlight w:val="none"/>
        </w:rPr>
        <w:t>的方式</w:t>
      </w:r>
      <w:r>
        <w:rPr>
          <w:rFonts w:hint="eastAsia" w:ascii="仿宋_GB2312" w:hAnsi="仿宋" w:eastAsia="仿宋_GB2312" w:cs="宋体"/>
          <w:color w:val="auto"/>
          <w:sz w:val="28"/>
          <w:szCs w:val="28"/>
          <w:highlight w:val="none"/>
        </w:rPr>
        <w:t>获取本项目</w:t>
      </w:r>
      <w:r>
        <w:rPr>
          <w:rFonts w:ascii="仿宋_GB2312" w:hAnsi="仿宋" w:eastAsia="仿宋_GB2312" w:cs="宋体"/>
          <w:color w:val="auto"/>
          <w:sz w:val="28"/>
          <w:szCs w:val="28"/>
          <w:highlight w:val="none"/>
        </w:rPr>
        <w:t>招标文件的法人、其他组织或者自然人。</w:t>
      </w:r>
    </w:p>
    <w:p w14:paraId="6670D95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2.4货物，是指投标人按招标文件要求，向采购人提供全新的、未使用过的各种形态和种类的物品，包括原材料、燃料、设备、产品等。</w:t>
      </w:r>
    </w:p>
    <w:p w14:paraId="065B122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2.5服务，是指投标人按招标文件要求，完成规定的货物供货过程中须承担的制造、运输、吊拉、安装、调试、技术协助、培训及其他各项义务。</w:t>
      </w:r>
    </w:p>
    <w:p w14:paraId="0B1FD23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2.6单位</w:t>
      </w:r>
      <w:r>
        <w:rPr>
          <w:rFonts w:ascii="仿宋_GB2312" w:hAnsi="仿宋" w:eastAsia="仿宋_GB2312" w:cs="宋体"/>
          <w:color w:val="auto"/>
          <w:sz w:val="28"/>
          <w:szCs w:val="28"/>
          <w:highlight w:val="none"/>
        </w:rPr>
        <w:t>负责人为同一</w:t>
      </w:r>
      <w:r>
        <w:rPr>
          <w:rFonts w:hint="eastAsia" w:ascii="仿宋_GB2312" w:hAnsi="仿宋" w:eastAsia="仿宋_GB2312" w:cs="宋体"/>
          <w:color w:val="auto"/>
          <w:sz w:val="28"/>
          <w:szCs w:val="28"/>
          <w:highlight w:val="none"/>
        </w:rPr>
        <w:t>人</w:t>
      </w:r>
      <w:r>
        <w:rPr>
          <w:rFonts w:ascii="仿宋_GB2312" w:hAnsi="仿宋" w:eastAsia="仿宋_GB2312" w:cs="宋体"/>
          <w:color w:val="auto"/>
          <w:sz w:val="28"/>
          <w:szCs w:val="28"/>
          <w:highlight w:val="none"/>
        </w:rPr>
        <w:t>或者存在</w:t>
      </w:r>
      <w:r>
        <w:rPr>
          <w:rFonts w:hint="eastAsia" w:ascii="仿宋_GB2312" w:hAnsi="仿宋" w:eastAsia="仿宋_GB2312" w:cs="宋体"/>
          <w:color w:val="auto"/>
          <w:sz w:val="28"/>
          <w:szCs w:val="28"/>
          <w:highlight w:val="none"/>
        </w:rPr>
        <w:t>直接</w:t>
      </w:r>
      <w:r>
        <w:rPr>
          <w:rFonts w:ascii="仿宋_GB2312" w:hAnsi="仿宋" w:eastAsia="仿宋_GB2312" w:cs="宋体"/>
          <w:color w:val="auto"/>
          <w:sz w:val="28"/>
          <w:szCs w:val="28"/>
          <w:highlight w:val="none"/>
        </w:rPr>
        <w:t>控股、管理</w:t>
      </w:r>
      <w:r>
        <w:rPr>
          <w:rFonts w:hint="eastAsia" w:ascii="仿宋_GB2312" w:hAnsi="仿宋" w:eastAsia="仿宋_GB2312" w:cs="宋体"/>
          <w:color w:val="auto"/>
          <w:sz w:val="28"/>
          <w:szCs w:val="28"/>
          <w:highlight w:val="none"/>
        </w:rPr>
        <w:t>关系</w:t>
      </w:r>
      <w:r>
        <w:rPr>
          <w:rFonts w:ascii="仿宋_GB2312" w:hAnsi="仿宋" w:eastAsia="仿宋_GB2312" w:cs="宋体"/>
          <w:color w:val="auto"/>
          <w:sz w:val="28"/>
          <w:szCs w:val="28"/>
          <w:highlight w:val="none"/>
        </w:rPr>
        <w:t>的不同</w:t>
      </w:r>
      <w:r>
        <w:rPr>
          <w:rFonts w:hint="eastAsia" w:ascii="仿宋_GB2312" w:hAnsi="仿宋" w:eastAsia="仿宋_GB2312" w:cs="宋体"/>
          <w:color w:val="auto"/>
          <w:sz w:val="28"/>
          <w:szCs w:val="28"/>
          <w:highlight w:val="none"/>
        </w:rPr>
        <w:t>投标人</w:t>
      </w:r>
      <w:r>
        <w:rPr>
          <w:rFonts w:ascii="仿宋_GB2312" w:hAnsi="仿宋" w:eastAsia="仿宋_GB2312" w:cs="宋体"/>
          <w:color w:val="auto"/>
          <w:sz w:val="28"/>
          <w:szCs w:val="28"/>
          <w:highlight w:val="none"/>
        </w:rPr>
        <w:t>，不得</w:t>
      </w:r>
      <w:r>
        <w:rPr>
          <w:rFonts w:hint="eastAsia" w:ascii="仿宋_GB2312" w:hAnsi="仿宋" w:eastAsia="仿宋_GB2312" w:cs="宋体"/>
          <w:color w:val="auto"/>
          <w:sz w:val="28"/>
          <w:szCs w:val="28"/>
          <w:highlight w:val="none"/>
        </w:rPr>
        <w:t>参加同一合同项下的政府采购活动，否则其相关投标均将被认定为</w:t>
      </w:r>
      <w:r>
        <w:rPr>
          <w:rFonts w:hint="eastAsia" w:ascii="仿宋_GB2312" w:hAnsi="仿宋" w:eastAsia="仿宋_GB2312" w:cs="宋体"/>
          <w:b/>
          <w:color w:val="auto"/>
          <w:sz w:val="28"/>
          <w:szCs w:val="28"/>
          <w:highlight w:val="none"/>
        </w:rPr>
        <w:t>投标无效</w:t>
      </w:r>
      <w:r>
        <w:rPr>
          <w:rFonts w:ascii="仿宋_GB2312" w:hAnsi="仿宋" w:eastAsia="仿宋_GB2312" w:cs="宋体"/>
          <w:color w:val="auto"/>
          <w:sz w:val="28"/>
          <w:szCs w:val="28"/>
          <w:highlight w:val="none"/>
        </w:rPr>
        <w:t>。</w:t>
      </w:r>
    </w:p>
    <w:p w14:paraId="7793FF6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2.7投标人在投标过程中不得向采购人提供或给予影响其正常决策行为的任何有价值物品或</w:t>
      </w:r>
      <w:r>
        <w:rPr>
          <w:rFonts w:ascii="仿宋_GB2312" w:hAnsi="仿宋" w:eastAsia="仿宋_GB2312" w:cs="宋体"/>
          <w:color w:val="auto"/>
          <w:sz w:val="28"/>
          <w:szCs w:val="28"/>
          <w:highlight w:val="none"/>
        </w:rPr>
        <w:t>服务</w:t>
      </w:r>
      <w:r>
        <w:rPr>
          <w:rFonts w:hint="eastAsia" w:ascii="仿宋_GB2312" w:hAnsi="仿宋" w:eastAsia="仿宋_GB2312" w:cs="宋体"/>
          <w:color w:val="auto"/>
          <w:sz w:val="28"/>
          <w:szCs w:val="28"/>
          <w:highlight w:val="none"/>
        </w:rPr>
        <w:t>。</w:t>
      </w:r>
    </w:p>
    <w:p w14:paraId="2E22BB9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w:t>
      </w:r>
      <w:r>
        <w:rPr>
          <w:rFonts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rPr>
        <w:t>8投标人须对本项目指定一个项目负责人，对本项目所有事宜全程负责。未经采购人同意中途不得更换项目负责人。</w:t>
      </w:r>
    </w:p>
    <w:p w14:paraId="0FDA101E">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3.资金来源</w:t>
      </w:r>
    </w:p>
    <w:p w14:paraId="4078DF1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w:t>
      </w:r>
      <w:r>
        <w:rPr>
          <w:rFonts w:ascii="仿宋_GB2312" w:hAnsi="仿宋" w:eastAsia="仿宋_GB2312" w:cs="宋体"/>
          <w:color w:val="auto"/>
          <w:sz w:val="28"/>
          <w:szCs w:val="28"/>
          <w:highlight w:val="none"/>
        </w:rPr>
        <w:t>.1</w:t>
      </w:r>
      <w:r>
        <w:rPr>
          <w:rFonts w:hint="eastAsia" w:ascii="仿宋_GB2312" w:hAnsi="仿宋" w:eastAsia="仿宋_GB2312" w:cs="宋体"/>
          <w:color w:val="auto"/>
          <w:sz w:val="28"/>
          <w:szCs w:val="28"/>
          <w:highlight w:val="none"/>
        </w:rPr>
        <w:t>本项目的采购人已获得足以支付本次招标后所签订的合同项下的资金。</w:t>
      </w:r>
    </w:p>
    <w:p w14:paraId="1964A82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3.2项目预算金额和分项或分包最高限价见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62EB5FA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3.3投标人报价超过招标文件规定的预算金额或者分项、分包最高限价的，其投标将被认定为</w:t>
      </w:r>
      <w:r>
        <w:rPr>
          <w:rFonts w:hint="eastAsia" w:ascii="仿宋_GB2312" w:hAnsi="仿宋" w:eastAsia="仿宋_GB2312" w:cs="宋体"/>
          <w:b/>
          <w:color w:val="auto"/>
          <w:sz w:val="28"/>
          <w:szCs w:val="28"/>
          <w:highlight w:val="none"/>
        </w:rPr>
        <w:t>投标无效</w:t>
      </w:r>
      <w:r>
        <w:rPr>
          <w:rFonts w:ascii="仿宋_GB2312" w:hAnsi="仿宋" w:eastAsia="仿宋_GB2312" w:cs="宋体"/>
          <w:color w:val="auto"/>
          <w:sz w:val="28"/>
          <w:szCs w:val="28"/>
          <w:highlight w:val="none"/>
        </w:rPr>
        <w:t>。</w:t>
      </w:r>
    </w:p>
    <w:p w14:paraId="788FB381">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4.相关要求</w:t>
      </w:r>
    </w:p>
    <w:p w14:paraId="3FEE380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4.1投标人应承担所有与准备和参加投标有关的费用。不论投标结果如何，采购人和采购代理机构均无义务和责任承担这些费用。</w:t>
      </w:r>
    </w:p>
    <w:p w14:paraId="12B54CC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4.2本项目若涉及采购货物，则合格的货物及相应服务应满足以下要求：</w:t>
      </w:r>
    </w:p>
    <w:p w14:paraId="696E6F9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4.2.1必须是全新、未使用过的原装合格正品（包括零部件），如安装或配置了软件的，须为正版软件。</w:t>
      </w:r>
    </w:p>
    <w:p w14:paraId="5D199D1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4.2.2国产的货物及其有关服务必须符合中华人民共和国的设计和制造生产标准或行业标准。招标公告有其他要求的，亦应符合其要求。</w:t>
      </w:r>
    </w:p>
    <w:p w14:paraId="2C25E9A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中未写明允许采购进口产品，如投标人所投产品为进口产品，其投标将被认定为</w:t>
      </w:r>
      <w:r>
        <w:rPr>
          <w:rFonts w:hint="eastAsia" w:ascii="仿宋_GB2312" w:hAnsi="仿宋" w:eastAsia="仿宋_GB2312" w:cs="宋体"/>
          <w:b/>
          <w:color w:val="auto"/>
          <w:sz w:val="28"/>
          <w:szCs w:val="28"/>
          <w:highlight w:val="none"/>
        </w:rPr>
        <w:t>投标无效</w:t>
      </w:r>
      <w:r>
        <w:rPr>
          <w:rFonts w:hint="eastAsia" w:ascii="仿宋_GB2312" w:hAnsi="仿宋" w:eastAsia="仿宋_GB2312" w:cs="宋体"/>
          <w:color w:val="auto"/>
          <w:sz w:val="28"/>
          <w:szCs w:val="28"/>
          <w:highlight w:val="none"/>
        </w:rPr>
        <w:t>。</w:t>
      </w:r>
    </w:p>
    <w:p w14:paraId="65667A2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77DA8BEC">
      <w:pPr>
        <w:snapToGrid w:val="0"/>
        <w:spacing w:line="560" w:lineRule="exact"/>
        <w:ind w:firstLine="565" w:firstLineChars="201"/>
        <w:rPr>
          <w:rFonts w:ascii="仿宋_GB2312" w:hAnsi="仿宋" w:eastAsia="仿宋_GB2312" w:cs="宋体"/>
          <w:color w:val="auto"/>
          <w:sz w:val="28"/>
          <w:szCs w:val="28"/>
          <w:highlight w:val="none"/>
        </w:rPr>
      </w:pPr>
      <w:r>
        <w:rPr>
          <w:rFonts w:hint="eastAsia" w:ascii="仿宋_GB2312" w:hAnsi="宋体" w:eastAsia="仿宋_GB2312"/>
          <w:b/>
          <w:color w:val="auto"/>
          <w:sz w:val="28"/>
          <w:szCs w:val="28"/>
          <w:highlight w:val="none"/>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5076B541">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5</w:t>
      </w:r>
      <w:r>
        <w:rPr>
          <w:rFonts w:hint="eastAsia" w:ascii="楷体_GB2312" w:hAnsi="仿宋" w:eastAsia="楷体_GB2312" w:cs="宋体"/>
          <w:b/>
          <w:color w:val="auto"/>
          <w:sz w:val="28"/>
          <w:szCs w:val="28"/>
          <w:highlight w:val="none"/>
        </w:rPr>
        <w:t>.电子投标特别提示</w:t>
      </w:r>
    </w:p>
    <w:p w14:paraId="4FEE1AD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本项目供应商必须登录威海市公共资源交易网（乳山分中心）（http://ggzyjy.weihai.cn/rushan</w:t>
      </w:r>
      <w:r>
        <w:rPr>
          <w:rFonts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53884AD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本项目必须</w:t>
      </w:r>
      <w:r>
        <w:rPr>
          <w:rFonts w:hint="eastAsia" w:ascii="仿宋_GB2312" w:hAnsi="仿宋" w:eastAsia="仿宋_GB2312" w:cs="宋体"/>
          <w:b/>
          <w:color w:val="auto"/>
          <w:sz w:val="28"/>
          <w:szCs w:val="28"/>
          <w:highlight w:val="none"/>
        </w:rPr>
        <w:t>网上递交投标文件</w:t>
      </w:r>
      <w:r>
        <w:rPr>
          <w:rFonts w:hint="eastAsia" w:ascii="仿宋_GB2312" w:hAnsi="仿宋" w:eastAsia="仿宋_GB2312" w:cs="宋体"/>
          <w:color w:val="auto"/>
          <w:sz w:val="28"/>
          <w:szCs w:val="28"/>
          <w:highlight w:val="none"/>
        </w:rPr>
        <w:t>，参与本项目报价的供应商应利用办理好的CA锁登录威海市国有企业阳光采购电子化服务平台获取采购文件、文件下载和网上报价，且安全证书（CA锁）在有效期内。</w:t>
      </w:r>
    </w:p>
    <w:p w14:paraId="0BFF0B8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XX投标（响应）文件制作及递交等有关操作见本文件及</w:t>
      </w:r>
      <w:r>
        <w:rPr>
          <w:rFonts w:hint="eastAsia" w:ascii="仿宋_GB2312" w:hAnsi="宋体" w:eastAsia="仿宋_GB2312"/>
          <w:color w:val="auto"/>
          <w:sz w:val="28"/>
          <w:szCs w:val="28"/>
          <w:highlight w:val="none"/>
        </w:rPr>
        <w:t>威海市公共资源交易网）办事指南栏目-国企采购专区-《威海国企阳光采购电子化服务平台供应商操作视频教程》，网址:</w:t>
      </w:r>
      <w:r>
        <w:rPr>
          <w:rFonts w:ascii="仿宋_GB2312" w:hAnsi="宋体" w:eastAsia="仿宋_GB2312"/>
          <w:color w:val="auto"/>
          <w:sz w:val="28"/>
          <w:szCs w:val="28"/>
          <w:highlight w:val="none"/>
        </w:rPr>
        <w:t xml:space="preserve"> </w:t>
      </w:r>
      <w:r>
        <w:rPr>
          <w:rFonts w:hint="eastAsia" w:ascii="仿宋_GB2312" w:hAnsi="宋体" w:eastAsia="仿宋_GB2312"/>
          <w:color w:val="auto"/>
          <w:sz w:val="28"/>
          <w:szCs w:val="28"/>
          <w:highlight w:val="none"/>
        </w:rPr>
        <w:t>http://ggzyjy.weihai.cn/bszn/005005/20200902/98115c60-a132-4b41-b609-6b7c08ad502b.html、投标文件制作及系统使用咨询电话：18769124292；0631-5307028；平台QQ服务群：1146578397。</w:t>
      </w:r>
    </w:p>
    <w:p w14:paraId="1ABE4BD9">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48F95EA0">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2886479E">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报价文件中的相关扫描件应保证清晰度，无法辨认的评审时受到影响的，由供应商承担相应责任。</w:t>
      </w:r>
    </w:p>
    <w:p w14:paraId="0BCFF5D4">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供应商应充分考虑到网上报价会发生的故障和风险。对发生的任何故障和风险造成供应商报价内容不一致或利益受损或报价失败的，采购人及采购代理机构不承担任何责任。</w:t>
      </w:r>
    </w:p>
    <w:p w14:paraId="05AB914F">
      <w:pPr>
        <w:spacing w:line="560" w:lineRule="exact"/>
        <w:ind w:firstLine="562" w:firstLineChars="201"/>
        <w:rPr>
          <w:rFonts w:ascii="仿宋_GB2312" w:hAnsi="仿宋" w:eastAsia="仿宋_GB2312" w:cs="宋体"/>
          <w:color w:val="auto"/>
          <w:sz w:val="28"/>
          <w:szCs w:val="28"/>
          <w:highlight w:val="none"/>
        </w:rPr>
      </w:pPr>
    </w:p>
    <w:p w14:paraId="417060FB">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二、招标文件</w:t>
      </w:r>
    </w:p>
    <w:p w14:paraId="7A4607E3">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7</w:t>
      </w:r>
      <w:r>
        <w:rPr>
          <w:rFonts w:hint="eastAsia" w:ascii="楷体_GB2312" w:hAnsi="仿宋" w:eastAsia="楷体_GB2312" w:cs="宋体"/>
          <w:b/>
          <w:color w:val="auto"/>
          <w:sz w:val="28"/>
          <w:szCs w:val="28"/>
          <w:highlight w:val="none"/>
        </w:rPr>
        <w:t>.招标文件的构成</w:t>
      </w:r>
    </w:p>
    <w:p w14:paraId="46791F5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由各包段本文件（</w:t>
      </w:r>
      <w:r>
        <w:rPr>
          <w:rFonts w:ascii="仿宋_GB2312" w:hAnsi="仿宋" w:eastAsia="仿宋_GB2312" w:cs="宋体"/>
          <w:color w:val="auto"/>
          <w:sz w:val="28"/>
          <w:szCs w:val="28"/>
          <w:highlight w:val="none"/>
        </w:rPr>
        <w:t>WORD</w:t>
      </w:r>
      <w:r>
        <w:rPr>
          <w:rFonts w:hint="eastAsia" w:ascii="仿宋_GB2312" w:hAnsi="仿宋" w:eastAsia="仿宋_GB2312" w:cs="宋体"/>
          <w:color w:val="auto"/>
          <w:sz w:val="28"/>
          <w:szCs w:val="28"/>
          <w:highlight w:val="none"/>
        </w:rPr>
        <w:t>格式）和各包段的数据文件（</w:t>
      </w:r>
      <w:r>
        <w:rPr>
          <w:rFonts w:ascii="仿宋_GB2312" w:hAnsi="仿宋" w:eastAsia="仿宋_GB2312" w:cs="宋体"/>
          <w:color w:val="auto"/>
          <w:sz w:val="28"/>
          <w:szCs w:val="28"/>
          <w:highlight w:val="none"/>
        </w:rPr>
        <w:t>EXCEL</w:t>
      </w:r>
      <w:r>
        <w:rPr>
          <w:rFonts w:hint="eastAsia" w:ascii="仿宋_GB2312" w:hAnsi="仿宋" w:eastAsia="仿宋_GB2312" w:cs="宋体"/>
          <w:color w:val="auto"/>
          <w:sz w:val="28"/>
          <w:szCs w:val="28"/>
          <w:highlight w:val="none"/>
        </w:rPr>
        <w:t>格式）构成，采用压缩包电子版文件格式提供。</w:t>
      </w:r>
    </w:p>
    <w:p w14:paraId="06F1FC6A">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7.1本文件（WORD格式）由下列文件组成：</w:t>
      </w:r>
    </w:p>
    <w:p w14:paraId="065CA68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（1）采购公告</w:t>
      </w:r>
    </w:p>
    <w:p w14:paraId="39473BA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（2）投标须知</w:t>
      </w:r>
    </w:p>
    <w:p w14:paraId="797183F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（3）采购内容与要求</w:t>
      </w:r>
    </w:p>
    <w:p w14:paraId="1751BEA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（4）评审原则和方法</w:t>
      </w:r>
    </w:p>
    <w:p w14:paraId="18648EB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（5）投标（响应）文件格式</w:t>
      </w:r>
    </w:p>
    <w:p w14:paraId="1AB4776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（6）政府采购合同（范本）</w:t>
      </w:r>
    </w:p>
    <w:p w14:paraId="694910D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（7）在采购过程中由采购人或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发出的修正和补充文件等（如有）</w:t>
      </w:r>
    </w:p>
    <w:p w14:paraId="2A302D5F">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7.2数据文件（EXCEL格式）由下列文件组成：</w:t>
      </w:r>
    </w:p>
    <w:p w14:paraId="00D77E9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（1）封面</w:t>
      </w:r>
    </w:p>
    <w:p w14:paraId="51E9D34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（2）投标报价表（含明细）</w:t>
      </w:r>
    </w:p>
    <w:p w14:paraId="12C0951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（3）需求响应表（如有）</w:t>
      </w:r>
    </w:p>
    <w:p w14:paraId="6D62971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（4）评审对照表</w:t>
      </w:r>
    </w:p>
    <w:p w14:paraId="13499A8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（5）评分对照表</w:t>
      </w:r>
    </w:p>
    <w:p w14:paraId="68BA2E74">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color w:val="auto"/>
          <w:sz w:val="28"/>
          <w:szCs w:val="28"/>
          <w:highlight w:val="none"/>
        </w:rPr>
        <w:t>其风险应由投标人自行承担并根据有关政策和条款规定</w:t>
      </w:r>
      <w:r>
        <w:rPr>
          <w:rFonts w:hint="eastAsia" w:ascii="仿宋_GB2312" w:hAnsi="仿宋" w:eastAsia="仿宋_GB2312" w:cs="宋体"/>
          <w:color w:val="auto"/>
          <w:sz w:val="28"/>
          <w:szCs w:val="28"/>
          <w:highlight w:val="none"/>
        </w:rPr>
        <w:t>，可能导致其投标被认定为</w:t>
      </w:r>
      <w:r>
        <w:rPr>
          <w:rFonts w:hint="eastAsia" w:ascii="仿宋_GB2312" w:hAnsi="仿宋" w:eastAsia="仿宋_GB2312" w:cs="宋体"/>
          <w:b/>
          <w:color w:val="auto"/>
          <w:sz w:val="28"/>
          <w:szCs w:val="28"/>
          <w:highlight w:val="none"/>
        </w:rPr>
        <w:t>投标无效。</w:t>
      </w:r>
    </w:p>
    <w:p w14:paraId="67B09B7F">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w:t>
      </w:r>
      <w:r>
        <w:rPr>
          <w:rFonts w:hint="eastAsia" w:ascii="仿宋_GB2312" w:hAnsi="仿宋" w:eastAsia="仿宋_GB2312" w:cs="宋体"/>
          <w:color w:val="auto"/>
          <w:sz w:val="28"/>
          <w:szCs w:val="28"/>
          <w:highlight w:val="none"/>
        </w:rPr>
        <w:t>4招标文件</w:t>
      </w:r>
      <w:r>
        <w:rPr>
          <w:rFonts w:ascii="仿宋_GB2312" w:hAnsi="仿宋" w:eastAsia="仿宋_GB2312" w:cs="宋体"/>
          <w:color w:val="auto"/>
          <w:sz w:val="28"/>
          <w:szCs w:val="28"/>
          <w:highlight w:val="none"/>
        </w:rPr>
        <w:t>中有不一致的，有澄清的部分</w:t>
      </w:r>
      <w:r>
        <w:rPr>
          <w:rFonts w:hint="eastAsia" w:ascii="仿宋_GB2312" w:hAnsi="仿宋" w:eastAsia="仿宋_GB2312" w:cs="宋体"/>
          <w:color w:val="auto"/>
          <w:sz w:val="28"/>
          <w:szCs w:val="28"/>
          <w:highlight w:val="none"/>
        </w:rPr>
        <w:t>以</w:t>
      </w:r>
      <w:r>
        <w:rPr>
          <w:rFonts w:ascii="仿宋_GB2312" w:hAnsi="仿宋" w:eastAsia="仿宋_GB2312" w:cs="宋体"/>
          <w:color w:val="auto"/>
          <w:sz w:val="28"/>
          <w:szCs w:val="28"/>
          <w:highlight w:val="none"/>
        </w:rPr>
        <w:t>最终的澄清更正内容为准</w:t>
      </w:r>
      <w:r>
        <w:rPr>
          <w:rFonts w:hint="eastAsia" w:ascii="仿宋_GB2312" w:hAnsi="仿宋" w:eastAsia="仿宋_GB2312" w:cs="宋体"/>
          <w:color w:val="auto"/>
          <w:sz w:val="28"/>
          <w:szCs w:val="28"/>
          <w:highlight w:val="none"/>
        </w:rPr>
        <w:t>；未澄清的，</w:t>
      </w:r>
      <w:r>
        <w:rPr>
          <w:rFonts w:ascii="仿宋_GB2312" w:hAnsi="仿宋" w:eastAsia="仿宋_GB2312" w:cs="宋体"/>
          <w:color w:val="auto"/>
          <w:sz w:val="28"/>
          <w:szCs w:val="28"/>
          <w:highlight w:val="none"/>
        </w:rPr>
        <w:t>以</w:t>
      </w:r>
      <w:r>
        <w:rPr>
          <w:rFonts w:ascii="仿宋_GB2312" w:hAnsi="仿宋" w:eastAsia="仿宋_GB2312" w:cs="宋体"/>
          <w:color w:val="auto"/>
          <w:sz w:val="28"/>
          <w:szCs w:val="28"/>
          <w:highlight w:val="none"/>
          <w:u w:val="single"/>
        </w:rPr>
        <w:t>投标须知前附表</w:t>
      </w:r>
      <w:r>
        <w:rPr>
          <w:rFonts w:ascii="仿宋_GB2312" w:hAnsi="仿宋" w:eastAsia="仿宋_GB2312" w:cs="宋体"/>
          <w:color w:val="auto"/>
          <w:sz w:val="28"/>
          <w:szCs w:val="28"/>
          <w:highlight w:val="none"/>
        </w:rPr>
        <w:t>为准</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不涉及的内容，以编排在后的描述为准。</w:t>
      </w:r>
    </w:p>
    <w:p w14:paraId="658C0451">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7.5招标文件以中文编印，且以中文为准。</w:t>
      </w:r>
    </w:p>
    <w:p w14:paraId="72D02C72">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7.6除非有特殊要求，招标文件不单独提供招标货物使用地的自然环境、气候条件、公用设施等情况，投标人被视为熟悉上述与履行合同有关的一切情况。</w:t>
      </w:r>
    </w:p>
    <w:p w14:paraId="5201EE2F">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7.7除招标文件中另有规定外，招标文件所使用的时间单位“天”、“日”均指日历天，且所有时刻均为北京时间。</w:t>
      </w:r>
    </w:p>
    <w:p w14:paraId="4161A8D4">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7.8参与招标投标活动的各方应对招标文件和投标文件中的商业和技术等秘密保密，违者应对由此造成的后果承担法律责任。</w:t>
      </w:r>
    </w:p>
    <w:p w14:paraId="0B0E935B">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8</w:t>
      </w:r>
      <w:r>
        <w:rPr>
          <w:rFonts w:hint="eastAsia" w:ascii="楷体_GB2312" w:hAnsi="仿宋" w:eastAsia="楷体_GB2312" w:cs="宋体"/>
          <w:b/>
          <w:color w:val="auto"/>
          <w:sz w:val="28"/>
          <w:szCs w:val="28"/>
          <w:highlight w:val="none"/>
        </w:rPr>
        <w:t>.招标文件的澄清</w:t>
      </w:r>
    </w:p>
    <w:p w14:paraId="12C0599C">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8</w:t>
      </w:r>
      <w:r>
        <w:rPr>
          <w:rFonts w:hint="eastAsia" w:ascii="仿宋_GB2312" w:hAnsi="仿宋" w:eastAsia="仿宋_GB2312" w:cs="宋体"/>
          <w:color w:val="auto"/>
          <w:sz w:val="28"/>
          <w:szCs w:val="28"/>
          <w:highlight w:val="none"/>
        </w:rPr>
        <w:t>.1</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在收到招标文件后，对招标文件若有任何疑问或要求澄清招标文件的，应在有效期内按</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向</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提出，必要时</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将协助采购人组织所有获取采购文件</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举行答疑会，</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根据需要主动对招标文件进行必要的澄清或根据</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的要求对招标文件做出澄清，都将以原网站公开发布形式（包括电子交易系统推送）答复或发送给所有</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。澄清文件作为招标文件的组成部分，对</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起约束作用。</w:t>
      </w:r>
    </w:p>
    <w:p w14:paraId="30B0099E">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8.2投标人在规定的时间内未对招标文件澄清或提出疑问的，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将视其为接受招标文件的所有条款，对招标文件没有异议，此后也不再受理对招标文件的相关质疑。</w:t>
      </w:r>
    </w:p>
    <w:p w14:paraId="5EA30E1D">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9.招标文件的修改</w:t>
      </w:r>
    </w:p>
    <w:p w14:paraId="46DA04E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9.l在投标截止时间</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日以前，无论出于何种原因，采购人或采购代理机构可主动或在解答投标人提出的疑问时对招标文件进行修改。</w:t>
      </w:r>
    </w:p>
    <w:p w14:paraId="4495619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9.2修改后的内容是招标文件的组成部分，采购人、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2FE77F4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9.3澄清或者修改的内容可能影响投标文件编制的，采购人或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将在投标截止时间</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日前，通过原网站发布公告的形式（电子交易系统内发送更正提醒通知）通知所有获取招标文件的潜在投标人</w:t>
      </w:r>
      <w:r>
        <w:rPr>
          <w:rFonts w:hint="eastAsia" w:ascii="仿宋_GB2312" w:hAnsi="宋体" w:eastAsia="仿宋_GB2312"/>
          <w:color w:val="auto"/>
          <w:sz w:val="28"/>
          <w:szCs w:val="28"/>
          <w:highlight w:val="none"/>
        </w:rPr>
        <w:t>（采购文件变更的，投标人必须从电子交易系统中重新下载采购文件，并在新下载文件的基础上编制投标文件）；</w:t>
      </w:r>
      <w:r>
        <w:rPr>
          <w:rFonts w:hint="eastAsia" w:ascii="仿宋_GB2312" w:hAnsi="仿宋" w:eastAsia="仿宋_GB2312" w:cs="宋体"/>
          <w:color w:val="auto"/>
          <w:sz w:val="28"/>
          <w:szCs w:val="28"/>
          <w:highlight w:val="none"/>
        </w:rPr>
        <w:t>不足</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日的，采购人或者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将顺延提交投标文件的截止时间。</w:t>
      </w:r>
    </w:p>
    <w:p w14:paraId="164683CF">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三、投标文件的编制</w:t>
      </w:r>
    </w:p>
    <w:p w14:paraId="7EE76D11">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10.投标文件编制要求</w:t>
      </w:r>
    </w:p>
    <w:p w14:paraId="79CD370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10.1投标人编写的文件和往来信件应以简体中文书写。如果投标文件或与投标有关的其它文件、信件及来往函电以其它语言书写的，投标人应将其译成中文，如未翻译该文件为无效文件。</w:t>
      </w:r>
    </w:p>
    <w:p w14:paraId="3253A9C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10.2投标文件中使用的计量单位应使用中华人民共和国法定计量单位。</w:t>
      </w:r>
    </w:p>
    <w:p w14:paraId="22297B2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10.3投标人必须保证投标文件所提供的全部资料真实可靠，并接受采购人或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对其中任何资料进一步核实的要求。如果因为投标文件填报的内容不详，或没有提供招标文件中所要求的全部资料及数据，或提供虚假文件，由此造成的后果由投标人自负。</w:t>
      </w:r>
    </w:p>
    <w:p w14:paraId="4879646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05809C1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10.5</w:t>
      </w:r>
      <w:r>
        <w:rPr>
          <w:rFonts w:hint="eastAsia" w:ascii="仿宋_GB2312" w:hAnsi="宋体" w:eastAsia="仿宋_GB2312"/>
          <w:color w:val="auto"/>
          <w:sz w:val="28"/>
          <w:szCs w:val="28"/>
          <w:highlight w:val="none"/>
        </w:rPr>
        <w:t>投标人按照采购文件要求所提供的各种证明文件必须真实且合法有效,经扫描后粘贴到投标文件的相关页上，确保清晰度可辨认，评审时由于无法辨认所产生的后果，由投标人自行承担。</w:t>
      </w:r>
    </w:p>
    <w:p w14:paraId="58005A3B">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color w:val="auto"/>
          <w:sz w:val="28"/>
          <w:szCs w:val="28"/>
          <w:highlight w:val="none"/>
        </w:rPr>
        <w:t>对于不涉及或无法填写的评审项（评分项）（例如：报价），可在页码索引处填写1。</w:t>
      </w:r>
    </w:p>
    <w:p w14:paraId="055EC80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5BF4AD8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10.8投标文件具有法律效力，投标人与采购人或采购代理机构任何人的口头协议不影响投标文件的任何条款和内容。</w:t>
      </w:r>
    </w:p>
    <w:p w14:paraId="6335B00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10.9投标人应自行承担其准备和参加投标活动发生的所有费用。不论投标结果如何，采购人及采购代理机构在任何情况下无义务也无责任承担这些费用。</w:t>
      </w:r>
    </w:p>
    <w:p w14:paraId="7605829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10.10采购人或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均无义务向投标人解释其中标或未中标的原因，且无论投标人是否中标，投标人所递交的投标文件均不予退还，不提供副本拷贝。</w:t>
      </w:r>
    </w:p>
    <w:p w14:paraId="64E484F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11.数据文件编制要求</w:t>
      </w:r>
    </w:p>
    <w:p w14:paraId="4EBBF766">
      <w:pPr>
        <w:spacing w:line="560" w:lineRule="exact"/>
        <w:ind w:firstLine="560" w:firstLineChars="200"/>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11.1投标人须从所投项目的招标文件压缩包内对应包段目录下获取本文件</w:t>
      </w:r>
      <w:r>
        <w:rPr>
          <w:rFonts w:hint="eastAsia" w:ascii="仿宋_GB2312" w:hAnsi="宋体" w:eastAsia="仿宋_GB2312"/>
          <w:color w:val="auto"/>
          <w:sz w:val="28"/>
          <w:szCs w:val="28"/>
          <w:highlight w:val="none"/>
        </w:rPr>
        <w:t>（变更后的数据文件需要重新下载）</w:t>
      </w:r>
      <w:r>
        <w:rPr>
          <w:rFonts w:hint="eastAsia" w:ascii="仿宋_GB2312" w:hAnsi="仿宋" w:eastAsia="仿宋_GB2312" w:cs="宋体"/>
          <w:color w:val="auto"/>
          <w:sz w:val="28"/>
          <w:szCs w:val="28"/>
          <w:highlight w:val="none"/>
        </w:rPr>
        <w:t>，必须在原文件上严格按照其中要求填写，其内部已约定好固定格式和相关内容，且带有特定的唯一性数字指纹，</w:t>
      </w:r>
      <w:r>
        <w:rPr>
          <w:rFonts w:ascii="仿宋_GB2312" w:hAnsi="仿宋" w:eastAsia="仿宋_GB2312" w:cs="宋体"/>
          <w:color w:val="auto"/>
          <w:sz w:val="28"/>
          <w:szCs w:val="28"/>
          <w:highlight w:val="none"/>
        </w:rPr>
        <w:t>必须在原表上填写，</w:t>
      </w:r>
      <w:r>
        <w:rPr>
          <w:rFonts w:hint="eastAsia" w:ascii="仿宋_GB2312" w:hAnsi="仿宋" w:eastAsia="仿宋_GB2312" w:cs="宋体"/>
          <w:color w:val="auto"/>
          <w:sz w:val="28"/>
          <w:szCs w:val="28"/>
          <w:highlight w:val="none"/>
        </w:rPr>
        <w:t>对采用非该文件基础上编制或对该文件进行任何工作表、表格行、表格列的增减</w:t>
      </w:r>
      <w:r>
        <w:rPr>
          <w:rFonts w:ascii="Calibri" w:hAnsi="Calibri" w:eastAsia="仿宋_GB2312" w:cs="宋体"/>
          <w:color w:val="auto"/>
          <w:sz w:val="28"/>
          <w:szCs w:val="28"/>
          <w:highlight w:val="none"/>
        </w:rPr>
        <w:t>、对工作表先后顺序的变动，</w:t>
      </w:r>
      <w:r>
        <w:rPr>
          <w:rFonts w:hint="eastAsia" w:ascii="仿宋_GB2312" w:hAnsi="仿宋" w:eastAsia="仿宋_GB2312" w:cs="宋体"/>
          <w:color w:val="auto"/>
          <w:sz w:val="28"/>
          <w:szCs w:val="28"/>
          <w:highlight w:val="none"/>
        </w:rPr>
        <w:t>以及对锁定区域内的数据进行更改、</w:t>
      </w:r>
      <w:r>
        <w:rPr>
          <w:rFonts w:hint="eastAsia" w:ascii="仿宋_GB2312" w:hAnsi="仿宋" w:eastAsia="仿宋_GB2312" w:cs="宋体"/>
          <w:b/>
          <w:color w:val="auto"/>
          <w:sz w:val="28"/>
          <w:szCs w:val="28"/>
          <w:highlight w:val="none"/>
        </w:rPr>
        <w:t>文件另存到其他文件</w:t>
      </w:r>
      <w:r>
        <w:rPr>
          <w:rFonts w:hint="eastAsia" w:ascii="仿宋_GB2312" w:hAnsi="仿宋" w:eastAsia="仿宋_GB2312" w:cs="宋体"/>
          <w:color w:val="auto"/>
          <w:sz w:val="28"/>
          <w:szCs w:val="28"/>
          <w:highlight w:val="none"/>
        </w:rPr>
        <w:t>等违规性操作，都会破坏本文件中的数字指纹，导致系统无法接收该文件使其</w:t>
      </w:r>
      <w:r>
        <w:rPr>
          <w:rFonts w:hint="eastAsia" w:ascii="仿宋_GB2312" w:hAnsi="仿宋" w:eastAsia="仿宋_GB2312" w:cs="宋体"/>
          <w:b/>
          <w:color w:val="auto"/>
          <w:sz w:val="28"/>
          <w:szCs w:val="28"/>
          <w:highlight w:val="none"/>
        </w:rPr>
        <w:t>投标失败</w:t>
      </w:r>
      <w:r>
        <w:rPr>
          <w:rFonts w:hint="eastAsia" w:ascii="仿宋_GB2312" w:hAnsi="仿宋" w:eastAsia="仿宋_GB2312" w:cs="宋体"/>
          <w:color w:val="auto"/>
          <w:sz w:val="28"/>
          <w:szCs w:val="28"/>
          <w:highlight w:val="none"/>
        </w:rPr>
        <w:t>。</w:t>
      </w:r>
    </w:p>
    <w:p w14:paraId="67658F0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color w:val="auto"/>
          <w:sz w:val="28"/>
          <w:szCs w:val="28"/>
          <w:highlight w:val="none"/>
        </w:rPr>
        <w:t>投标失败</w:t>
      </w:r>
      <w:r>
        <w:rPr>
          <w:rFonts w:hint="eastAsia" w:ascii="仿宋_GB2312" w:hAnsi="仿宋" w:eastAsia="仿宋_GB2312" w:cs="宋体"/>
          <w:color w:val="auto"/>
          <w:sz w:val="28"/>
          <w:szCs w:val="28"/>
          <w:highlight w:val="none"/>
        </w:rPr>
        <w:t>。</w:t>
      </w:r>
    </w:p>
    <w:p w14:paraId="14803D8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11.3投标人在对数据文件电子签章前，应按照上述2项的要求进行认真检查、确认。因投标人自身原因所导致其投标失败的，须自行承担相关责任。</w:t>
      </w:r>
    </w:p>
    <w:p w14:paraId="7FE72E84">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12.文件构成</w:t>
      </w:r>
    </w:p>
    <w:p w14:paraId="57977AB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投标人应按不同包段分别编制投标文件，每个包段的投标文件分两册必须包括：投标文件（</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格式）（第一册）、数据文件（PDF格式）（第二册），以上内容缺一不可，否则为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7482F97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12.1投标人编制的投标文件（</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格式）（第一册）应包括但不少于下列内容：</w:t>
      </w:r>
    </w:p>
    <w:p w14:paraId="2F10D57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（1）投标文件封面（格式见本文件第五章）</w:t>
      </w:r>
    </w:p>
    <w:p w14:paraId="563AE0C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（2）投标文件目录</w:t>
      </w:r>
    </w:p>
    <w:p w14:paraId="533C25D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（3）投标承诺函（格式见本文件第五章）</w:t>
      </w:r>
    </w:p>
    <w:p w14:paraId="29A15F0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（4）投标人资格证明文件</w:t>
      </w:r>
    </w:p>
    <w:p w14:paraId="0C58045B">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①法人或其他组织的营业执照等证明文件扫描件；</w:t>
      </w:r>
    </w:p>
    <w:p w14:paraId="73438A3D">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②具有农药经营许可证扫描件；</w:t>
      </w:r>
    </w:p>
    <w:p w14:paraId="13EC93EF">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③法定代表人授权委托书；被授权人身份证扫描件；</w:t>
      </w:r>
    </w:p>
    <w:p w14:paraId="630F213E">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若响应单位代表为企业法定代表人/单位负责人的，则只需提供企业法定代表人/单位负责人身份证扫描件；</w:t>
      </w:r>
    </w:p>
    <w:p w14:paraId="21CCEB83">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④依法缴纳税收和社会保障资金的声明（格式自拟）；近期的完税凭证及交纳社保资金凭证的扫描件（依法免税或不需要缴纳社会保障资金的供应商，应提供相关证明材料）；</w:t>
      </w:r>
    </w:p>
    <w:p w14:paraId="44243740">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⑤参加本项目报价前三年内无重大违法记录声明（格式自定）；</w:t>
      </w:r>
    </w:p>
    <w:p w14:paraId="20513D3A">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⑥报价供应商未被工商行政管理机关在全国企业信用信息公示系统中列入严重违法失信企业名单网站截图（查询网址http://www.gsxt.gov.cn/index.html）；</w:t>
      </w:r>
    </w:p>
    <w:p w14:paraId="4333B119">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报价供应商及其法定代表人、授权委托人在“全国法院失信被执行人名单公布及查询（http://zxgk.court.gov.cn/shixin/）”网站截图；</w:t>
      </w:r>
    </w:p>
    <w:p w14:paraId="08B05D6C">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⑦财务状况报告等相关材料</w:t>
      </w:r>
    </w:p>
    <w:p w14:paraId="78DF85AE">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A.供应商自行编制的2025年度公司财务报表或由中介机构出具的2024年度或2025年度财务审计报告书扫描件；</w:t>
      </w:r>
    </w:p>
    <w:p w14:paraId="4B877902">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B.银行出具的有效期内的资信证明扫描件。</w:t>
      </w:r>
    </w:p>
    <w:p w14:paraId="2411B756">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注：A、B两项提供任意一项均可。</w:t>
      </w:r>
    </w:p>
    <w:p w14:paraId="1C714C2E">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⑧具有履行合同所必需的人员、资金、设备能力承诺函（格式自拟）；</w:t>
      </w:r>
    </w:p>
    <w:p w14:paraId="6BCB8732">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⑨采购公告中要求的有关资质资格文件；</w:t>
      </w:r>
    </w:p>
    <w:p w14:paraId="45B0F949">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⑩报价供应商认为需要提供的资质资格证明文件。</w:t>
      </w:r>
    </w:p>
    <w:p w14:paraId="6F757D7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以上所有资质资格证明文件均需加盖投标人签章。</w:t>
      </w:r>
    </w:p>
    <w:p w14:paraId="2224683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（5）投标人基本情况（格式见本文件第五章）</w:t>
      </w:r>
    </w:p>
    <w:p w14:paraId="031BFA0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投标人应提交证明文件，证明标的的合格性、技术文件符合采购文件的规定、报价内容符合采购文件规定。该证明文件是投标文件的一部分，可以是文字资料、图纸和数据，不包括对采购文件相关部分的文字、图标的复制。它包括：</w:t>
      </w:r>
    </w:p>
    <w:p w14:paraId="77926B06">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①项目实施方案</w:t>
      </w:r>
    </w:p>
    <w:p w14:paraId="00C72294">
      <w:pPr>
        <w:snapToGrid w:val="0"/>
        <w:spacing w:line="560" w:lineRule="exact"/>
        <w:ind w:firstLine="562" w:firstLineChars="201"/>
        <w:rPr>
          <w:rFonts w:hint="default" w:ascii="仿宋_GB2312" w:hAnsi="宋体" w:eastAsia="仿宋_GB2312"/>
          <w:color w:val="auto"/>
          <w:sz w:val="28"/>
          <w:szCs w:val="28"/>
          <w:highlight w:val="none"/>
          <w:lang w:val="en-US" w:eastAsia="zh-CN"/>
        </w:rPr>
      </w:pPr>
      <w:r>
        <w:rPr>
          <w:rFonts w:hint="eastAsia" w:ascii="仿宋_GB2312" w:hAnsi="宋体" w:eastAsia="仿宋_GB2312"/>
          <w:color w:val="auto"/>
          <w:sz w:val="28"/>
          <w:szCs w:val="28"/>
          <w:highlight w:val="none"/>
        </w:rPr>
        <w:t>②</w:t>
      </w:r>
      <w:r>
        <w:rPr>
          <w:rFonts w:hint="eastAsia" w:ascii="仿宋_GB2312" w:hAnsi="宋体" w:eastAsia="仿宋_GB2312"/>
          <w:color w:val="auto"/>
          <w:sz w:val="28"/>
          <w:szCs w:val="28"/>
          <w:highlight w:val="none"/>
          <w:lang w:val="en-US" w:eastAsia="zh-CN"/>
        </w:rPr>
        <w:t>售后服务方案</w:t>
      </w:r>
    </w:p>
    <w:p w14:paraId="301BAE56">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③评审时需要的相关证明材料。</w:t>
      </w:r>
    </w:p>
    <w:p w14:paraId="128B7EA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7</w:t>
      </w:r>
      <w:r>
        <w:rPr>
          <w:rFonts w:hint="eastAsia" w:ascii="仿宋_GB2312" w:hAnsi="仿宋" w:eastAsia="仿宋_GB2312" w:cs="宋体"/>
          <w:color w:val="auto"/>
          <w:sz w:val="28"/>
          <w:szCs w:val="28"/>
          <w:highlight w:val="none"/>
        </w:rPr>
        <w:t>）国内同类项目业绩表</w:t>
      </w:r>
    </w:p>
    <w:p w14:paraId="5CE72227">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注：中标公告将对中标人提交的第（</w:t>
      </w:r>
      <w:r>
        <w:rPr>
          <w:rFonts w:ascii="仿宋_GB2312" w:hAnsi="仿宋" w:eastAsia="仿宋_GB2312" w:cs="宋体"/>
          <w:b/>
          <w:color w:val="auto"/>
          <w:sz w:val="28"/>
          <w:szCs w:val="28"/>
          <w:highlight w:val="none"/>
        </w:rPr>
        <w:t>7</w:t>
      </w:r>
      <w:r>
        <w:rPr>
          <w:rFonts w:hint="eastAsia" w:ascii="仿宋_GB2312" w:hAnsi="仿宋" w:eastAsia="仿宋_GB2312" w:cs="宋体"/>
          <w:b/>
          <w:color w:val="auto"/>
          <w:sz w:val="28"/>
          <w:szCs w:val="28"/>
          <w:highlight w:val="none"/>
        </w:rPr>
        <w:t>）项一并予以公示。</w:t>
      </w:r>
    </w:p>
    <w:p w14:paraId="6EE5A2D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8</w:t>
      </w:r>
      <w:r>
        <w:rPr>
          <w:rFonts w:hint="eastAsia" w:ascii="仿宋_GB2312" w:hAnsi="仿宋" w:eastAsia="仿宋_GB2312" w:cs="宋体"/>
          <w:color w:val="auto"/>
          <w:sz w:val="28"/>
          <w:szCs w:val="28"/>
          <w:highlight w:val="none"/>
        </w:rPr>
        <w:t>）要求采购人提供的配合；</w:t>
      </w:r>
    </w:p>
    <w:p w14:paraId="2E06CBF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12.2数据文件（PDF格式）（第二册）</w:t>
      </w:r>
    </w:p>
    <w:p w14:paraId="7388678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6B34A38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（1）封面</w:t>
      </w:r>
    </w:p>
    <w:p w14:paraId="359D6BF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（2）投标报价表（含明细）</w:t>
      </w:r>
    </w:p>
    <w:p w14:paraId="66978C3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（3）需求响应表（如有）</w:t>
      </w:r>
    </w:p>
    <w:p w14:paraId="0EA3F71B">
      <w:pPr>
        <w:ind w:firstLine="560" w:firstLineChars="200"/>
        <w:rPr>
          <w:rFonts w:ascii="仿宋_GB2312" w:eastAsia="仿宋_GB2312"/>
          <w:color w:val="auto"/>
          <w:sz w:val="28"/>
          <w:szCs w:val="28"/>
          <w:highlight w:val="none"/>
        </w:rPr>
      </w:pPr>
      <w:r>
        <w:rPr>
          <w:rFonts w:hint="eastAsia" w:ascii="仿宋_GB2312" w:eastAsia="仿宋_GB2312"/>
          <w:color w:val="auto"/>
          <w:sz w:val="28"/>
          <w:szCs w:val="28"/>
          <w:highlight w:val="none"/>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58B255ED">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13.投标报价</w:t>
      </w:r>
    </w:p>
    <w:p w14:paraId="4C387EC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13.1投标人所提供的服务均以人民币报价，精确到小数点后两位。</w:t>
      </w:r>
    </w:p>
    <w:p w14:paraId="7C38477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13.2投标人应按照“第三章采购内容与要求”的服务内容、责任范围以及合同条款进行报价,并按数据文件中“投标报价表（含明细）”规定的格式报出分项价格和总价,并加盖电子公章。</w:t>
      </w:r>
    </w:p>
    <w:p w14:paraId="38AC964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《投标报价表（含明细）》填写时应响应下列要求：</w:t>
      </w:r>
    </w:p>
    <w:p w14:paraId="3B56686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（1）投标人须严格按照投标报价表（含明细）说明进行填写，报价明细表投标报价表（含明细）中“*”是必填项，任何必填项为空时都可能导致本次投标无效。</w:t>
      </w:r>
    </w:p>
    <w:p w14:paraId="0AD2855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（2）投标人应对本次招标的全部内容进行报价，缺项报价投标无效。如因投标人自身的原因报价失误而造成的损失，由投标人自行承担。</w:t>
      </w:r>
    </w:p>
    <w:p w14:paraId="3E359AD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投标报价包括完成该项目的一切费用总和，包括设备费、运输费、装卸费、保险费、技术培训费、设备安装费、调试费、售后服务费、国家规定的各项税费等全部费用，以人民币为结算单位。投标报价中免费提供的项目，应注明免费。所有根据合同或其它原因应由投标人支付的税款和其它应交纳的费用都要包括在投标人提交的报价中。</w:t>
      </w:r>
    </w:p>
    <w:p w14:paraId="2A9B24C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（4）投标报价表（含明细）中合价将由单价*数量自动计算，无需手工录入。</w:t>
      </w:r>
    </w:p>
    <w:p w14:paraId="3B2019C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（5）本次招标项目质保期见投标须知前附表或第3章。质保期大于招标文件要求的，投标人视投标需要提供制造商出具的质保函。</w:t>
      </w:r>
    </w:p>
    <w:p w14:paraId="2F94888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享受政府采购优惠政策的，需按招标文件要求在投标文件（第一册）中添加政府采购优惠政策证明文件，并在投标报价表（含明细）中对每个产品申报，填写对应页码。如政策要求是节能、环保产品，在投标文件（第一册）需提供节能、环保证书，数据文件填写对应页码，否则会因非实质性响应而被拒绝；如未要求，提供节能、环保编号可享受相关政策优惠。</w:t>
      </w:r>
    </w:p>
    <w:p w14:paraId="446C1272">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（7）未经检验的新产品、试制品不能参加投标。</w:t>
      </w:r>
    </w:p>
    <w:p w14:paraId="05488EF8">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（8）</w:t>
      </w:r>
      <w:r>
        <w:rPr>
          <w:rFonts w:hint="eastAsia" w:ascii="仿宋_GB2312" w:hAnsi="宋体" w:eastAsia="仿宋_GB2312"/>
          <w:color w:val="auto"/>
          <w:sz w:val="28"/>
          <w:szCs w:val="28"/>
          <w:highlight w:val="none"/>
        </w:rPr>
        <w:t>投标人的报价在合同执行过程中是固定不变的，不得以任何理由改变。所有价格折扣、优惠条件必须在报价明细表中注明，否则评审时不予认可。</w:t>
      </w:r>
    </w:p>
    <w:p w14:paraId="3C3553CB">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1</w:t>
      </w:r>
      <w:r>
        <w:rPr>
          <w:rFonts w:hint="eastAsia" w:ascii="仿宋_GB2312" w:hAnsi="仿宋" w:eastAsia="仿宋_GB2312" w:cs="宋体"/>
          <w:color w:val="auto"/>
          <w:sz w:val="28"/>
          <w:szCs w:val="28"/>
          <w:highlight w:val="none"/>
        </w:rPr>
        <w:t>3</w:t>
      </w:r>
      <w:r>
        <w:rPr>
          <w:rFonts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rPr>
        <w:t>4《</w:t>
      </w:r>
      <w:r>
        <w:rPr>
          <w:rFonts w:ascii="仿宋_GB2312" w:hAnsi="仿宋" w:eastAsia="仿宋_GB2312" w:cs="宋体"/>
          <w:color w:val="auto"/>
          <w:sz w:val="28"/>
          <w:szCs w:val="28"/>
          <w:highlight w:val="none"/>
        </w:rPr>
        <w:t>需求响应表</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（如有）填写时应响应下列要求：</w:t>
      </w:r>
    </w:p>
    <w:p w14:paraId="0D2A13C4">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（1）有底色标识的单元格须填写，有“*”的列是必输项，任何必输项为空都可能导致您的本次投标（响应）无效；</w:t>
      </w:r>
    </w:p>
    <w:p w14:paraId="0ED49164">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（2）如想拷贝数据到某个待填写单元格，应采用选择性粘贴(只粘贴文本)，否则单元格填写无效或被锁死；</w:t>
      </w:r>
    </w:p>
    <w:p w14:paraId="6D832552">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（3）当招标需求列的内容显示不完整时，请点击编辑栏进行查看；</w:t>
      </w:r>
    </w:p>
    <w:p w14:paraId="3433FD29">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（4）</w:t>
      </w:r>
      <w:r>
        <w:rPr>
          <w:rFonts w:hint="eastAsia" w:ascii="仿宋_GB2312" w:hAnsi="仿宋" w:eastAsia="仿宋_GB2312" w:cs="宋体"/>
          <w:b/>
          <w:color w:val="auto"/>
          <w:sz w:val="28"/>
          <w:szCs w:val="28"/>
          <w:highlight w:val="none"/>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color w:val="auto"/>
          <w:sz w:val="28"/>
          <w:szCs w:val="28"/>
          <w:highlight w:val="none"/>
        </w:rPr>
        <w:t>；若与投标（响应）文件中提供的产品检测报告（如有）、生产厂家出具的产品彩页等证明材料的实质性响应情况不一致，按</w:t>
      </w:r>
      <w:r>
        <w:rPr>
          <w:rFonts w:ascii="仿宋_GB2312" w:hAnsi="仿宋" w:eastAsia="仿宋_GB2312" w:cs="宋体"/>
          <w:b/>
          <w:color w:val="auto"/>
          <w:sz w:val="28"/>
          <w:szCs w:val="28"/>
          <w:highlight w:val="none"/>
        </w:rPr>
        <w:t>无效投标（响应）处理</w:t>
      </w:r>
      <w:r>
        <w:rPr>
          <w:rFonts w:ascii="仿宋_GB2312" w:hAnsi="仿宋" w:eastAsia="仿宋_GB2312" w:cs="宋体"/>
          <w:color w:val="auto"/>
          <w:sz w:val="28"/>
          <w:szCs w:val="28"/>
          <w:highlight w:val="none"/>
        </w:rPr>
        <w:t>。</w:t>
      </w:r>
    </w:p>
    <w:p w14:paraId="3ED3A8C0">
      <w:pPr>
        <w:spacing w:line="560" w:lineRule="exact"/>
        <w:ind w:firstLine="560" w:firstLineChars="200"/>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0783DC85">
      <w:pPr>
        <w:spacing w:line="560" w:lineRule="exact"/>
        <w:ind w:firstLine="562" w:firstLineChars="200"/>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（6）本次招标不允许投标人复制粘贴招标文件的技术要求作为其投标文件的响应情况。</w:t>
      </w:r>
    </w:p>
    <w:p w14:paraId="1ED52069">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14.联合体投标</w:t>
      </w:r>
    </w:p>
    <w:p w14:paraId="3F8AD62C">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本项目不接受联合体投标详见《投标须知前附表》。</w:t>
      </w:r>
    </w:p>
    <w:p w14:paraId="0B7AC2FC">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15.关于分包</w:t>
      </w:r>
    </w:p>
    <w:p w14:paraId="739D9D4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投标人拟将成交项目的非主体、非关键性工作分包的，应当在投标文件中载明分包承担主体，分包承担主体应当具备相应资质条件且不得再次分包。</w:t>
      </w:r>
    </w:p>
    <w:p w14:paraId="0734AE3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投标人应当就分包项目向采购人负责，分包承担主体就分包项目承担责任。</w:t>
      </w:r>
    </w:p>
    <w:p w14:paraId="310BFEB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16.现场踏勘</w:t>
      </w:r>
    </w:p>
    <w:p w14:paraId="3904A9C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16.1</w:t>
      </w:r>
      <w:r>
        <w:rPr>
          <w:rFonts w:hint="eastAsia" w:ascii="仿宋_GB2312" w:hAnsi="仿宋" w:eastAsia="仿宋_GB2312" w:cs="宋体"/>
          <w:color w:val="auto"/>
          <w:sz w:val="28"/>
          <w:szCs w:val="28"/>
          <w:highlight w:val="none"/>
          <w:u w:val="single"/>
        </w:rPr>
        <w:t>投标须知前附表中</w:t>
      </w:r>
      <w:r>
        <w:rPr>
          <w:rFonts w:hint="eastAsia" w:ascii="仿宋_GB2312" w:hAnsi="仿宋" w:eastAsia="仿宋_GB2312" w:cs="宋体"/>
          <w:color w:val="auto"/>
          <w:sz w:val="28"/>
          <w:szCs w:val="28"/>
          <w:highlight w:val="none"/>
        </w:rPr>
        <w:t>规定组织踏勘现场的，采购人按规定的时间、地点组织投标人踏勘项目现场，踏勘现场所发生的费用由投标人承担。</w:t>
      </w:r>
    </w:p>
    <w:p w14:paraId="2DC41EB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16.2采购人向投标人提供的有关现场的资料和数据，是采购人现有的能使投标人利用的资料，采购人对投标人由此而做出的推论、理解和结论概不负责。</w:t>
      </w:r>
    </w:p>
    <w:p w14:paraId="6987886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45BE026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00B8CC7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16.5未参与现场踏勘不作为否定投标人资格的理由。</w:t>
      </w:r>
    </w:p>
    <w:p w14:paraId="78F8E449">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17.投标的有效期</w:t>
      </w:r>
    </w:p>
    <w:p w14:paraId="32FFC5C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17.1投标应在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中规定时间内保持有效。投标有效期不满足要求的投标，其投标将被认定为</w:t>
      </w:r>
      <w:r>
        <w:rPr>
          <w:rFonts w:hint="eastAsia" w:ascii="仿宋_GB2312" w:hAnsi="仿宋" w:eastAsia="仿宋_GB2312" w:cs="宋体"/>
          <w:b/>
          <w:color w:val="auto"/>
          <w:sz w:val="28"/>
          <w:szCs w:val="28"/>
          <w:highlight w:val="none"/>
        </w:rPr>
        <w:t>投标无效</w:t>
      </w:r>
      <w:r>
        <w:rPr>
          <w:rFonts w:hint="eastAsia" w:ascii="仿宋_GB2312" w:hAnsi="仿宋" w:eastAsia="仿宋_GB2312" w:cs="宋体"/>
          <w:color w:val="auto"/>
          <w:sz w:val="28"/>
          <w:szCs w:val="28"/>
          <w:highlight w:val="none"/>
        </w:rPr>
        <w:t>。</w:t>
      </w:r>
    </w:p>
    <w:p w14:paraId="25B3528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17.2特殊情况下，在投标有效期满之前，</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可以要求投标人延长投标有效期，投标人可以书面形式拒绝或接受上述要求。同意延长投标有效期的投标人不得修改投标文件的实质性内容。</w:t>
      </w:r>
    </w:p>
    <w:p w14:paraId="6D1B0FA6">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1</w:t>
      </w:r>
      <w:r>
        <w:rPr>
          <w:rFonts w:hint="eastAsia" w:ascii="楷体_GB2312" w:hAnsi="仿宋" w:eastAsia="楷体_GB2312" w:cs="宋体"/>
          <w:b/>
          <w:color w:val="auto"/>
          <w:sz w:val="28"/>
          <w:szCs w:val="28"/>
          <w:highlight w:val="none"/>
        </w:rPr>
        <w:t>8.投标保证金</w:t>
      </w:r>
    </w:p>
    <w:p w14:paraId="1AC99673">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本项目不收取投标保证金</w:t>
      </w:r>
      <w:r>
        <w:rPr>
          <w:rFonts w:ascii="仿宋_GB2312" w:hAnsi="仿宋" w:eastAsia="仿宋_GB2312" w:cs="宋体"/>
          <w:color w:val="auto"/>
          <w:sz w:val="28"/>
          <w:szCs w:val="28"/>
          <w:highlight w:val="none"/>
        </w:rPr>
        <w:t>。</w:t>
      </w:r>
    </w:p>
    <w:p w14:paraId="4082B888">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19.投标文件的数量和签署</w:t>
      </w:r>
    </w:p>
    <w:p w14:paraId="0CCE8E7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19.1投标文件（PDF格式）（第一册）1份</w:t>
      </w:r>
    </w:p>
    <w:p w14:paraId="1BDE692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19.1.1投标人应使用带电子签章功能的CA锁对投标文件须盖章或签名的部位加盖电子印章（单位电子公章、法定代表人电子人名章），电子印章与实物印章具有同等法律效力。</w:t>
      </w:r>
    </w:p>
    <w:p w14:paraId="3FA815C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文件上加盖电子印章并保存到本地计算机，加盖了电子印章的</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文件即为最终的投标文件。</w:t>
      </w:r>
    </w:p>
    <w:p w14:paraId="196FBFE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19.1.3文件中要求法定代表人签字或签章的须加盖法定代表人电子人名章。</w:t>
      </w:r>
    </w:p>
    <w:p w14:paraId="3820C3D6">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19.1.4</w:t>
      </w:r>
      <w:r>
        <w:rPr>
          <w:rFonts w:hint="eastAsia" w:ascii="仿宋_GB2312" w:hAnsi="宋体" w:eastAsia="仿宋_GB2312"/>
          <w:color w:val="auto"/>
          <w:sz w:val="28"/>
          <w:szCs w:val="28"/>
          <w:highlight w:val="none"/>
        </w:rPr>
        <w:t>须被授权人签字的，被授权人又无电子章，在</w:t>
      </w:r>
      <w:r>
        <w:rPr>
          <w:rFonts w:hint="eastAsia" w:ascii="仿宋_GB2312" w:hAnsi="仿宋" w:eastAsia="仿宋_GB2312" w:cs="宋体"/>
          <w:color w:val="auto"/>
          <w:sz w:val="28"/>
          <w:szCs w:val="28"/>
          <w:highlight w:val="none"/>
        </w:rPr>
        <w:t>WORD</w:t>
      </w:r>
      <w:r>
        <w:rPr>
          <w:rFonts w:hint="eastAsia" w:ascii="仿宋_GB2312" w:hAnsi="宋体" w:eastAsia="仿宋_GB2312"/>
          <w:color w:val="auto"/>
          <w:sz w:val="28"/>
          <w:szCs w:val="28"/>
          <w:highlight w:val="none"/>
        </w:rPr>
        <w:t>编制时可将被授权人手写签字扫描后的图片粘贴到投标文件中对应位置，并加盖单位电子公章。</w:t>
      </w:r>
    </w:p>
    <w:p w14:paraId="53F93B3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19.1.5可使用系统的批量盖章功能快速签章。但须浏览检查并注意印章重叠及完整性。</w:t>
      </w:r>
    </w:p>
    <w:p w14:paraId="7786686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19.1.6采用扫描粘贴投标人公章或扫描法定代表人人名章而不加盖单位电子公章的为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166C3FB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19.2数据文件（PDF格式）（第二册）1份</w:t>
      </w:r>
    </w:p>
    <w:p w14:paraId="3C00476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3AEFE06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19.2.2</w:t>
      </w:r>
      <w:r>
        <w:rPr>
          <w:rFonts w:hint="eastAsia" w:ascii="仿宋_GB2312" w:hAnsi="宋体" w:eastAsia="仿宋_GB2312"/>
          <w:color w:val="auto"/>
          <w:sz w:val="28"/>
          <w:szCs w:val="28"/>
          <w:highlight w:val="none"/>
        </w:rPr>
        <w:t>文件中要求法定代表人签字或签章的须加盖法定代表人电子人名章。</w:t>
      </w:r>
    </w:p>
    <w:p w14:paraId="0A69EC6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19.2.3采用扫描粘贴投标人公章或法定代表人人名章的为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7789D923">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四、投标文件的递交</w:t>
      </w:r>
    </w:p>
    <w:p w14:paraId="1ECD16DC">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20.投标文件的密封和标记</w:t>
      </w:r>
    </w:p>
    <w:p w14:paraId="76DAFB75">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20.1电子投标文件的密封和标记</w:t>
      </w:r>
    </w:p>
    <w:p w14:paraId="333152E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6D814212">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20.2资质证明文件原件的密封和标记</w:t>
      </w:r>
    </w:p>
    <w:p w14:paraId="1ED39812">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本项目不收取资质证明文件原件。</w:t>
      </w:r>
    </w:p>
    <w:p w14:paraId="5F6A50DC">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20.3文件递交</w:t>
      </w:r>
    </w:p>
    <w:p w14:paraId="7CB9E12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20.3.1投标人应在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color w:val="auto"/>
          <w:sz w:val="28"/>
          <w:szCs w:val="28"/>
          <w:highlight w:val="none"/>
        </w:rPr>
        <w:t>其投标将会被判定为无效。</w:t>
      </w:r>
    </w:p>
    <w:p w14:paraId="0BD2106C">
      <w:pPr>
        <w:spacing w:line="560" w:lineRule="exact"/>
        <w:ind w:firstLine="565" w:firstLineChars="201"/>
        <w:rPr>
          <w:rFonts w:ascii="仿宋_GB2312" w:hAnsi="仿宋" w:eastAsia="仿宋_GB2312" w:cs="宋体"/>
          <w:color w:val="auto"/>
          <w:sz w:val="28"/>
          <w:szCs w:val="28"/>
          <w:highlight w:val="none"/>
        </w:rPr>
      </w:pPr>
      <w:r>
        <w:rPr>
          <w:rFonts w:hint="eastAsia" w:ascii="仿宋_GB2312" w:hAnsi="仿宋" w:eastAsia="仿宋_GB2312" w:cs="宋体"/>
          <w:b/>
          <w:color w:val="auto"/>
          <w:sz w:val="28"/>
          <w:szCs w:val="28"/>
          <w:highlight w:val="none"/>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5B772FC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20.3.3除</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另有规定，</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拒绝接收纸质投标文件。</w:t>
      </w:r>
    </w:p>
    <w:p w14:paraId="5EF3EA7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20.3.4投标人应将网上递交的已盖章未加密的数据文件和投标文件谨慎保存备份，以便启动应急开标程序时备案使用。</w:t>
      </w:r>
    </w:p>
    <w:p w14:paraId="0224F228">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21.投标截止期</w:t>
      </w:r>
    </w:p>
    <w:p w14:paraId="6A602C16">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本次招标的投标截止期见</w:t>
      </w:r>
      <w:r>
        <w:rPr>
          <w:rFonts w:hint="eastAsia" w:ascii="仿宋_GB2312" w:hAnsi="仿宋" w:eastAsia="仿宋_GB2312" w:cs="宋体"/>
          <w:b/>
          <w:color w:val="auto"/>
          <w:sz w:val="28"/>
          <w:szCs w:val="28"/>
          <w:highlight w:val="none"/>
          <w:u w:val="single"/>
        </w:rPr>
        <w:t>投标须知前附表</w:t>
      </w:r>
      <w:r>
        <w:rPr>
          <w:rFonts w:hint="eastAsia" w:ascii="仿宋_GB2312" w:hAnsi="仿宋" w:eastAsia="仿宋_GB2312" w:cs="宋体"/>
          <w:b/>
          <w:color w:val="auto"/>
          <w:sz w:val="28"/>
          <w:szCs w:val="28"/>
          <w:highlight w:val="none"/>
        </w:rPr>
        <w:t>。</w:t>
      </w:r>
    </w:p>
    <w:p w14:paraId="5E86669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zh-CN"/>
        </w:rPr>
        <w:t>采购人和</w:t>
      </w:r>
      <w:r>
        <w:rPr>
          <w:rFonts w:ascii="仿宋_GB2312" w:hAnsi="仿宋" w:eastAsia="仿宋_GB2312" w:cs="宋体"/>
          <w:color w:val="auto"/>
          <w:sz w:val="28"/>
          <w:szCs w:val="28"/>
          <w:highlight w:val="none"/>
          <w:lang w:val="zh-CN"/>
        </w:rPr>
        <w:t>采购代理机构</w:t>
      </w:r>
      <w:r>
        <w:rPr>
          <w:rFonts w:hint="eastAsia" w:ascii="仿宋_GB2312" w:hAnsi="仿宋" w:eastAsia="仿宋_GB2312" w:cs="宋体"/>
          <w:color w:val="auto"/>
          <w:sz w:val="28"/>
          <w:szCs w:val="28"/>
          <w:highlight w:val="none"/>
          <w:lang w:val="zh-CN"/>
        </w:rPr>
        <w:t>有权按本须知的规定，延迟投标截止时间。在此情况下，采购人、</w:t>
      </w:r>
      <w:r>
        <w:rPr>
          <w:rFonts w:ascii="仿宋_GB2312" w:hAnsi="仿宋" w:eastAsia="仿宋_GB2312" w:cs="宋体"/>
          <w:color w:val="auto"/>
          <w:sz w:val="28"/>
          <w:szCs w:val="28"/>
          <w:highlight w:val="none"/>
          <w:lang w:val="zh-CN"/>
        </w:rPr>
        <w:t>采购代理机构</w:t>
      </w:r>
      <w:r>
        <w:rPr>
          <w:rFonts w:hint="eastAsia" w:ascii="仿宋_GB2312" w:hAnsi="仿宋" w:eastAsia="仿宋_GB2312" w:cs="宋体"/>
          <w:color w:val="auto"/>
          <w:sz w:val="28"/>
          <w:szCs w:val="28"/>
          <w:highlight w:val="none"/>
          <w:lang w:val="zh-CN"/>
        </w:rPr>
        <w:t>和投标人受投标截止时间制约的所有权利和义务均应延长至新的截止时间。</w:t>
      </w:r>
    </w:p>
    <w:p w14:paraId="05122B2D">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22.迟交的投标文件</w:t>
      </w:r>
    </w:p>
    <w:p w14:paraId="6317CF3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威海市国有企业阳光采购电子化服务平台无法接收投标截止期后递交的电子投标文件。</w:t>
      </w:r>
    </w:p>
    <w:p w14:paraId="217AF731">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23.</w:t>
      </w:r>
      <w:r>
        <w:rPr>
          <w:rFonts w:hint="eastAsia" w:ascii="楷体_GB2312" w:hAnsi="宋体" w:eastAsia="楷体_GB2312"/>
          <w:b/>
          <w:color w:val="auto"/>
          <w:sz w:val="28"/>
          <w:szCs w:val="28"/>
          <w:highlight w:val="none"/>
        </w:rPr>
        <w:t>现场演示</w:t>
      </w:r>
      <w:r>
        <w:rPr>
          <w:rFonts w:ascii="楷体_GB2312" w:hAnsi="宋体" w:eastAsia="楷体_GB2312"/>
          <w:b/>
          <w:color w:val="auto"/>
          <w:sz w:val="28"/>
          <w:szCs w:val="28"/>
          <w:highlight w:val="none"/>
        </w:rPr>
        <w:t>/</w:t>
      </w:r>
      <w:r>
        <w:rPr>
          <w:rFonts w:hint="eastAsia" w:ascii="楷体_GB2312" w:hAnsi="宋体" w:eastAsia="楷体_GB2312"/>
          <w:b/>
          <w:color w:val="auto"/>
          <w:sz w:val="28"/>
          <w:szCs w:val="28"/>
          <w:highlight w:val="none"/>
        </w:rPr>
        <w:t>样品递交</w:t>
      </w:r>
    </w:p>
    <w:p w14:paraId="3FF230FC">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23.1采购人可以要求投标人对其提供的信息化、自动化等相关类别服务进行演示。</w:t>
      </w:r>
      <w:r>
        <w:rPr>
          <w:rFonts w:hint="eastAsia" w:ascii="仿宋_GB2312" w:hAnsi="仿宋" w:eastAsia="仿宋_GB2312" w:cs="宋体"/>
          <w:color w:val="auto"/>
          <w:sz w:val="28"/>
          <w:szCs w:val="28"/>
          <w:highlight w:val="none"/>
        </w:rPr>
        <w:t>投标人可以到现场演示，也可以使用系统“网上评标”中的“谈判”功能与评标专家进行远程演示。</w:t>
      </w:r>
    </w:p>
    <w:p w14:paraId="5022AB71">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23.2若服务项目涉及货物时，采购人可以要求投标人提供样品，样品作为投标文件的一部分。未中标人提供的样品将于评审结束后退还。中标人的样品由采购人保留，作为验收的依据。</w:t>
      </w:r>
    </w:p>
    <w:p w14:paraId="6E38F134">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本项目投标人无需</w:t>
      </w:r>
      <w:r>
        <w:rPr>
          <w:rFonts w:hint="eastAsia" w:ascii="仿宋_GB2312" w:hAnsi="宋体" w:eastAsia="仿宋_GB2312"/>
          <w:b/>
          <w:color w:val="auto"/>
          <w:sz w:val="28"/>
          <w:szCs w:val="28"/>
          <w:highlight w:val="none"/>
        </w:rPr>
        <w:t>提供演示/提交样品</w:t>
      </w:r>
      <w:r>
        <w:rPr>
          <w:rFonts w:hint="eastAsia" w:ascii="仿宋_GB2312" w:hAnsi="仿宋" w:eastAsia="仿宋_GB2312" w:cs="宋体"/>
          <w:b/>
          <w:color w:val="auto"/>
          <w:sz w:val="28"/>
          <w:szCs w:val="28"/>
          <w:highlight w:val="none"/>
        </w:rPr>
        <w:t>，详见</w:t>
      </w:r>
      <w:r>
        <w:rPr>
          <w:rFonts w:hint="eastAsia" w:ascii="仿宋_GB2312" w:hAnsi="仿宋" w:eastAsia="仿宋_GB2312" w:cs="宋体"/>
          <w:b/>
          <w:color w:val="auto"/>
          <w:sz w:val="28"/>
          <w:szCs w:val="28"/>
          <w:highlight w:val="none"/>
          <w:u w:val="single"/>
        </w:rPr>
        <w:t>投标须知前附表</w:t>
      </w:r>
      <w:r>
        <w:rPr>
          <w:rFonts w:hint="eastAsia" w:ascii="仿宋_GB2312" w:hAnsi="仿宋" w:eastAsia="仿宋_GB2312" w:cs="宋体"/>
          <w:b/>
          <w:color w:val="auto"/>
          <w:sz w:val="28"/>
          <w:szCs w:val="28"/>
          <w:highlight w:val="none"/>
        </w:rPr>
        <w:t>的规定。</w:t>
      </w:r>
    </w:p>
    <w:p w14:paraId="0DD59CE1">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24.投标文件的修改和撤回</w:t>
      </w:r>
    </w:p>
    <w:p w14:paraId="3CC49B4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24.1投标人必须在规定的投标截止期之前将修改的投标文件和数据文件上传到威海市国有企业阳光采购电子化服务平台,在投标截止期之后，投标人不得对其投标文件做任何修改。</w:t>
      </w:r>
    </w:p>
    <w:p w14:paraId="5CB7A04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24.2投标人在递交投标文件后，可以在投标截止期之前撤回其投标。</w:t>
      </w:r>
    </w:p>
    <w:p w14:paraId="21503B4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24.3开标后不允许对投标文件做实质性修改和补充，不得撤回投标文件。</w:t>
      </w:r>
    </w:p>
    <w:p w14:paraId="4623DE31">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五、开标与评审</w:t>
      </w:r>
    </w:p>
    <w:p w14:paraId="4C6BCDE0">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25.开标</w:t>
      </w:r>
    </w:p>
    <w:p w14:paraId="73DA8C9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25.1投标截止时间结束后，投标人不足3家的不得开标。</w:t>
      </w:r>
    </w:p>
    <w:p w14:paraId="2606442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25.2</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15CD0EE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color w:val="auto"/>
          <w:sz w:val="28"/>
          <w:szCs w:val="28"/>
          <w:highlight w:val="none"/>
        </w:rPr>
        <w:t>视作</w:t>
      </w:r>
      <w:r>
        <w:rPr>
          <w:rFonts w:hint="eastAsia" w:ascii="仿宋_GB2312" w:hAnsi="仿宋" w:eastAsia="仿宋_GB2312" w:cs="宋体"/>
          <w:color w:val="auto"/>
          <w:sz w:val="28"/>
          <w:szCs w:val="28"/>
          <w:highlight w:val="none"/>
        </w:rPr>
        <w:t>认同开标结果。</w:t>
      </w:r>
    </w:p>
    <w:p w14:paraId="5D188A2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4BD87EB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25.5开标过程应当由采购人或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负责记录，最终形成开标一览表并由各投标人代表和相关工作人员签字或盖章确认。</w:t>
      </w:r>
    </w:p>
    <w:p w14:paraId="125B13A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25.6投标人代表对开标过程和开标记录有疑义，以及认为采购人、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相关工作人员有需要回避的情形的，应当场提出询问或者回避申请。采购人、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对投标人代表提出的询问或者回避申请应当及时处理。</w:t>
      </w:r>
    </w:p>
    <w:p w14:paraId="3F34A1C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25.7录音、录像：威海市公共资源交易中心乳山分中心负责从递交投标文件开始到定标结束全过程的录音、录像工作，确保声音清楚、图像清晰、内容无遗漏。</w:t>
      </w:r>
    </w:p>
    <w:p w14:paraId="4514D51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25.8评审过程中，如遇特殊情况，服从威海市公共资源交易中心乳山分中心场地调配，并遵守相关规章制度。</w:t>
      </w:r>
    </w:p>
    <w:p w14:paraId="1E54FA7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25.9对投标文件报价出现前后不一致的，按以下规定修正：</w:t>
      </w:r>
    </w:p>
    <w:p w14:paraId="6E3C783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（1）“投标（报价）一览表”的报价与“报价明细表”的报价不一致的，以“投标（报价）一览表”的报价为准；</w:t>
      </w:r>
    </w:p>
    <w:p w14:paraId="7FA4C3F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（2）大写金额和小写金额不一致的，以大写金额为准；</w:t>
      </w:r>
    </w:p>
    <w:p w14:paraId="03B12A3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（3）单价金额小数点或者百分比有明显错位的，以投标（报价）一览表的总价为准，并修改单价。</w:t>
      </w:r>
    </w:p>
    <w:p w14:paraId="6D94F17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（4）总价金额与按单价汇总金额不一致的，以单价金额计算结果为准。</w:t>
      </w:r>
    </w:p>
    <w:p w14:paraId="4417ECF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（5）同时出现两种以上不一致的，按照前款规定的顺序修正。修正后的报价经投标人确认后产生约束力，投标人不确认的，其投标</w:t>
      </w:r>
      <w:r>
        <w:rPr>
          <w:rFonts w:hint="eastAsia" w:ascii="仿宋_GB2312" w:hAnsi="仿宋" w:eastAsia="仿宋_GB2312" w:cs="宋体"/>
          <w:b/>
          <w:color w:val="auto"/>
          <w:sz w:val="28"/>
          <w:szCs w:val="28"/>
          <w:highlight w:val="none"/>
        </w:rPr>
        <w:t>无效</w:t>
      </w:r>
      <w:r>
        <w:rPr>
          <w:rFonts w:hint="eastAsia" w:ascii="仿宋_GB2312" w:hAnsi="仿宋" w:eastAsia="仿宋_GB2312" w:cs="宋体"/>
          <w:color w:val="auto"/>
          <w:sz w:val="28"/>
          <w:szCs w:val="28"/>
          <w:highlight w:val="none"/>
        </w:rPr>
        <w:t>。</w:t>
      </w:r>
    </w:p>
    <w:p w14:paraId="25B09FD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25.10开标程序</w:t>
      </w:r>
    </w:p>
    <w:p w14:paraId="03B66D2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25.10.1签到：在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规定的时间完成签到。</w:t>
      </w:r>
    </w:p>
    <w:p w14:paraId="40EC5DB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25.10.2开标：工作人员在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规定的开标时间启动开标。</w:t>
      </w:r>
    </w:p>
    <w:p w14:paraId="17CB44F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25.10.3解密：开标后工作人员启动开始解密指令，投标人开始输入解密密码，解密时间到后工作人员启动停止解密指令。</w:t>
      </w:r>
    </w:p>
    <w:p w14:paraId="0B983876">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5DAE4EE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color w:val="auto"/>
          <w:sz w:val="28"/>
          <w:szCs w:val="28"/>
          <w:highlight w:val="none"/>
        </w:rPr>
        <w:t>视为</w:t>
      </w:r>
      <w:r>
        <w:rPr>
          <w:rFonts w:hint="eastAsia" w:ascii="仿宋_GB2312" w:hAnsi="仿宋" w:eastAsia="仿宋_GB2312" w:cs="宋体"/>
          <w:color w:val="auto"/>
          <w:sz w:val="28"/>
          <w:szCs w:val="28"/>
          <w:highlight w:val="none"/>
        </w:rPr>
        <w:t>其对开标一览表中所载内容无疑议。</w:t>
      </w:r>
    </w:p>
    <w:p w14:paraId="19165C6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25.10.5投标人可使用电子交易系统“网上开标”中的“看直播”功能参与开标程序。</w:t>
      </w:r>
    </w:p>
    <w:p w14:paraId="38F7698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25.11应急开标程序</w:t>
      </w:r>
    </w:p>
    <w:p w14:paraId="2C56078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电子开标过程中如出现下列情况，导致系统无法正常运行，或者无法保证开标过程的公平、公正和信息安全时，经与行政监督部门沟通后可启动应急开标程序。</w:t>
      </w:r>
    </w:p>
    <w:p w14:paraId="6ADCC40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（1）系统服务器发生故障，无法访问或无法使用系统；</w:t>
      </w:r>
    </w:p>
    <w:p w14:paraId="4595466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（2）系统的软件或数据库出现错误，不能进行正常操作；</w:t>
      </w:r>
    </w:p>
    <w:p w14:paraId="0622186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（3）系统发现有安全漏洞，有潜在的泄密危险；</w:t>
      </w:r>
    </w:p>
    <w:p w14:paraId="7AE5A2C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（4）病毒发作或受到外来病毒的攻击；</w:t>
      </w:r>
    </w:p>
    <w:p w14:paraId="13B2CAA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（5）其他无法保证开标过程公平、公正和信息安全的情形。</w:t>
      </w:r>
    </w:p>
    <w:p w14:paraId="2BB7AA7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应急开标程序包括：</w:t>
      </w:r>
    </w:p>
    <w:p w14:paraId="646F693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（1）对</w:t>
      </w:r>
      <w:r>
        <w:rPr>
          <w:rFonts w:ascii="仿宋_GB2312" w:hAnsi="仿宋" w:eastAsia="仿宋_GB2312" w:cs="宋体"/>
          <w:color w:val="auto"/>
          <w:sz w:val="28"/>
          <w:szCs w:val="28"/>
          <w:highlight w:val="none"/>
        </w:rPr>
        <w:t>未在系统中开标的可暂停开标</w:t>
      </w:r>
      <w:r>
        <w:rPr>
          <w:rFonts w:hint="eastAsia" w:ascii="仿宋_GB2312" w:hAnsi="仿宋" w:eastAsia="仿宋_GB2312" w:cs="宋体"/>
          <w:color w:val="auto"/>
          <w:sz w:val="28"/>
          <w:szCs w:val="28"/>
          <w:highlight w:val="none"/>
        </w:rPr>
        <w:t>；</w:t>
      </w:r>
    </w:p>
    <w:p w14:paraId="77D72E93">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（2）对已在系统中开标的应停止，等待系统恢复正常后再组织进行开标。</w:t>
      </w:r>
    </w:p>
    <w:p w14:paraId="419D164F">
      <w:pPr>
        <w:spacing w:line="560" w:lineRule="exact"/>
        <w:ind w:firstLine="562" w:firstLineChars="201"/>
        <w:rPr>
          <w:rFonts w:ascii="仿宋_GB2312" w:hAnsi="仿宋" w:eastAsia="仿宋_GB2312" w:cs="宋体"/>
          <w:b/>
          <w:color w:val="auto"/>
          <w:sz w:val="28"/>
          <w:szCs w:val="28"/>
          <w:highlight w:val="none"/>
        </w:rPr>
      </w:pPr>
      <w:r>
        <w:rPr>
          <w:rFonts w:hint="eastAsia" w:ascii="仿宋_GB2312" w:hAnsi="仿宋" w:eastAsia="仿宋_GB2312" w:cs="宋体"/>
          <w:color w:val="auto"/>
          <w:sz w:val="28"/>
          <w:szCs w:val="28"/>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color w:val="auto"/>
          <w:sz w:val="28"/>
          <w:szCs w:val="28"/>
          <w:highlight w:val="none"/>
        </w:rPr>
        <w:t>无效投标（响应）处理。</w:t>
      </w:r>
    </w:p>
    <w:p w14:paraId="7E82F78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347FBEA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25.12应急开标电子邮件递交规定</w:t>
      </w:r>
    </w:p>
    <w:p w14:paraId="1FF448F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接收电子邮箱：rstprea@163.com</w:t>
      </w:r>
    </w:p>
    <w:p w14:paraId="7A7AC70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递交时间：以电子邮件或电话通知的时间为准；</w:t>
      </w:r>
    </w:p>
    <w:p w14:paraId="4322313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邮件数量：一封；</w:t>
      </w:r>
    </w:p>
    <w:p w14:paraId="1EF0D44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邮件主题：项目编号、投标人名称；</w:t>
      </w:r>
    </w:p>
    <w:p w14:paraId="027C54B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035C085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25.13启动电子邮件开标流程</w:t>
      </w:r>
    </w:p>
    <w:p w14:paraId="785B1D7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工作人员电话通知所有投标人启动应急开标程序；</w:t>
      </w:r>
    </w:p>
    <w:p w14:paraId="1A67236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投标人收到通知后在规定时间内通过电子邮件递交投标文件（在非应急开标期间</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不接受、不处理任何通过电子邮件提交的投标文件）；</w:t>
      </w:r>
    </w:p>
    <w:p w14:paraId="1D048ED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递交截止时间到，工作人员开始下载投标文件，将投标报价形成开标报告并邮件回复各投标人；</w:t>
      </w:r>
    </w:p>
    <w:p w14:paraId="3F4805D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投标人确认报价并邮件回复，不及时回复的视为对开标报告的内容无异议。</w:t>
      </w:r>
    </w:p>
    <w:p w14:paraId="1C1A5675">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26.评标委员会的组成和评标方法</w:t>
      </w:r>
    </w:p>
    <w:p w14:paraId="2169890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26.1</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color w:val="auto"/>
          <w:sz w:val="28"/>
          <w:szCs w:val="28"/>
          <w:highlight w:val="none"/>
        </w:rPr>
        <w:t>情况特殊，通过随机方式难以确定合适的评审专家的项目，经主管部门同意，可以自行选定评审专家。</w:t>
      </w:r>
    </w:p>
    <w:p w14:paraId="4B23362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26.2采购人员及相关人员与</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工作人员离职或退休不满三年的，不能作为专家参加评标工作。</w:t>
      </w:r>
    </w:p>
    <w:p w14:paraId="45818E8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26.3评标委员会成员职责：</w:t>
      </w:r>
    </w:p>
    <w:p w14:paraId="0664B8B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（1）评标前，评标委员会成员应当主动确认与投标人及其制造商是否有利害关系。如有利害关系应当主动回避，如无利害关系，应当在含有相关内容的《无利害关系声明》上签字；</w:t>
      </w:r>
    </w:p>
    <w:p w14:paraId="2DB9651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（2）按照招标文件中确定的评标办法，对投标文件的内容进行评审，并对评审结果承担责任；</w:t>
      </w:r>
    </w:p>
    <w:p w14:paraId="02CF89E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（3）对评标过程和结果，以及投标人的商业秘密进行保密；</w:t>
      </w:r>
    </w:p>
    <w:p w14:paraId="16FA36D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（4）在评标委员会集体起草的评标报告上签字；</w:t>
      </w:r>
    </w:p>
    <w:p w14:paraId="1EC3228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（5）配合</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答复投标人质疑；</w:t>
      </w:r>
    </w:p>
    <w:p w14:paraId="71DD500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（6）配合主管部门处理投标人投诉；</w:t>
      </w:r>
    </w:p>
    <w:p w14:paraId="5E14B0A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（7）向主管部门反映评标工作中的问题，提出意见和建议。</w:t>
      </w:r>
    </w:p>
    <w:p w14:paraId="52974E1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26.4评标委员会集体职责：</w:t>
      </w:r>
    </w:p>
    <w:p w14:paraId="08BE8FE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696C6FB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（2）配合采购人和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答复投标人的质疑；</w:t>
      </w:r>
    </w:p>
    <w:p w14:paraId="0294F84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（3）配合主管部门做好投诉处理工作；</w:t>
      </w:r>
    </w:p>
    <w:p w14:paraId="1C0B52F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（4）必要时，向投标人解释评标结果；</w:t>
      </w:r>
    </w:p>
    <w:p w14:paraId="53C56C0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（5）向主管部门或者有关部门报告非法干预评标工作的行为。</w:t>
      </w:r>
    </w:p>
    <w:p w14:paraId="51BD165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26.5</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或采购人的职责：</w:t>
      </w:r>
    </w:p>
    <w:p w14:paraId="1A0DA6E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（1）核对评审专家身份和采购人委托授权，对评审专家在政府采购活动中的职责履行情况予以记录，并及时将有关违法违规行为向主管部门报告；</w:t>
      </w:r>
    </w:p>
    <w:p w14:paraId="32F546E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（2）宣布评标纪律；</w:t>
      </w:r>
    </w:p>
    <w:p w14:paraId="7BE2FB2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（3）公布投标人名单，告知评审专家应当回避的情形；</w:t>
      </w:r>
    </w:p>
    <w:p w14:paraId="3453288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（4）组织评标委员会推选评标组长，采购人代表不得担任组长；</w:t>
      </w:r>
    </w:p>
    <w:p w14:paraId="30AFBB1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（5）在评标期间采取必要的通讯管理措施，保证评标活动不受外界干扰；</w:t>
      </w:r>
    </w:p>
    <w:p w14:paraId="40F6842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（6）根据评标委员会的要求介绍政府采购相关政策法规、招标文件；</w:t>
      </w:r>
    </w:p>
    <w:p w14:paraId="5369640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（7）维护评标秩序，监督评标委员会依照招标文件规定的评标程序、方法和标准进行独立评审，及时制止和纠正采购人代表、评审专家的倾向性言论或者违法违规行为；</w:t>
      </w:r>
    </w:p>
    <w:p w14:paraId="7C9A550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（8）核对评标结果，要求评标委员会复核或者书面说明理由，评标委员会拒绝的，应予记录并向主管部门报告；</w:t>
      </w:r>
    </w:p>
    <w:p w14:paraId="1BCD13C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（9）评审工作完成后，按照规定向评审专家支付劳务报酬和异地评审差旅费，不得向评审专家以外的其他人员支付评审劳务报酬；</w:t>
      </w:r>
    </w:p>
    <w:p w14:paraId="36AF036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（10）处理与评标有关的其他事项。</w:t>
      </w:r>
    </w:p>
    <w:p w14:paraId="2A833E5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采购人可以在评标前说明项目背景和采购需求，说明内容不得含有歧视性、倾向性意见，不得超出招标文件所述范围。说明应当提交书面材料，并随采购文件一并存档。</w:t>
      </w:r>
    </w:p>
    <w:p w14:paraId="56D65ED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26.6评标委员会采用集中办公、封闭方式进行评审。评标前，</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工作人员向评标委员会成员宣布评标纪律和工作规则。评标委员会成员签署《无利害关系声明表》，并遵照执行。</w:t>
      </w:r>
    </w:p>
    <w:p w14:paraId="7A34BE8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26.7评标委员会成员对与自己有利害关系的评标项目应当主动提出回避。</w:t>
      </w:r>
    </w:p>
    <w:p w14:paraId="1313883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26.8评标委员会将按照招标文件确定的评标原则和方法进行评标。采购人对投标人进行资格性审查，评标委员会对投标文件的评审内容分为符合性审查、商务评议、技术评议和价格评议。</w:t>
      </w:r>
    </w:p>
    <w:p w14:paraId="0CF8BA3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26.9评标委员会独立履行下列职责：</w:t>
      </w:r>
    </w:p>
    <w:p w14:paraId="6AFFD1C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（1）审查、评价投标文件是否符合招标文件的商务、技术等实质性要求；</w:t>
      </w:r>
    </w:p>
    <w:p w14:paraId="619A273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（2）要求投标人对投标文件有关事项做出澄清或者说明；</w:t>
      </w:r>
    </w:p>
    <w:p w14:paraId="4257BDD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（3）对投标文件进行比较和评价；</w:t>
      </w:r>
    </w:p>
    <w:p w14:paraId="1A5E2F8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（4）确定中标候选人名单，以及根据采购人委托直接确定中标人；</w:t>
      </w:r>
    </w:p>
    <w:p w14:paraId="450CE64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（5）向采购人、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或者有关部门报告评标中发现的违法行为。</w:t>
      </w:r>
    </w:p>
    <w:p w14:paraId="40F1E62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26.10评标中因评标委员会成员缺席、回避或者健康等特殊原因导致评标委员会组成不符合本办法规定的，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应当依法补足后继续评标。被更换的评标委员会成员所做出的评标意见无效。</w:t>
      </w:r>
    </w:p>
    <w:p w14:paraId="355F407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无法及时补足评标委员会成员的，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应当停止评标活动，封存所有投标文件和开标、评标资料，依法重新组建评标委员会进行评标。原评标委员会做出的评标意见无效。</w:t>
      </w:r>
    </w:p>
    <w:p w14:paraId="1F45B77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采购代理机构应当将变更、重新组建评标委员会的情况予以记录，并随采购文件一并存档。</w:t>
      </w:r>
    </w:p>
    <w:p w14:paraId="1229AC48">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27.投标文件的初审</w:t>
      </w:r>
    </w:p>
    <w:p w14:paraId="770D9A9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27.1资格性审查。在采购项目开标结束后,采购人或者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工作人员应当依照有关法律和招标文件的规定对投标人的资格进行审查，具体内容详见</w:t>
      </w:r>
      <w:r>
        <w:rPr>
          <w:rFonts w:hint="eastAsia" w:ascii="仿宋_GB2312" w:hAnsi="仿宋" w:eastAsia="仿宋_GB2312" w:cs="宋体"/>
          <w:b/>
          <w:color w:val="auto"/>
          <w:sz w:val="28"/>
          <w:szCs w:val="28"/>
          <w:highlight w:val="none"/>
        </w:rPr>
        <w:t>《投标须知》-《实质性条款一览表》中资格性审查条件</w:t>
      </w:r>
      <w:r>
        <w:rPr>
          <w:rFonts w:hint="eastAsia" w:ascii="仿宋_GB2312" w:hAnsi="仿宋" w:eastAsia="仿宋_GB2312" w:cs="宋体"/>
          <w:color w:val="auto"/>
          <w:sz w:val="28"/>
          <w:szCs w:val="28"/>
          <w:highlight w:val="none"/>
        </w:rPr>
        <w:t>。合格投标人不足3家的，不得评标。在资格性检查时,如有下列情况之一的，经采购人认定，视为非实质性响应，为无效投标（响应）：</w:t>
      </w:r>
    </w:p>
    <w:p w14:paraId="0754940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（1）单位负责人为同一人或者存在直接控股、管理关系的不同</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w:t>
      </w:r>
    </w:p>
    <w:p w14:paraId="740A661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（2）为采购项目提供整体设计、规范编制或者项目管理、监理、检测等服务的；</w:t>
      </w:r>
    </w:p>
    <w:p w14:paraId="6732EDD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（3）投标人和投标服务资格证明文件不满足招标文件要求和过期失效的。</w:t>
      </w:r>
    </w:p>
    <w:p w14:paraId="7F6164E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color w:val="auto"/>
          <w:sz w:val="28"/>
          <w:szCs w:val="28"/>
          <w:highlight w:val="none"/>
        </w:rPr>
        <w:t xml:space="preserve"> 如有不满足</w:t>
      </w:r>
      <w:r>
        <w:rPr>
          <w:rFonts w:hint="eastAsia" w:ascii="仿宋_GB2312" w:hAnsi="宋体" w:eastAsia="仿宋_GB2312"/>
          <w:b/>
          <w:color w:val="auto"/>
          <w:sz w:val="28"/>
          <w:szCs w:val="28"/>
          <w:highlight w:val="none"/>
        </w:rPr>
        <w:t>《投标须知》-《实质性条款一览表》中符合性审查条件</w:t>
      </w:r>
      <w:r>
        <w:rPr>
          <w:rFonts w:hint="eastAsia" w:ascii="仿宋_GB2312" w:hAnsi="宋体" w:eastAsia="仿宋_GB2312"/>
          <w:color w:val="auto"/>
          <w:sz w:val="28"/>
          <w:szCs w:val="28"/>
          <w:highlight w:val="none"/>
        </w:rPr>
        <w:t>情况之一的，</w:t>
      </w:r>
      <w:r>
        <w:rPr>
          <w:rFonts w:hint="eastAsia" w:ascii="仿宋_GB2312" w:hAnsi="仿宋" w:eastAsia="仿宋_GB2312" w:cs="宋体"/>
          <w:color w:val="auto"/>
          <w:sz w:val="28"/>
          <w:szCs w:val="28"/>
          <w:highlight w:val="none"/>
        </w:rPr>
        <w:t>经评标委员会认定，视为非实质性响应，为无效投标（响应）。</w:t>
      </w:r>
    </w:p>
    <w:p w14:paraId="2420BAEC">
      <w:pPr>
        <w:snapToGrid w:val="0"/>
        <w:spacing w:line="560" w:lineRule="exact"/>
        <w:ind w:firstLine="562" w:firstLineChars="201"/>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27.3</w:t>
      </w:r>
      <w:r>
        <w:rPr>
          <w:rFonts w:ascii="仿宋_GB2312" w:hAnsi="宋体" w:eastAsia="仿宋_GB2312"/>
          <w:color w:val="auto"/>
          <w:sz w:val="28"/>
          <w:szCs w:val="28"/>
          <w:highlight w:val="none"/>
        </w:rPr>
        <w:t>经</w:t>
      </w:r>
      <w:r>
        <w:rPr>
          <w:rFonts w:hint="eastAsia" w:ascii="仿宋_GB2312" w:hAnsi="宋体" w:eastAsia="仿宋_GB2312"/>
          <w:color w:val="auto"/>
          <w:sz w:val="28"/>
          <w:szCs w:val="28"/>
          <w:highlight w:val="none"/>
        </w:rPr>
        <w:t>评标委员会</w:t>
      </w:r>
      <w:r>
        <w:rPr>
          <w:rFonts w:ascii="仿宋_GB2312" w:hAnsi="宋体" w:eastAsia="仿宋_GB2312"/>
          <w:color w:val="auto"/>
          <w:sz w:val="28"/>
          <w:szCs w:val="28"/>
          <w:highlight w:val="none"/>
        </w:rPr>
        <w:t>集体审核通过，</w:t>
      </w:r>
      <w:r>
        <w:rPr>
          <w:rFonts w:hint="eastAsia" w:ascii="仿宋_GB2312" w:hAnsi="宋体" w:eastAsia="仿宋_GB2312"/>
          <w:color w:val="auto"/>
          <w:sz w:val="28"/>
          <w:szCs w:val="28"/>
          <w:highlight w:val="none"/>
        </w:rPr>
        <w:t>未实质性响应招标文件的投标文件按无效</w:t>
      </w:r>
      <w:r>
        <w:rPr>
          <w:rFonts w:hint="eastAsia" w:ascii="仿宋_GB2312" w:hAnsi="仿宋" w:eastAsia="仿宋_GB2312" w:cs="宋体"/>
          <w:color w:val="auto"/>
          <w:sz w:val="28"/>
          <w:szCs w:val="28"/>
          <w:highlight w:val="none"/>
        </w:rPr>
        <w:t>投标（响应）</w:t>
      </w:r>
      <w:r>
        <w:rPr>
          <w:rFonts w:hint="eastAsia" w:ascii="仿宋_GB2312" w:hAnsi="宋体" w:eastAsia="仿宋_GB2312"/>
          <w:color w:val="auto"/>
          <w:sz w:val="28"/>
          <w:szCs w:val="28"/>
          <w:highlight w:val="none"/>
        </w:rPr>
        <w:t>处理，评标委员会应当告知提交投标文件的投标人，</w:t>
      </w:r>
      <w:r>
        <w:rPr>
          <w:rFonts w:ascii="仿宋_GB2312" w:hAnsi="宋体" w:eastAsia="仿宋_GB2312"/>
          <w:color w:val="auto"/>
          <w:sz w:val="28"/>
          <w:szCs w:val="28"/>
          <w:highlight w:val="none"/>
        </w:rPr>
        <w:t>说明其不符合要求的原因，由其法定代表人或授权代表签字确认，</w:t>
      </w:r>
      <w:r>
        <w:rPr>
          <w:rFonts w:hint="eastAsia" w:ascii="仿宋_GB2312" w:hAnsi="宋体" w:eastAsia="仿宋_GB2312"/>
          <w:color w:val="auto"/>
          <w:sz w:val="28"/>
          <w:szCs w:val="28"/>
          <w:highlight w:val="none"/>
        </w:rPr>
        <w:t>投标人被授权</w:t>
      </w:r>
      <w:r>
        <w:rPr>
          <w:rFonts w:ascii="仿宋_GB2312" w:hAnsi="宋体" w:eastAsia="仿宋_GB2312"/>
          <w:color w:val="auto"/>
          <w:sz w:val="28"/>
          <w:szCs w:val="28"/>
          <w:highlight w:val="none"/>
        </w:rPr>
        <w:t>代表拒不签字的，并不影响</w:t>
      </w:r>
      <w:r>
        <w:rPr>
          <w:rFonts w:hint="eastAsia" w:ascii="仿宋_GB2312" w:hAnsi="宋体" w:eastAsia="仿宋_GB2312"/>
          <w:color w:val="auto"/>
          <w:sz w:val="28"/>
          <w:szCs w:val="28"/>
          <w:highlight w:val="none"/>
        </w:rPr>
        <w:t>评标委员会</w:t>
      </w:r>
      <w:r>
        <w:rPr>
          <w:rFonts w:ascii="仿宋_GB2312" w:hAnsi="宋体" w:eastAsia="仿宋_GB2312"/>
          <w:color w:val="auto"/>
          <w:sz w:val="28"/>
          <w:szCs w:val="28"/>
          <w:highlight w:val="none"/>
        </w:rPr>
        <w:t>所做出的结论。</w:t>
      </w:r>
    </w:p>
    <w:p w14:paraId="036C1CD9">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28.投标文件的澄清</w:t>
      </w:r>
    </w:p>
    <w:p w14:paraId="0D40712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044932F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65CA578D">
      <w:pPr>
        <w:spacing w:line="560" w:lineRule="exact"/>
        <w:ind w:firstLine="562" w:firstLineChars="201"/>
        <w:rPr>
          <w:rFonts w:ascii="仿宋_GB2312" w:hAnsi="仿宋" w:eastAsia="仿宋_GB2312" w:cs="宋体"/>
          <w:color w:val="auto"/>
          <w:sz w:val="28"/>
          <w:szCs w:val="28"/>
          <w:highlight w:val="none"/>
          <w:lang w:val="zh-CN"/>
        </w:rPr>
      </w:pPr>
      <w:r>
        <w:rPr>
          <w:rFonts w:hint="eastAsia" w:ascii="仿宋_GB2312" w:hAnsi="仿宋" w:eastAsia="仿宋_GB2312" w:cs="宋体"/>
          <w:color w:val="auto"/>
          <w:sz w:val="28"/>
          <w:szCs w:val="28"/>
          <w:highlight w:val="none"/>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2B69CF59">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29.投标偏离</w:t>
      </w:r>
    </w:p>
    <w:p w14:paraId="2148088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评标委员会可以接受投标文件中不构成实质性偏离的不正规或不一致。</w:t>
      </w:r>
    </w:p>
    <w:p w14:paraId="10DFCAB0">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30.投标文件的评价</w:t>
      </w:r>
    </w:p>
    <w:p w14:paraId="6BB8DDF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30.1评标委员会只对确定为实质响应招标文件要求的投标文件进行评价和比较，必要时需标明评审理由。</w:t>
      </w:r>
    </w:p>
    <w:p w14:paraId="11BC2CD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30.2评标采用综合评分法的，价格分值由评审系统根据投标人上传的《投标（报价）一览表》中的投标报价，依据规定公式自动计算，其结果由评标委员会所有成员签字确认。</w:t>
      </w:r>
    </w:p>
    <w:p w14:paraId="6830D70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政府代理机构工作人员负责复核、统计评标委员会成员的评审情况，发现评审意见有失公正时，提请该评标委员会成员修改评审意见，并形成书面意见备查。</w:t>
      </w:r>
    </w:p>
    <w:p w14:paraId="037359C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30.3评审时除考虑投标人的报价之外，还将考虑以下因素：</w:t>
      </w:r>
    </w:p>
    <w:p w14:paraId="5D2DD8A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（1）投标文件的响应状况（包括是否按照招标文件要求制作）；</w:t>
      </w:r>
    </w:p>
    <w:p w14:paraId="026276D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（2）投标产品的技术性能、功能、质量等指标的响应情况，包括其响应是否有技术佐证文件的支持；</w:t>
      </w:r>
    </w:p>
    <w:p w14:paraId="7FEC710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（3）服务方案（包括服务机构和人员、服务响应时间、安装调试、培训方案等）、服务期、服务体系和业绩等；</w:t>
      </w:r>
    </w:p>
    <w:p w14:paraId="508668B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（4）招标文件规定的其它评审因素。</w:t>
      </w:r>
    </w:p>
    <w:p w14:paraId="412DD8C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w:t>
      </w:r>
      <w:r>
        <w:rPr>
          <w:rFonts w:ascii="仿宋_GB2312" w:hAnsi="仿宋" w:eastAsia="仿宋_GB2312" w:cs="宋体"/>
          <w:color w:val="auto"/>
          <w:sz w:val="28"/>
          <w:szCs w:val="28"/>
          <w:highlight w:val="none"/>
        </w:rPr>
        <w:t>4</w:t>
      </w:r>
      <w:r>
        <w:rPr>
          <w:rFonts w:hint="eastAsia" w:ascii="仿宋_GB2312" w:hAnsi="仿宋" w:eastAsia="仿宋_GB2312" w:cs="宋体"/>
          <w:color w:val="auto"/>
          <w:sz w:val="28"/>
          <w:szCs w:val="28"/>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1964AD3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w:t>
      </w:r>
      <w:r>
        <w:rPr>
          <w:rFonts w:ascii="仿宋_GB2312" w:hAnsi="仿宋" w:eastAsia="仿宋_GB2312" w:cs="宋体"/>
          <w:color w:val="auto"/>
          <w:sz w:val="28"/>
          <w:szCs w:val="28"/>
          <w:highlight w:val="none"/>
        </w:rPr>
        <w:t>5</w:t>
      </w:r>
      <w:r>
        <w:rPr>
          <w:rFonts w:hint="eastAsia" w:ascii="仿宋_GB2312" w:hAnsi="仿宋" w:eastAsia="仿宋_GB2312" w:cs="宋体"/>
          <w:color w:val="auto"/>
          <w:sz w:val="28"/>
          <w:szCs w:val="28"/>
          <w:highlight w:val="none"/>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754D3D9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w:t>
      </w:r>
      <w:r>
        <w:rPr>
          <w:rFonts w:ascii="仿宋_GB2312" w:hAnsi="仿宋" w:eastAsia="仿宋_GB2312" w:cs="宋体"/>
          <w:color w:val="auto"/>
          <w:sz w:val="28"/>
          <w:szCs w:val="28"/>
          <w:highlight w:val="none"/>
        </w:rPr>
        <w:t>6</w:t>
      </w:r>
      <w:r>
        <w:rPr>
          <w:rFonts w:hint="eastAsia" w:ascii="仿宋_GB2312" w:hAnsi="仿宋" w:eastAsia="仿宋_GB2312" w:cs="宋体"/>
          <w:color w:val="auto"/>
          <w:sz w:val="28"/>
          <w:szCs w:val="28"/>
          <w:highlight w:val="none"/>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4DADF700">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投标人有下列情形之一的，视为投标人串通投标，其投标无效：</w:t>
      </w:r>
    </w:p>
    <w:p w14:paraId="1F4CEC6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（1）不同投标人的投标文件由同一单位或者个人编制；</w:t>
      </w:r>
    </w:p>
    <w:p w14:paraId="043EF14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（2）不同投标人委托同一单位或者个人办理投标事宜；</w:t>
      </w:r>
    </w:p>
    <w:p w14:paraId="2866297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（3）不同投标人的投标文件载明的项目管理成员或者联系人员为同一人；</w:t>
      </w:r>
    </w:p>
    <w:p w14:paraId="7AE52FA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（4）不同投标人的投标文件异常一致或者投标报价呈规律性差异；</w:t>
      </w:r>
    </w:p>
    <w:p w14:paraId="55E05EB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（5）不同投标人的投标文件相互混装；</w:t>
      </w:r>
    </w:p>
    <w:p w14:paraId="7FF2873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（6）不同投标人的投标保证金从同一单位或者个人的账户转出。</w:t>
      </w:r>
    </w:p>
    <w:p w14:paraId="77B6DF40">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w:t>
      </w:r>
      <w:r>
        <w:rPr>
          <w:rFonts w:ascii="仿宋_GB2312" w:hAnsi="宋体" w:eastAsia="仿宋_GB2312"/>
          <w:color w:val="auto"/>
          <w:sz w:val="28"/>
          <w:szCs w:val="28"/>
          <w:highlight w:val="none"/>
        </w:rPr>
        <w:t>7</w:t>
      </w:r>
      <w:r>
        <w:rPr>
          <w:rFonts w:hint="eastAsia" w:ascii="仿宋_GB2312" w:hAnsi="宋体" w:eastAsia="仿宋_GB2312"/>
          <w:color w:val="auto"/>
          <w:sz w:val="28"/>
          <w:szCs w:val="28"/>
          <w:highlight w:val="none"/>
        </w:rPr>
        <w:t>）不同</w:t>
      </w:r>
      <w:r>
        <w:rPr>
          <w:rFonts w:hint="eastAsia" w:ascii="仿宋_GB2312" w:hAnsi="仿宋" w:eastAsia="仿宋_GB2312" w:cs="宋体"/>
          <w:color w:val="auto"/>
          <w:sz w:val="28"/>
          <w:szCs w:val="28"/>
          <w:highlight w:val="none"/>
        </w:rPr>
        <w:t>投标人</w:t>
      </w:r>
      <w:r>
        <w:rPr>
          <w:rFonts w:hint="eastAsia" w:ascii="仿宋_GB2312" w:hAnsi="宋体" w:eastAsia="仿宋_GB2312"/>
          <w:color w:val="auto"/>
          <w:sz w:val="28"/>
          <w:szCs w:val="28"/>
          <w:highlight w:val="none"/>
        </w:rPr>
        <w:t>制作的电子投标文件经系统审查存在cpu编码、硬盘编码及MAC地址三项编码均相同的。</w:t>
      </w:r>
    </w:p>
    <w:p w14:paraId="3CC3D9C9">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31.废标条款</w:t>
      </w:r>
    </w:p>
    <w:p w14:paraId="67F5578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在招标采购中，出现下列情形之一的，应予废标：</w:t>
      </w:r>
    </w:p>
    <w:p w14:paraId="0EAF01E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（1）符合专业条件的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或者对招标文件作实质响应的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不足3家的；</w:t>
      </w:r>
    </w:p>
    <w:p w14:paraId="0BEEB40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（2）出现影响采购公正的违法、违规行为的；</w:t>
      </w:r>
    </w:p>
    <w:p w14:paraId="785CEC2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（3）所有投标报价均超过招标文件中规定的预算金额，采购人不能支付的；</w:t>
      </w:r>
    </w:p>
    <w:p w14:paraId="7F38656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（4）因重大变故，采购人采购任务取消的。</w:t>
      </w:r>
    </w:p>
    <w:p w14:paraId="61F61A6C">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32.保密要求</w:t>
      </w:r>
    </w:p>
    <w:p w14:paraId="68F6377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评标将在严格保密的情况下进行，有关人员</w:t>
      </w:r>
      <w:r>
        <w:rPr>
          <w:rFonts w:ascii="仿宋_GB2312" w:hAnsi="仿宋" w:eastAsia="仿宋_GB2312" w:cs="宋体"/>
          <w:color w:val="auto"/>
          <w:sz w:val="28"/>
          <w:szCs w:val="28"/>
          <w:highlight w:val="none"/>
        </w:rPr>
        <w:t>应当</w:t>
      </w:r>
      <w:r>
        <w:rPr>
          <w:rFonts w:hint="eastAsia" w:ascii="仿宋_GB2312" w:hAnsi="仿宋" w:eastAsia="仿宋_GB2312" w:cs="宋体"/>
          <w:color w:val="auto"/>
          <w:sz w:val="28"/>
          <w:szCs w:val="28"/>
          <w:highlight w:val="none"/>
        </w:rPr>
        <w:t>遵</w:t>
      </w:r>
      <w:r>
        <w:rPr>
          <w:rFonts w:ascii="仿宋_GB2312" w:hAnsi="仿宋" w:eastAsia="仿宋_GB2312" w:cs="宋体"/>
          <w:color w:val="auto"/>
          <w:sz w:val="28"/>
          <w:szCs w:val="28"/>
          <w:highlight w:val="none"/>
        </w:rPr>
        <w:t>守评审工作纪律，</w:t>
      </w:r>
      <w:r>
        <w:rPr>
          <w:rFonts w:hint="eastAsia" w:ascii="仿宋_GB2312" w:hAnsi="仿宋" w:eastAsia="仿宋_GB2312" w:cs="宋体"/>
          <w:b/>
          <w:color w:val="auto"/>
          <w:sz w:val="28"/>
          <w:szCs w:val="28"/>
          <w:highlight w:val="none"/>
        </w:rPr>
        <w:t>不得记录、复制或者带走任何评标资料</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不得</w:t>
      </w:r>
      <w:r>
        <w:rPr>
          <w:rFonts w:hint="eastAsia" w:ascii="仿宋_GB2312" w:hAnsi="仿宋" w:eastAsia="仿宋_GB2312" w:cs="宋体"/>
          <w:color w:val="auto"/>
          <w:sz w:val="28"/>
          <w:szCs w:val="28"/>
          <w:highlight w:val="none"/>
        </w:rPr>
        <w:t>泄露</w:t>
      </w:r>
      <w:r>
        <w:rPr>
          <w:rFonts w:ascii="仿宋_GB2312" w:hAnsi="仿宋" w:eastAsia="仿宋_GB2312" w:cs="宋体"/>
          <w:color w:val="auto"/>
          <w:sz w:val="28"/>
          <w:szCs w:val="28"/>
          <w:highlight w:val="none"/>
        </w:rPr>
        <w:t>评审</w:t>
      </w:r>
      <w:r>
        <w:rPr>
          <w:rFonts w:hint="eastAsia" w:ascii="仿宋_GB2312" w:hAnsi="仿宋" w:eastAsia="仿宋_GB2312" w:cs="宋体"/>
          <w:color w:val="auto"/>
          <w:sz w:val="28"/>
          <w:szCs w:val="28"/>
          <w:highlight w:val="none"/>
        </w:rPr>
        <w:t>文件</w:t>
      </w:r>
      <w:r>
        <w:rPr>
          <w:rFonts w:ascii="仿宋_GB2312" w:hAnsi="仿宋" w:eastAsia="仿宋_GB2312" w:cs="宋体"/>
          <w:color w:val="auto"/>
          <w:sz w:val="28"/>
          <w:szCs w:val="28"/>
          <w:highlight w:val="none"/>
        </w:rPr>
        <w:t>、评审情况和评审中获悉的商业秘密。</w:t>
      </w:r>
    </w:p>
    <w:p w14:paraId="5362F0D4">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六、定标</w:t>
      </w:r>
    </w:p>
    <w:p w14:paraId="6677C478">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33.定标</w:t>
      </w:r>
    </w:p>
    <w:p w14:paraId="1D8D889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6CD6C36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33.2评委会所有成员应当在评标报告上签字确认，评标报告的主要内容包括：</w:t>
      </w:r>
    </w:p>
    <w:p w14:paraId="0EC7635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（1）招标公告刊登的媒体名称、开标日期和地点；</w:t>
      </w:r>
    </w:p>
    <w:p w14:paraId="73580A8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（2）投标人名单和评标委员会成员名单；</w:t>
      </w:r>
    </w:p>
    <w:p w14:paraId="6FAD5E7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（3）评标方法和评标标准；</w:t>
      </w:r>
    </w:p>
    <w:p w14:paraId="1122EED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（4）开标记录和评标情况及说明，包括投标无效投标人名单及原因；</w:t>
      </w:r>
    </w:p>
    <w:p w14:paraId="5AE3946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（5）评标结果，确定的中标候选人名单或者经采购人委托直接确定的中标人；</w:t>
      </w:r>
    </w:p>
    <w:p w14:paraId="348AAB2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（6）其他需要说明的情况，包括评标过程中投标人根据评标委员会要求进行澄清、说明或者补正，评标委员会成员的更换等。</w:t>
      </w:r>
    </w:p>
    <w:p w14:paraId="59AF713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33.3由评标委员会直接确定预中标候选人的，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自评标结束之日起2个工作日内在指定媒体上公布评标结果；需要采购人确认的，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自评标结束之日起2个工作日内，将评标报告送交采购人。采购人应当自收到评标报告之日起5个工作日内在评标报告确定的中标候选人名单中按顺序确定预中标人。</w:t>
      </w:r>
    </w:p>
    <w:p w14:paraId="0882C3B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33.4评标结果汇总完成后，除下列情形外，任何人不得修改评标结果：</w:t>
      </w:r>
    </w:p>
    <w:p w14:paraId="51EB07A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（1）分值汇总计算错误的；</w:t>
      </w:r>
    </w:p>
    <w:p w14:paraId="65C6CC4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（2）分项评分超出评分标准范围的；</w:t>
      </w:r>
    </w:p>
    <w:p w14:paraId="3D0E718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（3）评标委员会成员对客观评审因素评分不一致的；</w:t>
      </w:r>
    </w:p>
    <w:p w14:paraId="462BA7F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（4）经评标委员会认定评分畸高、畸低的。</w:t>
      </w:r>
    </w:p>
    <w:p w14:paraId="376E8F6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33.5评标报告签署前，经复核发现存在以上情形之一的，评标委员会应当当场修改评标结果，并在评标报告中记载；评标报告签署后，采购人或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可以组织原评标委员会进行重新评审，重新评审改变评标结果的，应当书面报告本级主管部门。</w:t>
      </w:r>
    </w:p>
    <w:p w14:paraId="3B49CEA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33.6中标人在规定的期限内无正当理由拒绝签订合同，采购人可以按照评审报告推荐的中标候选人名单排序，确定下一候选人为中标人，也可以重新开展政府采购活动。</w:t>
      </w:r>
    </w:p>
    <w:p w14:paraId="3B0FEF7B">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七、公告</w:t>
      </w:r>
    </w:p>
    <w:p w14:paraId="11782DC1">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34.公告</w:t>
      </w:r>
    </w:p>
    <w:p w14:paraId="5803E9A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34.1</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自中标人确定之日起2个工作日内，在“原发布媒介”上公告中标结果。中标公告期限为1个工作日。中标公告应当包括下列内容：</w:t>
      </w:r>
    </w:p>
    <w:p w14:paraId="0958E5B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的名称、地址和联系方式；</w:t>
      </w:r>
    </w:p>
    <w:p w14:paraId="4D2ED49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（2）项目名称和项目编号；</w:t>
      </w:r>
    </w:p>
    <w:p w14:paraId="7D5E1C0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（3）中标人名称、地址和中标金额；</w:t>
      </w:r>
    </w:p>
    <w:p w14:paraId="639CE95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（4）主要中标标的的名称、服务内容、数量、单价、服务要求；</w:t>
      </w:r>
    </w:p>
    <w:p w14:paraId="01505F7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（5）中标公告期限；</w:t>
      </w:r>
    </w:p>
    <w:p w14:paraId="44861E7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（6）评审专家名单；</w:t>
      </w:r>
    </w:p>
    <w:p w14:paraId="1131DBD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w:t>
      </w:r>
      <w:r>
        <w:rPr>
          <w:rFonts w:ascii="仿宋_GB2312" w:hAnsi="仿宋" w:eastAsia="仿宋_GB2312" w:cs="宋体"/>
          <w:color w:val="auto"/>
          <w:sz w:val="28"/>
          <w:szCs w:val="28"/>
          <w:highlight w:val="none"/>
        </w:rPr>
        <w:t>投标人未中标的原因</w:t>
      </w:r>
      <w:r>
        <w:rPr>
          <w:rFonts w:hint="eastAsia" w:ascii="仿宋_GB2312" w:hAnsi="仿宋" w:eastAsia="仿宋_GB2312" w:cs="宋体"/>
          <w:color w:val="auto"/>
          <w:sz w:val="28"/>
          <w:szCs w:val="28"/>
          <w:highlight w:val="none"/>
        </w:rPr>
        <w:t>；</w:t>
      </w:r>
    </w:p>
    <w:p w14:paraId="4E2E207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（8）采用综合评分法评审的，还将告知未中标人本人的评审得分和排序。</w:t>
      </w:r>
    </w:p>
    <w:p w14:paraId="2B104021">
      <w:pPr>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34.2</w:t>
      </w:r>
      <w:r>
        <w:rPr>
          <w:rFonts w:hint="eastAsia" w:ascii="仿宋_GB2312" w:hAnsi="宋体" w:eastAsia="仿宋_GB2312"/>
          <w:color w:val="auto"/>
          <w:sz w:val="28"/>
          <w:szCs w:val="28"/>
          <w:highlight w:val="none"/>
        </w:rPr>
        <w:t>采购代理机构应当在中标公告公示期满</w:t>
      </w:r>
      <w:r>
        <w:rPr>
          <w:rFonts w:hint="eastAsia" w:ascii="仿宋_GB2312" w:hAnsi="仿宋" w:eastAsia="仿宋_GB2312" w:cs="宋体"/>
          <w:color w:val="auto"/>
          <w:sz w:val="28"/>
          <w:szCs w:val="28"/>
          <w:highlight w:val="none"/>
        </w:rPr>
        <w:t>，</w:t>
      </w:r>
      <w:r>
        <w:rPr>
          <w:rFonts w:hint="eastAsia" w:ascii="仿宋_GB2312" w:hAnsi="仿宋" w:eastAsia="仿宋_GB2312"/>
          <w:color w:val="auto"/>
          <w:sz w:val="28"/>
          <w:szCs w:val="28"/>
          <w:highlight w:val="none"/>
        </w:rPr>
        <w:t>且无尚未处理的异议后，</w:t>
      </w:r>
      <w:r>
        <w:rPr>
          <w:rFonts w:hint="eastAsia" w:ascii="仿宋_GB2312" w:hAnsi="仿宋" w:eastAsia="仿宋_GB2312" w:cs="宋体"/>
          <w:color w:val="auto"/>
          <w:sz w:val="28"/>
          <w:szCs w:val="28"/>
          <w:highlight w:val="none"/>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color w:val="auto"/>
          <w:sz w:val="28"/>
          <w:szCs w:val="28"/>
          <w:highlight w:val="none"/>
        </w:rPr>
        <w:t>采购人不得违法改变中标结果，中标人无正当理由不得放弃中标。</w:t>
      </w:r>
    </w:p>
    <w:p w14:paraId="4CE3D588">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八、质疑</w:t>
      </w:r>
    </w:p>
    <w:p w14:paraId="1843FB6B">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35.质疑</w:t>
      </w:r>
    </w:p>
    <w:p w14:paraId="5AC3442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委托授权范围的，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应当告知其向采购人提出。</w:t>
      </w:r>
    </w:p>
    <w:p w14:paraId="378B171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35.2投标人认为招标文件使自己的权益受到损害的，应当在获取招标文件之日起7个工作日内向</w:t>
      </w:r>
      <w:r>
        <w:rPr>
          <w:rFonts w:hint="eastAsia" w:ascii="仿宋_GB2312" w:hAnsi="宋体" w:eastAsia="仿宋_GB2312"/>
          <w:color w:val="auto"/>
          <w:sz w:val="28"/>
          <w:szCs w:val="28"/>
          <w:highlight w:val="none"/>
        </w:rPr>
        <w:t>采购</w:t>
      </w:r>
      <w:r>
        <w:rPr>
          <w:rFonts w:hint="eastAsia" w:ascii="仿宋_GB2312" w:hAnsi="仿宋" w:eastAsia="仿宋_GB2312" w:cs="宋体"/>
          <w:color w:val="auto"/>
          <w:sz w:val="28"/>
          <w:szCs w:val="28"/>
          <w:highlight w:val="none"/>
        </w:rPr>
        <w:t>提供书面质疑，由采购人和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按规定予以答复。</w:t>
      </w:r>
    </w:p>
    <w:p w14:paraId="430D93E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35.3投标人对采购过程提出质疑的，可以在质疑采购程序环节结束之日，以书面形式向采购人和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提出质疑。采购人和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应当在收到投标人的书面质疑后7个工作日内做出书面答复，但答复的内容不得涉及商业秘密。</w:t>
      </w:r>
    </w:p>
    <w:p w14:paraId="3C0B627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35.4投标人认为中标结果使自己的权益受到损害的，应当在中标结果公告期限届满之日起7个工作日内提出质疑，采购人和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应当在收到投标人的书面质疑后7个工作日内做出书面答复，但答复的内容不得涉及商业秘密。</w:t>
      </w:r>
    </w:p>
    <w:p w14:paraId="17C4889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35.5采购人或者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收到</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的书面质疑后，应当签收回执。</w:t>
      </w:r>
    </w:p>
    <w:p w14:paraId="783BA5A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35.6采购人或者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应当自签收回执之日起7个工作日内对质疑事项依法予以处理并做出答复，书面通知提出质疑的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和相关的其他</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。质疑事项成立的，应当中止采购活动并予以纠正。</w:t>
      </w:r>
    </w:p>
    <w:p w14:paraId="3DBBE21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35.7</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在法定质疑期内一次性提出针对同一采购程序环节的质疑。</w:t>
      </w:r>
    </w:p>
    <w:p w14:paraId="48803DF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w:t>
      </w:r>
    </w:p>
    <w:p w14:paraId="515E05E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的姓名或名称、地址（邮箱）、邮编、联系人及联系电话；</w:t>
      </w:r>
    </w:p>
    <w:p w14:paraId="1E611D4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（2）质疑项目的名称、编号；</w:t>
      </w:r>
    </w:p>
    <w:p w14:paraId="44321B8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（3）具体、明确的质疑事项和与质疑事项相关的请求；</w:t>
      </w:r>
    </w:p>
    <w:p w14:paraId="6E69EF6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（4）事实依据；</w:t>
      </w:r>
    </w:p>
    <w:p w14:paraId="22B657D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（5）必要的法律依据；</w:t>
      </w:r>
    </w:p>
    <w:p w14:paraId="29666DC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（6）提出质疑的日期。</w:t>
      </w:r>
    </w:p>
    <w:p w14:paraId="7CE8891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35.9</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为自然人的，应当由本人签字；</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为法人或者其他组织的，应当由法定代表人、主要负责人，或者其被授权人签字或者盖章，并加盖公章。</w:t>
      </w:r>
    </w:p>
    <w:p w14:paraId="0D7346F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35.10质疑函由法定代表人或投标授权人递交到采购人或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，受理方式见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正式受理后方可生效。否则，为无效质疑。</w:t>
      </w:r>
    </w:p>
    <w:p w14:paraId="5337A32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35.11</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对答复不满意或者采购人、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逾期未答复的，可以在答复期满后15个工作日内向主管部门投诉。</w:t>
      </w:r>
    </w:p>
    <w:p w14:paraId="680831B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35.12</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不得捏造事实进行虚假投诉。</w:t>
      </w:r>
    </w:p>
    <w:p w14:paraId="350C63F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35.13有下列情况之一的质疑不予受理：</w:t>
      </w:r>
    </w:p>
    <w:p w14:paraId="342F73B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（1）无质疑函件或质疑函件缺少投标人法人印章、投标人法定代表人签字、有效授权书和联系方式之一的质疑；</w:t>
      </w:r>
    </w:p>
    <w:p w14:paraId="451FAFB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（2）质疑函件无实质性内容或佐证文件资料，主观臆断及推理得出结论的质疑；</w:t>
      </w:r>
    </w:p>
    <w:p w14:paraId="4D36541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（3）相应证明材料不真实或来源不合法的质疑；</w:t>
      </w:r>
    </w:p>
    <w:p w14:paraId="0A2B62D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（4）未按规定时间或超过公示期提出的质疑；</w:t>
      </w:r>
    </w:p>
    <w:p w14:paraId="6EC8E00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（5）其他不符合《政府采购质疑和投诉办法》（中华人民共和国财政部令第94号）的相关规定。</w:t>
      </w:r>
    </w:p>
    <w:p w14:paraId="1EC5F43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35.14对捏造事实，提供虚假材料或者以非法手段取得证明材料进行恶意质疑的，一经查实，将上报主管部门列入黑名单，并给以相应处罚。</w:t>
      </w:r>
    </w:p>
    <w:p w14:paraId="4B710124">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九、投诉</w:t>
      </w:r>
    </w:p>
    <w:p w14:paraId="0ACCEA36">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36.投诉</w:t>
      </w:r>
    </w:p>
    <w:p w14:paraId="2C8F1D8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质疑供应商对答复不满意，或者采购人、代理机构未在规定的时间内做出书面答复的，可以在答复期满后15个工作日内向主管理部门投诉。</w:t>
      </w:r>
    </w:p>
    <w:p w14:paraId="53C44A44">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十、签订合同</w:t>
      </w:r>
    </w:p>
    <w:p w14:paraId="21D35B0C">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37.合同的签订</w:t>
      </w:r>
    </w:p>
    <w:p w14:paraId="7BAB085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采购人应当自中标通知书发出之日起</w:t>
      </w:r>
      <w:r>
        <w:rPr>
          <w:rFonts w:ascii="仿宋_GB2312" w:hAnsi="仿宋" w:eastAsia="仿宋_GB2312" w:cs="宋体"/>
          <w:color w:val="auto"/>
          <w:sz w:val="28"/>
          <w:szCs w:val="28"/>
          <w:highlight w:val="none"/>
        </w:rPr>
        <w:t>30</w:t>
      </w:r>
      <w:r>
        <w:rPr>
          <w:rFonts w:hint="eastAsia" w:ascii="仿宋_GB2312" w:hAnsi="仿宋" w:eastAsia="仿宋_GB2312" w:cs="宋体"/>
          <w:color w:val="auto"/>
          <w:sz w:val="28"/>
          <w:szCs w:val="28"/>
          <w:highlight w:val="none"/>
        </w:rPr>
        <w:t>日内，按照招标文件、中标人的投标文件及其澄清文件等的规定，与中标人签订书面合同。</w:t>
      </w:r>
    </w:p>
    <w:p w14:paraId="70D77BB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1DFDBAD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中标人在规定时间内无正当理由拒绝与采购人签订合同的，投标人符合法定数量的，采购人可以按照评标报告推荐的中标候选人名单排序，确定下一候选人为中标人，也可以重新开展政府采购活动。</w:t>
      </w:r>
    </w:p>
    <w:p w14:paraId="209FCEE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当出现法规规定的中标无效或中标结果无效情形时，采购人依规可与排名下一位的中标候选人另行签订合同，或依法重新开展</w:t>
      </w:r>
      <w:r>
        <w:rPr>
          <w:rFonts w:ascii="仿宋_GB2312" w:hAnsi="仿宋" w:eastAsia="仿宋_GB2312" w:cs="宋体"/>
          <w:color w:val="auto"/>
          <w:sz w:val="28"/>
          <w:szCs w:val="28"/>
          <w:highlight w:val="none"/>
        </w:rPr>
        <w:t>采购活动</w:t>
      </w:r>
      <w:r>
        <w:rPr>
          <w:rFonts w:hint="eastAsia" w:ascii="仿宋_GB2312" w:hAnsi="仿宋" w:eastAsia="仿宋_GB2312" w:cs="宋体"/>
          <w:color w:val="auto"/>
          <w:sz w:val="28"/>
          <w:szCs w:val="28"/>
          <w:highlight w:val="none"/>
        </w:rPr>
        <w:t>。</w:t>
      </w:r>
    </w:p>
    <w:p w14:paraId="71A6338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采购合同的履行、违约责任和解决争议的方法适用《中华人民共和国民法典》。</w:t>
      </w:r>
    </w:p>
    <w:p w14:paraId="4A955D6C">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38.履约保证金</w:t>
      </w:r>
    </w:p>
    <w:p w14:paraId="408860F7">
      <w:pPr>
        <w:spacing w:line="560" w:lineRule="exact"/>
        <w:ind w:firstLine="565" w:firstLineChars="201"/>
        <w:rPr>
          <w:rFonts w:hint="eastAsia"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本项目不收取履约保证金。</w:t>
      </w:r>
    </w:p>
    <w:p w14:paraId="1AA65F7D">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39</w:t>
      </w:r>
      <w:r>
        <w:rPr>
          <w:rFonts w:hint="eastAsia" w:ascii="楷体_GB2312" w:hAnsi="仿宋" w:eastAsia="楷体_GB2312" w:cs="宋体"/>
          <w:b/>
          <w:color w:val="auto"/>
          <w:sz w:val="28"/>
          <w:szCs w:val="28"/>
          <w:highlight w:val="none"/>
        </w:rPr>
        <w:t>.预付款</w:t>
      </w:r>
    </w:p>
    <w:p w14:paraId="732DAC5A">
      <w:pPr>
        <w:spacing w:line="560" w:lineRule="exact"/>
        <w:ind w:firstLine="565" w:firstLineChars="201"/>
        <w:rPr>
          <w:rFonts w:hint="eastAsia"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本项目无预付款。</w:t>
      </w:r>
    </w:p>
    <w:p w14:paraId="4902479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预付款是在指</w:t>
      </w:r>
      <w:r>
        <w:rPr>
          <w:rFonts w:ascii="仿宋_GB2312" w:hAnsi="仿宋" w:eastAsia="仿宋_GB2312" w:cs="宋体"/>
          <w:color w:val="auto"/>
          <w:sz w:val="28"/>
          <w:szCs w:val="28"/>
          <w:highlight w:val="none"/>
        </w:rPr>
        <w:t>政府采购合同签订后</w:t>
      </w:r>
      <w:r>
        <w:rPr>
          <w:rFonts w:hint="eastAsia" w:ascii="仿宋_GB2312" w:hAnsi="仿宋" w:eastAsia="仿宋_GB2312" w:cs="宋体"/>
          <w:color w:val="auto"/>
          <w:sz w:val="28"/>
          <w:szCs w:val="28"/>
          <w:highlight w:val="none"/>
        </w:rPr>
        <w:t>、履行前，</w:t>
      </w:r>
      <w:r>
        <w:rPr>
          <w:rFonts w:ascii="仿宋_GB2312" w:hAnsi="仿宋" w:eastAsia="仿宋_GB2312" w:cs="宋体"/>
          <w:color w:val="auto"/>
          <w:sz w:val="28"/>
          <w:szCs w:val="28"/>
          <w:highlight w:val="none"/>
        </w:rPr>
        <w:t>采购人向</w:t>
      </w:r>
      <w:r>
        <w:rPr>
          <w:rFonts w:hint="eastAsia" w:ascii="仿宋_GB2312" w:hAnsi="仿宋" w:eastAsia="仿宋_GB2312" w:cs="宋体"/>
          <w:color w:val="auto"/>
          <w:sz w:val="28"/>
          <w:szCs w:val="28"/>
          <w:highlight w:val="none"/>
        </w:rPr>
        <w:t>中标供应商</w:t>
      </w:r>
      <w:r>
        <w:rPr>
          <w:rFonts w:ascii="仿宋_GB2312" w:hAnsi="仿宋" w:eastAsia="仿宋_GB2312" w:cs="宋体"/>
          <w:color w:val="auto"/>
          <w:sz w:val="28"/>
          <w:szCs w:val="28"/>
          <w:highlight w:val="none"/>
        </w:rPr>
        <w:t>预先支付部分合同款项</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采购人预付款方式见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4F50C4BC">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4</w:t>
      </w:r>
      <w:r>
        <w:rPr>
          <w:rFonts w:ascii="楷体_GB2312" w:hAnsi="仿宋" w:eastAsia="楷体_GB2312" w:cs="宋体"/>
          <w:b/>
          <w:color w:val="auto"/>
          <w:sz w:val="28"/>
          <w:szCs w:val="28"/>
          <w:highlight w:val="none"/>
        </w:rPr>
        <w:t>0.</w:t>
      </w:r>
      <w:r>
        <w:rPr>
          <w:rFonts w:hint="eastAsia" w:ascii="楷体_GB2312" w:hAnsi="仿宋" w:eastAsia="楷体_GB2312" w:cs="宋体"/>
          <w:b/>
          <w:color w:val="auto"/>
          <w:sz w:val="28"/>
          <w:szCs w:val="28"/>
          <w:highlight w:val="none"/>
        </w:rPr>
        <w:t>廉洁自律</w:t>
      </w:r>
      <w:r>
        <w:rPr>
          <w:rFonts w:ascii="楷体_GB2312" w:hAnsi="仿宋" w:eastAsia="楷体_GB2312" w:cs="宋体"/>
          <w:b/>
          <w:color w:val="auto"/>
          <w:sz w:val="28"/>
          <w:szCs w:val="28"/>
          <w:highlight w:val="none"/>
        </w:rPr>
        <w:t>规定</w:t>
      </w:r>
    </w:p>
    <w:p w14:paraId="46532AA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采购代理机构</w:t>
      </w:r>
      <w:r>
        <w:rPr>
          <w:rFonts w:ascii="仿宋_GB2312" w:hAnsi="仿宋" w:eastAsia="仿宋_GB2312" w:cs="宋体"/>
          <w:color w:val="auto"/>
          <w:sz w:val="28"/>
          <w:szCs w:val="28"/>
          <w:highlight w:val="none"/>
        </w:rPr>
        <w:t>工作人员</w:t>
      </w:r>
      <w:r>
        <w:rPr>
          <w:rFonts w:hint="eastAsia" w:ascii="仿宋_GB2312" w:hAnsi="仿宋" w:eastAsia="仿宋_GB2312" w:cs="宋体"/>
          <w:color w:val="auto"/>
          <w:sz w:val="28"/>
          <w:szCs w:val="28"/>
          <w:highlight w:val="none"/>
        </w:rPr>
        <w:t>不得与采购人、投标人恶意串通操纵政府采购活动。</w:t>
      </w:r>
    </w:p>
    <w:p w14:paraId="51BEA6D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采购代理机构工作人员不得接受采购人或者投标人组织的宴请、旅游、娱乐，不得收受礼品、现金、有价证券等，不得向采购人或者投标人报销应当由个人承担的费用。</w:t>
      </w:r>
    </w:p>
    <w:p w14:paraId="429B6E5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为强化采购</w:t>
      </w:r>
      <w:r>
        <w:rPr>
          <w:rFonts w:ascii="仿宋_GB2312" w:hAnsi="仿宋" w:eastAsia="仿宋_GB2312" w:cs="宋体"/>
          <w:color w:val="auto"/>
          <w:sz w:val="28"/>
          <w:szCs w:val="28"/>
          <w:highlight w:val="none"/>
        </w:rPr>
        <w:t>代理机构内部监督机制</w:t>
      </w:r>
      <w:r>
        <w:rPr>
          <w:rFonts w:hint="eastAsia" w:ascii="仿宋_GB2312" w:hAnsi="仿宋" w:eastAsia="仿宋_GB2312" w:cs="宋体"/>
          <w:color w:val="auto"/>
          <w:sz w:val="28"/>
          <w:szCs w:val="28"/>
          <w:highlight w:val="none"/>
        </w:rPr>
        <w:t>，投标人可按</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w:t>
      </w:r>
      <w:r>
        <w:rPr>
          <w:rFonts w:ascii="仿宋_GB2312" w:hAnsi="仿宋" w:eastAsia="仿宋_GB2312" w:cs="宋体"/>
          <w:color w:val="auto"/>
          <w:sz w:val="28"/>
          <w:szCs w:val="28"/>
          <w:highlight w:val="none"/>
        </w:rPr>
        <w:t>的</w:t>
      </w:r>
      <w:r>
        <w:rPr>
          <w:rFonts w:hint="eastAsia" w:ascii="仿宋_GB2312" w:hAnsi="仿宋" w:eastAsia="仿宋_GB2312" w:cs="宋体"/>
          <w:color w:val="auto"/>
          <w:sz w:val="28"/>
          <w:szCs w:val="28"/>
          <w:highlight w:val="none"/>
        </w:rPr>
        <w:t>监督电话</w:t>
      </w:r>
      <w:r>
        <w:rPr>
          <w:rFonts w:ascii="仿宋_GB2312" w:hAnsi="仿宋" w:eastAsia="仿宋_GB2312" w:cs="宋体"/>
          <w:color w:val="auto"/>
          <w:sz w:val="28"/>
          <w:szCs w:val="28"/>
          <w:highlight w:val="none"/>
        </w:rPr>
        <w:t>和</w:t>
      </w:r>
      <w:r>
        <w:rPr>
          <w:rFonts w:hint="eastAsia" w:ascii="仿宋_GB2312" w:hAnsi="仿宋" w:eastAsia="仿宋_GB2312" w:cs="宋体"/>
          <w:color w:val="auto"/>
          <w:sz w:val="28"/>
          <w:szCs w:val="28"/>
          <w:highlight w:val="none"/>
        </w:rPr>
        <w:t>邮箱，反映采购代理机构的廉洁自律</w:t>
      </w:r>
      <w:r>
        <w:rPr>
          <w:rFonts w:ascii="仿宋_GB2312" w:hAnsi="仿宋" w:eastAsia="仿宋_GB2312" w:cs="宋体"/>
          <w:color w:val="auto"/>
          <w:sz w:val="28"/>
          <w:szCs w:val="28"/>
          <w:highlight w:val="none"/>
        </w:rPr>
        <w:t>等</w:t>
      </w:r>
      <w:r>
        <w:rPr>
          <w:rFonts w:hint="eastAsia" w:ascii="仿宋_GB2312" w:hAnsi="仿宋" w:eastAsia="仿宋_GB2312" w:cs="宋体"/>
          <w:color w:val="auto"/>
          <w:sz w:val="28"/>
          <w:szCs w:val="28"/>
          <w:highlight w:val="none"/>
        </w:rPr>
        <w:t>问题。</w:t>
      </w:r>
    </w:p>
    <w:p w14:paraId="6D8BEC3B">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4</w:t>
      </w:r>
      <w:r>
        <w:rPr>
          <w:rFonts w:ascii="仿宋_GB2312" w:hAnsi="仿宋" w:eastAsia="仿宋_GB2312" w:cs="宋体"/>
          <w:b/>
          <w:color w:val="auto"/>
          <w:sz w:val="28"/>
          <w:szCs w:val="28"/>
          <w:highlight w:val="none"/>
        </w:rPr>
        <w:t>1</w:t>
      </w:r>
      <w:r>
        <w:rPr>
          <w:rFonts w:hint="eastAsia" w:ascii="仿宋_GB2312" w:hAnsi="仿宋" w:eastAsia="仿宋_GB2312" w:cs="宋体"/>
          <w:b/>
          <w:color w:val="auto"/>
          <w:sz w:val="28"/>
          <w:szCs w:val="28"/>
          <w:highlight w:val="none"/>
        </w:rPr>
        <w:t>.项目其他相关费用</w:t>
      </w:r>
    </w:p>
    <w:p w14:paraId="73F2CA9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w:t>
      </w:r>
      <w:r>
        <w:rPr>
          <w:rFonts w:ascii="仿宋_GB2312" w:hAnsi="仿宋" w:eastAsia="仿宋_GB2312" w:cs="宋体"/>
          <w:color w:val="auto"/>
          <w:sz w:val="28"/>
          <w:szCs w:val="28"/>
          <w:highlight w:val="none"/>
        </w:rPr>
        <w:t>1</w:t>
      </w:r>
      <w:r>
        <w:rPr>
          <w:rFonts w:hint="eastAsia" w:ascii="仿宋_GB2312" w:hAnsi="仿宋" w:eastAsia="仿宋_GB2312" w:cs="宋体"/>
          <w:color w:val="auto"/>
          <w:sz w:val="28"/>
          <w:szCs w:val="28"/>
          <w:highlight w:val="none"/>
        </w:rPr>
        <w:t>.1</w:t>
      </w:r>
      <w:r>
        <w:rPr>
          <w:rFonts w:hint="eastAsia" w:ascii="仿宋_GB2312" w:hAnsi="宋体" w:eastAsia="仿宋_GB2312"/>
          <w:color w:val="auto"/>
          <w:sz w:val="28"/>
          <w:szCs w:val="28"/>
          <w:highlight w:val="none"/>
        </w:rPr>
        <w:t>代理服务费</w:t>
      </w:r>
    </w:p>
    <w:p w14:paraId="68AF951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代理服务费</w:t>
      </w:r>
      <w:r>
        <w:rPr>
          <w:rFonts w:hint="eastAsia" w:ascii="仿宋_GB2312" w:hAnsi="仿宋" w:eastAsia="仿宋_GB2312" w:cs="宋体"/>
          <w:color w:val="auto"/>
          <w:sz w:val="28"/>
          <w:szCs w:val="28"/>
          <w:highlight w:val="none"/>
        </w:rPr>
        <w:t>收取标准：</w:t>
      </w:r>
      <w:r>
        <w:rPr>
          <w:rFonts w:hint="eastAsia" w:ascii="仿宋_GB2312" w:hAnsi="仿宋" w:eastAsia="仿宋_GB2312" w:cs="宋体"/>
          <w:color w:val="auto"/>
          <w:sz w:val="28"/>
          <w:szCs w:val="28"/>
          <w:highlight w:val="none"/>
          <w:u w:val="single"/>
        </w:rPr>
        <w:t>见投标须知前附表。</w:t>
      </w:r>
    </w:p>
    <w:p w14:paraId="3963C600">
      <w:pPr>
        <w:rPr>
          <w:color w:val="auto"/>
          <w:highlight w:val="none"/>
        </w:r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58DF6272">
      <w:pPr>
        <w:bidi w:val="0"/>
        <w:rPr>
          <w:rFonts w:hint="eastAsia"/>
          <w:color w:val="auto"/>
          <w:highlight w:val="none"/>
        </w:rPr>
      </w:pPr>
    </w:p>
    <w:p w14:paraId="79D07A59">
      <w:pPr>
        <w:bidi w:val="0"/>
        <w:rPr>
          <w:rFonts w:hint="eastAsia"/>
          <w:color w:val="auto"/>
          <w:highlight w:val="none"/>
        </w:rPr>
      </w:pPr>
    </w:p>
    <w:p w14:paraId="32B21DA7">
      <w:pPr>
        <w:bidi w:val="0"/>
        <w:rPr>
          <w:rFonts w:hint="eastAsia"/>
          <w:color w:val="auto"/>
          <w:highlight w:val="none"/>
        </w:rPr>
      </w:pPr>
    </w:p>
    <w:p w14:paraId="095C048C">
      <w:pPr>
        <w:bidi w:val="0"/>
        <w:rPr>
          <w:rFonts w:hint="eastAsia"/>
          <w:color w:val="auto"/>
          <w:highlight w:val="none"/>
        </w:rPr>
      </w:pPr>
    </w:p>
    <w:p w14:paraId="0B9CAB29">
      <w:pPr>
        <w:bidi w:val="0"/>
        <w:rPr>
          <w:rFonts w:hint="eastAsia"/>
          <w:color w:val="auto"/>
          <w:highlight w:val="none"/>
        </w:rPr>
      </w:pPr>
    </w:p>
    <w:p w14:paraId="12514A01">
      <w:pPr>
        <w:bidi w:val="0"/>
        <w:rPr>
          <w:rFonts w:hint="eastAsia"/>
          <w:color w:val="auto"/>
          <w:highlight w:val="none"/>
        </w:rPr>
      </w:pPr>
    </w:p>
    <w:p w14:paraId="3A964179">
      <w:pPr>
        <w:bidi w:val="0"/>
        <w:rPr>
          <w:rFonts w:hint="eastAsia"/>
          <w:color w:val="auto"/>
          <w:highlight w:val="none"/>
        </w:rPr>
      </w:pPr>
    </w:p>
    <w:p w14:paraId="7D4B6F6E">
      <w:pPr>
        <w:bidi w:val="0"/>
        <w:rPr>
          <w:rFonts w:hint="eastAsia"/>
          <w:color w:val="auto"/>
          <w:highlight w:val="none"/>
        </w:rPr>
      </w:pPr>
    </w:p>
    <w:p w14:paraId="21D7F2D0">
      <w:pPr>
        <w:bidi w:val="0"/>
        <w:rPr>
          <w:rFonts w:hint="eastAsia"/>
          <w:color w:val="auto"/>
          <w:highlight w:val="none"/>
        </w:rPr>
      </w:pPr>
    </w:p>
    <w:p w14:paraId="37351FB9">
      <w:pPr>
        <w:bidi w:val="0"/>
        <w:rPr>
          <w:rFonts w:hint="eastAsia"/>
          <w:color w:val="auto"/>
          <w:highlight w:val="none"/>
        </w:rPr>
      </w:pPr>
    </w:p>
    <w:p w14:paraId="2771139B">
      <w:pPr>
        <w:bidi w:val="0"/>
        <w:rPr>
          <w:rFonts w:hint="eastAsia"/>
          <w:color w:val="auto"/>
          <w:highlight w:val="none"/>
        </w:rPr>
      </w:pPr>
    </w:p>
    <w:p w14:paraId="4B6E17F8">
      <w:pPr>
        <w:bidi w:val="0"/>
        <w:rPr>
          <w:rFonts w:hint="eastAsia"/>
          <w:color w:val="auto"/>
          <w:highlight w:val="none"/>
        </w:rPr>
      </w:pPr>
    </w:p>
    <w:p w14:paraId="7FE7E93A">
      <w:pPr>
        <w:bidi w:val="0"/>
        <w:rPr>
          <w:rFonts w:hint="eastAsia"/>
          <w:color w:val="auto"/>
          <w:highlight w:val="none"/>
        </w:rPr>
      </w:pPr>
    </w:p>
    <w:p w14:paraId="7DB51973">
      <w:pPr>
        <w:bidi w:val="0"/>
        <w:rPr>
          <w:rFonts w:hint="eastAsia"/>
          <w:color w:val="auto"/>
          <w:highlight w:val="none"/>
        </w:rPr>
      </w:pPr>
    </w:p>
    <w:p w14:paraId="7FA409C5">
      <w:pPr>
        <w:bidi w:val="0"/>
        <w:rPr>
          <w:rFonts w:hint="eastAsia"/>
          <w:color w:val="auto"/>
          <w:highlight w:val="none"/>
        </w:rPr>
      </w:pPr>
    </w:p>
    <w:p w14:paraId="736DF2EE">
      <w:pPr>
        <w:pStyle w:val="28"/>
        <w:spacing w:before="100" w:beforeAutospacing="1" w:after="100" w:afterAutospacing="1" w:line="415" w:lineRule="auto"/>
        <w:jc w:val="center"/>
        <w:rPr>
          <w:rFonts w:ascii="楷体_GB2312" w:hAnsi="宋体" w:eastAsia="楷体_GB2312" w:cs="宋体"/>
          <w:color w:val="auto"/>
          <w:sz w:val="44"/>
          <w:szCs w:val="44"/>
          <w:highlight w:val="none"/>
        </w:rPr>
      </w:pPr>
      <w:r>
        <w:rPr>
          <w:rFonts w:hint="eastAsia" w:ascii="楷体_GB2312" w:hAnsi="宋体" w:eastAsia="楷体_GB2312" w:cs="宋体"/>
          <w:color w:val="auto"/>
          <w:sz w:val="44"/>
          <w:szCs w:val="44"/>
          <w:highlight w:val="none"/>
        </w:rPr>
        <w:t>第三章  采购内容与要求</w:t>
      </w:r>
    </w:p>
    <w:p w14:paraId="448CCCDF">
      <w:pPr>
        <w:rPr>
          <w:color w:val="auto"/>
          <w:highlight w:val="none"/>
        </w:rPr>
      </w:pPr>
    </w:p>
    <w:p w14:paraId="3290022F">
      <w:pPr>
        <w:rPr>
          <w:color w:val="auto"/>
          <w:highlight w:val="none"/>
        </w:r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6926B0D8">
      <w:pPr>
        <w:widowControl/>
        <w:spacing w:line="560" w:lineRule="exact"/>
        <w:ind w:firstLine="643" w:firstLineChars="200"/>
        <w:jc w:val="center"/>
        <w:rPr>
          <w:rFonts w:ascii="楷体_GB2312" w:hAnsi="宋体" w:eastAsia="楷体_GB2312"/>
          <w:b/>
          <w:bCs/>
          <w:color w:val="auto"/>
          <w:kern w:val="44"/>
          <w:sz w:val="32"/>
          <w:szCs w:val="30"/>
          <w:highlight w:val="none"/>
        </w:rPr>
      </w:pPr>
      <w:r>
        <w:rPr>
          <w:rFonts w:hint="eastAsia" w:ascii="楷体_GB2312" w:hAnsi="宋体" w:eastAsia="楷体_GB2312"/>
          <w:b/>
          <w:bCs/>
          <w:color w:val="auto"/>
          <w:kern w:val="44"/>
          <w:sz w:val="32"/>
          <w:szCs w:val="30"/>
          <w:highlight w:val="none"/>
        </w:rPr>
        <w:t>第一部分 项目背景</w:t>
      </w:r>
    </w:p>
    <w:p w14:paraId="745C00C7">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一、项目概况</w:t>
      </w:r>
    </w:p>
    <w:p w14:paraId="067E3A53">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项目名称：2026年乳山市松材线虫病媒介昆虫飞防药剂采购项目</w:t>
      </w:r>
    </w:p>
    <w:p w14:paraId="5A8A3045">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项目编号：SDRS-TPZB-2026-084</w:t>
      </w:r>
    </w:p>
    <w:p w14:paraId="7CD09CDC">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项目概况说明：2026年我市松材线虫病媒介昆虫飞机施药防治由市林业发展中心采购药剂后分配至各镇（林场），由各镇（林场）组织施药。全市2026年度飞防区域约10.02万亩，3轮飞防30.06万亩次，需采购8%氯氰菊酯微囊悬浮剂30.06吨、尿素9.018吨。</w:t>
      </w:r>
    </w:p>
    <w:p w14:paraId="2C62EF29">
      <w:pPr>
        <w:spacing w:line="560" w:lineRule="exact"/>
        <w:ind w:firstLine="560" w:firstLineChars="200"/>
        <w:rPr>
          <w:rFonts w:hint="eastAsia" w:ascii="仿宋_GB2312" w:hAnsi="宋体" w:eastAsia="仿宋_GB2312"/>
          <w:color w:val="auto"/>
          <w:sz w:val="28"/>
          <w:szCs w:val="21"/>
          <w:highlight w:val="none"/>
        </w:rPr>
      </w:pPr>
      <w:r>
        <w:rPr>
          <w:rFonts w:hint="default" w:ascii="Times New Roman" w:hAnsi="Times New Roman" w:eastAsia="仿宋_GB2312" w:cs="Times New Roman"/>
          <w:color w:val="auto"/>
          <w:sz w:val="28"/>
          <w:szCs w:val="21"/>
          <w:highlight w:val="none"/>
          <w:u w:val="none"/>
        </w:rPr>
        <w:t>8%氯氰菊酯微囊悬浮剂</w:t>
      </w:r>
      <w:r>
        <w:rPr>
          <w:rFonts w:hint="eastAsia" w:ascii="Times New Roman" w:hAnsi="Times New Roman" w:eastAsia="仿宋_GB2312" w:cs="Times New Roman"/>
          <w:color w:val="auto"/>
          <w:sz w:val="28"/>
          <w:szCs w:val="21"/>
          <w:highlight w:val="none"/>
          <w:u w:val="none"/>
          <w:lang w:val="en-US" w:eastAsia="zh-CN"/>
        </w:rPr>
        <w:t>单价控制价为</w:t>
      </w:r>
      <w:r>
        <w:rPr>
          <w:rFonts w:hint="default" w:ascii="Times New Roman" w:hAnsi="Times New Roman" w:eastAsia="仿宋_GB2312" w:cs="Times New Roman"/>
          <w:color w:val="auto"/>
          <w:sz w:val="28"/>
          <w:szCs w:val="21"/>
          <w:highlight w:val="none"/>
          <w:u w:val="none"/>
        </w:rPr>
        <w:t>7.092万元/吨，采购</w:t>
      </w:r>
      <w:r>
        <w:rPr>
          <w:rFonts w:hint="eastAsia" w:ascii="Times New Roman" w:hAnsi="Times New Roman" w:eastAsia="仿宋_GB2312" w:cs="Times New Roman"/>
          <w:color w:val="auto"/>
          <w:sz w:val="28"/>
          <w:szCs w:val="21"/>
          <w:highlight w:val="none"/>
          <w:u w:val="none"/>
          <w:lang w:val="en-US" w:eastAsia="zh-CN"/>
        </w:rPr>
        <w:t>约</w:t>
      </w:r>
      <w:r>
        <w:rPr>
          <w:rFonts w:hint="default" w:ascii="Times New Roman" w:hAnsi="Times New Roman" w:eastAsia="仿宋_GB2312" w:cs="Times New Roman"/>
          <w:color w:val="auto"/>
          <w:sz w:val="28"/>
          <w:szCs w:val="21"/>
          <w:highlight w:val="none"/>
          <w:u w:val="none"/>
        </w:rPr>
        <w:t>30.06吨</w:t>
      </w:r>
      <w:r>
        <w:rPr>
          <w:rFonts w:hint="eastAsia" w:ascii="Times New Roman" w:hAnsi="Times New Roman" w:eastAsia="仿宋_GB2312" w:cs="Times New Roman"/>
          <w:color w:val="auto"/>
          <w:sz w:val="28"/>
          <w:szCs w:val="21"/>
          <w:highlight w:val="none"/>
          <w:u w:val="none"/>
          <w:lang w:eastAsia="zh-CN"/>
        </w:rPr>
        <w:t>，</w:t>
      </w:r>
      <w:r>
        <w:rPr>
          <w:rFonts w:hint="default" w:ascii="Times New Roman" w:hAnsi="Times New Roman" w:eastAsia="仿宋_GB2312" w:cs="Times New Roman"/>
          <w:color w:val="auto"/>
          <w:sz w:val="28"/>
          <w:szCs w:val="21"/>
          <w:highlight w:val="none"/>
          <w:u w:val="none"/>
        </w:rPr>
        <w:t>约需213.2万元；尿素</w:t>
      </w:r>
      <w:r>
        <w:rPr>
          <w:rFonts w:hint="eastAsia" w:ascii="Times New Roman" w:hAnsi="Times New Roman" w:eastAsia="仿宋_GB2312" w:cs="Times New Roman"/>
          <w:color w:val="auto"/>
          <w:sz w:val="28"/>
          <w:szCs w:val="21"/>
          <w:highlight w:val="none"/>
          <w:u w:val="none"/>
          <w:lang w:val="en-US" w:eastAsia="zh-CN"/>
        </w:rPr>
        <w:t>单价控制价为</w:t>
      </w:r>
      <w:r>
        <w:rPr>
          <w:rFonts w:hint="default" w:ascii="Times New Roman" w:hAnsi="Times New Roman" w:eastAsia="仿宋_GB2312" w:cs="Times New Roman"/>
          <w:color w:val="auto"/>
          <w:sz w:val="28"/>
          <w:szCs w:val="21"/>
          <w:highlight w:val="none"/>
          <w:u w:val="none"/>
        </w:rPr>
        <w:t>按0.31万元/吨，采购</w:t>
      </w:r>
      <w:r>
        <w:rPr>
          <w:rFonts w:hint="eastAsia" w:ascii="Times New Roman" w:hAnsi="Times New Roman" w:eastAsia="仿宋_GB2312" w:cs="Times New Roman"/>
          <w:color w:val="auto"/>
          <w:sz w:val="28"/>
          <w:szCs w:val="21"/>
          <w:highlight w:val="none"/>
          <w:u w:val="none"/>
          <w:lang w:val="en-US" w:eastAsia="zh-CN"/>
        </w:rPr>
        <w:t>约</w:t>
      </w:r>
      <w:r>
        <w:rPr>
          <w:rFonts w:hint="default" w:ascii="Times New Roman" w:hAnsi="Times New Roman" w:eastAsia="仿宋_GB2312" w:cs="Times New Roman"/>
          <w:color w:val="auto"/>
          <w:sz w:val="28"/>
          <w:szCs w:val="21"/>
          <w:highlight w:val="none"/>
          <w:u w:val="none"/>
        </w:rPr>
        <w:t>9.018吨</w:t>
      </w:r>
      <w:r>
        <w:rPr>
          <w:rFonts w:hint="eastAsia" w:ascii="Times New Roman" w:hAnsi="Times New Roman" w:eastAsia="仿宋_GB2312" w:cs="Times New Roman"/>
          <w:color w:val="auto"/>
          <w:sz w:val="28"/>
          <w:szCs w:val="21"/>
          <w:highlight w:val="none"/>
          <w:u w:val="none"/>
          <w:lang w:eastAsia="zh-CN"/>
        </w:rPr>
        <w:t>，</w:t>
      </w:r>
      <w:r>
        <w:rPr>
          <w:rFonts w:hint="default" w:ascii="Times New Roman" w:hAnsi="Times New Roman" w:eastAsia="仿宋_GB2312" w:cs="Times New Roman"/>
          <w:color w:val="auto"/>
          <w:sz w:val="28"/>
          <w:szCs w:val="21"/>
          <w:highlight w:val="none"/>
          <w:u w:val="none"/>
        </w:rPr>
        <w:t>约需2.8万元；项目总投资概算216万元。</w:t>
      </w:r>
    </w:p>
    <w:p w14:paraId="7FB3CE25">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二、采购目标</w:t>
      </w:r>
    </w:p>
    <w:p w14:paraId="5AF4FF8B">
      <w:pPr>
        <w:pStyle w:val="60"/>
        <w:spacing w:line="560" w:lineRule="exact"/>
        <w:ind w:firstLine="560"/>
        <w:rPr>
          <w:rFonts w:hint="eastAsia" w:ascii="仿宋_GB2312" w:hAnsi="宋体" w:eastAsia="仿宋_GB2312"/>
          <w:color w:val="auto"/>
          <w:highlight w:val="none"/>
          <w:lang w:eastAsia="zh-CN"/>
        </w:rPr>
      </w:pPr>
      <w:r>
        <w:rPr>
          <w:rFonts w:hint="eastAsia" w:ascii="仿宋_GB2312" w:hAnsi="宋体" w:eastAsia="仿宋_GB2312"/>
          <w:color w:val="auto"/>
          <w:highlight w:val="none"/>
        </w:rPr>
        <w:t>采购标的需实现的功能或者目标：</w:t>
      </w:r>
      <w:r>
        <w:rPr>
          <w:rFonts w:ascii="仿宋_GB2312" w:hAnsi="宋体" w:eastAsia="仿宋_GB2312"/>
          <w:color w:val="auto"/>
          <w:highlight w:val="none"/>
        </w:rPr>
        <w:t xml:space="preserve"> </w:t>
      </w:r>
      <w:r>
        <w:rPr>
          <w:rFonts w:hint="eastAsia" w:ascii="仿宋_GB2312" w:hAnsi="宋体" w:eastAsia="仿宋_GB2312"/>
          <w:color w:val="auto"/>
          <w:sz w:val="28"/>
          <w:szCs w:val="21"/>
          <w:highlight w:val="none"/>
        </w:rPr>
        <w:t>2026年乳山市松材线虫病媒介昆虫飞防药剂采购</w:t>
      </w:r>
      <w:r>
        <w:rPr>
          <w:rFonts w:hint="eastAsia" w:ascii="仿宋_GB2312" w:hAnsi="宋体" w:eastAsia="仿宋_GB2312"/>
          <w:color w:val="auto"/>
          <w:sz w:val="28"/>
          <w:szCs w:val="21"/>
          <w:highlight w:val="none"/>
          <w:lang w:eastAsia="zh-CN"/>
        </w:rPr>
        <w:t>。</w:t>
      </w:r>
    </w:p>
    <w:p w14:paraId="366CEF83">
      <w:pPr>
        <w:spacing w:line="560" w:lineRule="exact"/>
        <w:ind w:firstLine="562" w:firstLineChars="200"/>
        <w:rPr>
          <w:rFonts w:ascii="仿宋_GB2312" w:hAnsi="宋体" w:eastAsia="仿宋_GB2312"/>
          <w:b/>
          <w:color w:val="auto"/>
          <w:sz w:val="28"/>
          <w:szCs w:val="21"/>
          <w:highlight w:val="none"/>
        </w:rPr>
      </w:pPr>
      <w:r>
        <w:rPr>
          <w:rFonts w:hint="eastAsia" w:ascii="黑体" w:hAnsi="黑体" w:eastAsia="黑体"/>
          <w:b/>
          <w:color w:val="auto"/>
          <w:sz w:val="28"/>
          <w:szCs w:val="21"/>
          <w:highlight w:val="none"/>
        </w:rPr>
        <w:t>三、采购预算</w:t>
      </w:r>
    </w:p>
    <w:p w14:paraId="6A71D939">
      <w:pPr>
        <w:pStyle w:val="60"/>
        <w:spacing w:line="560" w:lineRule="exact"/>
        <w:ind w:firstLine="560"/>
        <w:rPr>
          <w:rFonts w:hint="eastAsia" w:ascii="仿宋_GB2312" w:hAnsi="宋体" w:eastAsia="仿宋_GB2312"/>
          <w:b/>
          <w:bCs/>
          <w:color w:val="auto"/>
          <w:highlight w:val="none"/>
        </w:rPr>
      </w:pPr>
      <w:r>
        <w:rPr>
          <w:rFonts w:hint="eastAsia" w:ascii="仿宋_GB2312" w:hAnsi="宋体" w:eastAsia="仿宋_GB2312"/>
          <w:b/>
          <w:bCs/>
          <w:color w:val="auto"/>
          <w:highlight w:val="none"/>
        </w:rPr>
        <w:t>本项目包段的采购预算金额为</w:t>
      </w:r>
      <w:r>
        <w:rPr>
          <w:rFonts w:hint="eastAsia" w:ascii="仿宋_GB2312" w:hAnsi="宋体" w:eastAsia="仿宋_GB2312"/>
          <w:b/>
          <w:bCs/>
          <w:color w:val="auto"/>
          <w:highlight w:val="none"/>
          <w:lang w:eastAsia="zh-CN"/>
        </w:rPr>
        <w:t>2159811.00</w:t>
      </w:r>
      <w:r>
        <w:rPr>
          <w:rFonts w:hint="eastAsia" w:ascii="仿宋_GB2312" w:hAnsi="宋体" w:eastAsia="仿宋_GB2312"/>
          <w:b/>
          <w:bCs/>
          <w:color w:val="auto"/>
          <w:highlight w:val="none"/>
        </w:rPr>
        <w:t>元。</w:t>
      </w:r>
    </w:p>
    <w:p w14:paraId="2EC7A7B9">
      <w:pPr>
        <w:pStyle w:val="60"/>
        <w:spacing w:line="560" w:lineRule="exact"/>
        <w:ind w:firstLine="560"/>
        <w:rPr>
          <w:rFonts w:hint="eastAsia" w:ascii="仿宋_GB2312" w:hAnsi="宋体" w:eastAsia="仿宋_GB2312"/>
          <w:b/>
          <w:bCs/>
          <w:color w:val="auto"/>
          <w:highlight w:val="none"/>
        </w:rPr>
      </w:pPr>
      <w:r>
        <w:rPr>
          <w:rFonts w:hint="eastAsia" w:ascii="仿宋_GB2312" w:hAnsi="宋体" w:eastAsia="仿宋_GB2312"/>
          <w:b/>
          <w:bCs/>
          <w:color w:val="auto"/>
          <w:highlight w:val="none"/>
        </w:rPr>
        <w:t>其中：8%氯氰菊酯微囊悬浮剂，单价控制价7</w:t>
      </w:r>
      <w:r>
        <w:rPr>
          <w:rFonts w:hint="eastAsia" w:ascii="仿宋_GB2312" w:hAnsi="宋体" w:eastAsia="仿宋_GB2312"/>
          <w:b/>
          <w:bCs/>
          <w:color w:val="auto"/>
          <w:highlight w:val="none"/>
          <w:lang w:val="en-US" w:eastAsia="zh-CN"/>
        </w:rPr>
        <w:t>0920.00</w:t>
      </w:r>
      <w:r>
        <w:rPr>
          <w:rFonts w:hint="eastAsia" w:ascii="仿宋_GB2312" w:hAnsi="宋体" w:eastAsia="仿宋_GB2312"/>
          <w:b/>
          <w:bCs/>
          <w:color w:val="auto"/>
          <w:highlight w:val="none"/>
        </w:rPr>
        <w:t>元/吨；</w:t>
      </w:r>
    </w:p>
    <w:p w14:paraId="7D39A7CB">
      <w:pPr>
        <w:pStyle w:val="60"/>
        <w:spacing w:line="560" w:lineRule="exact"/>
        <w:ind w:firstLine="560"/>
        <w:rPr>
          <w:rFonts w:hint="eastAsia" w:ascii="仿宋_GB2312" w:hAnsi="宋体" w:eastAsia="仿宋_GB2312"/>
          <w:b/>
          <w:bCs/>
          <w:color w:val="auto"/>
          <w:highlight w:val="none"/>
        </w:rPr>
      </w:pPr>
      <w:r>
        <w:rPr>
          <w:rFonts w:hint="eastAsia" w:ascii="仿宋_GB2312" w:hAnsi="宋体" w:eastAsia="仿宋_GB2312"/>
          <w:b/>
          <w:bCs/>
          <w:color w:val="auto"/>
          <w:highlight w:val="none"/>
        </w:rPr>
        <w:t>尿素，单价控制价</w:t>
      </w:r>
      <w:r>
        <w:rPr>
          <w:rFonts w:hint="eastAsia" w:ascii="仿宋_GB2312" w:hAnsi="宋体" w:eastAsia="仿宋_GB2312"/>
          <w:b/>
          <w:bCs/>
          <w:color w:val="auto"/>
          <w:highlight w:val="none"/>
          <w:lang w:val="en-US" w:eastAsia="zh-CN"/>
        </w:rPr>
        <w:t>3100.00</w:t>
      </w:r>
      <w:r>
        <w:rPr>
          <w:rFonts w:hint="eastAsia" w:ascii="仿宋_GB2312" w:hAnsi="宋体" w:eastAsia="仿宋_GB2312"/>
          <w:b/>
          <w:bCs/>
          <w:color w:val="auto"/>
          <w:highlight w:val="none"/>
        </w:rPr>
        <w:t>元/吨。</w:t>
      </w:r>
    </w:p>
    <w:p w14:paraId="4AD2E4A4">
      <w:pPr>
        <w:pStyle w:val="60"/>
        <w:spacing w:line="560" w:lineRule="exact"/>
        <w:ind w:firstLine="560"/>
        <w:rPr>
          <w:rFonts w:hint="default" w:ascii="仿宋_GB2312" w:hAnsi="宋体" w:eastAsia="仿宋_GB2312"/>
          <w:b/>
          <w:bCs/>
          <w:color w:val="auto"/>
          <w:highlight w:val="none"/>
          <w:lang w:val="en-US" w:eastAsia="zh-CN"/>
        </w:rPr>
      </w:pPr>
      <w:r>
        <w:rPr>
          <w:rFonts w:hint="eastAsia" w:ascii="仿宋_GB2312" w:hAnsi="宋体" w:eastAsia="仿宋_GB2312"/>
          <w:b/>
          <w:bCs/>
          <w:color w:val="auto"/>
          <w:highlight w:val="none"/>
        </w:rPr>
        <w:t>报价时不允许</w:t>
      </w:r>
      <w:r>
        <w:rPr>
          <w:rFonts w:hint="eastAsia" w:ascii="仿宋_GB2312" w:hAnsi="宋体" w:eastAsia="仿宋_GB2312"/>
          <w:b/>
          <w:bCs/>
          <w:color w:val="auto"/>
          <w:highlight w:val="none"/>
          <w:lang w:val="en-US" w:eastAsia="zh-CN"/>
        </w:rPr>
        <w:t>超</w:t>
      </w:r>
      <w:r>
        <w:rPr>
          <w:rFonts w:hint="eastAsia" w:ascii="仿宋_GB2312" w:hAnsi="宋体" w:eastAsia="仿宋_GB2312"/>
          <w:b/>
          <w:bCs/>
          <w:color w:val="auto"/>
          <w:highlight w:val="none"/>
        </w:rPr>
        <w:t>出控制单价，</w:t>
      </w:r>
      <w:r>
        <w:rPr>
          <w:rFonts w:hint="eastAsia" w:ascii="仿宋_GB2312" w:hAnsi="宋体" w:eastAsia="仿宋_GB2312"/>
          <w:b/>
          <w:bCs/>
          <w:color w:val="auto"/>
          <w:highlight w:val="none"/>
          <w:lang w:val="en-US" w:eastAsia="zh-CN"/>
        </w:rPr>
        <w:t>否则投标无效。</w:t>
      </w:r>
    </w:p>
    <w:p w14:paraId="116C2360">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四、采购方式</w:t>
      </w:r>
    </w:p>
    <w:p w14:paraId="04117884">
      <w:pPr>
        <w:pStyle w:val="60"/>
        <w:spacing w:line="560" w:lineRule="exact"/>
        <w:ind w:firstLine="560"/>
        <w:rPr>
          <w:rFonts w:ascii="仿宋_GB2312" w:hAnsi="宋体" w:eastAsia="仿宋_GB2312"/>
          <w:color w:val="auto"/>
          <w:highlight w:val="none"/>
        </w:rPr>
      </w:pPr>
      <w:r>
        <w:rPr>
          <w:rFonts w:hint="eastAsia" w:ascii="仿宋_GB2312" w:hAnsi="宋体" w:eastAsia="仿宋_GB2312"/>
          <w:color w:val="auto"/>
          <w:highlight w:val="none"/>
        </w:rPr>
        <w:t>本项目包段采用</w:t>
      </w:r>
      <w:r>
        <w:rPr>
          <w:rFonts w:hint="eastAsia" w:ascii="仿宋_GB2312" w:hAnsi="宋体" w:eastAsia="仿宋_GB2312"/>
          <w:color w:val="auto"/>
          <w:highlight w:val="none"/>
          <w:lang w:val="en-US" w:eastAsia="zh-CN"/>
        </w:rPr>
        <w:t>自愿</w:t>
      </w:r>
      <w:r>
        <w:rPr>
          <w:rFonts w:hint="eastAsia" w:ascii="仿宋_GB2312" w:hAnsi="宋体" w:eastAsia="仿宋_GB2312"/>
          <w:color w:val="auto"/>
          <w:highlight w:val="none"/>
        </w:rPr>
        <w:t>公开招标方式进行采购。</w:t>
      </w:r>
    </w:p>
    <w:p w14:paraId="746B41F3">
      <w:pPr>
        <w:widowControl/>
        <w:spacing w:line="560" w:lineRule="exact"/>
        <w:ind w:firstLine="643" w:firstLineChars="200"/>
        <w:jc w:val="center"/>
        <w:rPr>
          <w:rFonts w:ascii="楷体_GB2312" w:hAnsi="宋体" w:eastAsia="楷体_GB2312"/>
          <w:b/>
          <w:bCs/>
          <w:color w:val="auto"/>
          <w:kern w:val="44"/>
          <w:sz w:val="32"/>
          <w:szCs w:val="30"/>
          <w:highlight w:val="none"/>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32F8BCFA">
      <w:pPr>
        <w:widowControl/>
        <w:spacing w:line="560" w:lineRule="exact"/>
        <w:ind w:firstLine="643" w:firstLineChars="200"/>
        <w:jc w:val="center"/>
        <w:rPr>
          <w:rFonts w:ascii="楷体_GB2312" w:hAnsi="宋体" w:eastAsia="楷体_GB2312"/>
          <w:b/>
          <w:bCs/>
          <w:color w:val="auto"/>
          <w:kern w:val="44"/>
          <w:sz w:val="32"/>
          <w:szCs w:val="30"/>
          <w:highlight w:val="none"/>
        </w:rPr>
      </w:pPr>
      <w:r>
        <w:rPr>
          <w:rFonts w:hint="eastAsia" w:ascii="楷体_GB2312" w:hAnsi="宋体" w:eastAsia="楷体_GB2312"/>
          <w:b/>
          <w:bCs/>
          <w:color w:val="auto"/>
          <w:kern w:val="44"/>
          <w:sz w:val="32"/>
          <w:szCs w:val="30"/>
          <w:highlight w:val="none"/>
        </w:rPr>
        <w:t>第二部分 采购清单及技术参数</w:t>
      </w:r>
    </w:p>
    <w:p w14:paraId="525DBFC1">
      <w:pPr>
        <w:pStyle w:val="14"/>
        <w:spacing w:line="560" w:lineRule="exact"/>
        <w:ind w:firstLine="560" w:firstLineChars="200"/>
        <w:rPr>
          <w:rFonts w:ascii="仿宋_GB2312" w:hAnsi="宋体" w:eastAsia="仿宋_GB2312"/>
          <w:color w:val="auto"/>
          <w:szCs w:val="21"/>
          <w:highlight w:val="none"/>
        </w:rPr>
      </w:pPr>
      <w:r>
        <w:rPr>
          <w:rFonts w:hint="eastAsia" w:ascii="仿宋_GB2312" w:hAnsi="宋体" w:eastAsia="仿宋_GB2312"/>
          <w:color w:val="auto"/>
          <w:szCs w:val="21"/>
          <w:highlight w:val="none"/>
        </w:rPr>
        <w:t xml:space="preserve">本项目包段的采购标的物如下，供应商需逐项进行报价： </w:t>
      </w:r>
    </w:p>
    <w:tbl>
      <w:tblPr>
        <w:tblStyle w:val="30"/>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437F5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4DB094B6">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序号</w:t>
            </w:r>
          </w:p>
        </w:tc>
        <w:tc>
          <w:tcPr>
            <w:tcW w:w="993" w:type="dxa"/>
            <w:shd w:val="clear" w:color="auto" w:fill="D9D9D9"/>
            <w:vAlign w:val="center"/>
          </w:tcPr>
          <w:p w14:paraId="4628E824">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分类</w:t>
            </w:r>
          </w:p>
        </w:tc>
        <w:tc>
          <w:tcPr>
            <w:tcW w:w="992" w:type="dxa"/>
            <w:shd w:val="clear" w:color="auto" w:fill="D9D9D9"/>
            <w:vAlign w:val="center"/>
          </w:tcPr>
          <w:p w14:paraId="4C3446F2">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清单</w:t>
            </w:r>
          </w:p>
          <w:p w14:paraId="7AFA88B2">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分组</w:t>
            </w:r>
          </w:p>
        </w:tc>
        <w:tc>
          <w:tcPr>
            <w:tcW w:w="1417" w:type="dxa"/>
            <w:shd w:val="clear" w:color="auto" w:fill="D9D9D9"/>
            <w:vAlign w:val="center"/>
          </w:tcPr>
          <w:p w14:paraId="2EA376FE">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清单名称</w:t>
            </w:r>
          </w:p>
        </w:tc>
        <w:tc>
          <w:tcPr>
            <w:tcW w:w="1134" w:type="dxa"/>
            <w:shd w:val="clear" w:color="auto" w:fill="D9D9D9"/>
            <w:vAlign w:val="center"/>
          </w:tcPr>
          <w:p w14:paraId="2A108023">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数量</w:t>
            </w:r>
          </w:p>
        </w:tc>
        <w:tc>
          <w:tcPr>
            <w:tcW w:w="851" w:type="dxa"/>
            <w:shd w:val="clear" w:color="auto" w:fill="D9D9D9"/>
            <w:vAlign w:val="center"/>
          </w:tcPr>
          <w:p w14:paraId="72CAFE78">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单位</w:t>
            </w:r>
          </w:p>
        </w:tc>
        <w:tc>
          <w:tcPr>
            <w:tcW w:w="7008" w:type="dxa"/>
            <w:shd w:val="clear" w:color="auto" w:fill="D9D9D9"/>
            <w:vAlign w:val="center"/>
          </w:tcPr>
          <w:p w14:paraId="2DA0E1CD">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功能与技术参数</w:t>
            </w:r>
          </w:p>
        </w:tc>
      </w:tr>
      <w:tr w14:paraId="28859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05" w:hRule="atLeast"/>
          <w:jc w:val="center"/>
        </w:trPr>
        <w:tc>
          <w:tcPr>
            <w:tcW w:w="705" w:type="dxa"/>
            <w:vAlign w:val="center"/>
          </w:tcPr>
          <w:p w14:paraId="1CA399DA">
            <w:pPr>
              <w:jc w:val="center"/>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1</w:t>
            </w:r>
          </w:p>
        </w:tc>
        <w:tc>
          <w:tcPr>
            <w:tcW w:w="993" w:type="dxa"/>
            <w:vAlign w:val="center"/>
          </w:tcPr>
          <w:p w14:paraId="75A4F08F">
            <w:pPr>
              <w:jc w:val="center"/>
              <w:rPr>
                <w:rFonts w:hint="eastAsia" w:ascii="Times New Roman" w:hAnsi="Times New Roman" w:eastAsia="仿宋_GB2312" w:cs="Times New Roman"/>
                <w:color w:val="auto"/>
                <w:kern w:val="2"/>
                <w:sz w:val="24"/>
                <w:szCs w:val="22"/>
                <w:highlight w:val="none"/>
                <w:u w:val="none"/>
                <w:lang w:val="en-US" w:eastAsia="zh-CN" w:bidi="ar-SA"/>
              </w:rPr>
            </w:pPr>
            <w:r>
              <w:rPr>
                <w:rFonts w:hint="eastAsia" w:ascii="Times New Roman" w:hAnsi="Times New Roman" w:eastAsia="仿宋_GB2312" w:cs="Times New Roman"/>
                <w:color w:val="auto"/>
                <w:sz w:val="24"/>
                <w:highlight w:val="none"/>
                <w:u w:val="none"/>
                <w:lang w:val="en-US" w:eastAsia="zh-CN"/>
              </w:rPr>
              <w:t>货物</w:t>
            </w:r>
          </w:p>
        </w:tc>
        <w:tc>
          <w:tcPr>
            <w:tcW w:w="992" w:type="dxa"/>
            <w:vAlign w:val="center"/>
          </w:tcPr>
          <w:p w14:paraId="2A2ABF07">
            <w:pPr>
              <w:jc w:val="center"/>
              <w:rPr>
                <w:rFonts w:hint="default" w:ascii="Times New Roman" w:hAnsi="Times New Roman" w:eastAsia="仿宋_GB2312" w:cs="Times New Roman"/>
                <w:color w:val="auto"/>
                <w:kern w:val="2"/>
                <w:sz w:val="24"/>
                <w:szCs w:val="22"/>
                <w:highlight w:val="none"/>
                <w:u w:val="none"/>
                <w:lang w:val="en-US" w:eastAsia="zh-CN" w:bidi="ar-SA"/>
              </w:rPr>
            </w:pPr>
          </w:p>
        </w:tc>
        <w:tc>
          <w:tcPr>
            <w:tcW w:w="1417" w:type="dxa"/>
            <w:vAlign w:val="center"/>
          </w:tcPr>
          <w:p w14:paraId="1D83D56D">
            <w:pPr>
              <w:jc w:val="center"/>
              <w:rPr>
                <w:rFonts w:hint="default" w:ascii="Times New Roman" w:hAnsi="Times New Roman" w:eastAsia="仿宋_GB2312" w:cs="Times New Roman"/>
                <w:color w:val="auto"/>
                <w:kern w:val="2"/>
                <w:sz w:val="24"/>
                <w:szCs w:val="22"/>
                <w:highlight w:val="none"/>
                <w:u w:val="none"/>
                <w:lang w:val="en-US" w:eastAsia="zh-CN" w:bidi="ar-SA"/>
              </w:rPr>
            </w:pPr>
            <w:r>
              <w:rPr>
                <w:rFonts w:hint="default" w:ascii="Times New Roman" w:hAnsi="Times New Roman" w:eastAsia="仿宋_GB2312" w:cs="Times New Roman"/>
                <w:color w:val="auto"/>
                <w:kern w:val="2"/>
                <w:sz w:val="24"/>
                <w:szCs w:val="22"/>
                <w:highlight w:val="none"/>
                <w:u w:val="none"/>
                <w:lang w:val="en-US" w:eastAsia="zh-CN" w:bidi="ar-SA"/>
              </w:rPr>
              <w:t>8%氯氰菊酯微囊悬浮剂</w:t>
            </w:r>
          </w:p>
        </w:tc>
        <w:tc>
          <w:tcPr>
            <w:tcW w:w="1134" w:type="dxa"/>
            <w:vAlign w:val="center"/>
          </w:tcPr>
          <w:p w14:paraId="1D06DE53">
            <w:pPr>
              <w:jc w:val="center"/>
              <w:rPr>
                <w:rFonts w:hint="default" w:ascii="Times New Roman" w:hAnsi="Times New Roman" w:eastAsia="仿宋_GB2312" w:cs="Times New Roman"/>
                <w:color w:val="auto"/>
                <w:kern w:val="2"/>
                <w:sz w:val="24"/>
                <w:szCs w:val="22"/>
                <w:highlight w:val="none"/>
                <w:u w:val="none"/>
                <w:lang w:val="en-US" w:eastAsia="zh-CN" w:bidi="ar-SA"/>
              </w:rPr>
            </w:pPr>
            <w:r>
              <w:rPr>
                <w:rFonts w:hint="eastAsia" w:ascii="Times New Roman" w:hAnsi="Times New Roman" w:eastAsia="仿宋_GB2312" w:cs="Times New Roman"/>
                <w:color w:val="auto"/>
                <w:kern w:val="2"/>
                <w:sz w:val="24"/>
                <w:szCs w:val="22"/>
                <w:highlight w:val="none"/>
                <w:u w:val="none"/>
                <w:lang w:val="en-US" w:eastAsia="zh-CN" w:bidi="ar-SA"/>
              </w:rPr>
              <w:t>30.06</w:t>
            </w:r>
          </w:p>
        </w:tc>
        <w:tc>
          <w:tcPr>
            <w:tcW w:w="851" w:type="dxa"/>
            <w:vAlign w:val="center"/>
          </w:tcPr>
          <w:p w14:paraId="4B347A25">
            <w:pPr>
              <w:jc w:val="center"/>
              <w:rPr>
                <w:rFonts w:hint="default" w:ascii="Times New Roman" w:hAnsi="Times New Roman" w:eastAsia="仿宋_GB2312" w:cs="Times New Roman"/>
                <w:color w:val="auto"/>
                <w:kern w:val="2"/>
                <w:sz w:val="24"/>
                <w:szCs w:val="22"/>
                <w:highlight w:val="none"/>
                <w:u w:val="none"/>
                <w:lang w:val="en-US" w:eastAsia="zh-CN" w:bidi="ar-SA"/>
              </w:rPr>
            </w:pPr>
            <w:r>
              <w:rPr>
                <w:rFonts w:hint="eastAsia" w:ascii="Times New Roman" w:hAnsi="Times New Roman" w:eastAsia="仿宋_GB2312" w:cs="Times New Roman"/>
                <w:color w:val="auto"/>
                <w:kern w:val="2"/>
                <w:sz w:val="24"/>
                <w:szCs w:val="22"/>
                <w:highlight w:val="none"/>
                <w:u w:val="none"/>
                <w:lang w:val="en-US" w:eastAsia="zh-CN" w:bidi="ar-SA"/>
              </w:rPr>
              <w:t>吨</w:t>
            </w:r>
          </w:p>
        </w:tc>
        <w:tc>
          <w:tcPr>
            <w:tcW w:w="7008" w:type="dxa"/>
            <w:vAlign w:val="center"/>
          </w:tcPr>
          <w:p w14:paraId="40AD38D4">
            <w:pPr>
              <w:jc w:val="left"/>
              <w:rPr>
                <w:rFonts w:hint="default" w:ascii="Times New Roman" w:hAnsi="Times New Roman" w:eastAsia="仿宋_GB2312" w:cs="Times New Roman"/>
                <w:color w:val="auto"/>
                <w:kern w:val="2"/>
                <w:sz w:val="24"/>
                <w:szCs w:val="22"/>
                <w:highlight w:val="none"/>
                <w:u w:val="none"/>
                <w:lang w:val="en-US" w:eastAsia="zh-CN" w:bidi="ar-SA"/>
              </w:rPr>
            </w:pPr>
            <w:r>
              <w:rPr>
                <w:rFonts w:hint="default" w:ascii="Times New Roman" w:hAnsi="Times New Roman" w:eastAsia="仿宋_GB2312" w:cs="Times New Roman"/>
                <w:color w:val="auto"/>
                <w:kern w:val="2"/>
                <w:sz w:val="24"/>
                <w:szCs w:val="22"/>
                <w:highlight w:val="none"/>
                <w:u w:val="none"/>
                <w:lang w:val="en-US" w:eastAsia="zh-CN" w:bidi="ar-SA"/>
              </w:rPr>
              <w:t>有效成分≧8%，包装规格：20升/桶</w:t>
            </w:r>
          </w:p>
        </w:tc>
      </w:tr>
      <w:tr w14:paraId="0A402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05" w:hRule="atLeast"/>
          <w:jc w:val="center"/>
        </w:trPr>
        <w:tc>
          <w:tcPr>
            <w:tcW w:w="705" w:type="dxa"/>
            <w:vAlign w:val="center"/>
          </w:tcPr>
          <w:p w14:paraId="63A4C68F">
            <w:pPr>
              <w:jc w:val="center"/>
              <w:rPr>
                <w:rFonts w:hint="default"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2</w:t>
            </w:r>
          </w:p>
        </w:tc>
        <w:tc>
          <w:tcPr>
            <w:tcW w:w="993" w:type="dxa"/>
            <w:vAlign w:val="center"/>
          </w:tcPr>
          <w:p w14:paraId="415D13D4">
            <w:pPr>
              <w:jc w:val="center"/>
              <w:rPr>
                <w:rFonts w:hint="eastAsia" w:ascii="Times New Roman" w:hAnsi="Times New Roman" w:eastAsia="仿宋_GB2312" w:cs="Times New Roman"/>
                <w:color w:val="auto"/>
                <w:sz w:val="24"/>
                <w:highlight w:val="none"/>
                <w:u w:val="none"/>
                <w:lang w:val="en-US" w:eastAsia="zh-CN"/>
              </w:rPr>
            </w:pPr>
            <w:r>
              <w:rPr>
                <w:rFonts w:hint="eastAsia" w:ascii="Times New Roman" w:hAnsi="Times New Roman" w:eastAsia="仿宋_GB2312" w:cs="Times New Roman"/>
                <w:color w:val="auto"/>
                <w:sz w:val="24"/>
                <w:highlight w:val="none"/>
                <w:u w:val="none"/>
                <w:lang w:val="en-US" w:eastAsia="zh-CN"/>
              </w:rPr>
              <w:t>货物</w:t>
            </w:r>
          </w:p>
        </w:tc>
        <w:tc>
          <w:tcPr>
            <w:tcW w:w="992" w:type="dxa"/>
            <w:vAlign w:val="center"/>
          </w:tcPr>
          <w:p w14:paraId="0F4FAED2">
            <w:pPr>
              <w:jc w:val="center"/>
              <w:rPr>
                <w:rFonts w:hint="default" w:ascii="Times New Roman" w:hAnsi="Times New Roman" w:eastAsia="仿宋_GB2312" w:cs="Times New Roman"/>
                <w:color w:val="auto"/>
                <w:kern w:val="2"/>
                <w:sz w:val="24"/>
                <w:szCs w:val="22"/>
                <w:highlight w:val="none"/>
                <w:u w:val="none"/>
                <w:lang w:val="en-US" w:eastAsia="zh-CN" w:bidi="ar-SA"/>
              </w:rPr>
            </w:pPr>
          </w:p>
        </w:tc>
        <w:tc>
          <w:tcPr>
            <w:tcW w:w="1417" w:type="dxa"/>
            <w:vAlign w:val="center"/>
          </w:tcPr>
          <w:p w14:paraId="6462B814">
            <w:pPr>
              <w:jc w:val="center"/>
              <w:rPr>
                <w:rFonts w:hint="eastAsia" w:eastAsia="仿宋_GB2312" w:cs="Times New Roman"/>
                <w:color w:val="auto"/>
                <w:sz w:val="24"/>
                <w:highlight w:val="none"/>
                <w:u w:val="none"/>
                <w:lang w:eastAsia="zh-CN"/>
              </w:rPr>
            </w:pPr>
            <w:r>
              <w:rPr>
                <w:rFonts w:hint="eastAsia" w:eastAsia="仿宋_GB2312" w:cs="Times New Roman"/>
                <w:color w:val="auto"/>
                <w:sz w:val="24"/>
                <w:highlight w:val="none"/>
                <w:u w:val="none"/>
                <w:lang w:eastAsia="zh-CN"/>
              </w:rPr>
              <w:t>尿素</w:t>
            </w:r>
          </w:p>
        </w:tc>
        <w:tc>
          <w:tcPr>
            <w:tcW w:w="1134" w:type="dxa"/>
            <w:vAlign w:val="center"/>
          </w:tcPr>
          <w:p w14:paraId="006FCB7C">
            <w:pPr>
              <w:jc w:val="center"/>
              <w:rPr>
                <w:rFonts w:hint="default" w:ascii="Times New Roman" w:hAnsi="Times New Roman" w:eastAsia="仿宋_GB2312" w:cs="Times New Roman"/>
                <w:color w:val="auto"/>
                <w:sz w:val="24"/>
                <w:highlight w:val="none"/>
                <w:u w:val="none"/>
                <w:lang w:val="en-US" w:eastAsia="zh-CN"/>
              </w:rPr>
            </w:pPr>
            <w:r>
              <w:rPr>
                <w:rFonts w:hint="eastAsia" w:ascii="Times New Roman" w:hAnsi="Times New Roman" w:eastAsia="仿宋_GB2312" w:cs="Times New Roman"/>
                <w:color w:val="auto"/>
                <w:sz w:val="24"/>
                <w:highlight w:val="none"/>
                <w:u w:val="none"/>
                <w:lang w:val="en-US" w:eastAsia="zh-CN"/>
              </w:rPr>
              <w:t>9.018</w:t>
            </w:r>
          </w:p>
        </w:tc>
        <w:tc>
          <w:tcPr>
            <w:tcW w:w="851" w:type="dxa"/>
            <w:vAlign w:val="center"/>
          </w:tcPr>
          <w:p w14:paraId="7DA48A9B">
            <w:pPr>
              <w:jc w:val="center"/>
              <w:rPr>
                <w:rFonts w:hint="eastAsia" w:ascii="Times New Roman" w:hAnsi="Times New Roman" w:eastAsia="仿宋_GB2312" w:cs="Times New Roman"/>
                <w:color w:val="auto"/>
                <w:kern w:val="2"/>
                <w:sz w:val="24"/>
                <w:szCs w:val="22"/>
                <w:highlight w:val="none"/>
                <w:u w:val="none"/>
                <w:lang w:val="en-US" w:eastAsia="zh-CN" w:bidi="ar-SA"/>
              </w:rPr>
            </w:pPr>
            <w:r>
              <w:rPr>
                <w:rFonts w:hint="eastAsia" w:ascii="Times New Roman" w:hAnsi="Times New Roman" w:eastAsia="仿宋_GB2312" w:cs="Times New Roman"/>
                <w:color w:val="auto"/>
                <w:kern w:val="2"/>
                <w:sz w:val="24"/>
                <w:szCs w:val="22"/>
                <w:highlight w:val="none"/>
                <w:u w:val="none"/>
                <w:lang w:val="en-US" w:eastAsia="zh-CN" w:bidi="ar-SA"/>
              </w:rPr>
              <w:t>吨</w:t>
            </w:r>
          </w:p>
        </w:tc>
        <w:tc>
          <w:tcPr>
            <w:tcW w:w="7008" w:type="dxa"/>
            <w:vAlign w:val="center"/>
          </w:tcPr>
          <w:p w14:paraId="0A994994">
            <w:pPr>
              <w:jc w:val="left"/>
              <w:rPr>
                <w:rFonts w:hint="default" w:ascii="Times New Roman" w:hAnsi="Times New Roman" w:eastAsia="仿宋_GB2312" w:cs="Times New Roman"/>
                <w:color w:val="auto"/>
                <w:kern w:val="2"/>
                <w:sz w:val="24"/>
                <w:szCs w:val="22"/>
                <w:highlight w:val="none"/>
                <w:u w:val="none"/>
                <w:lang w:val="en-US" w:eastAsia="zh-CN" w:bidi="ar-SA"/>
              </w:rPr>
            </w:pPr>
            <w:r>
              <w:rPr>
                <w:rFonts w:hint="default" w:ascii="Times New Roman" w:hAnsi="Times New Roman" w:eastAsia="仿宋_GB2312" w:cs="Times New Roman"/>
                <w:color w:val="auto"/>
                <w:kern w:val="2"/>
                <w:sz w:val="24"/>
                <w:szCs w:val="22"/>
                <w:highlight w:val="none"/>
                <w:u w:val="none"/>
                <w:lang w:val="en-US" w:eastAsia="zh-CN" w:bidi="ar-SA"/>
              </w:rPr>
              <w:t>总氮含量≧46%，中颗粒，粒径范围：d（1.18-3.35mm），执行标准：GB/T 2440-2017，包装规格：50千克/袋</w:t>
            </w:r>
          </w:p>
        </w:tc>
      </w:tr>
    </w:tbl>
    <w:p w14:paraId="0F3BEA34">
      <w:pPr>
        <w:widowControl/>
        <w:spacing w:line="200" w:lineRule="exact"/>
        <w:ind w:firstLine="200" w:firstLineChars="200"/>
        <w:jc w:val="center"/>
        <w:rPr>
          <w:rFonts w:ascii="仿宋_GB2312" w:hAnsi="宋体" w:eastAsia="仿宋_GB2312"/>
          <w:color w:val="auto"/>
          <w:sz w:val="10"/>
          <w:szCs w:val="10"/>
          <w:highlight w:val="none"/>
        </w:rPr>
      </w:pPr>
    </w:p>
    <w:p w14:paraId="1811FF3E">
      <w:pPr>
        <w:widowControl/>
        <w:spacing w:line="560" w:lineRule="exact"/>
        <w:ind w:firstLine="643" w:firstLineChars="200"/>
        <w:jc w:val="left"/>
        <w:rPr>
          <w:rFonts w:ascii="楷体_GB2312" w:hAnsi="宋体" w:eastAsia="楷体_GB2312"/>
          <w:b/>
          <w:bCs/>
          <w:color w:val="auto"/>
          <w:kern w:val="44"/>
          <w:sz w:val="32"/>
          <w:szCs w:val="30"/>
          <w:highlight w:val="none"/>
        </w:rPr>
      </w:pPr>
    </w:p>
    <w:p w14:paraId="6C7E6358">
      <w:pPr>
        <w:widowControl/>
        <w:spacing w:line="560" w:lineRule="exact"/>
        <w:ind w:firstLine="708" w:firstLineChars="253"/>
        <w:jc w:val="left"/>
        <w:rPr>
          <w:rFonts w:hint="eastAsia" w:ascii="仿宋_GB2312" w:hAnsi="宋体" w:eastAsia="仿宋_GB2312"/>
          <w:color w:val="auto"/>
          <w:sz w:val="28"/>
          <w:szCs w:val="21"/>
          <w:highlight w:val="none"/>
        </w:rPr>
        <w:sectPr>
          <w:pgSz w:w="16838" w:h="11906" w:orient="landscape"/>
          <w:pgMar w:top="1077" w:right="1440" w:bottom="1077" w:left="1440" w:header="851" w:footer="992" w:gutter="0"/>
          <w:cols w:space="720" w:num="1"/>
          <w:docGrid w:type="lines" w:linePitch="312" w:charSpace="0"/>
        </w:sectPr>
      </w:pPr>
    </w:p>
    <w:p w14:paraId="281C3103">
      <w:pPr>
        <w:widowControl/>
        <w:spacing w:line="560" w:lineRule="exact"/>
        <w:ind w:firstLine="643" w:firstLineChars="200"/>
        <w:jc w:val="center"/>
        <w:rPr>
          <w:rFonts w:ascii="楷体_GB2312" w:hAnsi="宋体" w:eastAsia="楷体_GB2312"/>
          <w:b/>
          <w:bCs/>
          <w:color w:val="auto"/>
          <w:kern w:val="44"/>
          <w:sz w:val="32"/>
          <w:szCs w:val="30"/>
          <w:highlight w:val="none"/>
        </w:rPr>
      </w:pPr>
      <w:r>
        <w:rPr>
          <w:rFonts w:hint="eastAsia" w:ascii="楷体_GB2312" w:hAnsi="宋体" w:eastAsia="楷体_GB2312"/>
          <w:b/>
          <w:bCs/>
          <w:color w:val="auto"/>
          <w:kern w:val="44"/>
          <w:sz w:val="32"/>
          <w:szCs w:val="30"/>
          <w:highlight w:val="none"/>
        </w:rPr>
        <w:t>第三部分 技术要求</w:t>
      </w:r>
    </w:p>
    <w:p w14:paraId="0187335F">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一、需执行的标准</w:t>
      </w:r>
    </w:p>
    <w:p w14:paraId="329218C8">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1）国家相关标准：按照国家最新标准执行  </w:t>
      </w:r>
    </w:p>
    <w:p w14:paraId="576653D3">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2）行业标准：按照行业最新标准执行  </w:t>
      </w:r>
    </w:p>
    <w:p w14:paraId="5BEEB0C4">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3）地方标准：按照地方最新标准执行  </w:t>
      </w:r>
    </w:p>
    <w:p w14:paraId="687EC4CC">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4）其他标准：按照最新标准执行  </w:t>
      </w:r>
    </w:p>
    <w:p w14:paraId="45A572DD">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二、实施及交付</w:t>
      </w:r>
    </w:p>
    <w:p w14:paraId="5594810C">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1）质量要求</w:t>
      </w:r>
    </w:p>
    <w:p w14:paraId="7EBBE0A2">
      <w:p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8%氯氰菊酯微囊悬浮剂，有效成分≧8%，包装规格：20升/桶；</w:t>
      </w:r>
    </w:p>
    <w:p w14:paraId="141EA881">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尿素（总氮含量≧46%，中颗粒，粒径范围：d（1.18-3.35mm），执行标准：GB/T 2440-2017，包装规格：50千克/袋）；  </w:t>
      </w:r>
    </w:p>
    <w:p w14:paraId="337CC766">
      <w:pPr>
        <w:spacing w:line="560" w:lineRule="exact"/>
        <w:ind w:firstLine="560" w:firstLineChars="200"/>
        <w:rPr>
          <w:rFonts w:ascii="仿宋_GB2312" w:hAnsi="宋体" w:eastAsia="仿宋_GB2312"/>
          <w:color w:val="auto"/>
          <w:sz w:val="28"/>
          <w:szCs w:val="21"/>
          <w:highlight w:val="none"/>
        </w:rPr>
      </w:pPr>
      <w:r>
        <w:rPr>
          <w:rFonts w:ascii="仿宋_GB2312" w:hAnsi="宋体" w:eastAsia="仿宋_GB2312"/>
          <w:color w:val="auto"/>
          <w:sz w:val="28"/>
          <w:szCs w:val="21"/>
          <w:highlight w:val="none"/>
        </w:rPr>
        <w:t>2）安全要求</w:t>
      </w:r>
    </w:p>
    <w:p w14:paraId="771AFB97">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 使用安全、可靠   </w:t>
      </w:r>
    </w:p>
    <w:p w14:paraId="6E62C9B3">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3）交货期</w:t>
      </w:r>
    </w:p>
    <w:p w14:paraId="6769331F">
      <w:pPr>
        <w:spacing w:line="560" w:lineRule="exact"/>
        <w:ind w:firstLine="560" w:firstLineChars="200"/>
        <w:rPr>
          <w:rFonts w:hint="eastAsia" w:ascii="仿宋_GB2312" w:hAnsi="宋体" w:eastAsia="仿宋_GB2312"/>
          <w:color w:val="auto"/>
          <w:sz w:val="28"/>
          <w:szCs w:val="21"/>
          <w:highlight w:val="none"/>
          <w:lang w:eastAsia="zh-CN"/>
        </w:rPr>
      </w:pPr>
      <w:r>
        <w:rPr>
          <w:rFonts w:hint="eastAsia" w:ascii="仿宋_GB2312" w:hAnsi="宋体" w:eastAsia="仿宋_GB2312"/>
          <w:color w:val="auto"/>
          <w:sz w:val="28"/>
          <w:szCs w:val="21"/>
          <w:highlight w:val="none"/>
          <w:lang w:eastAsia="zh-CN"/>
        </w:rPr>
        <w:t>分批次送货，非一次性送货。中标人须根据采购人的要求，将所需货物送达采购人指定地点，并保证送货的及时性，一般在采购人通知时间48小时内送达。具体供货量根据甲方需求适时调整。</w:t>
      </w:r>
    </w:p>
    <w:p w14:paraId="36587F6F">
      <w:pPr>
        <w:spacing w:line="560" w:lineRule="exact"/>
        <w:ind w:firstLine="560" w:firstLineChars="200"/>
        <w:rPr>
          <w:rFonts w:ascii="仿宋_GB2312" w:hAnsi="宋体" w:eastAsia="仿宋_GB2312"/>
          <w:color w:val="auto"/>
          <w:sz w:val="28"/>
          <w:szCs w:val="21"/>
          <w:highlight w:val="none"/>
        </w:rPr>
      </w:pPr>
      <w:r>
        <w:rPr>
          <w:rFonts w:ascii="仿宋_GB2312" w:hAnsi="宋体" w:eastAsia="仿宋_GB2312"/>
          <w:color w:val="auto"/>
          <w:sz w:val="28"/>
          <w:szCs w:val="21"/>
          <w:highlight w:val="none"/>
        </w:rPr>
        <w:t>4）交付（实施）地点</w:t>
      </w:r>
    </w:p>
    <w:p w14:paraId="2C0C636D">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采购人指定地点 </w:t>
      </w:r>
    </w:p>
    <w:p w14:paraId="57F507BF">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5）付款方式</w:t>
      </w:r>
    </w:p>
    <w:p w14:paraId="787D7F40">
      <w:pPr>
        <w:spacing w:line="560" w:lineRule="exact"/>
        <w:ind w:firstLine="560" w:firstLineChars="2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无预付款，采购人在标的物供货无误、样品检测合格后组织验收，验收合格后，第一年支付合同价款的50%，第二年支付20%，第三年支付20%，第四年支付10%。（注：拨款节点均为财政资金拨付至甲方账户后，由甲方在7个工作日内拨付至乙方账户）</w:t>
      </w:r>
    </w:p>
    <w:p w14:paraId="2B8ED876">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三、服务要求</w:t>
      </w:r>
    </w:p>
    <w:p w14:paraId="2E6E008A">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1）服务标准</w:t>
      </w:r>
    </w:p>
    <w:p w14:paraId="7C775189">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在规定的期限内，保质保量完成供货任务。  </w:t>
      </w:r>
    </w:p>
    <w:p w14:paraId="60F7F24D">
      <w:pPr>
        <w:numPr>
          <w:ilvl w:val="0"/>
          <w:numId w:val="1"/>
        </w:numPr>
        <w:spacing w:line="560" w:lineRule="exact"/>
        <w:ind w:firstLine="560" w:firstLineChars="200"/>
        <w:rPr>
          <w:rFonts w:hint="eastAsia"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质保期</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lang w:val="en-US" w:eastAsia="zh-CN"/>
        </w:rPr>
        <w:t>不低于2年。</w:t>
      </w:r>
    </w:p>
    <w:p w14:paraId="19F0310A">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四、验收标准</w:t>
      </w:r>
    </w:p>
    <w:p w14:paraId="2845563A">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8"/>
          <w:highlight w:val="none"/>
        </w:rPr>
        <w:t xml:space="preserve">符合相关技术要求及行业标准。 </w:t>
      </w:r>
      <w:r>
        <w:rPr>
          <w:rFonts w:hint="eastAsia" w:ascii="仿宋_GB2312" w:hAnsi="宋体" w:eastAsia="仿宋_GB2312"/>
          <w:color w:val="auto"/>
          <w:sz w:val="28"/>
          <w:szCs w:val="21"/>
          <w:highlight w:val="none"/>
        </w:rPr>
        <w:t xml:space="preserve"> </w:t>
      </w:r>
    </w:p>
    <w:p w14:paraId="6AA4208B">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五、其他技术及服务要求</w:t>
      </w:r>
    </w:p>
    <w:p w14:paraId="1BAC1A4D">
      <w:pPr>
        <w:spacing w:line="560" w:lineRule="exact"/>
        <w:ind w:firstLine="562" w:firstLineChars="200"/>
        <w:rPr>
          <w:rFonts w:hint="eastAsia" w:ascii="仿宋_GB2312" w:hAnsi="宋体" w:eastAsia="仿宋_GB2312"/>
          <w:b/>
          <w:bCs/>
          <w:color w:val="auto"/>
          <w:sz w:val="28"/>
          <w:szCs w:val="28"/>
          <w:highlight w:val="none"/>
        </w:rPr>
      </w:pPr>
      <w:r>
        <w:rPr>
          <w:rFonts w:hint="eastAsia" w:ascii="仿宋_GB2312" w:hAnsi="宋体" w:eastAsia="仿宋_GB2312"/>
          <w:b/>
          <w:bCs/>
          <w:color w:val="auto"/>
          <w:sz w:val="28"/>
          <w:szCs w:val="28"/>
          <w:highlight w:val="none"/>
        </w:rPr>
        <w:t>1.供货方负责安排标的物运输、负责卸货搬运入库，支付到达供货地点所需的全部费用。</w:t>
      </w:r>
    </w:p>
    <w:p w14:paraId="0E2244F3">
      <w:pPr>
        <w:spacing w:line="560" w:lineRule="exact"/>
        <w:ind w:firstLine="562" w:firstLineChars="200"/>
        <w:rPr>
          <w:rFonts w:hint="eastAsia" w:ascii="仿宋_GB2312" w:hAnsi="宋体" w:eastAsia="仿宋_GB2312"/>
          <w:b/>
          <w:bCs/>
          <w:color w:val="auto"/>
          <w:sz w:val="28"/>
          <w:szCs w:val="28"/>
          <w:highlight w:val="none"/>
        </w:rPr>
      </w:pPr>
      <w:r>
        <w:rPr>
          <w:rFonts w:hint="eastAsia" w:ascii="仿宋_GB2312" w:hAnsi="宋体" w:eastAsia="仿宋_GB2312"/>
          <w:b/>
          <w:bCs/>
          <w:color w:val="auto"/>
          <w:sz w:val="28"/>
          <w:szCs w:val="28"/>
          <w:highlight w:val="none"/>
        </w:rPr>
        <w:t>2.分批次送货，非一次性送货。中标人须根据采购人的要求，将所需货物送达采购人指定地点，并保证送货的及时性，一般在采购人通知时间48小时内送达。具体供货量根据甲方需求适时调整。</w:t>
      </w:r>
    </w:p>
    <w:p w14:paraId="5F55B120">
      <w:pPr>
        <w:spacing w:line="560" w:lineRule="exact"/>
        <w:ind w:firstLine="562" w:firstLineChars="200"/>
        <w:rPr>
          <w:rFonts w:ascii="仿宋_GB2312" w:hAnsi="宋体" w:eastAsia="仿宋_GB2312"/>
          <w:b/>
          <w:bCs/>
          <w:color w:val="auto"/>
          <w:sz w:val="28"/>
          <w:szCs w:val="28"/>
          <w:highlight w:val="none"/>
        </w:rPr>
      </w:pPr>
      <w:r>
        <w:rPr>
          <w:rFonts w:hint="eastAsia" w:ascii="仿宋_GB2312" w:hAnsi="宋体" w:eastAsia="仿宋_GB2312"/>
          <w:b/>
          <w:bCs/>
          <w:color w:val="auto"/>
          <w:sz w:val="28"/>
          <w:szCs w:val="28"/>
          <w:highlight w:val="none"/>
        </w:rPr>
        <w:t>3. 8%氯氰菊酯微囊悬浮剂共随机抽取样品6份，送检3份（送有资质检测机构进行检测），封存3份，检验费用所产生的的全部费用由供货方负担。如果货物的名称、含量，剂型，规格等参数与合同不符，质量检测不合格，采购人将向供货方提出退货，由供货方承担一切费用和损失。</w:t>
      </w:r>
    </w:p>
    <w:p w14:paraId="3FC297EE">
      <w:pPr>
        <w:spacing w:line="560" w:lineRule="exact"/>
        <w:ind w:firstLine="562" w:firstLineChars="200"/>
        <w:rPr>
          <w:rFonts w:ascii="仿宋_GB2312" w:hAnsi="宋体" w:eastAsia="仿宋_GB2312"/>
          <w:b/>
          <w:color w:val="auto"/>
          <w:sz w:val="28"/>
          <w:szCs w:val="21"/>
          <w:highlight w:val="none"/>
        </w:rPr>
      </w:pPr>
      <w:r>
        <w:rPr>
          <w:rFonts w:hint="eastAsia" w:ascii="黑体" w:hAnsi="黑体" w:eastAsia="黑体"/>
          <w:b/>
          <w:color w:val="auto"/>
          <w:sz w:val="28"/>
          <w:szCs w:val="21"/>
          <w:highlight w:val="none"/>
        </w:rPr>
        <w:t xml:space="preserve">六、联系方式 </w:t>
      </w:r>
    </w:p>
    <w:p w14:paraId="429288DA">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采购人：</w:t>
      </w:r>
      <w:r>
        <w:rPr>
          <w:rFonts w:ascii="仿宋_GB2312" w:hAnsi="宋体" w:eastAsia="仿宋_GB2312"/>
          <w:color w:val="auto"/>
          <w:sz w:val="28"/>
          <w:szCs w:val="21"/>
          <w:highlight w:val="none"/>
        </w:rPr>
        <w:t xml:space="preserve"> </w:t>
      </w:r>
      <w:r>
        <w:rPr>
          <w:rFonts w:hint="eastAsia" w:ascii="仿宋_GB2312" w:hAnsi="宋体" w:eastAsia="仿宋_GB2312"/>
          <w:color w:val="auto"/>
          <w:sz w:val="28"/>
          <w:szCs w:val="21"/>
          <w:highlight w:val="none"/>
        </w:rPr>
        <w:t>乳山市兴宇安装工程有限公司</w:t>
      </w:r>
    </w:p>
    <w:p w14:paraId="16B60257">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采购人地址：山东省威海市乳山市北环路21号</w:t>
      </w:r>
    </w:p>
    <w:p w14:paraId="40252A37">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联系人：王臣</w:t>
      </w:r>
    </w:p>
    <w:p w14:paraId="4524A47F">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联系电话：13206316663</w:t>
      </w:r>
    </w:p>
    <w:p w14:paraId="066F5731">
      <w:pPr>
        <w:spacing w:line="560" w:lineRule="exact"/>
        <w:ind w:firstLine="560" w:firstLineChars="200"/>
        <w:rPr>
          <w:rFonts w:ascii="仿宋_GB2312" w:hAnsi="宋体" w:eastAsia="仿宋_GB2312"/>
          <w:color w:val="auto"/>
          <w:sz w:val="28"/>
          <w:szCs w:val="21"/>
          <w:highlight w:val="none"/>
        </w:rPr>
      </w:pPr>
    </w:p>
    <w:p w14:paraId="48A40223">
      <w:pPr>
        <w:rPr>
          <w:color w:val="auto"/>
          <w:highlight w:val="none"/>
        </w:rPr>
        <w:sectPr>
          <w:pgSz w:w="11906" w:h="16838"/>
          <w:pgMar w:top="1440" w:right="1077" w:bottom="1440" w:left="1077" w:header="851" w:footer="992" w:gutter="0"/>
          <w:cols w:space="720" w:num="1"/>
          <w:docGrid w:type="lines" w:linePitch="312" w:charSpace="0"/>
        </w:sectPr>
      </w:pPr>
    </w:p>
    <w:p w14:paraId="5F68F406">
      <w:pPr>
        <w:pStyle w:val="28"/>
        <w:spacing w:before="100" w:beforeAutospacing="1" w:after="100" w:afterAutospacing="1" w:line="415"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第四章 </w:t>
      </w:r>
      <w:r>
        <w:rPr>
          <w:rFonts w:hint="eastAsia" w:ascii="楷体_GB2312" w:hAnsi="宋体" w:eastAsia="楷体_GB2312" w:cs="宋体"/>
          <w:color w:val="auto"/>
          <w:sz w:val="44"/>
          <w:szCs w:val="44"/>
          <w:highlight w:val="none"/>
        </w:rPr>
        <w:t>评标原则、程序与方法</w:t>
      </w:r>
    </w:p>
    <w:p w14:paraId="07F8D300">
      <w:pPr>
        <w:spacing w:line="720" w:lineRule="auto"/>
        <w:ind w:firstLine="562" w:firstLineChars="200"/>
        <w:rPr>
          <w:rFonts w:ascii="楷体_GB2312" w:eastAsia="楷体_GB2312"/>
          <w:b/>
          <w:color w:val="auto"/>
          <w:sz w:val="28"/>
          <w:szCs w:val="28"/>
          <w:highlight w:val="none"/>
        </w:rPr>
      </w:pPr>
      <w:r>
        <w:rPr>
          <w:rFonts w:hint="eastAsia" w:ascii="楷体_GB2312" w:eastAsia="楷体_GB2312"/>
          <w:b/>
          <w:color w:val="auto"/>
          <w:sz w:val="28"/>
          <w:szCs w:val="28"/>
          <w:highlight w:val="none"/>
        </w:rPr>
        <w:t>一、评审原则</w:t>
      </w:r>
      <w:r>
        <w:rPr>
          <w:rFonts w:ascii="楷体_GB2312" w:eastAsia="楷体_GB2312"/>
          <w:b/>
          <w:color w:val="auto"/>
          <w:sz w:val="28"/>
          <w:szCs w:val="28"/>
          <w:highlight w:val="none"/>
        </w:rPr>
        <w:t xml:space="preserve"> </w:t>
      </w:r>
    </w:p>
    <w:p w14:paraId="1390A353">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“公平、公正、科学、择优”为本次评标的基本原则，评标委员会将按照这一原则的要求，公正、平等地对待各投标人，同时，在评标时恪守以下原则：</w:t>
      </w:r>
    </w:p>
    <w:p w14:paraId="5B266D7D">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1.客观性原则：评标委员会将严格按照招标文件的要求，对投标人的投标文件进行认真评审，评标委员会对投标文件的评审仅依据投标文件本身，而不依靠投标文件以外的任何因素。 </w:t>
      </w:r>
    </w:p>
    <w:p w14:paraId="430914E3">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2.统一性原则：评标委员会将按照统一的评标原则和评标方法，采用统一标准进行评标。</w:t>
      </w:r>
    </w:p>
    <w:p w14:paraId="12A55BE0">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3.独立性原则：评标工作在评标委员会内部独立进行，不受外界任何因素的干扰和影响。</w:t>
      </w:r>
    </w:p>
    <w:p w14:paraId="2018E443">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4.保密性原则：评标委员会及熟知情况的有关工作人员必须对每位评委的评标意见和投标人的商业秘密严格保密，不得外泄。</w:t>
      </w:r>
    </w:p>
    <w:p w14:paraId="70B4DC89">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5.综合性原则：评标委员会将综合分析、评审投标人的各项指标，而不以单项指标的优劣评定出中标人。</w:t>
      </w:r>
    </w:p>
    <w:p w14:paraId="7D0AE169">
      <w:pPr>
        <w:spacing w:line="720" w:lineRule="auto"/>
        <w:ind w:firstLine="562" w:firstLineChars="200"/>
        <w:rPr>
          <w:rFonts w:ascii="楷体_GB2312" w:eastAsia="楷体_GB2312"/>
          <w:b/>
          <w:color w:val="auto"/>
          <w:sz w:val="28"/>
          <w:szCs w:val="28"/>
          <w:highlight w:val="none"/>
        </w:rPr>
      </w:pPr>
      <w:r>
        <w:rPr>
          <w:rFonts w:hint="eastAsia" w:ascii="楷体_GB2312" w:eastAsia="楷体_GB2312"/>
          <w:b/>
          <w:color w:val="auto"/>
          <w:sz w:val="28"/>
          <w:szCs w:val="28"/>
          <w:highlight w:val="none"/>
        </w:rPr>
        <w:t>二、评标程序</w:t>
      </w:r>
    </w:p>
    <w:p w14:paraId="0AA1136F">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1．宣布评标纪律；</w:t>
      </w:r>
    </w:p>
    <w:p w14:paraId="31798035">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2．公布投标人名单，告知评审专家应当回避的情形；</w:t>
      </w:r>
    </w:p>
    <w:p w14:paraId="6E759E33">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3．组织评标委员会推选评标组长，采购人代表不得担任组长；</w:t>
      </w:r>
    </w:p>
    <w:p w14:paraId="774E2CFB">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4．核对评审专家身份和采购人代表授权函。</w:t>
      </w:r>
    </w:p>
    <w:p w14:paraId="74663A86">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5．开标结束后，采购人或者采购代理机构依法对投标人的资格进行审查。</w:t>
      </w:r>
    </w:p>
    <w:p w14:paraId="347701F7">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6．评标委员会对符合资格的投标人的投标文件进行符合性审查，以确定其是否满足招标文件的实质性要求。</w:t>
      </w:r>
    </w:p>
    <w:p w14:paraId="71625983">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7．出现下列情形之一的，视为对招标文件未做出实质性响应，按照无效投标处理。</w:t>
      </w:r>
    </w:p>
    <w:p w14:paraId="5A24C111">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详见《投标须知前附表》-《实质性条款一览表》中符合性检查条款。</w:t>
      </w:r>
    </w:p>
    <w:p w14:paraId="7E57AA98">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214C8C54">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9.澄清、说明或者补正</w:t>
      </w:r>
    </w:p>
    <w:p w14:paraId="087AE4B2">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49207A2D">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(2)投标人依据评审要求进行澄清、说明或者补正的内容构成投标文件的组成部分。</w:t>
      </w:r>
    </w:p>
    <w:p w14:paraId="000537A0">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10.比较与评价</w:t>
      </w:r>
    </w:p>
    <w:p w14:paraId="04574EEF">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23C1908B">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11.出现下列情况之一的，均予以废标</w:t>
      </w:r>
    </w:p>
    <w:p w14:paraId="3836406B">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(1)合格的投标人或参加投标的企业不足三家的；</w:t>
      </w:r>
    </w:p>
    <w:p w14:paraId="503D807B">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(2)出现影响采购公正的违法、违规行为的；</w:t>
      </w:r>
    </w:p>
    <w:p w14:paraId="1B24C2E5">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(3)投标人的报价均超过了预算上限价格，采购人不能支付的；</w:t>
      </w:r>
    </w:p>
    <w:p w14:paraId="5C6994B0">
      <w:pPr>
        <w:spacing w:line="520" w:lineRule="exact"/>
        <w:ind w:firstLine="560" w:firstLineChars="200"/>
        <w:rPr>
          <w:rFonts w:ascii="宋体" w:hAnsi="宋体"/>
          <w:color w:val="auto"/>
          <w:sz w:val="24"/>
          <w:szCs w:val="21"/>
          <w:highlight w:val="none"/>
        </w:rPr>
      </w:pPr>
      <w:r>
        <w:rPr>
          <w:rFonts w:hint="eastAsia" w:ascii="仿宋_GB2312" w:hAnsi="宋体" w:eastAsia="仿宋_GB2312"/>
          <w:color w:val="auto"/>
          <w:sz w:val="28"/>
          <w:szCs w:val="21"/>
          <w:highlight w:val="none"/>
        </w:rPr>
        <w:t>(4)因重大变故，采购任务取消的。</w:t>
      </w:r>
    </w:p>
    <w:p w14:paraId="6EA1A2C7">
      <w:pPr>
        <w:spacing w:line="720" w:lineRule="auto"/>
        <w:ind w:firstLine="562" w:firstLineChars="200"/>
        <w:rPr>
          <w:rFonts w:ascii="楷体_GB2312" w:eastAsia="楷体_GB2312"/>
          <w:b/>
          <w:color w:val="auto"/>
          <w:sz w:val="28"/>
          <w:szCs w:val="28"/>
          <w:highlight w:val="none"/>
        </w:rPr>
      </w:pPr>
      <w:r>
        <w:rPr>
          <w:rFonts w:hint="eastAsia" w:ascii="楷体_GB2312" w:eastAsia="楷体_GB2312"/>
          <w:b/>
          <w:color w:val="auto"/>
          <w:sz w:val="28"/>
          <w:szCs w:val="28"/>
          <w:highlight w:val="none"/>
        </w:rPr>
        <w:t>三、评标方法</w:t>
      </w:r>
    </w:p>
    <w:p w14:paraId="17C0DBBF">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（1）评标方法：综合评分法，即投标人的投标文件满足招标文件全部实质性要求，且按评审因素的量化指标评审得分最高的投标人为中标候选供应商的评审方法。</w:t>
      </w:r>
    </w:p>
    <w:p w14:paraId="4B7FCC2B">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（2）评标细则</w:t>
      </w:r>
    </w:p>
    <w:tbl>
      <w:tblPr>
        <w:tblStyle w:val="30"/>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5017"/>
        <w:gridCol w:w="1026"/>
        <w:gridCol w:w="773"/>
      </w:tblGrid>
      <w:tr w14:paraId="49235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05476E0B">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编号</w:t>
            </w:r>
          </w:p>
        </w:tc>
        <w:tc>
          <w:tcPr>
            <w:tcW w:w="773" w:type="dxa"/>
            <w:shd w:val="clear" w:color="auto" w:fill="D9D9D9"/>
            <w:vAlign w:val="center"/>
          </w:tcPr>
          <w:p w14:paraId="21549839">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类型</w:t>
            </w:r>
          </w:p>
        </w:tc>
        <w:tc>
          <w:tcPr>
            <w:tcW w:w="1665" w:type="dxa"/>
            <w:shd w:val="clear" w:color="auto" w:fill="D9D9D9"/>
            <w:vAlign w:val="center"/>
          </w:tcPr>
          <w:p w14:paraId="4674B92A">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评分标题</w:t>
            </w:r>
          </w:p>
        </w:tc>
        <w:tc>
          <w:tcPr>
            <w:tcW w:w="5017" w:type="dxa"/>
            <w:shd w:val="clear" w:color="auto" w:fill="D9D9D9"/>
            <w:vAlign w:val="center"/>
          </w:tcPr>
          <w:p w14:paraId="5525BAD0">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评分标准</w:t>
            </w:r>
          </w:p>
        </w:tc>
        <w:tc>
          <w:tcPr>
            <w:tcW w:w="1026" w:type="dxa"/>
            <w:shd w:val="clear" w:color="auto" w:fill="D9D9D9"/>
            <w:vAlign w:val="center"/>
          </w:tcPr>
          <w:p w14:paraId="1A20A503">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性质</w:t>
            </w:r>
          </w:p>
        </w:tc>
        <w:tc>
          <w:tcPr>
            <w:tcW w:w="773" w:type="dxa"/>
            <w:shd w:val="clear" w:color="auto" w:fill="D9D9D9"/>
            <w:vAlign w:val="center"/>
          </w:tcPr>
          <w:p w14:paraId="3FA796E1">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分数</w:t>
            </w:r>
          </w:p>
        </w:tc>
      </w:tr>
      <w:tr w14:paraId="54AC1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1240B68">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w:t>
            </w:r>
          </w:p>
        </w:tc>
        <w:tc>
          <w:tcPr>
            <w:tcW w:w="773" w:type="dxa"/>
            <w:vAlign w:val="center"/>
          </w:tcPr>
          <w:p w14:paraId="4B3E38BC">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价格</w:t>
            </w:r>
          </w:p>
        </w:tc>
        <w:tc>
          <w:tcPr>
            <w:tcW w:w="1665" w:type="dxa"/>
            <w:vAlign w:val="center"/>
          </w:tcPr>
          <w:p w14:paraId="30559770">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报价</w:t>
            </w:r>
          </w:p>
        </w:tc>
        <w:tc>
          <w:tcPr>
            <w:tcW w:w="5017" w:type="dxa"/>
            <w:vAlign w:val="center"/>
          </w:tcPr>
          <w:p w14:paraId="2FBF016D">
            <w:pPr>
              <w:pStyle w:val="11"/>
              <w:keepNext w:val="0"/>
              <w:keepLines w:val="0"/>
              <w:pageBreakBefore w:val="0"/>
              <w:widowControl w:val="0"/>
              <w:kinsoku/>
              <w:wordWrap/>
              <w:overflowPunct/>
              <w:topLinePunct w:val="0"/>
              <w:autoSpaceDE/>
              <w:autoSpaceDN/>
              <w:bidi w:val="0"/>
              <w:adjustRightInd/>
              <w:snapToGrid/>
              <w:spacing w:line="460" w:lineRule="exact"/>
              <w:ind w:firstLine="240" w:firstLineChars="1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投标报价不得高于最高上限单价，否则否决其投标。</w:t>
            </w:r>
          </w:p>
          <w:p w14:paraId="6D79F32A">
            <w:pPr>
              <w:pStyle w:val="11"/>
              <w:keepNext w:val="0"/>
              <w:keepLines w:val="0"/>
              <w:pageBreakBefore w:val="0"/>
              <w:widowControl w:val="0"/>
              <w:kinsoku/>
              <w:wordWrap/>
              <w:overflowPunct/>
              <w:topLinePunct w:val="0"/>
              <w:autoSpaceDE/>
              <w:autoSpaceDN/>
              <w:bidi w:val="0"/>
              <w:adjustRightInd/>
              <w:snapToGrid/>
              <w:spacing w:line="460" w:lineRule="exact"/>
              <w:ind w:firstLine="240" w:firstLineChars="1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本项目共2项产品报价，各产品的单价报价满分20分，本项最高40分。</w:t>
            </w:r>
          </w:p>
          <w:p w14:paraId="3EE18A9D">
            <w:pPr>
              <w:pStyle w:val="11"/>
              <w:keepNext w:val="0"/>
              <w:keepLines w:val="0"/>
              <w:pageBreakBefore w:val="0"/>
              <w:widowControl w:val="0"/>
              <w:kinsoku/>
              <w:wordWrap/>
              <w:overflowPunct/>
              <w:topLinePunct w:val="0"/>
              <w:autoSpaceDE/>
              <w:autoSpaceDN/>
              <w:bidi w:val="0"/>
              <w:adjustRightInd/>
              <w:snapToGrid/>
              <w:spacing w:line="460" w:lineRule="exact"/>
              <w:ind w:firstLine="240" w:firstLineChars="1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各产品的单价报价得分=(每项产品单价评标基准价/每项产品单价投标报价)×20；</w:t>
            </w:r>
          </w:p>
          <w:p w14:paraId="4F305575">
            <w:pPr>
              <w:pStyle w:val="11"/>
              <w:keepNext w:val="0"/>
              <w:keepLines w:val="0"/>
              <w:pageBreakBefore w:val="0"/>
              <w:widowControl w:val="0"/>
              <w:kinsoku/>
              <w:wordWrap/>
              <w:overflowPunct/>
              <w:topLinePunct w:val="0"/>
              <w:autoSpaceDE/>
              <w:autoSpaceDN/>
              <w:bidi w:val="0"/>
              <w:adjustRightInd/>
              <w:snapToGrid/>
              <w:spacing w:line="460" w:lineRule="exact"/>
              <w:ind w:firstLine="240" w:firstLineChars="1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报价得分=各产品的单价报价得分的总和。</w:t>
            </w:r>
          </w:p>
          <w:p w14:paraId="443BB792">
            <w:pPr>
              <w:pStyle w:val="11"/>
              <w:keepNext w:val="0"/>
              <w:keepLines w:val="0"/>
              <w:pageBreakBefore w:val="0"/>
              <w:widowControl w:val="0"/>
              <w:kinsoku/>
              <w:wordWrap/>
              <w:overflowPunct/>
              <w:topLinePunct w:val="0"/>
              <w:autoSpaceDE/>
              <w:autoSpaceDN/>
              <w:bidi w:val="0"/>
              <w:adjustRightInd/>
              <w:snapToGrid/>
              <w:spacing w:line="460" w:lineRule="exact"/>
              <w:ind w:firstLine="240" w:firstLineChars="100"/>
              <w:textAlignment w:val="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每项产品单价评标基准价：经评审合格的有效供应商的每项产品的最低投标单价报价。</w:t>
            </w:r>
          </w:p>
        </w:tc>
        <w:tc>
          <w:tcPr>
            <w:tcW w:w="1026" w:type="dxa"/>
            <w:vAlign w:val="center"/>
          </w:tcPr>
          <w:p w14:paraId="180B1580">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系统分</w:t>
            </w:r>
          </w:p>
        </w:tc>
        <w:tc>
          <w:tcPr>
            <w:tcW w:w="773" w:type="dxa"/>
            <w:vAlign w:val="center"/>
          </w:tcPr>
          <w:p w14:paraId="5FC8FEF6">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40</w:t>
            </w:r>
          </w:p>
        </w:tc>
      </w:tr>
      <w:tr w14:paraId="612A1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E590E6E">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w:t>
            </w:r>
          </w:p>
        </w:tc>
        <w:tc>
          <w:tcPr>
            <w:tcW w:w="773" w:type="dxa"/>
            <w:vAlign w:val="center"/>
          </w:tcPr>
          <w:p w14:paraId="581F8F22">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技术</w:t>
            </w:r>
          </w:p>
        </w:tc>
        <w:tc>
          <w:tcPr>
            <w:tcW w:w="1665" w:type="dxa"/>
            <w:vAlign w:val="center"/>
          </w:tcPr>
          <w:p w14:paraId="107D85D5">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项目实施方案</w:t>
            </w:r>
          </w:p>
        </w:tc>
        <w:tc>
          <w:tcPr>
            <w:tcW w:w="5017" w:type="dxa"/>
            <w:vAlign w:val="center"/>
          </w:tcPr>
          <w:p w14:paraId="07306AA2">
            <w:pPr>
              <w:pStyle w:val="11"/>
              <w:keepNext w:val="0"/>
              <w:keepLines w:val="0"/>
              <w:pageBreakBefore w:val="0"/>
              <w:widowControl w:val="0"/>
              <w:kinsoku/>
              <w:wordWrap/>
              <w:overflowPunct/>
              <w:topLinePunct w:val="0"/>
              <w:autoSpaceDE/>
              <w:autoSpaceDN/>
              <w:bidi w:val="0"/>
              <w:adjustRightInd/>
              <w:snapToGrid/>
              <w:spacing w:line="460" w:lineRule="exact"/>
              <w:ind w:firstLine="240" w:firstLineChars="1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评委对以下评审项进行评分，有该评审项内容的在相应打分分值范围内以0.1分为单位进行自主评分，评审项如有缺项时，每缺一项该项内容评审得分为0分。</w:t>
            </w:r>
          </w:p>
          <w:p w14:paraId="3A398248">
            <w:pPr>
              <w:pStyle w:val="11"/>
              <w:keepNext w:val="0"/>
              <w:keepLines w:val="0"/>
              <w:pageBreakBefore w:val="0"/>
              <w:widowControl w:val="0"/>
              <w:kinsoku/>
              <w:wordWrap/>
              <w:overflowPunct/>
              <w:topLinePunct w:val="0"/>
              <w:autoSpaceDE/>
              <w:autoSpaceDN/>
              <w:bidi w:val="0"/>
              <w:adjustRightInd/>
              <w:snapToGrid/>
              <w:spacing w:line="460" w:lineRule="exact"/>
              <w:ind w:firstLine="240" w:firstLineChars="1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（1）针对本项目制定整体项目运行方案，评分区间【1-10分】；</w:t>
            </w:r>
          </w:p>
          <w:p w14:paraId="70A682D3">
            <w:pPr>
              <w:pStyle w:val="11"/>
              <w:keepNext w:val="0"/>
              <w:keepLines w:val="0"/>
              <w:pageBreakBefore w:val="0"/>
              <w:widowControl w:val="0"/>
              <w:kinsoku/>
              <w:wordWrap/>
              <w:overflowPunct/>
              <w:topLinePunct w:val="0"/>
              <w:autoSpaceDE/>
              <w:autoSpaceDN/>
              <w:bidi w:val="0"/>
              <w:adjustRightInd/>
              <w:snapToGrid/>
              <w:spacing w:line="460" w:lineRule="exact"/>
              <w:ind w:firstLine="240" w:firstLineChars="1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（2）所投产品购买或生产方案,产品包装、运输方案，评分区间【1-10分】；</w:t>
            </w:r>
          </w:p>
          <w:p w14:paraId="1EBA9FE9">
            <w:pPr>
              <w:pStyle w:val="11"/>
              <w:keepNext w:val="0"/>
              <w:keepLines w:val="0"/>
              <w:pageBreakBefore w:val="0"/>
              <w:widowControl w:val="0"/>
              <w:kinsoku/>
              <w:wordWrap/>
              <w:overflowPunct/>
              <w:topLinePunct w:val="0"/>
              <w:autoSpaceDE/>
              <w:autoSpaceDN/>
              <w:bidi w:val="0"/>
              <w:adjustRightInd/>
              <w:snapToGrid/>
              <w:spacing w:line="460" w:lineRule="exact"/>
              <w:ind w:firstLine="240" w:firstLineChars="1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（3）所投产品供应保障措施，评分区间【1-10分】；</w:t>
            </w:r>
          </w:p>
          <w:p w14:paraId="7D60038D">
            <w:pPr>
              <w:pStyle w:val="11"/>
              <w:keepNext w:val="0"/>
              <w:keepLines w:val="0"/>
              <w:pageBreakBefore w:val="0"/>
              <w:widowControl w:val="0"/>
              <w:kinsoku/>
              <w:wordWrap/>
              <w:overflowPunct/>
              <w:topLinePunct w:val="0"/>
              <w:autoSpaceDE/>
              <w:autoSpaceDN/>
              <w:bidi w:val="0"/>
              <w:adjustRightInd/>
              <w:snapToGrid/>
              <w:spacing w:line="460" w:lineRule="exact"/>
              <w:ind w:firstLine="240" w:firstLineChars="1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（4）所投产品质量保证措施，产品储存措施，评分区间【1-10分】；</w:t>
            </w:r>
          </w:p>
          <w:p w14:paraId="6C445CAF">
            <w:pPr>
              <w:pStyle w:val="11"/>
              <w:keepNext w:val="0"/>
              <w:keepLines w:val="0"/>
              <w:pageBreakBefore w:val="0"/>
              <w:widowControl w:val="0"/>
              <w:kinsoku/>
              <w:wordWrap/>
              <w:overflowPunct/>
              <w:topLinePunct w:val="0"/>
              <w:autoSpaceDE/>
              <w:autoSpaceDN/>
              <w:bidi w:val="0"/>
              <w:adjustRightInd/>
              <w:snapToGrid/>
              <w:spacing w:line="460" w:lineRule="exact"/>
              <w:ind w:firstLine="240" w:firstLineChars="1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（5）所投产品供货期限保证措施，评分区间【1-5分】；</w:t>
            </w:r>
          </w:p>
          <w:p w14:paraId="3E87A197">
            <w:pPr>
              <w:pStyle w:val="11"/>
              <w:keepNext w:val="0"/>
              <w:keepLines w:val="0"/>
              <w:pageBreakBefore w:val="0"/>
              <w:widowControl w:val="0"/>
              <w:kinsoku/>
              <w:wordWrap/>
              <w:overflowPunct/>
              <w:topLinePunct w:val="0"/>
              <w:autoSpaceDE/>
              <w:autoSpaceDN/>
              <w:bidi w:val="0"/>
              <w:adjustRightInd/>
              <w:snapToGrid/>
              <w:spacing w:line="460" w:lineRule="exact"/>
              <w:ind w:firstLine="240" w:firstLineChars="100"/>
              <w:textAlignment w:val="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（6）针对本项目人员配备及拟投入设备安排计划，评分区间【1-5分】；</w:t>
            </w:r>
          </w:p>
        </w:tc>
        <w:tc>
          <w:tcPr>
            <w:tcW w:w="1026" w:type="dxa"/>
            <w:vAlign w:val="center"/>
          </w:tcPr>
          <w:p w14:paraId="79D3A964">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主观分</w:t>
            </w:r>
          </w:p>
        </w:tc>
        <w:tc>
          <w:tcPr>
            <w:tcW w:w="773" w:type="dxa"/>
            <w:vAlign w:val="center"/>
          </w:tcPr>
          <w:p w14:paraId="6A500D75">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50</w:t>
            </w:r>
          </w:p>
        </w:tc>
      </w:tr>
      <w:tr w14:paraId="6EBA5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C63F856">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w:t>
            </w:r>
          </w:p>
        </w:tc>
        <w:tc>
          <w:tcPr>
            <w:tcW w:w="773" w:type="dxa"/>
            <w:vAlign w:val="center"/>
          </w:tcPr>
          <w:p w14:paraId="08931EF4">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服务</w:t>
            </w:r>
          </w:p>
        </w:tc>
        <w:tc>
          <w:tcPr>
            <w:tcW w:w="1665" w:type="dxa"/>
            <w:vAlign w:val="center"/>
          </w:tcPr>
          <w:p w14:paraId="51FE1215">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售后服务方案</w:t>
            </w:r>
          </w:p>
        </w:tc>
        <w:tc>
          <w:tcPr>
            <w:tcW w:w="5017" w:type="dxa"/>
            <w:vAlign w:val="center"/>
          </w:tcPr>
          <w:p w14:paraId="1400F35A">
            <w:pPr>
              <w:pStyle w:val="11"/>
              <w:keepNext w:val="0"/>
              <w:keepLines w:val="0"/>
              <w:pageBreakBefore w:val="0"/>
              <w:widowControl w:val="0"/>
              <w:kinsoku/>
              <w:wordWrap/>
              <w:overflowPunct/>
              <w:topLinePunct w:val="0"/>
              <w:autoSpaceDE/>
              <w:autoSpaceDN/>
              <w:bidi w:val="0"/>
              <w:adjustRightInd/>
              <w:snapToGrid/>
              <w:spacing w:line="460" w:lineRule="exact"/>
              <w:ind w:firstLine="240" w:firstLineChars="1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由评委根据各投标单位所提供的售后服务承诺方案、是否合理可行、售后服务地点距工程地点能否及时到位处理，人员配备、车辆配备以0.1分为单位进行综合打分。</w:t>
            </w:r>
          </w:p>
          <w:p w14:paraId="04E141E8">
            <w:pPr>
              <w:pStyle w:val="11"/>
              <w:keepNext w:val="0"/>
              <w:keepLines w:val="0"/>
              <w:pageBreakBefore w:val="0"/>
              <w:widowControl w:val="0"/>
              <w:kinsoku/>
              <w:wordWrap/>
              <w:overflowPunct/>
              <w:topLinePunct w:val="0"/>
              <w:autoSpaceDE/>
              <w:autoSpaceDN/>
              <w:bidi w:val="0"/>
              <w:adjustRightInd/>
              <w:snapToGrid/>
              <w:spacing w:line="460" w:lineRule="exact"/>
              <w:ind w:firstLine="240" w:firstLineChars="1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（1）从供应商的本地化服务、服务保障体系、程序、内容等方面综合考虑，由评委根据供应商提供的响应文件酌情打分，评分区间【1-4分】；</w:t>
            </w:r>
          </w:p>
          <w:p w14:paraId="0A80B055">
            <w:pPr>
              <w:pStyle w:val="11"/>
              <w:keepNext w:val="0"/>
              <w:keepLines w:val="0"/>
              <w:pageBreakBefore w:val="0"/>
              <w:widowControl w:val="0"/>
              <w:kinsoku/>
              <w:wordWrap/>
              <w:overflowPunct/>
              <w:topLinePunct w:val="0"/>
              <w:autoSpaceDE/>
              <w:autoSpaceDN/>
              <w:bidi w:val="0"/>
              <w:adjustRightInd/>
              <w:snapToGrid/>
              <w:spacing w:line="460" w:lineRule="exact"/>
              <w:ind w:firstLine="240" w:firstLineChars="1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（2）针对本项目的售后服务响应时间、目标明确，措施到位，评分区间【1-4分】</w:t>
            </w:r>
          </w:p>
          <w:p w14:paraId="6FF0BF03">
            <w:pPr>
              <w:pStyle w:val="11"/>
              <w:keepNext w:val="0"/>
              <w:keepLines w:val="0"/>
              <w:pageBreakBefore w:val="0"/>
              <w:widowControl w:val="0"/>
              <w:kinsoku/>
              <w:wordWrap/>
              <w:overflowPunct/>
              <w:topLinePunct w:val="0"/>
              <w:autoSpaceDE/>
              <w:autoSpaceDN/>
              <w:bidi w:val="0"/>
              <w:adjustRightInd/>
              <w:snapToGrid/>
              <w:spacing w:line="460" w:lineRule="exact"/>
              <w:ind w:firstLine="240" w:firstLineChars="100"/>
              <w:textAlignment w:val="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（3）合理化建议、优惠条件等方面综合考虑，由评委根据供应商提供的响应文件酌情打分，评分区间【1-2分】。</w:t>
            </w:r>
          </w:p>
        </w:tc>
        <w:tc>
          <w:tcPr>
            <w:tcW w:w="1026" w:type="dxa"/>
            <w:vAlign w:val="center"/>
          </w:tcPr>
          <w:p w14:paraId="1C94B685">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客观分</w:t>
            </w:r>
          </w:p>
        </w:tc>
        <w:tc>
          <w:tcPr>
            <w:tcW w:w="773" w:type="dxa"/>
            <w:vAlign w:val="center"/>
          </w:tcPr>
          <w:p w14:paraId="34588C61">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10</w:t>
            </w:r>
          </w:p>
        </w:tc>
      </w:tr>
    </w:tbl>
    <w:p w14:paraId="4DF825FC">
      <w:pPr>
        <w:spacing w:line="520" w:lineRule="exact"/>
        <w:ind w:firstLine="420" w:firstLineChars="200"/>
        <w:rPr>
          <w:rFonts w:ascii="仿宋_GB2312" w:hAnsi="宋体" w:eastAsia="仿宋_GB2312"/>
          <w:color w:val="auto"/>
          <w:szCs w:val="21"/>
          <w:highlight w:val="none"/>
        </w:rPr>
      </w:pPr>
    </w:p>
    <w:p w14:paraId="021064CC">
      <w:pPr>
        <w:spacing w:line="520" w:lineRule="exact"/>
        <w:ind w:firstLine="420" w:firstLineChars="200"/>
        <w:rPr>
          <w:rFonts w:ascii="仿宋_GB2312" w:hAnsi="宋体" w:eastAsia="仿宋_GB2312"/>
          <w:color w:val="auto"/>
          <w:szCs w:val="21"/>
          <w:highlight w:val="none"/>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14:paraId="60EC0DDC">
      <w:pPr>
        <w:bidi w:val="0"/>
        <w:rPr>
          <w:rFonts w:hint="eastAsia"/>
          <w:color w:val="auto"/>
          <w:highlight w:val="none"/>
        </w:rPr>
      </w:pPr>
    </w:p>
    <w:p w14:paraId="04CE791B">
      <w:pPr>
        <w:bidi w:val="0"/>
        <w:rPr>
          <w:rFonts w:hint="eastAsia"/>
          <w:color w:val="auto"/>
          <w:highlight w:val="none"/>
        </w:rPr>
      </w:pPr>
    </w:p>
    <w:p w14:paraId="7E87DD57">
      <w:pPr>
        <w:bidi w:val="0"/>
        <w:rPr>
          <w:rFonts w:hint="eastAsia"/>
          <w:color w:val="auto"/>
          <w:highlight w:val="none"/>
        </w:rPr>
      </w:pPr>
    </w:p>
    <w:p w14:paraId="33E013E6">
      <w:pPr>
        <w:bidi w:val="0"/>
        <w:rPr>
          <w:rFonts w:hint="eastAsia"/>
          <w:color w:val="auto"/>
          <w:highlight w:val="none"/>
        </w:rPr>
      </w:pPr>
    </w:p>
    <w:p w14:paraId="64C82FB0">
      <w:pPr>
        <w:bidi w:val="0"/>
        <w:rPr>
          <w:rFonts w:hint="eastAsia"/>
          <w:color w:val="auto"/>
          <w:highlight w:val="none"/>
        </w:rPr>
      </w:pPr>
    </w:p>
    <w:p w14:paraId="157F65DD">
      <w:pPr>
        <w:bidi w:val="0"/>
        <w:rPr>
          <w:rFonts w:hint="eastAsia"/>
          <w:color w:val="auto"/>
          <w:highlight w:val="none"/>
        </w:rPr>
      </w:pPr>
    </w:p>
    <w:p w14:paraId="0E370FB9">
      <w:pPr>
        <w:bidi w:val="0"/>
        <w:rPr>
          <w:rFonts w:hint="eastAsia"/>
          <w:color w:val="auto"/>
          <w:highlight w:val="none"/>
        </w:rPr>
      </w:pPr>
    </w:p>
    <w:p w14:paraId="6F7816C5">
      <w:pPr>
        <w:bidi w:val="0"/>
        <w:rPr>
          <w:rFonts w:hint="eastAsia"/>
          <w:color w:val="auto"/>
          <w:highlight w:val="none"/>
        </w:rPr>
      </w:pPr>
    </w:p>
    <w:p w14:paraId="330E5E87">
      <w:pPr>
        <w:bidi w:val="0"/>
        <w:rPr>
          <w:rFonts w:hint="eastAsia"/>
          <w:color w:val="auto"/>
          <w:highlight w:val="none"/>
        </w:rPr>
      </w:pPr>
    </w:p>
    <w:p w14:paraId="59484EEF">
      <w:pPr>
        <w:bidi w:val="0"/>
        <w:rPr>
          <w:rFonts w:hint="eastAsia"/>
          <w:color w:val="auto"/>
          <w:highlight w:val="none"/>
        </w:rPr>
      </w:pPr>
    </w:p>
    <w:p w14:paraId="7131F398">
      <w:pPr>
        <w:bidi w:val="0"/>
        <w:rPr>
          <w:rFonts w:hint="eastAsia"/>
          <w:color w:val="auto"/>
          <w:highlight w:val="none"/>
        </w:rPr>
      </w:pPr>
    </w:p>
    <w:p w14:paraId="7AF6D764">
      <w:pPr>
        <w:bidi w:val="0"/>
        <w:rPr>
          <w:rFonts w:hint="eastAsia"/>
          <w:color w:val="auto"/>
          <w:highlight w:val="none"/>
        </w:rPr>
      </w:pPr>
    </w:p>
    <w:p w14:paraId="1490C869">
      <w:pPr>
        <w:bidi w:val="0"/>
        <w:rPr>
          <w:rFonts w:hint="eastAsia"/>
          <w:color w:val="auto"/>
          <w:highlight w:val="none"/>
        </w:rPr>
      </w:pPr>
    </w:p>
    <w:p w14:paraId="0D090D56">
      <w:pPr>
        <w:bidi w:val="0"/>
        <w:rPr>
          <w:rFonts w:hint="eastAsia"/>
          <w:color w:val="auto"/>
          <w:highlight w:val="none"/>
        </w:rPr>
      </w:pPr>
    </w:p>
    <w:p w14:paraId="5A51D6BC">
      <w:pPr>
        <w:bidi w:val="0"/>
        <w:rPr>
          <w:rFonts w:hint="eastAsia"/>
          <w:color w:val="auto"/>
          <w:highlight w:val="none"/>
        </w:rPr>
      </w:pPr>
    </w:p>
    <w:p w14:paraId="20DB5A4D">
      <w:pPr>
        <w:bidi w:val="0"/>
        <w:rPr>
          <w:rFonts w:hint="eastAsia"/>
          <w:color w:val="auto"/>
          <w:highlight w:val="none"/>
        </w:rPr>
      </w:pPr>
    </w:p>
    <w:p w14:paraId="0E603092">
      <w:pPr>
        <w:bidi w:val="0"/>
        <w:rPr>
          <w:rFonts w:hint="eastAsia"/>
          <w:color w:val="auto"/>
          <w:highlight w:val="none"/>
        </w:rPr>
      </w:pPr>
    </w:p>
    <w:p w14:paraId="26FCCE1E">
      <w:pPr>
        <w:bidi w:val="0"/>
        <w:rPr>
          <w:rFonts w:hint="eastAsia"/>
          <w:color w:val="auto"/>
          <w:highlight w:val="none"/>
        </w:rPr>
      </w:pPr>
    </w:p>
    <w:p w14:paraId="497C17AE">
      <w:pPr>
        <w:spacing w:before="100" w:beforeAutospacing="1" w:after="100" w:afterAutospacing="1" w:line="415" w:lineRule="auto"/>
        <w:ind w:left="2410"/>
        <w:outlineLvl w:val="0"/>
        <w:rPr>
          <w:rFonts w:ascii="楷体_GB2312" w:hAnsi="宋体" w:eastAsia="楷体_GB2312" w:cs="宋体"/>
          <w:b/>
          <w:bCs/>
          <w:color w:val="auto"/>
          <w:sz w:val="44"/>
          <w:szCs w:val="44"/>
          <w:highlight w:val="none"/>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color w:val="auto"/>
          <w:sz w:val="44"/>
          <w:szCs w:val="44"/>
          <w:highlight w:val="none"/>
        </w:rPr>
        <w:t>第五章 投标（响应）文件格式</w:t>
      </w:r>
    </w:p>
    <w:p w14:paraId="7F7B986D">
      <w:pPr>
        <w:spacing w:line="460" w:lineRule="exact"/>
        <w:jc w:val="left"/>
        <w:rPr>
          <w:b/>
          <w:color w:val="auto"/>
          <w:kern w:val="0"/>
          <w:sz w:val="24"/>
          <w:highlight w:val="none"/>
        </w:rPr>
      </w:pPr>
    </w:p>
    <w:p w14:paraId="48C4990B">
      <w:pPr>
        <w:ind w:right="2080"/>
        <w:rPr>
          <w:rFonts w:ascii="仿宋" w:hAnsi="仿宋" w:eastAsia="仿宋"/>
          <w:color w:val="auto"/>
          <w:sz w:val="52"/>
          <w:highlight w:val="none"/>
        </w:rPr>
      </w:pPr>
    </w:p>
    <w:p w14:paraId="42E2A9BE">
      <w:pPr>
        <w:ind w:right="2080"/>
        <w:rPr>
          <w:rFonts w:ascii="仿宋" w:hAnsi="仿宋" w:eastAsia="仿宋"/>
          <w:color w:val="auto"/>
          <w:sz w:val="52"/>
          <w:highlight w:val="none"/>
        </w:rPr>
      </w:pPr>
    </w:p>
    <w:p w14:paraId="6C71AEB0">
      <w:pPr>
        <w:rPr>
          <w:rFonts w:ascii="方正小标宋简体" w:hAnsi="仿宋" w:eastAsia="方正小标宋简体"/>
          <w:bCs/>
          <w:color w:val="auto"/>
          <w:sz w:val="84"/>
          <w:highlight w:val="none"/>
        </w:rPr>
      </w:pPr>
    </w:p>
    <w:p w14:paraId="7C0538F3">
      <w:pPr>
        <w:jc w:val="center"/>
        <w:rPr>
          <w:rFonts w:ascii="方正小标宋简体" w:hAnsi="仿宋" w:eastAsia="方正小标宋简体"/>
          <w:bCs/>
          <w:color w:val="auto"/>
          <w:sz w:val="84"/>
          <w:highlight w:val="none"/>
        </w:rPr>
      </w:pPr>
      <w:r>
        <w:rPr>
          <w:rFonts w:hint="eastAsia" w:ascii="方正小标宋简体" w:hAnsi="仿宋" w:eastAsia="方正小标宋简体"/>
          <w:bCs/>
          <w:color w:val="auto"/>
          <w:sz w:val="84"/>
          <w:highlight w:val="none"/>
        </w:rPr>
        <w:t>投 标 文 件</w:t>
      </w:r>
    </w:p>
    <w:p w14:paraId="4393A929">
      <w:pPr>
        <w:jc w:val="center"/>
        <w:rPr>
          <w:rFonts w:ascii="仿宋_GB2312" w:hAnsi="仿宋" w:eastAsia="仿宋_GB2312"/>
          <w:color w:val="auto"/>
          <w:sz w:val="72"/>
          <w:highlight w:val="none"/>
        </w:rPr>
      </w:pPr>
      <w:r>
        <w:rPr>
          <w:rFonts w:hint="eastAsia" w:ascii="仿宋_GB2312" w:hAnsi="仿宋" w:eastAsia="仿宋_GB2312"/>
          <w:color w:val="auto"/>
          <w:sz w:val="72"/>
          <w:highlight w:val="none"/>
        </w:rPr>
        <w:t>（第一册）</w:t>
      </w:r>
    </w:p>
    <w:p w14:paraId="2EAC48F9">
      <w:pPr>
        <w:jc w:val="center"/>
        <w:rPr>
          <w:rFonts w:ascii="仿宋" w:hAnsi="仿宋" w:eastAsia="仿宋"/>
          <w:color w:val="auto"/>
          <w:sz w:val="72"/>
          <w:highlight w:val="none"/>
        </w:rPr>
      </w:pPr>
    </w:p>
    <w:p w14:paraId="04719C07">
      <w:pPr>
        <w:jc w:val="center"/>
        <w:rPr>
          <w:rFonts w:ascii="仿宋" w:hAnsi="仿宋" w:eastAsia="仿宋"/>
          <w:color w:val="auto"/>
          <w:sz w:val="72"/>
          <w:highlight w:val="none"/>
        </w:rPr>
      </w:pPr>
    </w:p>
    <w:p w14:paraId="18AAA5CC">
      <w:pPr>
        <w:jc w:val="left"/>
        <w:rPr>
          <w:rFonts w:ascii="仿宋_GB2312" w:hAnsi="宋体" w:eastAsia="仿宋_GB2312"/>
          <w:color w:val="auto"/>
          <w:sz w:val="36"/>
          <w:szCs w:val="36"/>
          <w:highlight w:val="none"/>
        </w:rPr>
      </w:pPr>
      <w:r>
        <w:rPr>
          <w:rFonts w:hint="eastAsia" w:ascii="仿宋_GB2312" w:hAnsi="宋体" w:eastAsia="仿宋_GB2312"/>
          <w:bCs/>
          <w:color w:val="auto"/>
          <w:sz w:val="36"/>
          <w:szCs w:val="36"/>
          <w:highlight w:val="none"/>
        </w:rPr>
        <w:t>采购项目：</w:t>
      </w:r>
      <w:r>
        <w:rPr>
          <w:rFonts w:hint="eastAsia" w:ascii="仿宋_GB2312" w:hAnsi="宋体" w:eastAsia="仿宋_GB2312"/>
          <w:bCs/>
          <w:color w:val="auto"/>
          <w:kern w:val="0"/>
          <w:sz w:val="36"/>
          <w:szCs w:val="36"/>
          <w:highlight w:val="none"/>
        </w:rPr>
        <w:t>2026年乳山市松材线虫病媒介昆虫飞防药剂采购项目</w:t>
      </w:r>
    </w:p>
    <w:p w14:paraId="269549DB">
      <w:pPr>
        <w:jc w:val="left"/>
        <w:rPr>
          <w:rFonts w:ascii="仿宋_GB2312" w:hAnsi="宋体" w:eastAsia="仿宋_GB2312"/>
          <w:color w:val="auto"/>
          <w:sz w:val="36"/>
          <w:szCs w:val="36"/>
          <w:highlight w:val="none"/>
        </w:rPr>
      </w:pPr>
      <w:r>
        <w:rPr>
          <w:rFonts w:hint="eastAsia" w:ascii="仿宋_GB2312" w:hAnsi="宋体" w:eastAsia="仿宋_GB2312"/>
          <w:bCs/>
          <w:color w:val="auto"/>
          <w:sz w:val="36"/>
          <w:szCs w:val="36"/>
          <w:highlight w:val="none"/>
        </w:rPr>
        <w:t>采购编号：</w:t>
      </w:r>
      <w:r>
        <w:rPr>
          <w:rFonts w:hint="eastAsia" w:ascii="仿宋_GB2312" w:hAnsi="宋体" w:eastAsia="仿宋_GB2312"/>
          <w:color w:val="auto"/>
          <w:sz w:val="36"/>
          <w:szCs w:val="36"/>
          <w:highlight w:val="none"/>
        </w:rPr>
        <w:t>SDRS-TPZB-2026-084</w:t>
      </w:r>
    </w:p>
    <w:p w14:paraId="1C075290">
      <w:pPr>
        <w:jc w:val="left"/>
        <w:rPr>
          <w:rFonts w:ascii="仿宋_GB2312" w:hAnsi="宋体" w:eastAsia="仿宋_GB2312"/>
          <w:bCs/>
          <w:color w:val="auto"/>
          <w:sz w:val="36"/>
          <w:szCs w:val="36"/>
          <w:highlight w:val="none"/>
        </w:rPr>
      </w:pPr>
      <w:r>
        <w:rPr>
          <w:rFonts w:hint="eastAsia" w:ascii="仿宋_GB2312" w:hAnsi="宋体" w:eastAsia="仿宋_GB2312"/>
          <w:bCs/>
          <w:color w:val="auto"/>
          <w:sz w:val="36"/>
          <w:szCs w:val="36"/>
          <w:highlight w:val="none"/>
        </w:rPr>
        <w:t>所投包段：A包</w:t>
      </w:r>
    </w:p>
    <w:p w14:paraId="24EBA592">
      <w:pPr>
        <w:jc w:val="left"/>
        <w:rPr>
          <w:rFonts w:ascii="仿宋" w:hAnsi="仿宋" w:eastAsia="仿宋"/>
          <w:color w:val="auto"/>
          <w:sz w:val="44"/>
          <w:highlight w:val="none"/>
        </w:rPr>
      </w:pPr>
    </w:p>
    <w:p w14:paraId="1F681B7D">
      <w:pPr>
        <w:jc w:val="left"/>
        <w:rPr>
          <w:rFonts w:ascii="仿宋" w:hAnsi="仿宋" w:eastAsia="仿宋"/>
          <w:color w:val="auto"/>
          <w:sz w:val="36"/>
          <w:highlight w:val="none"/>
        </w:rPr>
      </w:pPr>
    </w:p>
    <w:p w14:paraId="0157FA8C">
      <w:pPr>
        <w:tabs>
          <w:tab w:val="left" w:pos="580"/>
        </w:tabs>
        <w:ind w:left="185" w:leftChars="88" w:firstLine="1800" w:firstLineChars="500"/>
        <w:rPr>
          <w:rFonts w:ascii="仿宋" w:hAnsi="仿宋" w:eastAsia="仿宋"/>
          <w:color w:val="auto"/>
          <w:kern w:val="0"/>
          <w:sz w:val="36"/>
          <w:szCs w:val="21"/>
          <w:highlight w:val="none"/>
        </w:rPr>
      </w:pPr>
    </w:p>
    <w:p w14:paraId="68CE42B6">
      <w:pPr>
        <w:tabs>
          <w:tab w:val="left" w:pos="580"/>
        </w:tabs>
        <w:ind w:left="185" w:leftChars="88" w:firstLine="1800" w:firstLineChars="500"/>
        <w:rPr>
          <w:rFonts w:ascii="仿宋_GB2312" w:hAnsi="仿宋" w:eastAsia="仿宋_GB2312"/>
          <w:color w:val="auto"/>
          <w:kern w:val="0"/>
          <w:sz w:val="36"/>
          <w:szCs w:val="36"/>
          <w:highlight w:val="none"/>
        </w:rPr>
      </w:pPr>
    </w:p>
    <w:p w14:paraId="011AA1D2">
      <w:pPr>
        <w:tabs>
          <w:tab w:val="left" w:pos="580"/>
        </w:tabs>
        <w:ind w:firstLine="1800" w:firstLineChars="500"/>
        <w:rPr>
          <w:rFonts w:ascii="仿宋_GB2312" w:hAnsi="仿宋" w:eastAsia="仿宋_GB2312"/>
          <w:color w:val="auto"/>
          <w:kern w:val="0"/>
          <w:sz w:val="36"/>
          <w:szCs w:val="36"/>
          <w:highlight w:val="none"/>
        </w:rPr>
      </w:pPr>
      <w:r>
        <w:rPr>
          <w:rFonts w:hint="eastAsia" w:ascii="仿宋_GB2312" w:hAnsi="仿宋" w:eastAsia="仿宋_GB2312"/>
          <w:color w:val="auto"/>
          <w:kern w:val="0"/>
          <w:sz w:val="36"/>
          <w:szCs w:val="36"/>
          <w:highlight w:val="none"/>
        </w:rPr>
        <w:t>投标人名称：***有限公司</w:t>
      </w:r>
    </w:p>
    <w:p w14:paraId="33CF4D5B">
      <w:pPr>
        <w:tabs>
          <w:tab w:val="left" w:pos="580"/>
        </w:tabs>
        <w:ind w:firstLine="1800" w:firstLineChars="500"/>
        <w:rPr>
          <w:rFonts w:ascii="仿宋_GB2312" w:hAnsi="仿宋" w:eastAsia="仿宋_GB2312"/>
          <w:color w:val="auto"/>
          <w:kern w:val="0"/>
          <w:sz w:val="36"/>
          <w:szCs w:val="36"/>
          <w:highlight w:val="none"/>
        </w:rPr>
      </w:pPr>
      <w:r>
        <w:rPr>
          <w:rFonts w:hint="eastAsia" w:ascii="仿宋_GB2312" w:hAnsi="仿宋" w:eastAsia="仿宋_GB2312"/>
          <w:color w:val="auto"/>
          <w:kern w:val="0"/>
          <w:sz w:val="36"/>
          <w:szCs w:val="36"/>
          <w:highlight w:val="none"/>
        </w:rPr>
        <w:t>日      期：   年  月  日</w:t>
      </w:r>
    </w:p>
    <w:p w14:paraId="6BBD2525">
      <w:pPr>
        <w:tabs>
          <w:tab w:val="left" w:pos="580"/>
        </w:tabs>
        <w:ind w:firstLine="1800" w:firstLineChars="500"/>
        <w:rPr>
          <w:rFonts w:ascii="仿宋_GB2312" w:hAnsi="仿宋" w:eastAsia="仿宋_GB2312"/>
          <w:color w:val="auto"/>
          <w:kern w:val="0"/>
          <w:sz w:val="36"/>
          <w:szCs w:val="36"/>
          <w:highlight w:val="none"/>
        </w:rPr>
      </w:pPr>
    </w:p>
    <w:p w14:paraId="732DE505">
      <w:pPr>
        <w:rPr>
          <w:color w:val="auto"/>
          <w:highlight w:val="none"/>
        </w:rPr>
      </w:pPr>
    </w:p>
    <w:p w14:paraId="1166E432">
      <w:pPr>
        <w:widowControl/>
        <w:jc w:val="right"/>
        <w:rPr>
          <w:rFonts w:ascii="仿宋_GB2312" w:hAnsi="宋体" w:eastAsia="仿宋_GB2312"/>
          <w:b/>
          <w:bCs/>
          <w:color w:val="auto"/>
          <w:sz w:val="30"/>
          <w:szCs w:val="30"/>
          <w:highlight w:val="none"/>
        </w:rPr>
        <w:sectPr>
          <w:headerReference r:id="rId21" w:type="default"/>
          <w:pgSz w:w="11906" w:h="16838"/>
          <w:pgMar w:top="1440" w:right="1077" w:bottom="1440" w:left="1077" w:header="851" w:footer="992" w:gutter="0"/>
          <w:cols w:space="720" w:num="1"/>
          <w:docGrid w:linePitch="312" w:charSpace="0"/>
        </w:sectPr>
      </w:pPr>
    </w:p>
    <w:p w14:paraId="20B34AEC">
      <w:pPr>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目录</w:t>
      </w:r>
    </w:p>
    <w:p w14:paraId="51A71D1C">
      <w:pPr>
        <w:jc w:val="center"/>
        <w:rPr>
          <w:rFonts w:ascii="仿宋_GB2312" w:hAnsi="宋体" w:eastAsia="仿宋_GB2312"/>
          <w:b/>
          <w:bCs/>
          <w:color w:val="auto"/>
          <w:sz w:val="30"/>
          <w:szCs w:val="30"/>
          <w:highlight w:val="none"/>
        </w:rPr>
      </w:pPr>
      <w:r>
        <w:rPr>
          <w:rFonts w:hint="eastAsia" w:ascii="仿宋_GB2312" w:hAnsi="宋体" w:eastAsia="仿宋_GB2312"/>
          <w:b/>
          <w:bCs/>
          <w:color w:val="auto"/>
          <w:sz w:val="30"/>
          <w:szCs w:val="30"/>
          <w:highlight w:val="none"/>
        </w:rPr>
        <w:t>（由投标人自行编制）</w:t>
      </w:r>
    </w:p>
    <w:p w14:paraId="15C1DBB3">
      <w:pPr>
        <w:keepNext/>
        <w:keepLines/>
        <w:spacing w:before="120" w:after="120" w:line="560" w:lineRule="exact"/>
        <w:jc w:val="center"/>
        <w:outlineLvl w:val="1"/>
        <w:rPr>
          <w:rFonts w:ascii="Arial" w:hAnsi="Arial" w:eastAsia="黑体"/>
          <w:bCs/>
          <w:color w:val="auto"/>
          <w:sz w:val="44"/>
          <w:szCs w:val="32"/>
          <w:highlight w:val="none"/>
        </w:rPr>
      </w:pPr>
      <w:r>
        <w:rPr>
          <w:rFonts w:ascii="仿宋_GB2312" w:hAnsi="宋体" w:eastAsia="仿宋_GB2312"/>
          <w:b/>
          <w:bCs/>
          <w:color w:val="auto"/>
          <w:sz w:val="30"/>
          <w:szCs w:val="30"/>
          <w:highlight w:val="none"/>
        </w:rPr>
        <w:br w:type="page"/>
      </w:r>
      <w:r>
        <w:rPr>
          <w:rFonts w:hint="eastAsia" w:ascii="Arial" w:hAnsi="Arial" w:eastAsia="黑体"/>
          <w:bCs/>
          <w:color w:val="auto"/>
          <w:sz w:val="44"/>
          <w:szCs w:val="32"/>
          <w:highlight w:val="none"/>
        </w:rPr>
        <w:t>投标承诺函</w:t>
      </w:r>
    </w:p>
    <w:p w14:paraId="1536F397">
      <w:pPr>
        <w:spacing w:line="560" w:lineRule="exact"/>
        <w:rPr>
          <w:rFonts w:ascii="仿宋_GB2312" w:hAnsi="仿宋" w:eastAsia="仿宋_GB2312"/>
          <w:color w:val="auto"/>
          <w:kern w:val="0"/>
          <w:sz w:val="30"/>
          <w:szCs w:val="30"/>
          <w:highlight w:val="none"/>
        </w:rPr>
      </w:pPr>
      <w:r>
        <w:rPr>
          <w:rFonts w:hint="eastAsia" w:ascii="仿宋_GB2312" w:hAnsi="仿宋" w:eastAsia="仿宋_GB2312"/>
          <w:color w:val="auto"/>
          <w:sz w:val="30"/>
          <w:szCs w:val="30"/>
          <w:highlight w:val="none"/>
        </w:rPr>
        <w:t>乳山天平建设工程咨询有限公司</w:t>
      </w:r>
      <w:r>
        <w:rPr>
          <w:rFonts w:hint="eastAsia" w:ascii="仿宋_GB2312" w:hAnsi="仿宋" w:eastAsia="仿宋_GB2312"/>
          <w:color w:val="auto"/>
          <w:kern w:val="0"/>
          <w:sz w:val="30"/>
          <w:szCs w:val="30"/>
          <w:highlight w:val="none"/>
        </w:rPr>
        <w:t>：</w:t>
      </w:r>
    </w:p>
    <w:p w14:paraId="28D1BFE2">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我方根据项目编号为</w:t>
      </w:r>
      <w:r>
        <w:rPr>
          <w:rFonts w:hint="eastAsia" w:ascii="仿宋_GB2312" w:hAnsi="宋体" w:eastAsia="仿宋_GB2312" w:cs="宋体"/>
          <w:color w:val="auto"/>
          <w:kern w:val="0"/>
          <w:sz w:val="30"/>
          <w:szCs w:val="30"/>
          <w:highlight w:val="none"/>
        </w:rPr>
        <w:t>SDRS-TPZB-2026-084名称2026年乳山市松材线虫病媒介昆虫飞防药剂采购项目的</w:t>
      </w:r>
      <w:r>
        <w:rPr>
          <w:rFonts w:hint="eastAsia" w:ascii="仿宋_GB2312" w:hAnsi="仿宋" w:eastAsia="仿宋_GB2312"/>
          <w:color w:val="auto"/>
          <w:kern w:val="0"/>
          <w:sz w:val="30"/>
          <w:szCs w:val="30"/>
          <w:highlight w:val="none"/>
        </w:rPr>
        <w:t>招标文件的要求，经详细研究决定参加投标。</w:t>
      </w:r>
    </w:p>
    <w:p w14:paraId="65C2D3D0">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1. 我方接受本采购文件中关于电子招投标的各项规定，遵守《中华人民共和国电子签名法》关于电子签名的各项规定。我方愿意按照招标文件的规定和要求提供产品，报价详见《开标一览表》。</w:t>
      </w:r>
    </w:p>
    <w:p w14:paraId="46294F61">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2.我方同意</w:t>
      </w:r>
      <w:r>
        <w:rPr>
          <w:rFonts w:hint="eastAsia" w:ascii="仿宋_GB2312" w:hAnsi="宋体" w:eastAsia="仿宋_GB2312" w:cs="宋体"/>
          <w:color w:val="auto"/>
          <w:kern w:val="0"/>
          <w:sz w:val="30"/>
          <w:szCs w:val="30"/>
          <w:highlight w:val="none"/>
        </w:rPr>
        <w:t>90天</w:t>
      </w:r>
      <w:r>
        <w:rPr>
          <w:rFonts w:hint="eastAsia" w:ascii="仿宋_GB2312" w:hAnsi="仿宋" w:eastAsia="仿宋_GB2312"/>
          <w:color w:val="auto"/>
          <w:kern w:val="0"/>
          <w:sz w:val="30"/>
          <w:szCs w:val="30"/>
          <w:highlight w:val="none"/>
        </w:rPr>
        <w:t>的投标有效期，严格遵守投标文件的各项承诺。在此期限届满之前，本投标文件始终对我方具有约束力，并随时接受中标。我方承诺在投标有效期内不修改、撤销投标文件。</w:t>
      </w:r>
    </w:p>
    <w:p w14:paraId="2994DE7E">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3.</w:t>
      </w:r>
      <w:r>
        <w:rPr>
          <w:rFonts w:hint="eastAsia" w:ascii="仿宋_GB2312" w:hAnsi="仿宋" w:eastAsia="仿宋_GB2312"/>
          <w:color w:val="auto"/>
          <w:kern w:val="0"/>
          <w:sz w:val="30"/>
          <w:szCs w:val="30"/>
          <w:highlight w:val="none"/>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46C945E1">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4.我方同意最低价是中标的主要选择标准，但不是唯一的选择标准。</w:t>
      </w:r>
    </w:p>
    <w:p w14:paraId="25E3B9BF">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5.如果我方中标：</w:t>
      </w:r>
    </w:p>
    <w:p w14:paraId="77FFE558">
      <w:pPr>
        <w:spacing w:line="560" w:lineRule="exact"/>
        <w:ind w:left="447" w:leftChars="213"/>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（1）我方承诺在中标通知书发出后，在规定期限内与招标人签订合同；认同本项目的付款方式并了解其中的风险；</w:t>
      </w:r>
    </w:p>
    <w:p w14:paraId="0D1B0A23">
      <w:pPr>
        <w:spacing w:line="560" w:lineRule="exact"/>
        <w:ind w:left="447" w:leftChars="213"/>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（2）我方承诺在合同约定的期限内，按期、保质、保量完成供货任务;</w:t>
      </w:r>
    </w:p>
    <w:p w14:paraId="55EC802D">
      <w:pPr>
        <w:spacing w:line="560" w:lineRule="exact"/>
        <w:ind w:firstLine="450" w:firstLineChars="15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（3）我方承诺将按照招标文件的规定交纳代理服务费。</w:t>
      </w:r>
    </w:p>
    <w:p w14:paraId="2476D347">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6.所有有关本投标的函电，请按下列地址联系：</w:t>
      </w:r>
    </w:p>
    <w:p w14:paraId="7372676D">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单    位：                     邮政编码：</w:t>
      </w:r>
    </w:p>
    <w:p w14:paraId="6CE122F3">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地    址：                     联 系 人：</w:t>
      </w:r>
    </w:p>
    <w:p w14:paraId="3F8867B2">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电    话：                     传    真：</w:t>
      </w:r>
    </w:p>
    <w:p w14:paraId="215966FD">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开户名称：</w:t>
      </w:r>
    </w:p>
    <w:p w14:paraId="180F05A7">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开户银行：</w:t>
      </w:r>
    </w:p>
    <w:p w14:paraId="64E5DF32">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开户账号：</w:t>
      </w:r>
    </w:p>
    <w:p w14:paraId="77AF9DC9">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 xml:space="preserve">投标人（盖章）： </w:t>
      </w:r>
    </w:p>
    <w:p w14:paraId="28464081">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法定代表人或被授权人（签字或盖章）：</w:t>
      </w:r>
    </w:p>
    <w:p w14:paraId="358DC27A">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 xml:space="preserve">投标日期：××年××月××日 </w:t>
      </w:r>
    </w:p>
    <w:p w14:paraId="03B66973">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 xml:space="preserve">    </w:t>
      </w:r>
    </w:p>
    <w:p w14:paraId="76678056">
      <w:pPr>
        <w:keepNext/>
        <w:keepLines/>
        <w:spacing w:before="120" w:after="120" w:line="560" w:lineRule="exact"/>
        <w:jc w:val="center"/>
        <w:outlineLvl w:val="1"/>
        <w:rPr>
          <w:rFonts w:ascii="Arial" w:hAnsi="Arial" w:eastAsia="黑体"/>
          <w:bCs/>
          <w:color w:val="auto"/>
          <w:sz w:val="44"/>
          <w:szCs w:val="32"/>
          <w:highlight w:val="none"/>
        </w:rPr>
      </w:pPr>
      <w:r>
        <w:rPr>
          <w:rFonts w:ascii="仿宋_GB2312" w:hAnsi="仿宋" w:eastAsia="仿宋_GB2312"/>
          <w:bCs/>
          <w:color w:val="auto"/>
          <w:sz w:val="30"/>
          <w:szCs w:val="30"/>
          <w:highlight w:val="none"/>
        </w:rPr>
        <w:br w:type="page"/>
      </w:r>
      <w:r>
        <w:rPr>
          <w:rFonts w:hint="eastAsia" w:ascii="Arial" w:hAnsi="Arial" w:eastAsia="黑体"/>
          <w:bCs/>
          <w:color w:val="auto"/>
          <w:sz w:val="44"/>
          <w:szCs w:val="32"/>
          <w:highlight w:val="none"/>
        </w:rPr>
        <w:t>投标人资格证明文件</w:t>
      </w:r>
    </w:p>
    <w:p w14:paraId="193651C2">
      <w:pPr>
        <w:keepNext/>
        <w:keepLines/>
        <w:spacing w:line="560" w:lineRule="exact"/>
        <w:jc w:val="center"/>
        <w:outlineLvl w:val="2"/>
        <w:rPr>
          <w:rFonts w:eastAsia="黑体"/>
          <w:bCs/>
          <w:color w:val="auto"/>
          <w:sz w:val="32"/>
          <w:szCs w:val="32"/>
          <w:highlight w:val="none"/>
        </w:rPr>
      </w:pPr>
      <w:r>
        <w:rPr>
          <w:rFonts w:hint="eastAsia" w:eastAsia="黑体"/>
          <w:bCs/>
          <w:color w:val="auto"/>
          <w:sz w:val="32"/>
          <w:szCs w:val="32"/>
          <w:highlight w:val="none"/>
        </w:rPr>
        <w:t>有效的营业执照副本扫描件</w:t>
      </w:r>
    </w:p>
    <w:p w14:paraId="23DD0164">
      <w:pPr>
        <w:rPr>
          <w:color w:val="auto"/>
          <w:highlight w:val="none"/>
        </w:rPr>
      </w:pPr>
    </w:p>
    <w:p w14:paraId="3FAD49BA">
      <w:pPr>
        <w:keepNext/>
        <w:keepLines/>
        <w:spacing w:before="120" w:after="120" w:line="560" w:lineRule="exact"/>
        <w:jc w:val="center"/>
        <w:outlineLvl w:val="2"/>
        <w:rPr>
          <w:rFonts w:eastAsia="黑体"/>
          <w:bCs/>
          <w:color w:val="auto"/>
          <w:sz w:val="32"/>
          <w:szCs w:val="32"/>
          <w:highlight w:val="none"/>
        </w:rPr>
      </w:pPr>
      <w:r>
        <w:rPr>
          <w:rFonts w:eastAsia="黑体"/>
          <w:bCs/>
          <w:color w:val="auto"/>
          <w:sz w:val="32"/>
          <w:szCs w:val="32"/>
          <w:highlight w:val="none"/>
        </w:rPr>
        <w:br w:type="page"/>
      </w:r>
      <w:r>
        <w:rPr>
          <w:rFonts w:hint="eastAsia" w:eastAsia="黑体"/>
          <w:bCs/>
          <w:color w:val="auto"/>
          <w:sz w:val="32"/>
          <w:szCs w:val="32"/>
          <w:highlight w:val="none"/>
        </w:rPr>
        <w:t>投标单位资质证书扫描件</w:t>
      </w:r>
    </w:p>
    <w:p w14:paraId="0A498274">
      <w:pPr>
        <w:rPr>
          <w:color w:val="auto"/>
          <w:highlight w:val="none"/>
        </w:rPr>
      </w:pPr>
    </w:p>
    <w:p w14:paraId="479DCBA0">
      <w:pPr>
        <w:keepNext/>
        <w:keepLines/>
        <w:spacing w:line="560" w:lineRule="exact"/>
        <w:jc w:val="center"/>
        <w:outlineLvl w:val="2"/>
        <w:rPr>
          <w:rFonts w:eastAsia="黑体"/>
          <w:bCs/>
          <w:color w:val="auto"/>
          <w:sz w:val="32"/>
          <w:szCs w:val="32"/>
          <w:highlight w:val="none"/>
        </w:rPr>
      </w:pPr>
      <w:r>
        <w:rPr>
          <w:color w:val="auto"/>
          <w:highlight w:val="none"/>
        </w:rPr>
        <w:br w:type="page"/>
      </w:r>
      <w:r>
        <w:rPr>
          <w:rFonts w:hint="eastAsia" w:eastAsia="黑体"/>
          <w:bCs/>
          <w:color w:val="auto"/>
          <w:sz w:val="32"/>
          <w:szCs w:val="32"/>
          <w:highlight w:val="none"/>
        </w:rPr>
        <w:t>法定代表人或负责人身份证明书</w:t>
      </w:r>
    </w:p>
    <w:p w14:paraId="71CA434C">
      <w:pPr>
        <w:ind w:right="840"/>
        <w:jc w:val="center"/>
        <w:rPr>
          <w:rFonts w:hAnsi="宋体"/>
          <w:color w:val="auto"/>
          <w:highlight w:val="none"/>
        </w:rPr>
      </w:pPr>
    </w:p>
    <w:p w14:paraId="01D3D3AD">
      <w:pPr>
        <w:spacing w:line="560" w:lineRule="exact"/>
        <w:rPr>
          <w:rFonts w:ascii="仿宋_GB2312" w:hAnsi="仿宋" w:eastAsia="仿宋_GB2312"/>
          <w:color w:val="auto"/>
          <w:kern w:val="0"/>
          <w:sz w:val="30"/>
          <w:szCs w:val="30"/>
          <w:highlight w:val="none"/>
        </w:rPr>
      </w:pPr>
      <w:r>
        <w:rPr>
          <w:rFonts w:hint="eastAsia" w:ascii="仿宋_GB2312" w:hAnsi="仿宋" w:eastAsia="仿宋_GB2312"/>
          <w:color w:val="auto"/>
          <w:sz w:val="32"/>
          <w:szCs w:val="32"/>
          <w:highlight w:val="none"/>
        </w:rPr>
        <w:t>致</w:t>
      </w:r>
      <w:r>
        <w:rPr>
          <w:rFonts w:hint="eastAsia" w:ascii="仿宋_GB2312" w:hAnsi="仿宋" w:eastAsia="仿宋_GB2312"/>
          <w:color w:val="auto"/>
          <w:sz w:val="30"/>
          <w:szCs w:val="30"/>
          <w:highlight w:val="none"/>
        </w:rPr>
        <w:t>乳山天平建设工程咨询有限公司</w:t>
      </w:r>
      <w:r>
        <w:rPr>
          <w:rFonts w:hint="eastAsia" w:ascii="仿宋_GB2312" w:hAnsi="仿宋" w:eastAsia="仿宋_GB2312"/>
          <w:color w:val="auto"/>
          <w:kern w:val="0"/>
          <w:sz w:val="30"/>
          <w:szCs w:val="30"/>
          <w:highlight w:val="none"/>
        </w:rPr>
        <w:t>：</w:t>
      </w:r>
    </w:p>
    <w:p w14:paraId="46612CD2">
      <w:pPr>
        <w:tabs>
          <w:tab w:val="left" w:pos="5580"/>
        </w:tabs>
        <w:spacing w:line="600" w:lineRule="exact"/>
        <w:ind w:left="1100" w:leftChars="-29" w:hanging="1161"/>
        <w:rPr>
          <w:rFonts w:ascii="仿宋_GB2312" w:hAnsi="仿宋" w:eastAsia="仿宋_GB2312"/>
          <w:color w:val="auto"/>
          <w:sz w:val="32"/>
          <w:szCs w:val="32"/>
          <w:highlight w:val="none"/>
        </w:rPr>
      </w:pPr>
    </w:p>
    <w:p w14:paraId="693F7D82">
      <w:pPr>
        <w:tabs>
          <w:tab w:val="left" w:pos="5580"/>
        </w:tabs>
        <w:spacing w:line="600" w:lineRule="exact"/>
        <w:ind w:left="-113" w:leftChars="-54" w:firstLine="640" w:firstLineChars="20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（姓名、性别、年龄、身份证号码）在我单位任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（董事长、总经理等）职务，是我单位的法定代表人/负责人。</w:t>
      </w:r>
    </w:p>
    <w:p w14:paraId="7C6E51A8">
      <w:pPr>
        <w:tabs>
          <w:tab w:val="left" w:pos="5580"/>
        </w:tabs>
        <w:spacing w:line="600" w:lineRule="exact"/>
        <w:rPr>
          <w:rFonts w:ascii="仿宋_GB2312" w:hAnsi="仿宋" w:eastAsia="仿宋_GB2312"/>
          <w:color w:val="auto"/>
          <w:sz w:val="32"/>
          <w:szCs w:val="32"/>
          <w:highlight w:val="none"/>
        </w:rPr>
      </w:pPr>
    </w:p>
    <w:p w14:paraId="361D347D">
      <w:pPr>
        <w:tabs>
          <w:tab w:val="left" w:pos="5580"/>
        </w:tabs>
        <w:spacing w:line="600" w:lineRule="exact"/>
        <w:ind w:left="1080" w:leftChars="257" w:hanging="54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特此证明。</w:t>
      </w:r>
    </w:p>
    <w:p w14:paraId="38C7FEFF">
      <w:pPr>
        <w:spacing w:line="600" w:lineRule="exact"/>
        <w:rPr>
          <w:rFonts w:ascii="仿宋_GB2312" w:hAnsi="仿宋" w:eastAsia="仿宋_GB2312"/>
          <w:color w:val="auto"/>
          <w:sz w:val="32"/>
          <w:szCs w:val="32"/>
          <w:highlight w:val="none"/>
        </w:rPr>
      </w:pPr>
    </w:p>
    <w:p w14:paraId="21D6A6C5">
      <w:pPr>
        <w:tabs>
          <w:tab w:val="left" w:pos="5580"/>
        </w:tabs>
        <w:spacing w:line="600" w:lineRule="exact"/>
        <w:ind w:left="-540" w:leftChars="-257" w:right="960" w:firstLine="1200" w:firstLineChars="375"/>
        <w:jc w:val="right"/>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投标人名称（公</w:t>
      </w:r>
      <w:r>
        <w:rPr>
          <w:rFonts w:ascii="仿宋_GB2312" w:hAnsi="仿宋" w:eastAsia="仿宋_GB2312"/>
          <w:color w:val="auto"/>
          <w:sz w:val="32"/>
          <w:szCs w:val="32"/>
          <w:highlight w:val="none"/>
        </w:rPr>
        <w:t>章）：</w:t>
      </w:r>
      <w:r>
        <w:rPr>
          <w:rFonts w:hint="eastAsia" w:ascii="仿宋_GB2312" w:hAnsi="仿宋" w:eastAsia="仿宋_GB2312"/>
          <w:color w:val="auto"/>
          <w:sz w:val="32"/>
          <w:szCs w:val="32"/>
          <w:highlight w:val="none"/>
        </w:rPr>
        <w:t xml:space="preserve">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 xml:space="preserve"> </w:t>
      </w:r>
    </w:p>
    <w:p w14:paraId="2F3F296F">
      <w:pPr>
        <w:keepNext/>
        <w:keepLines/>
        <w:spacing w:line="560" w:lineRule="exact"/>
        <w:jc w:val="center"/>
        <w:outlineLvl w:val="2"/>
        <w:rPr>
          <w:rFonts w:eastAsia="黑体"/>
          <w:bCs/>
          <w:color w:val="auto"/>
          <w:sz w:val="44"/>
          <w:szCs w:val="32"/>
          <w:highlight w:val="none"/>
        </w:rPr>
      </w:pPr>
      <w:r>
        <w:rPr>
          <w:color w:val="auto"/>
          <w:highlight w:val="none"/>
        </w:rPr>
        <w:br w:type="page"/>
      </w:r>
      <w:r>
        <w:rPr>
          <w:rFonts w:hint="eastAsia" w:eastAsia="黑体"/>
          <w:bCs/>
          <w:color w:val="auto"/>
          <w:sz w:val="32"/>
          <w:szCs w:val="32"/>
          <w:highlight w:val="none"/>
        </w:rPr>
        <w:t>法人授权委托书</w:t>
      </w:r>
    </w:p>
    <w:p w14:paraId="02F4EDE4">
      <w:pPr>
        <w:spacing w:line="480" w:lineRule="exact"/>
        <w:ind w:firstLine="640" w:firstLineChars="200"/>
        <w:rPr>
          <w:color w:val="auto"/>
          <w:highlight w:val="none"/>
        </w:rPr>
      </w:pPr>
      <w:r>
        <w:rPr>
          <w:rFonts w:hint="eastAsia" w:ascii="仿宋_GB2312" w:hAnsi="仿宋" w:eastAsia="仿宋_GB2312"/>
          <w:color w:val="auto"/>
          <w:sz w:val="32"/>
          <w:szCs w:val="32"/>
          <w:highlight w:val="none"/>
        </w:rPr>
        <w:t>本授权书声明：注册于</w:t>
      </w:r>
      <w:r>
        <w:rPr>
          <w:rFonts w:hint="eastAsia" w:ascii="仿宋_GB2312" w:hAnsi="仿宋" w:eastAsia="仿宋_GB2312"/>
          <w:color w:val="auto"/>
          <w:sz w:val="32"/>
          <w:szCs w:val="32"/>
          <w:highlight w:val="none"/>
          <w:u w:val="single"/>
        </w:rPr>
        <w:t xml:space="preserve">   （国家或地区的名称）  </w:t>
      </w:r>
      <w:r>
        <w:rPr>
          <w:rFonts w:hint="eastAsia" w:ascii="仿宋_GB2312" w:hAnsi="仿宋" w:eastAsia="仿宋_GB2312"/>
          <w:color w:val="auto"/>
          <w:sz w:val="32"/>
          <w:szCs w:val="32"/>
          <w:highlight w:val="none"/>
        </w:rPr>
        <w:t>的</w:t>
      </w:r>
      <w:r>
        <w:rPr>
          <w:rFonts w:hint="eastAsia" w:ascii="仿宋_GB2312" w:hAnsi="仿宋" w:eastAsia="仿宋_GB2312"/>
          <w:color w:val="auto"/>
          <w:sz w:val="32"/>
          <w:szCs w:val="32"/>
          <w:highlight w:val="none"/>
          <w:u w:val="single"/>
        </w:rPr>
        <w:t xml:space="preserve">  （公司名称）  </w:t>
      </w:r>
      <w:r>
        <w:rPr>
          <w:rFonts w:hint="eastAsia" w:ascii="仿宋_GB2312" w:hAnsi="仿宋" w:eastAsia="仿宋_GB2312"/>
          <w:color w:val="auto"/>
          <w:sz w:val="32"/>
          <w:szCs w:val="32"/>
          <w:highlight w:val="none"/>
        </w:rPr>
        <w:t>的</w:t>
      </w:r>
      <w:r>
        <w:rPr>
          <w:rFonts w:hint="eastAsia" w:ascii="仿宋_GB2312" w:hAnsi="仿宋" w:eastAsia="仿宋_GB2312"/>
          <w:color w:val="auto"/>
          <w:sz w:val="32"/>
          <w:szCs w:val="32"/>
          <w:highlight w:val="none"/>
          <w:u w:val="single"/>
        </w:rPr>
        <w:t xml:space="preserve"> （法人代表姓名、职务）  （</w:t>
      </w:r>
      <w:r>
        <w:rPr>
          <w:rFonts w:hint="eastAsia" w:ascii="仿宋_GB2312" w:hAnsi="仿宋" w:eastAsia="仿宋_GB2312"/>
          <w:color w:val="auto"/>
          <w:kern w:val="0"/>
          <w:sz w:val="32"/>
          <w:szCs w:val="32"/>
          <w:highlight w:val="none"/>
        </w:rPr>
        <w:t>身份证</w:t>
      </w:r>
      <w:r>
        <w:rPr>
          <w:rFonts w:ascii="仿宋_GB2312" w:hAnsi="仿宋" w:eastAsia="仿宋_GB2312"/>
          <w:color w:val="auto"/>
          <w:kern w:val="0"/>
          <w:sz w:val="32"/>
          <w:szCs w:val="32"/>
          <w:highlight w:val="none"/>
        </w:rPr>
        <w:t>号码</w:t>
      </w:r>
      <w:r>
        <w:rPr>
          <w:rFonts w:hint="eastAsia" w:ascii="仿宋_GB2312" w:hAnsi="仿宋" w:eastAsia="仿宋_GB2312"/>
          <w:color w:val="auto"/>
          <w:kern w:val="0"/>
          <w:sz w:val="32"/>
          <w:szCs w:val="32"/>
          <w:highlight w:val="none"/>
        </w:rPr>
        <w:t xml:space="preserve">：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w:t>
      </w:r>
      <w:r>
        <w:rPr>
          <w:rFonts w:hint="eastAsia" w:ascii="仿宋_GB2312" w:hAnsi="仿宋" w:eastAsia="仿宋_GB2312"/>
          <w:color w:val="auto"/>
          <w:sz w:val="32"/>
          <w:szCs w:val="32"/>
          <w:highlight w:val="none"/>
        </w:rPr>
        <w:t>，代表本公司授权</w:t>
      </w:r>
      <w:r>
        <w:rPr>
          <w:rFonts w:hint="eastAsia" w:ascii="仿宋_GB2312" w:hAnsi="仿宋" w:eastAsia="仿宋_GB2312"/>
          <w:color w:val="auto"/>
          <w:sz w:val="32"/>
          <w:szCs w:val="32"/>
          <w:highlight w:val="none"/>
          <w:u w:val="single"/>
        </w:rPr>
        <w:t xml:space="preserve">  （被授权单位名称）  </w:t>
      </w:r>
      <w:r>
        <w:rPr>
          <w:rFonts w:hint="eastAsia" w:ascii="仿宋_GB2312" w:hAnsi="仿宋" w:eastAsia="仿宋_GB2312"/>
          <w:color w:val="auto"/>
          <w:sz w:val="32"/>
          <w:szCs w:val="32"/>
          <w:highlight w:val="none"/>
        </w:rPr>
        <w:t>的</w:t>
      </w:r>
      <w:r>
        <w:rPr>
          <w:rFonts w:hint="eastAsia" w:ascii="仿宋_GB2312" w:hAnsi="仿宋" w:eastAsia="仿宋_GB2312"/>
          <w:color w:val="auto"/>
          <w:sz w:val="32"/>
          <w:szCs w:val="32"/>
          <w:highlight w:val="none"/>
          <w:u w:val="single"/>
        </w:rPr>
        <w:t xml:space="preserve">        （被授权人的姓名、职务）（</w:t>
      </w:r>
      <w:r>
        <w:rPr>
          <w:rFonts w:hint="eastAsia" w:ascii="仿宋_GB2312" w:hAnsi="仿宋" w:eastAsia="仿宋_GB2312"/>
          <w:color w:val="auto"/>
          <w:kern w:val="0"/>
          <w:sz w:val="32"/>
          <w:szCs w:val="32"/>
          <w:highlight w:val="none"/>
        </w:rPr>
        <w:t>身份证</w:t>
      </w:r>
      <w:r>
        <w:rPr>
          <w:rFonts w:ascii="仿宋_GB2312" w:hAnsi="仿宋" w:eastAsia="仿宋_GB2312"/>
          <w:color w:val="auto"/>
          <w:kern w:val="0"/>
          <w:sz w:val="32"/>
          <w:szCs w:val="32"/>
          <w:highlight w:val="none"/>
        </w:rPr>
        <w:t>号码</w:t>
      </w:r>
      <w:r>
        <w:rPr>
          <w:rFonts w:hint="eastAsia" w:ascii="仿宋_GB2312" w:hAnsi="仿宋" w:eastAsia="仿宋_GB2312"/>
          <w:color w:val="auto"/>
          <w:kern w:val="0"/>
          <w:sz w:val="32"/>
          <w:szCs w:val="32"/>
          <w:highlight w:val="none"/>
        </w:rPr>
        <w:t xml:space="preserve">：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w:t>
      </w:r>
      <w:r>
        <w:rPr>
          <w:rFonts w:hint="eastAsia" w:ascii="仿宋_GB2312" w:hAnsi="仿宋" w:eastAsia="仿宋_GB2312"/>
          <w:color w:val="auto"/>
          <w:sz w:val="32"/>
          <w:szCs w:val="32"/>
          <w:highlight w:val="none"/>
        </w:rPr>
        <w:t>为本公司的合法代理人，参加编号为SDRS-TPZB-2026-084号的公开招标采购活动，以本公司名义处理一切与之有关的事宜。</w:t>
      </w:r>
    </w:p>
    <w:p w14:paraId="7C44BA03">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如果本公司在此次采购活动中成交，被授权人有权代表本公司签署采购合同。</w:t>
      </w:r>
    </w:p>
    <w:p w14:paraId="200FCE34">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本授权书于</w:t>
      </w:r>
      <w:r>
        <w:rPr>
          <w:rFonts w:hint="eastAsia" w:ascii="仿宋_GB2312" w:hAnsi="仿宋" w:eastAsia="仿宋_GB2312"/>
          <w:color w:val="auto"/>
          <w:kern w:val="0"/>
          <w:sz w:val="32"/>
          <w:szCs w:val="32"/>
          <w:highlight w:val="none"/>
          <w:u w:val="single"/>
        </w:rPr>
        <w:t xml:space="preserve">      </w:t>
      </w:r>
      <w:r>
        <w:rPr>
          <w:rFonts w:hint="eastAsia" w:ascii="仿宋_GB2312" w:hAnsi="仿宋" w:eastAsia="仿宋_GB2312"/>
          <w:color w:val="auto"/>
          <w:kern w:val="0"/>
          <w:sz w:val="32"/>
          <w:szCs w:val="32"/>
          <w:highlight w:val="none"/>
        </w:rPr>
        <w:t>年</w:t>
      </w:r>
      <w:r>
        <w:rPr>
          <w:rFonts w:hint="eastAsia" w:ascii="仿宋_GB2312" w:hAnsi="仿宋" w:eastAsia="仿宋_GB2312"/>
          <w:color w:val="auto"/>
          <w:kern w:val="0"/>
          <w:sz w:val="32"/>
          <w:szCs w:val="32"/>
          <w:highlight w:val="none"/>
          <w:u w:val="single"/>
        </w:rPr>
        <w:t xml:space="preserve">    </w:t>
      </w:r>
      <w:r>
        <w:rPr>
          <w:rFonts w:hint="eastAsia" w:ascii="仿宋_GB2312" w:hAnsi="仿宋" w:eastAsia="仿宋_GB2312"/>
          <w:color w:val="auto"/>
          <w:kern w:val="0"/>
          <w:sz w:val="32"/>
          <w:szCs w:val="32"/>
          <w:highlight w:val="none"/>
        </w:rPr>
        <w:t>月</w:t>
      </w:r>
      <w:r>
        <w:rPr>
          <w:rFonts w:hint="eastAsia" w:ascii="仿宋_GB2312" w:hAnsi="仿宋" w:eastAsia="仿宋_GB2312"/>
          <w:color w:val="auto"/>
          <w:kern w:val="0"/>
          <w:sz w:val="32"/>
          <w:szCs w:val="32"/>
          <w:highlight w:val="none"/>
          <w:u w:val="single"/>
        </w:rPr>
        <w:t xml:space="preserve">    </w:t>
      </w:r>
      <w:r>
        <w:rPr>
          <w:rFonts w:hint="eastAsia" w:ascii="仿宋_GB2312" w:hAnsi="仿宋" w:eastAsia="仿宋_GB2312"/>
          <w:color w:val="auto"/>
          <w:kern w:val="0"/>
          <w:sz w:val="32"/>
          <w:szCs w:val="32"/>
          <w:highlight w:val="none"/>
        </w:rPr>
        <w:t>日法定代表人签字或盖章并由被授权人签字、单位盖章生效，特此声明。</w:t>
      </w:r>
    </w:p>
    <w:p w14:paraId="710F1393">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被授权人无转委托权。</w:t>
      </w:r>
    </w:p>
    <w:p w14:paraId="48B4E41C">
      <w:pPr>
        <w:spacing w:line="480" w:lineRule="exact"/>
        <w:ind w:firstLine="640" w:firstLineChars="200"/>
        <w:jc w:val="left"/>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法定代表人（依法登记的负责人）签字或签章：</w:t>
      </w:r>
    </w:p>
    <w:p w14:paraId="4DA33A1B">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被授权人签字：</w:t>
      </w:r>
    </w:p>
    <w:p w14:paraId="6BB5C6B4">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投标人（公章）:</w:t>
      </w:r>
    </w:p>
    <w:p w14:paraId="3262842C">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详细通讯地址：</w:t>
      </w:r>
    </w:p>
    <w:p w14:paraId="71EAA2A7">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邮 政 编 码 ：</w:t>
      </w:r>
    </w:p>
    <w:p w14:paraId="64241D1A">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 xml:space="preserve">传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真：</w:t>
      </w:r>
    </w:p>
    <w:p w14:paraId="1BA9DB70">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 xml:space="preserve">电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话：</w:t>
      </w:r>
    </w:p>
    <w:p w14:paraId="7CCCCAA8">
      <w:pPr>
        <w:spacing w:line="560" w:lineRule="exact"/>
        <w:ind w:firstLine="640" w:firstLineChars="200"/>
        <w:jc w:val="left"/>
        <w:rPr>
          <w:rFonts w:ascii="仿宋_GB2312" w:hAnsi="仿宋" w:eastAsia="仿宋_GB2312"/>
          <w:color w:val="auto"/>
          <w:kern w:val="0"/>
          <w:sz w:val="32"/>
          <w:szCs w:val="32"/>
          <w:highlight w:val="none"/>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24370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4892B25F">
            <w:pPr>
              <w:widowControl/>
              <w:spacing w:beforeAutospacing="1" w:afterAutospacing="1" w:line="360" w:lineRule="auto"/>
              <w:jc w:val="center"/>
              <w:rPr>
                <w:rFonts w:ascii="仿宋_GB2312" w:hAnsi="仿宋" w:eastAsia="仿宋_GB2312" w:cs="宋体"/>
                <w:color w:val="auto"/>
                <w:kern w:val="0"/>
                <w:sz w:val="32"/>
                <w:szCs w:val="32"/>
                <w:highlight w:val="none"/>
              </w:rPr>
            </w:pPr>
            <w:r>
              <w:rPr>
                <w:rFonts w:hint="eastAsia" w:ascii="仿宋_GB2312" w:hAnsi="仿宋" w:eastAsia="仿宋_GB2312" w:cs="宋体"/>
                <w:color w:val="auto"/>
                <w:sz w:val="32"/>
                <w:szCs w:val="32"/>
                <w:highlight w:val="none"/>
              </w:rPr>
              <w:t>被授权人身份证扫描件正面</w:t>
            </w:r>
          </w:p>
        </w:tc>
        <w:tc>
          <w:tcPr>
            <w:tcW w:w="4503" w:type="dxa"/>
            <w:vAlign w:val="center"/>
          </w:tcPr>
          <w:p w14:paraId="0E39909B">
            <w:pPr>
              <w:widowControl/>
              <w:spacing w:beforeAutospacing="1" w:afterAutospacing="1" w:line="360" w:lineRule="auto"/>
              <w:jc w:val="center"/>
              <w:rPr>
                <w:rFonts w:hint="eastAsia" w:ascii="仿宋_GB2312" w:hAnsi="仿宋" w:eastAsia="仿宋_GB2312" w:cs="宋体"/>
                <w:color w:val="auto"/>
                <w:sz w:val="32"/>
                <w:szCs w:val="32"/>
                <w:highlight w:val="none"/>
              </w:rPr>
            </w:pPr>
            <w:r>
              <w:rPr>
                <w:rFonts w:hint="eastAsia" w:ascii="仿宋_GB2312" w:hAnsi="仿宋" w:eastAsia="仿宋_GB2312" w:cs="宋体"/>
                <w:color w:val="auto"/>
                <w:sz w:val="32"/>
                <w:szCs w:val="32"/>
                <w:highlight w:val="none"/>
              </w:rPr>
              <w:t>被授权人身份证扫描件反面</w:t>
            </w:r>
          </w:p>
        </w:tc>
      </w:tr>
    </w:tbl>
    <w:p w14:paraId="45A4D108">
      <w:pPr>
        <w:rPr>
          <w:vanish/>
          <w:color w:val="auto"/>
          <w:highlight w:val="none"/>
        </w:rPr>
      </w:pPr>
    </w:p>
    <w:p w14:paraId="62194800">
      <w:pPr>
        <w:spacing w:line="520" w:lineRule="exact"/>
        <w:rPr>
          <w:rFonts w:ascii="仿宋_GB2312" w:hAnsi="仿宋" w:eastAsia="仿宋_GB2312"/>
          <w:b/>
          <w:color w:val="auto"/>
          <w:kern w:val="0"/>
          <w:sz w:val="36"/>
          <w:szCs w:val="21"/>
          <w:highlight w:val="none"/>
        </w:rPr>
      </w:pPr>
    </w:p>
    <w:p w14:paraId="09DF266A">
      <w:pPr>
        <w:keepNext/>
        <w:keepLines/>
        <w:spacing w:line="560" w:lineRule="exact"/>
        <w:jc w:val="center"/>
        <w:outlineLvl w:val="2"/>
        <w:rPr>
          <w:rFonts w:eastAsia="黑体"/>
          <w:bCs/>
          <w:color w:val="auto"/>
          <w:sz w:val="44"/>
          <w:szCs w:val="32"/>
          <w:highlight w:val="none"/>
        </w:rPr>
      </w:pPr>
      <w:r>
        <w:rPr>
          <w:rFonts w:hint="eastAsia" w:ascii="仿宋_GB2312" w:hAnsi="仿宋" w:eastAsia="仿宋_GB2312"/>
          <w:bCs/>
          <w:color w:val="auto"/>
          <w:sz w:val="28"/>
          <w:szCs w:val="28"/>
          <w:highlight w:val="none"/>
        </w:rPr>
        <w:br w:type="page"/>
      </w:r>
      <w:r>
        <w:rPr>
          <w:rFonts w:hint="eastAsia" w:eastAsia="黑体"/>
          <w:bCs/>
          <w:color w:val="auto"/>
          <w:sz w:val="32"/>
          <w:szCs w:val="32"/>
          <w:highlight w:val="none"/>
        </w:rPr>
        <w:t>投标人依法缴纳税收和社会保障资金的声明</w:t>
      </w:r>
    </w:p>
    <w:p w14:paraId="444F8E8B">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（格式自拟，加盖投标人公章）</w:t>
      </w:r>
    </w:p>
    <w:p w14:paraId="22B59D5D">
      <w:pPr>
        <w:keepNext/>
        <w:keepLines/>
        <w:spacing w:line="560" w:lineRule="exact"/>
        <w:jc w:val="center"/>
        <w:outlineLvl w:val="2"/>
        <w:rPr>
          <w:rFonts w:eastAsia="黑体"/>
          <w:bCs/>
          <w:color w:val="auto"/>
          <w:sz w:val="44"/>
          <w:szCs w:val="32"/>
          <w:highlight w:val="none"/>
        </w:rPr>
      </w:pPr>
      <w:r>
        <w:rPr>
          <w:rFonts w:ascii="仿宋_GB2312" w:eastAsia="仿宋_GB2312"/>
          <w:bCs/>
          <w:color w:val="auto"/>
          <w:sz w:val="28"/>
          <w:szCs w:val="28"/>
          <w:highlight w:val="none"/>
        </w:rPr>
        <w:br w:type="page"/>
      </w:r>
      <w:r>
        <w:rPr>
          <w:rFonts w:hint="eastAsia" w:eastAsia="黑体"/>
          <w:bCs/>
          <w:color w:val="auto"/>
          <w:sz w:val="32"/>
          <w:szCs w:val="32"/>
          <w:highlight w:val="none"/>
        </w:rPr>
        <w:t>投标人近期的完税凭证及缴纳社保资金凭证扫描件</w:t>
      </w:r>
    </w:p>
    <w:p w14:paraId="0DD82355">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（加盖投标人公章）</w:t>
      </w:r>
    </w:p>
    <w:p w14:paraId="6D752243">
      <w:pPr>
        <w:jc w:val="center"/>
        <w:rPr>
          <w:rFonts w:ascii="仿宋_GB2312" w:eastAsia="仿宋_GB2312"/>
          <w:color w:val="auto"/>
          <w:sz w:val="28"/>
          <w:szCs w:val="28"/>
          <w:highlight w:val="none"/>
        </w:rPr>
      </w:pPr>
    </w:p>
    <w:p w14:paraId="6245EA7C">
      <w:pPr>
        <w:keepNext/>
        <w:keepLines/>
        <w:spacing w:line="560" w:lineRule="exact"/>
        <w:jc w:val="center"/>
        <w:outlineLvl w:val="2"/>
        <w:rPr>
          <w:rFonts w:eastAsia="黑体"/>
          <w:bCs/>
          <w:color w:val="auto"/>
          <w:sz w:val="44"/>
          <w:szCs w:val="32"/>
          <w:highlight w:val="none"/>
        </w:rPr>
      </w:pPr>
      <w:r>
        <w:rPr>
          <w:color w:val="auto"/>
          <w:highlight w:val="none"/>
        </w:rPr>
        <w:br w:type="page"/>
      </w:r>
      <w:r>
        <w:rPr>
          <w:rFonts w:hint="eastAsia" w:eastAsia="黑体"/>
          <w:bCs/>
          <w:color w:val="auto"/>
          <w:sz w:val="32"/>
          <w:szCs w:val="32"/>
          <w:highlight w:val="none"/>
        </w:rPr>
        <w:t>无重大违法记录声明</w:t>
      </w:r>
    </w:p>
    <w:p w14:paraId="17D9BD13">
      <w:pPr>
        <w:tabs>
          <w:tab w:val="left" w:pos="5580"/>
        </w:tabs>
        <w:spacing w:line="360" w:lineRule="auto"/>
        <w:rPr>
          <w:rFonts w:ascii="仿宋_GB2312" w:hAnsi="仿宋" w:eastAsia="仿宋_GB2312"/>
          <w:bCs/>
          <w:color w:val="auto"/>
          <w:sz w:val="28"/>
          <w:szCs w:val="28"/>
          <w:highlight w:val="none"/>
        </w:rPr>
      </w:pPr>
    </w:p>
    <w:p w14:paraId="7D3A7C82">
      <w:pPr>
        <w:spacing w:line="480" w:lineRule="auto"/>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本单位郑重声明：</w:t>
      </w:r>
    </w:p>
    <w:p w14:paraId="7A8851F3">
      <w:pPr>
        <w:spacing w:line="480" w:lineRule="auto"/>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我单位在参加采购活动前三年内在经营活动中没有重大违法记录，包括：</w:t>
      </w:r>
    </w:p>
    <w:p w14:paraId="66553FB8">
      <w:pPr>
        <w:spacing w:line="480" w:lineRule="auto"/>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我单位或者其法定代表人、董事、监事、高级管理人员未因经营活动中的违法行为受到刑事处罚或者责令停产停业、吊销许可证或者执照、较大数额罚款等行政处罚。</w:t>
      </w:r>
    </w:p>
    <w:p w14:paraId="7CC80D92">
      <w:pPr>
        <w:spacing w:line="480" w:lineRule="auto"/>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如有瞒报、虚报，我公司自行承担因此产生的所有法律责任。</w:t>
      </w:r>
    </w:p>
    <w:p w14:paraId="2DE96C49">
      <w:pPr>
        <w:spacing w:line="600" w:lineRule="exact"/>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特此声明！</w:t>
      </w:r>
    </w:p>
    <w:p w14:paraId="523996E6">
      <w:pPr>
        <w:tabs>
          <w:tab w:val="left" w:pos="5580"/>
        </w:tabs>
        <w:spacing w:line="360" w:lineRule="auto"/>
        <w:ind w:firstLine="4132" w:firstLineChars="1476"/>
        <w:rPr>
          <w:rFonts w:ascii="仿宋_GB2312" w:hAnsi="仿宋" w:eastAsia="仿宋_GB2312"/>
          <w:bCs/>
          <w:color w:val="auto"/>
          <w:sz w:val="28"/>
          <w:szCs w:val="28"/>
          <w:highlight w:val="none"/>
        </w:rPr>
      </w:pPr>
    </w:p>
    <w:p w14:paraId="233C049B">
      <w:pPr>
        <w:tabs>
          <w:tab w:val="left" w:pos="5580"/>
        </w:tabs>
        <w:spacing w:line="360" w:lineRule="auto"/>
        <w:ind w:firstLine="4132" w:firstLineChars="1476"/>
        <w:rPr>
          <w:rFonts w:ascii="仿宋_GB2312" w:hAnsi="仿宋" w:eastAsia="仿宋_GB2312"/>
          <w:bCs/>
          <w:color w:val="auto"/>
          <w:sz w:val="28"/>
          <w:szCs w:val="28"/>
          <w:highlight w:val="none"/>
        </w:rPr>
      </w:pPr>
    </w:p>
    <w:p w14:paraId="3BA96529">
      <w:pPr>
        <w:tabs>
          <w:tab w:val="left" w:pos="5580"/>
        </w:tabs>
        <w:spacing w:line="360" w:lineRule="auto"/>
        <w:ind w:firstLine="4132" w:firstLineChars="1476"/>
        <w:rPr>
          <w:rFonts w:ascii="仿宋_GB2312" w:hAnsi="仿宋" w:eastAsia="仿宋_GB2312"/>
          <w:bCs/>
          <w:color w:val="auto"/>
          <w:sz w:val="28"/>
          <w:szCs w:val="28"/>
          <w:highlight w:val="none"/>
        </w:rPr>
      </w:pPr>
    </w:p>
    <w:p w14:paraId="2EE4EBE6">
      <w:pPr>
        <w:tabs>
          <w:tab w:val="left" w:pos="5580"/>
        </w:tabs>
        <w:spacing w:line="360" w:lineRule="auto"/>
        <w:ind w:firstLine="4132" w:firstLineChars="1476"/>
        <w:rPr>
          <w:rFonts w:ascii="仿宋_GB2312" w:hAnsi="仿宋" w:eastAsia="仿宋_GB2312"/>
          <w:bCs/>
          <w:color w:val="auto"/>
          <w:sz w:val="28"/>
          <w:szCs w:val="28"/>
          <w:highlight w:val="none"/>
        </w:rPr>
      </w:pPr>
    </w:p>
    <w:p w14:paraId="4200E2E9">
      <w:pPr>
        <w:tabs>
          <w:tab w:val="left" w:pos="5580"/>
        </w:tabs>
        <w:wordWrap w:val="0"/>
        <w:spacing w:line="360" w:lineRule="auto"/>
        <w:ind w:firstLine="4132" w:firstLineChars="1476"/>
        <w:jc w:val="right"/>
        <w:rPr>
          <w:rFonts w:ascii="仿宋_GB2312" w:hAnsi="宋体" w:eastAsia="仿宋_GB2312"/>
          <w:color w:val="auto"/>
          <w:kern w:val="0"/>
          <w:sz w:val="28"/>
          <w:szCs w:val="28"/>
          <w:highlight w:val="none"/>
        </w:rPr>
      </w:pPr>
      <w:r>
        <w:rPr>
          <w:rFonts w:hint="eastAsia" w:ascii="仿宋_GB2312" w:eastAsia="仿宋_GB2312"/>
          <w:color w:val="auto"/>
          <w:kern w:val="0"/>
          <w:sz w:val="28"/>
          <w:szCs w:val="28"/>
          <w:highlight w:val="none"/>
        </w:rPr>
        <w:t xml:space="preserve">投标人全称（公章）：          </w:t>
      </w:r>
    </w:p>
    <w:p w14:paraId="672E7512">
      <w:pPr>
        <w:tabs>
          <w:tab w:val="left" w:pos="5580"/>
        </w:tabs>
        <w:wordWrap w:val="0"/>
        <w:spacing w:line="360" w:lineRule="auto"/>
        <w:ind w:firstLine="708" w:firstLineChars="253"/>
        <w:jc w:val="right"/>
        <w:rPr>
          <w:rFonts w:ascii="仿宋_GB2312" w:eastAsia="仿宋_GB2312"/>
          <w:color w:val="auto"/>
          <w:kern w:val="0"/>
          <w:sz w:val="28"/>
          <w:szCs w:val="28"/>
          <w:highlight w:val="none"/>
        </w:rPr>
      </w:pPr>
      <w:r>
        <w:rPr>
          <w:rFonts w:hint="eastAsia" w:ascii="仿宋_GB2312" w:hAnsi="仿宋" w:eastAsia="仿宋_GB2312"/>
          <w:bCs/>
          <w:color w:val="auto"/>
          <w:kern w:val="0"/>
          <w:sz w:val="28"/>
          <w:szCs w:val="28"/>
          <w:highlight w:val="none"/>
        </w:rPr>
        <w:t>法定代表人（依法登记的负责人）或授权代表（签字或签章）：</w:t>
      </w:r>
      <w:r>
        <w:rPr>
          <w:rFonts w:hint="eastAsia" w:ascii="仿宋_GB2312" w:eastAsia="仿宋_GB2312"/>
          <w:color w:val="auto"/>
          <w:kern w:val="0"/>
          <w:sz w:val="28"/>
          <w:szCs w:val="28"/>
          <w:highlight w:val="none"/>
        </w:rPr>
        <w:t xml:space="preserve">          </w:t>
      </w:r>
    </w:p>
    <w:p w14:paraId="1109404D">
      <w:pPr>
        <w:tabs>
          <w:tab w:val="left" w:pos="5580"/>
        </w:tabs>
        <w:spacing w:line="360" w:lineRule="auto"/>
        <w:ind w:firstLine="4132" w:firstLineChars="1476"/>
        <w:rPr>
          <w:rFonts w:ascii="仿宋_GB2312" w:eastAsia="仿宋_GB2312"/>
          <w:color w:val="auto"/>
          <w:kern w:val="0"/>
          <w:sz w:val="28"/>
          <w:szCs w:val="28"/>
          <w:highlight w:val="none"/>
        </w:rPr>
      </w:pPr>
    </w:p>
    <w:p w14:paraId="71C45B4B">
      <w:pPr>
        <w:widowControl/>
        <w:wordWrap w:val="0"/>
        <w:ind w:firstLine="4200" w:firstLineChars="1500"/>
        <w:jc w:val="right"/>
        <w:rPr>
          <w:rFonts w:ascii="宋体" w:hAnsi="宋体"/>
          <w:color w:val="auto"/>
          <w:kern w:val="0"/>
          <w:sz w:val="28"/>
          <w:szCs w:val="28"/>
          <w:highlight w:val="none"/>
        </w:rPr>
      </w:pPr>
      <w:r>
        <w:rPr>
          <w:rFonts w:hint="eastAsia" w:ascii="仿宋_GB2312" w:eastAsia="仿宋_GB2312"/>
          <w:color w:val="auto"/>
          <w:sz w:val="28"/>
          <w:szCs w:val="28"/>
          <w:highlight w:val="none"/>
        </w:rPr>
        <w:t>年</w:t>
      </w:r>
      <w:r>
        <w:rPr>
          <w:rFonts w:ascii="仿宋_GB2312" w:eastAsia="仿宋_GB2312"/>
          <w:color w:val="auto"/>
          <w:sz w:val="28"/>
          <w:szCs w:val="28"/>
          <w:highlight w:val="none"/>
        </w:rPr>
        <w:t xml:space="preserve">   </w:t>
      </w:r>
      <w:r>
        <w:rPr>
          <w:rFonts w:hint="eastAsia" w:ascii="仿宋_GB2312" w:eastAsia="仿宋_GB2312"/>
          <w:color w:val="auto"/>
          <w:sz w:val="28"/>
          <w:szCs w:val="28"/>
          <w:highlight w:val="none"/>
        </w:rPr>
        <w:t>月</w:t>
      </w:r>
      <w:r>
        <w:rPr>
          <w:rFonts w:ascii="仿宋_GB2312" w:eastAsia="仿宋_GB2312"/>
          <w:color w:val="auto"/>
          <w:sz w:val="28"/>
          <w:szCs w:val="28"/>
          <w:highlight w:val="none"/>
        </w:rPr>
        <w:t xml:space="preserve">   </w:t>
      </w:r>
      <w:r>
        <w:rPr>
          <w:rFonts w:hint="eastAsia" w:ascii="仿宋_GB2312" w:eastAsia="仿宋_GB2312"/>
          <w:color w:val="auto"/>
          <w:sz w:val="28"/>
          <w:szCs w:val="28"/>
          <w:highlight w:val="none"/>
        </w:rPr>
        <w:t xml:space="preserve">日   </w:t>
      </w:r>
    </w:p>
    <w:p w14:paraId="00A45A7F">
      <w:pPr>
        <w:keepNext/>
        <w:keepLines/>
        <w:spacing w:before="120" w:after="120" w:line="560" w:lineRule="exact"/>
        <w:jc w:val="center"/>
        <w:outlineLvl w:val="2"/>
        <w:rPr>
          <w:rFonts w:eastAsia="黑体"/>
          <w:bCs/>
          <w:color w:val="auto"/>
          <w:sz w:val="32"/>
          <w:szCs w:val="32"/>
          <w:highlight w:val="none"/>
        </w:rPr>
      </w:pPr>
      <w:r>
        <w:rPr>
          <w:rFonts w:ascii="宋体" w:hAnsi="宋体" w:eastAsia="黑体"/>
          <w:bCs/>
          <w:color w:val="auto"/>
          <w:kern w:val="0"/>
          <w:sz w:val="28"/>
          <w:szCs w:val="28"/>
          <w:highlight w:val="none"/>
        </w:rPr>
        <w:br w:type="page"/>
      </w:r>
      <w:r>
        <w:rPr>
          <w:rFonts w:hint="eastAsia" w:eastAsia="黑体"/>
          <w:bCs/>
          <w:color w:val="auto"/>
          <w:sz w:val="32"/>
          <w:szCs w:val="32"/>
          <w:highlight w:val="none"/>
        </w:rPr>
        <w:t>失信查询</w:t>
      </w:r>
    </w:p>
    <w:p w14:paraId="152B8B89">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（加盖公章）</w:t>
      </w:r>
    </w:p>
    <w:p w14:paraId="62680886">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投标人在工商行政管理机关全国企业信用信息公示系统中未被列入严重违法失信企业名单截图或报告（</w:t>
      </w:r>
      <w:r>
        <w:rPr>
          <w:rFonts w:hint="eastAsia" w:ascii="仿宋_GB2312" w:hAnsi="宋体" w:eastAsia="仿宋_GB2312"/>
          <w:color w:val="auto"/>
          <w:sz w:val="28"/>
          <w:szCs w:val="28"/>
          <w:highlight w:val="none"/>
          <w:lang w:val="zh-CN"/>
        </w:rPr>
        <w:t>网址</w:t>
      </w:r>
      <w:r>
        <w:rPr>
          <w:color w:val="auto"/>
          <w:highlight w:val="none"/>
        </w:rPr>
        <w:fldChar w:fldCharType="begin"/>
      </w:r>
      <w:r>
        <w:rPr>
          <w:color w:val="auto"/>
          <w:highlight w:val="none"/>
        </w:rPr>
        <w:instrText xml:space="preserve"> HYPERLINK "http://www.gsxt.gov.cn/index.html" </w:instrText>
      </w:r>
      <w:r>
        <w:rPr>
          <w:color w:val="auto"/>
          <w:highlight w:val="none"/>
        </w:rPr>
        <w:fldChar w:fldCharType="separate"/>
      </w:r>
      <w:r>
        <w:rPr>
          <w:rFonts w:ascii="仿宋_GB2312" w:hAnsi="宋体" w:eastAsia="仿宋_GB2312"/>
          <w:color w:val="auto"/>
          <w:sz w:val="28"/>
          <w:szCs w:val="28"/>
          <w:highlight w:val="none"/>
          <w:u w:val="single"/>
        </w:rPr>
        <w:t>http://www.gsxt.gov.cn/index.html</w:t>
      </w:r>
      <w:r>
        <w:rPr>
          <w:rFonts w:ascii="仿宋_GB2312" w:hAnsi="宋体" w:eastAsia="仿宋_GB2312"/>
          <w:color w:val="auto"/>
          <w:sz w:val="28"/>
          <w:szCs w:val="28"/>
          <w:highlight w:val="none"/>
          <w:u w:val="single"/>
        </w:rPr>
        <w:fldChar w:fldCharType="end"/>
      </w:r>
      <w:r>
        <w:rPr>
          <w:rFonts w:hint="eastAsia" w:ascii="仿宋_GB2312" w:hAnsi="宋体" w:eastAsia="仿宋_GB2312"/>
          <w:color w:val="auto"/>
          <w:sz w:val="28"/>
          <w:szCs w:val="28"/>
          <w:highlight w:val="none"/>
        </w:rPr>
        <w:t>）；</w:t>
      </w:r>
    </w:p>
    <w:p w14:paraId="1656FB8B">
      <w:pPr>
        <w:jc w:val="center"/>
        <w:rPr>
          <w:rFonts w:ascii="黑体" w:hAnsi="黑体" w:eastAsia="黑体"/>
          <w:color w:val="auto"/>
          <w:sz w:val="32"/>
          <w:szCs w:val="32"/>
          <w:highlight w:val="none"/>
        </w:rPr>
      </w:pPr>
      <w:r>
        <w:rPr>
          <w:rFonts w:ascii="仿宋_GB2312" w:hAnsi="宋体" w:eastAsia="仿宋_GB2312"/>
          <w:color w:val="auto"/>
          <w:sz w:val="28"/>
          <w:szCs w:val="28"/>
          <w:highlight w:val="none"/>
        </w:rPr>
        <w:br w:type="page"/>
      </w:r>
      <w:r>
        <w:rPr>
          <w:rFonts w:hint="eastAsia" w:ascii="仿宋_GB2312" w:hAnsi="宋体" w:eastAsia="仿宋_GB2312"/>
          <w:color w:val="auto"/>
          <w:sz w:val="28"/>
          <w:szCs w:val="28"/>
          <w:highlight w:val="none"/>
        </w:rPr>
        <w:t>投标人、法定代表人(授权委托人)未被最高院列入失信被执行人截图（</w:t>
      </w:r>
      <w:r>
        <w:rPr>
          <w:rFonts w:hint="eastAsia" w:ascii="仿宋_GB2312" w:hAnsi="宋体" w:eastAsia="仿宋_GB2312"/>
          <w:color w:val="auto"/>
          <w:sz w:val="28"/>
          <w:szCs w:val="28"/>
          <w:highlight w:val="none"/>
          <w:lang w:val="zh-CN"/>
        </w:rPr>
        <w:t>网址</w:t>
      </w:r>
      <w:r>
        <w:rPr>
          <w:color w:val="auto"/>
          <w:highlight w:val="none"/>
        </w:rPr>
        <w:fldChar w:fldCharType="begin"/>
      </w:r>
      <w:r>
        <w:rPr>
          <w:color w:val="auto"/>
          <w:highlight w:val="none"/>
        </w:rPr>
        <w:instrText xml:space="preserve"> HYPERLINK "http://zxgk.court.gov.cn/shixin%20/" </w:instrText>
      </w:r>
      <w:r>
        <w:rPr>
          <w:color w:val="auto"/>
          <w:highlight w:val="none"/>
        </w:rPr>
        <w:fldChar w:fldCharType="separate"/>
      </w:r>
      <w:r>
        <w:rPr>
          <w:rFonts w:hint="eastAsia" w:ascii="仿宋_GB2312" w:hAnsi="宋体" w:eastAsia="仿宋_GB2312"/>
          <w:color w:val="auto"/>
          <w:sz w:val="28"/>
          <w:szCs w:val="28"/>
          <w:highlight w:val="none"/>
          <w:u w:val="single"/>
        </w:rPr>
        <w:t>http://zxgk.court.gov.cn/</w:t>
      </w:r>
      <w:r>
        <w:rPr>
          <w:rFonts w:ascii="仿宋_GB2312" w:hAnsi="宋体" w:eastAsia="仿宋_GB2312"/>
          <w:color w:val="auto"/>
          <w:sz w:val="28"/>
          <w:szCs w:val="28"/>
          <w:highlight w:val="none"/>
          <w:u w:val="single"/>
        </w:rPr>
        <w:t>shixin</w:t>
      </w:r>
      <w:r>
        <w:rPr>
          <w:rFonts w:hint="eastAsia" w:ascii="仿宋_GB2312" w:hAnsi="宋体" w:eastAsia="仿宋_GB2312"/>
          <w:color w:val="auto"/>
          <w:sz w:val="28"/>
          <w:szCs w:val="28"/>
          <w:highlight w:val="none"/>
          <w:u w:val="single"/>
        </w:rPr>
        <w:t>/</w:t>
      </w:r>
      <w:r>
        <w:rPr>
          <w:rFonts w:hint="eastAsia" w:ascii="仿宋_GB2312" w:hAnsi="宋体" w:eastAsia="仿宋_GB2312"/>
          <w:color w:val="auto"/>
          <w:sz w:val="28"/>
          <w:szCs w:val="28"/>
          <w:highlight w:val="none"/>
          <w:u w:val="single"/>
        </w:rPr>
        <w:fldChar w:fldCharType="end"/>
      </w:r>
      <w:r>
        <w:rPr>
          <w:rFonts w:hint="eastAsia" w:ascii="仿宋_GB2312" w:hAnsi="宋体" w:eastAsia="仿宋_GB2312"/>
          <w:color w:val="auto"/>
          <w:sz w:val="28"/>
          <w:szCs w:val="28"/>
          <w:highlight w:val="none"/>
        </w:rPr>
        <w:t>）</w:t>
      </w:r>
    </w:p>
    <w:p w14:paraId="60180FF6">
      <w:pPr>
        <w:keepNext/>
        <w:keepLines/>
        <w:spacing w:before="120" w:after="120" w:line="560" w:lineRule="exact"/>
        <w:jc w:val="center"/>
        <w:outlineLvl w:val="2"/>
        <w:rPr>
          <w:rFonts w:eastAsia="黑体"/>
          <w:bCs/>
          <w:color w:val="auto"/>
          <w:sz w:val="32"/>
          <w:szCs w:val="32"/>
          <w:highlight w:val="none"/>
        </w:rPr>
      </w:pPr>
      <w:r>
        <w:rPr>
          <w:color w:val="auto"/>
          <w:highlight w:val="none"/>
        </w:rPr>
        <w:br w:type="page"/>
      </w:r>
      <w:r>
        <w:rPr>
          <w:rFonts w:hint="eastAsia" w:eastAsia="黑体"/>
          <w:bCs/>
          <w:color w:val="auto"/>
          <w:sz w:val="32"/>
          <w:szCs w:val="32"/>
          <w:highlight w:val="none"/>
        </w:rPr>
        <w:t>财务状况报告等相关材料</w:t>
      </w:r>
    </w:p>
    <w:p w14:paraId="62562672">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（加盖公章）</w:t>
      </w:r>
    </w:p>
    <w:p w14:paraId="44E49A65">
      <w:pPr>
        <w:rPr>
          <w:rFonts w:hint="eastAsia"/>
          <w:color w:val="auto"/>
          <w:highlight w:val="none"/>
        </w:rPr>
      </w:pPr>
    </w:p>
    <w:p w14:paraId="3CF6AF00">
      <w:pPr>
        <w:rPr>
          <w:rFonts w:ascii="宋体" w:hAnsi="Courier New"/>
          <w:color w:val="auto"/>
          <w:kern w:val="0"/>
          <w:szCs w:val="21"/>
          <w:highlight w:val="none"/>
        </w:rPr>
      </w:pPr>
    </w:p>
    <w:p w14:paraId="5A986F94">
      <w:pPr>
        <w:keepNext/>
        <w:keepLines/>
        <w:spacing w:before="120" w:after="120" w:line="560" w:lineRule="exact"/>
        <w:jc w:val="center"/>
        <w:outlineLvl w:val="2"/>
        <w:rPr>
          <w:rFonts w:eastAsia="黑体"/>
          <w:bCs/>
          <w:color w:val="auto"/>
          <w:sz w:val="32"/>
          <w:szCs w:val="32"/>
          <w:highlight w:val="none"/>
        </w:rPr>
      </w:pPr>
      <w:r>
        <w:rPr>
          <w:rFonts w:eastAsia="黑体"/>
          <w:bCs/>
          <w:color w:val="auto"/>
          <w:sz w:val="32"/>
          <w:szCs w:val="32"/>
          <w:highlight w:val="none"/>
        </w:rPr>
        <w:br w:type="page"/>
      </w:r>
      <w:r>
        <w:rPr>
          <w:rFonts w:hint="eastAsia" w:eastAsia="黑体"/>
          <w:bCs/>
          <w:color w:val="auto"/>
          <w:sz w:val="32"/>
          <w:szCs w:val="32"/>
          <w:highlight w:val="none"/>
        </w:rPr>
        <w:t>投标人具有履行合同所必需的人员、资金、设备能力承诺函</w:t>
      </w:r>
    </w:p>
    <w:p w14:paraId="085C498F">
      <w:pPr>
        <w:widowControl/>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（格式自拟，加盖公章）</w:t>
      </w:r>
    </w:p>
    <w:p w14:paraId="00BEA42A">
      <w:pPr>
        <w:keepNext/>
        <w:keepLines/>
        <w:spacing w:line="560" w:lineRule="exact"/>
        <w:jc w:val="center"/>
        <w:outlineLvl w:val="2"/>
        <w:rPr>
          <w:rFonts w:ascii="黑体" w:hAnsi="黑体" w:eastAsia="黑体"/>
          <w:color w:val="auto"/>
          <w:sz w:val="32"/>
          <w:szCs w:val="32"/>
          <w:highlight w:val="none"/>
        </w:rPr>
      </w:pPr>
      <w:r>
        <w:rPr>
          <w:color w:val="auto"/>
          <w:highlight w:val="none"/>
        </w:rPr>
        <w:br w:type="page"/>
      </w:r>
      <w:r>
        <w:rPr>
          <w:rFonts w:hint="eastAsia" w:ascii="黑体" w:hAnsi="黑体" w:eastAsia="黑体"/>
          <w:color w:val="auto"/>
          <w:sz w:val="32"/>
          <w:szCs w:val="32"/>
          <w:highlight w:val="none"/>
        </w:rPr>
        <w:t>其他资质资格文件</w:t>
      </w:r>
    </w:p>
    <w:p w14:paraId="6450A0DC">
      <w:pPr>
        <w:rPr>
          <w:color w:val="auto"/>
          <w:highlight w:val="none"/>
        </w:rPr>
      </w:pPr>
    </w:p>
    <w:p w14:paraId="680FB831">
      <w:pPr>
        <w:jc w:val="center"/>
        <w:rPr>
          <w:rFonts w:ascii="黑体" w:hAnsi="黑体" w:eastAsia="黑体"/>
          <w:color w:val="auto"/>
          <w:sz w:val="40"/>
          <w:szCs w:val="44"/>
          <w:highlight w:val="none"/>
        </w:rPr>
      </w:pPr>
      <w:r>
        <w:rPr>
          <w:color w:val="auto"/>
          <w:highlight w:val="none"/>
        </w:rPr>
        <w:br w:type="page"/>
      </w:r>
      <w:r>
        <w:rPr>
          <w:rFonts w:hint="eastAsia" w:ascii="黑体" w:hAnsi="黑体" w:eastAsia="黑体"/>
          <w:color w:val="auto"/>
          <w:sz w:val="40"/>
          <w:szCs w:val="44"/>
          <w:highlight w:val="none"/>
        </w:rPr>
        <w:t>投标人基本情况表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48D29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49338768">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单位名称</w:t>
            </w:r>
          </w:p>
        </w:tc>
        <w:tc>
          <w:tcPr>
            <w:tcW w:w="2889" w:type="dxa"/>
            <w:gridSpan w:val="4"/>
            <w:vAlign w:val="center"/>
          </w:tcPr>
          <w:p w14:paraId="79B94C2A">
            <w:pPr>
              <w:spacing w:line="440" w:lineRule="exact"/>
              <w:jc w:val="center"/>
              <w:rPr>
                <w:rFonts w:ascii="仿宋_GB2312" w:hAnsi="仿宋" w:eastAsia="仿宋_GB2312"/>
                <w:color w:val="auto"/>
                <w:sz w:val="28"/>
                <w:szCs w:val="28"/>
                <w:highlight w:val="none"/>
              </w:rPr>
            </w:pPr>
          </w:p>
        </w:tc>
        <w:tc>
          <w:tcPr>
            <w:tcW w:w="2106" w:type="dxa"/>
            <w:gridSpan w:val="3"/>
            <w:vAlign w:val="center"/>
          </w:tcPr>
          <w:p w14:paraId="14646747">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地址</w:t>
            </w:r>
          </w:p>
        </w:tc>
        <w:tc>
          <w:tcPr>
            <w:tcW w:w="2049" w:type="dxa"/>
            <w:vAlign w:val="center"/>
          </w:tcPr>
          <w:p w14:paraId="4DEC276D">
            <w:pPr>
              <w:spacing w:line="440" w:lineRule="exact"/>
              <w:jc w:val="center"/>
              <w:rPr>
                <w:rFonts w:ascii="仿宋_GB2312" w:hAnsi="仿宋" w:eastAsia="仿宋_GB2312"/>
                <w:color w:val="auto"/>
                <w:sz w:val="28"/>
                <w:szCs w:val="28"/>
                <w:highlight w:val="none"/>
              </w:rPr>
            </w:pPr>
          </w:p>
        </w:tc>
      </w:tr>
      <w:tr w14:paraId="2863B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69377512">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办公电话/传真</w:t>
            </w:r>
          </w:p>
        </w:tc>
        <w:tc>
          <w:tcPr>
            <w:tcW w:w="2889" w:type="dxa"/>
            <w:gridSpan w:val="4"/>
            <w:vAlign w:val="center"/>
          </w:tcPr>
          <w:p w14:paraId="1C6224CC">
            <w:pPr>
              <w:spacing w:line="440" w:lineRule="exact"/>
              <w:jc w:val="center"/>
              <w:rPr>
                <w:rFonts w:ascii="仿宋_GB2312" w:hAnsi="仿宋" w:eastAsia="仿宋_GB2312"/>
                <w:color w:val="auto"/>
                <w:sz w:val="28"/>
                <w:szCs w:val="28"/>
                <w:highlight w:val="none"/>
              </w:rPr>
            </w:pPr>
          </w:p>
        </w:tc>
        <w:tc>
          <w:tcPr>
            <w:tcW w:w="2106" w:type="dxa"/>
            <w:gridSpan w:val="3"/>
            <w:vAlign w:val="center"/>
          </w:tcPr>
          <w:p w14:paraId="2F4B3119">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联系人</w:t>
            </w:r>
          </w:p>
        </w:tc>
        <w:tc>
          <w:tcPr>
            <w:tcW w:w="2049" w:type="dxa"/>
            <w:vAlign w:val="center"/>
          </w:tcPr>
          <w:p w14:paraId="1C87453F">
            <w:pPr>
              <w:spacing w:line="440" w:lineRule="exact"/>
              <w:jc w:val="center"/>
              <w:rPr>
                <w:rFonts w:ascii="仿宋_GB2312" w:hAnsi="仿宋" w:eastAsia="仿宋_GB2312"/>
                <w:color w:val="auto"/>
                <w:sz w:val="28"/>
                <w:szCs w:val="28"/>
                <w:highlight w:val="none"/>
              </w:rPr>
            </w:pPr>
          </w:p>
        </w:tc>
      </w:tr>
      <w:tr w14:paraId="09B84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5F517770">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所属/主管部门</w:t>
            </w:r>
          </w:p>
        </w:tc>
        <w:tc>
          <w:tcPr>
            <w:tcW w:w="7044" w:type="dxa"/>
            <w:gridSpan w:val="8"/>
            <w:vAlign w:val="center"/>
          </w:tcPr>
          <w:p w14:paraId="1A2751B5">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 xml:space="preserve"> </w:t>
            </w:r>
            <w:r>
              <w:rPr>
                <w:rFonts w:ascii="仿宋_GB2312" w:hAnsi="仿宋" w:eastAsia="仿宋_GB2312"/>
                <w:color w:val="auto"/>
                <w:sz w:val="28"/>
                <w:szCs w:val="28"/>
                <w:highlight w:val="none"/>
              </w:rPr>
              <w:t xml:space="preserve"> </w:t>
            </w:r>
          </w:p>
        </w:tc>
      </w:tr>
      <w:tr w14:paraId="4F2C8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1A609C4C">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总经理</w:t>
            </w:r>
          </w:p>
        </w:tc>
        <w:tc>
          <w:tcPr>
            <w:tcW w:w="1665" w:type="dxa"/>
            <w:gridSpan w:val="2"/>
            <w:vAlign w:val="center"/>
          </w:tcPr>
          <w:p w14:paraId="1F05A81C">
            <w:pPr>
              <w:spacing w:line="440" w:lineRule="exact"/>
              <w:jc w:val="center"/>
              <w:rPr>
                <w:rFonts w:ascii="仿宋_GB2312" w:hAnsi="仿宋" w:eastAsia="仿宋_GB2312"/>
                <w:color w:val="auto"/>
                <w:sz w:val="28"/>
                <w:szCs w:val="28"/>
                <w:highlight w:val="none"/>
              </w:rPr>
            </w:pPr>
          </w:p>
        </w:tc>
        <w:tc>
          <w:tcPr>
            <w:tcW w:w="2827" w:type="dxa"/>
            <w:gridSpan w:val="4"/>
            <w:vAlign w:val="center"/>
          </w:tcPr>
          <w:p w14:paraId="40959169">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固定办公面积（平米）</w:t>
            </w:r>
          </w:p>
        </w:tc>
        <w:tc>
          <w:tcPr>
            <w:tcW w:w="2552" w:type="dxa"/>
            <w:gridSpan w:val="2"/>
            <w:vAlign w:val="center"/>
          </w:tcPr>
          <w:p w14:paraId="6C559807">
            <w:pPr>
              <w:spacing w:line="440" w:lineRule="exact"/>
              <w:jc w:val="center"/>
              <w:rPr>
                <w:rFonts w:ascii="仿宋_GB2312" w:hAnsi="仿宋" w:eastAsia="仿宋_GB2312"/>
                <w:color w:val="auto"/>
                <w:sz w:val="28"/>
                <w:szCs w:val="28"/>
                <w:highlight w:val="none"/>
              </w:rPr>
            </w:pPr>
          </w:p>
        </w:tc>
      </w:tr>
      <w:tr w14:paraId="11345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2729EB83">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注册情况</w:t>
            </w:r>
          </w:p>
        </w:tc>
        <w:tc>
          <w:tcPr>
            <w:tcW w:w="2214" w:type="dxa"/>
            <w:gridSpan w:val="2"/>
            <w:vAlign w:val="center"/>
          </w:tcPr>
          <w:p w14:paraId="535526A8">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工商注册号</w:t>
            </w:r>
          </w:p>
        </w:tc>
        <w:tc>
          <w:tcPr>
            <w:tcW w:w="6477" w:type="dxa"/>
            <w:gridSpan w:val="7"/>
            <w:vAlign w:val="center"/>
          </w:tcPr>
          <w:p w14:paraId="4F9AB33E">
            <w:pPr>
              <w:spacing w:line="440" w:lineRule="exact"/>
              <w:jc w:val="center"/>
              <w:rPr>
                <w:rFonts w:ascii="仿宋_GB2312" w:hAnsi="仿宋" w:eastAsia="仿宋_GB2312"/>
                <w:color w:val="auto"/>
                <w:sz w:val="28"/>
                <w:szCs w:val="28"/>
                <w:highlight w:val="none"/>
              </w:rPr>
            </w:pPr>
          </w:p>
        </w:tc>
      </w:tr>
      <w:tr w14:paraId="6BBD6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6DEA04AB">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450B31C0">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注册资本（万元）</w:t>
            </w:r>
          </w:p>
        </w:tc>
        <w:tc>
          <w:tcPr>
            <w:tcW w:w="6477" w:type="dxa"/>
            <w:gridSpan w:val="7"/>
            <w:vAlign w:val="center"/>
          </w:tcPr>
          <w:p w14:paraId="7DB44912">
            <w:pPr>
              <w:spacing w:line="440" w:lineRule="exact"/>
              <w:jc w:val="center"/>
              <w:rPr>
                <w:rFonts w:ascii="仿宋_GB2312" w:hAnsi="仿宋" w:eastAsia="仿宋_GB2312"/>
                <w:color w:val="auto"/>
                <w:sz w:val="28"/>
                <w:szCs w:val="28"/>
                <w:highlight w:val="none"/>
              </w:rPr>
            </w:pPr>
          </w:p>
        </w:tc>
      </w:tr>
      <w:tr w14:paraId="425B4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28C85F5C">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17C78E35">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法定代表人</w:t>
            </w:r>
          </w:p>
        </w:tc>
        <w:tc>
          <w:tcPr>
            <w:tcW w:w="1665" w:type="dxa"/>
            <w:gridSpan w:val="2"/>
            <w:vAlign w:val="center"/>
          </w:tcPr>
          <w:p w14:paraId="102735A0">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21F57DBA">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单位类型</w:t>
            </w:r>
          </w:p>
        </w:tc>
        <w:tc>
          <w:tcPr>
            <w:tcW w:w="2598" w:type="dxa"/>
            <w:gridSpan w:val="3"/>
            <w:vAlign w:val="center"/>
          </w:tcPr>
          <w:p w14:paraId="71D52AC1">
            <w:pPr>
              <w:spacing w:line="440" w:lineRule="exact"/>
              <w:jc w:val="center"/>
              <w:rPr>
                <w:rFonts w:ascii="仿宋_GB2312" w:hAnsi="仿宋" w:eastAsia="仿宋_GB2312"/>
                <w:color w:val="auto"/>
                <w:sz w:val="28"/>
                <w:szCs w:val="28"/>
                <w:highlight w:val="none"/>
              </w:rPr>
            </w:pPr>
          </w:p>
        </w:tc>
      </w:tr>
      <w:tr w14:paraId="3E329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34E843F7">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6EF934F9">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成立时间</w:t>
            </w:r>
          </w:p>
        </w:tc>
        <w:tc>
          <w:tcPr>
            <w:tcW w:w="1665" w:type="dxa"/>
            <w:gridSpan w:val="2"/>
            <w:vAlign w:val="center"/>
          </w:tcPr>
          <w:p w14:paraId="001BD063">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6D42C368">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营业期限</w:t>
            </w:r>
          </w:p>
        </w:tc>
        <w:tc>
          <w:tcPr>
            <w:tcW w:w="2598" w:type="dxa"/>
            <w:gridSpan w:val="3"/>
            <w:vAlign w:val="center"/>
          </w:tcPr>
          <w:p w14:paraId="7D183535">
            <w:pPr>
              <w:spacing w:line="440" w:lineRule="exact"/>
              <w:jc w:val="center"/>
              <w:rPr>
                <w:rFonts w:ascii="仿宋_GB2312" w:hAnsi="仿宋" w:eastAsia="仿宋_GB2312"/>
                <w:color w:val="auto"/>
                <w:sz w:val="28"/>
                <w:szCs w:val="28"/>
                <w:highlight w:val="none"/>
              </w:rPr>
            </w:pPr>
          </w:p>
        </w:tc>
      </w:tr>
      <w:tr w14:paraId="6EE9A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039F2781">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684DBF63">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经营范围</w:t>
            </w:r>
          </w:p>
        </w:tc>
        <w:tc>
          <w:tcPr>
            <w:tcW w:w="6477" w:type="dxa"/>
            <w:gridSpan w:val="7"/>
            <w:vAlign w:val="center"/>
          </w:tcPr>
          <w:p w14:paraId="0404F95D">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 xml:space="preserve">  </w:t>
            </w:r>
          </w:p>
        </w:tc>
      </w:tr>
      <w:tr w14:paraId="4BF26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1576C60D">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投标人情况简介</w:t>
            </w:r>
          </w:p>
        </w:tc>
      </w:tr>
      <w:tr w14:paraId="7C4E1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2EAB5A73">
            <w:pPr>
              <w:spacing w:line="440" w:lineRule="exact"/>
              <w:rPr>
                <w:rFonts w:ascii="仿宋_GB2312" w:hAnsi="仿宋" w:eastAsia="仿宋_GB2312"/>
                <w:color w:val="auto"/>
                <w:sz w:val="28"/>
                <w:szCs w:val="28"/>
                <w:highlight w:val="none"/>
              </w:rPr>
            </w:pPr>
          </w:p>
        </w:tc>
      </w:tr>
    </w:tbl>
    <w:p w14:paraId="5AB664B9">
      <w:pPr>
        <w:jc w:val="center"/>
        <w:rPr>
          <w:rFonts w:ascii="仿宋_GB2312" w:hAnsi="仿宋" w:eastAsia="仿宋_GB2312"/>
          <w:b/>
          <w:color w:val="auto"/>
          <w:sz w:val="44"/>
          <w:szCs w:val="44"/>
          <w:highlight w:val="none"/>
        </w:rPr>
      </w:pPr>
    </w:p>
    <w:p w14:paraId="1612D229">
      <w:pPr>
        <w:wordWrap w:val="0"/>
        <w:spacing w:line="560" w:lineRule="exact"/>
        <w:jc w:val="right"/>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投标人单位（盖章）：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 xml:space="preserve">          </w:t>
      </w:r>
    </w:p>
    <w:p w14:paraId="4160011B">
      <w:pPr>
        <w:wordWrap w:val="0"/>
        <w:spacing w:line="560" w:lineRule="exact"/>
        <w:jc w:val="right"/>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法定代表人（依法登记的负责人）或授权代表（签字或签章）：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 xml:space="preserve">          </w:t>
      </w:r>
    </w:p>
    <w:p w14:paraId="3FFFDADB">
      <w:pPr>
        <w:jc w:val="right"/>
        <w:rPr>
          <w:rFonts w:ascii="黑体" w:hAnsi="黑体" w:eastAsia="黑体"/>
          <w:color w:val="auto"/>
          <w:sz w:val="40"/>
          <w:szCs w:val="44"/>
          <w:highlight w:val="none"/>
        </w:rPr>
      </w:pPr>
      <w:r>
        <w:rPr>
          <w:rFonts w:hAnsi="仿宋"/>
          <w:color w:val="auto"/>
          <w:sz w:val="32"/>
          <w:szCs w:val="32"/>
          <w:highlight w:val="none"/>
        </w:rPr>
        <w:br w:type="page"/>
      </w:r>
      <w:r>
        <w:rPr>
          <w:rFonts w:hint="eastAsia" w:ascii="黑体" w:hAnsi="黑体" w:eastAsia="黑体"/>
          <w:color w:val="auto"/>
          <w:sz w:val="40"/>
          <w:szCs w:val="44"/>
          <w:highlight w:val="none"/>
        </w:rPr>
        <w:t>投标报价内的备品备件、易损件及专用工具清单(如有)</w:t>
      </w:r>
    </w:p>
    <w:p w14:paraId="04C44F88">
      <w:pPr>
        <w:spacing w:line="360" w:lineRule="exact"/>
        <w:jc w:val="right"/>
        <w:rPr>
          <w:rFonts w:ascii="仿宋" w:hAnsi="仿宋" w:eastAsia="仿宋"/>
          <w:color w:val="auto"/>
          <w:kern w:val="0"/>
          <w:sz w:val="24"/>
          <w:highlight w:val="none"/>
        </w:rPr>
      </w:pPr>
      <w:r>
        <w:rPr>
          <w:rFonts w:hint="eastAsia" w:ascii="仿宋" w:hAnsi="仿宋" w:eastAsia="仿宋"/>
          <w:color w:val="auto"/>
          <w:kern w:val="0"/>
          <w:sz w:val="24"/>
          <w:highlight w:val="none"/>
        </w:rPr>
        <w:t>单位：元</w:t>
      </w:r>
    </w:p>
    <w:tbl>
      <w:tblPr>
        <w:tblStyle w:val="30"/>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986"/>
        <w:gridCol w:w="1275"/>
        <w:gridCol w:w="939"/>
        <w:gridCol w:w="1294"/>
        <w:gridCol w:w="1294"/>
        <w:gridCol w:w="1295"/>
        <w:gridCol w:w="1295"/>
      </w:tblGrid>
      <w:tr w14:paraId="589C1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jc w:val="center"/>
        </w:trPr>
        <w:tc>
          <w:tcPr>
            <w:tcW w:w="1986" w:type="dxa"/>
            <w:vAlign w:val="center"/>
          </w:tcPr>
          <w:p w14:paraId="5EBFADEB">
            <w:pPr>
              <w:spacing w:line="36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备品备件名称</w:t>
            </w:r>
          </w:p>
        </w:tc>
        <w:tc>
          <w:tcPr>
            <w:tcW w:w="1275" w:type="dxa"/>
            <w:vAlign w:val="center"/>
          </w:tcPr>
          <w:p w14:paraId="3CE8D216">
            <w:pPr>
              <w:spacing w:line="36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规格型号</w:t>
            </w:r>
          </w:p>
        </w:tc>
        <w:tc>
          <w:tcPr>
            <w:tcW w:w="939" w:type="dxa"/>
            <w:vAlign w:val="center"/>
          </w:tcPr>
          <w:p w14:paraId="3B15F557">
            <w:pPr>
              <w:spacing w:line="36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数量</w:t>
            </w:r>
          </w:p>
        </w:tc>
        <w:tc>
          <w:tcPr>
            <w:tcW w:w="1294" w:type="dxa"/>
            <w:vAlign w:val="center"/>
          </w:tcPr>
          <w:p w14:paraId="2D0F1D60">
            <w:pPr>
              <w:spacing w:line="36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产地</w:t>
            </w:r>
          </w:p>
        </w:tc>
        <w:tc>
          <w:tcPr>
            <w:tcW w:w="1294" w:type="dxa"/>
            <w:vAlign w:val="center"/>
          </w:tcPr>
          <w:p w14:paraId="241ABADE">
            <w:pPr>
              <w:spacing w:line="36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品牌</w:t>
            </w:r>
          </w:p>
        </w:tc>
        <w:tc>
          <w:tcPr>
            <w:tcW w:w="1295" w:type="dxa"/>
            <w:vAlign w:val="center"/>
          </w:tcPr>
          <w:p w14:paraId="296BFCCF">
            <w:pPr>
              <w:spacing w:line="36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单价</w:t>
            </w:r>
          </w:p>
        </w:tc>
        <w:tc>
          <w:tcPr>
            <w:tcW w:w="1295" w:type="dxa"/>
            <w:vAlign w:val="center"/>
          </w:tcPr>
          <w:p w14:paraId="127B0439">
            <w:pPr>
              <w:spacing w:line="360" w:lineRule="exact"/>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合价</w:t>
            </w:r>
          </w:p>
        </w:tc>
      </w:tr>
      <w:tr w14:paraId="597A1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14E0DBE1">
            <w:pPr>
              <w:spacing w:line="360" w:lineRule="exact"/>
              <w:jc w:val="center"/>
              <w:rPr>
                <w:rFonts w:ascii="仿宋_GB2312" w:hAnsi="宋体" w:eastAsia="仿宋_GB2312"/>
                <w:b/>
                <w:color w:val="auto"/>
                <w:sz w:val="24"/>
                <w:highlight w:val="none"/>
              </w:rPr>
            </w:pPr>
          </w:p>
        </w:tc>
        <w:tc>
          <w:tcPr>
            <w:tcW w:w="1275" w:type="dxa"/>
            <w:vAlign w:val="center"/>
          </w:tcPr>
          <w:p w14:paraId="54BDCC3A">
            <w:pPr>
              <w:spacing w:line="360" w:lineRule="exact"/>
              <w:jc w:val="center"/>
              <w:rPr>
                <w:rFonts w:ascii="仿宋_GB2312" w:hAnsi="宋体" w:eastAsia="仿宋_GB2312"/>
                <w:b/>
                <w:color w:val="auto"/>
                <w:sz w:val="24"/>
                <w:highlight w:val="none"/>
              </w:rPr>
            </w:pPr>
          </w:p>
        </w:tc>
        <w:tc>
          <w:tcPr>
            <w:tcW w:w="939" w:type="dxa"/>
            <w:vAlign w:val="center"/>
          </w:tcPr>
          <w:p w14:paraId="515BC7E5">
            <w:pPr>
              <w:spacing w:line="360" w:lineRule="exact"/>
              <w:jc w:val="center"/>
              <w:rPr>
                <w:rFonts w:ascii="仿宋_GB2312" w:hAnsi="宋体" w:eastAsia="仿宋_GB2312"/>
                <w:b/>
                <w:color w:val="auto"/>
                <w:sz w:val="24"/>
                <w:highlight w:val="none"/>
              </w:rPr>
            </w:pPr>
          </w:p>
        </w:tc>
        <w:tc>
          <w:tcPr>
            <w:tcW w:w="1294" w:type="dxa"/>
            <w:vAlign w:val="center"/>
          </w:tcPr>
          <w:p w14:paraId="6CCD6FAF">
            <w:pPr>
              <w:spacing w:line="360" w:lineRule="exact"/>
              <w:jc w:val="center"/>
              <w:rPr>
                <w:rFonts w:ascii="仿宋_GB2312" w:hAnsi="宋体" w:eastAsia="仿宋_GB2312"/>
                <w:b/>
                <w:color w:val="auto"/>
                <w:sz w:val="24"/>
                <w:highlight w:val="none"/>
              </w:rPr>
            </w:pPr>
          </w:p>
        </w:tc>
        <w:tc>
          <w:tcPr>
            <w:tcW w:w="1294" w:type="dxa"/>
            <w:vAlign w:val="center"/>
          </w:tcPr>
          <w:p w14:paraId="2925D102">
            <w:pPr>
              <w:spacing w:line="360" w:lineRule="exact"/>
              <w:jc w:val="center"/>
              <w:rPr>
                <w:rFonts w:ascii="仿宋_GB2312" w:hAnsi="宋体" w:eastAsia="仿宋_GB2312"/>
                <w:b/>
                <w:color w:val="auto"/>
                <w:sz w:val="24"/>
                <w:highlight w:val="none"/>
              </w:rPr>
            </w:pPr>
          </w:p>
        </w:tc>
        <w:tc>
          <w:tcPr>
            <w:tcW w:w="1295" w:type="dxa"/>
            <w:vAlign w:val="center"/>
          </w:tcPr>
          <w:p w14:paraId="2B101F8F">
            <w:pPr>
              <w:spacing w:line="360" w:lineRule="exact"/>
              <w:jc w:val="center"/>
              <w:rPr>
                <w:rFonts w:ascii="仿宋_GB2312" w:hAnsi="宋体" w:eastAsia="仿宋_GB2312"/>
                <w:b/>
                <w:color w:val="auto"/>
                <w:sz w:val="24"/>
                <w:highlight w:val="none"/>
              </w:rPr>
            </w:pPr>
          </w:p>
        </w:tc>
        <w:tc>
          <w:tcPr>
            <w:tcW w:w="1295" w:type="dxa"/>
            <w:vAlign w:val="center"/>
          </w:tcPr>
          <w:p w14:paraId="39470884">
            <w:pPr>
              <w:spacing w:line="360" w:lineRule="exact"/>
              <w:jc w:val="center"/>
              <w:rPr>
                <w:rFonts w:ascii="仿宋_GB2312" w:hAnsi="宋体" w:eastAsia="仿宋_GB2312"/>
                <w:b/>
                <w:color w:val="auto"/>
                <w:sz w:val="24"/>
                <w:highlight w:val="none"/>
              </w:rPr>
            </w:pPr>
          </w:p>
        </w:tc>
      </w:tr>
      <w:tr w14:paraId="26907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54CAEA4E">
            <w:pPr>
              <w:spacing w:line="360" w:lineRule="exact"/>
              <w:jc w:val="center"/>
              <w:rPr>
                <w:rFonts w:ascii="仿宋_GB2312" w:hAnsi="宋体" w:eastAsia="仿宋_GB2312"/>
                <w:b/>
                <w:color w:val="auto"/>
                <w:sz w:val="24"/>
                <w:highlight w:val="none"/>
              </w:rPr>
            </w:pPr>
          </w:p>
        </w:tc>
        <w:tc>
          <w:tcPr>
            <w:tcW w:w="1275" w:type="dxa"/>
            <w:vAlign w:val="center"/>
          </w:tcPr>
          <w:p w14:paraId="4160BD3E">
            <w:pPr>
              <w:spacing w:line="360" w:lineRule="exact"/>
              <w:jc w:val="center"/>
              <w:rPr>
                <w:rFonts w:ascii="仿宋_GB2312" w:hAnsi="宋体" w:eastAsia="仿宋_GB2312"/>
                <w:b/>
                <w:color w:val="auto"/>
                <w:sz w:val="24"/>
                <w:highlight w:val="none"/>
              </w:rPr>
            </w:pPr>
          </w:p>
        </w:tc>
        <w:tc>
          <w:tcPr>
            <w:tcW w:w="939" w:type="dxa"/>
            <w:vAlign w:val="center"/>
          </w:tcPr>
          <w:p w14:paraId="7091D941">
            <w:pPr>
              <w:spacing w:line="360" w:lineRule="exact"/>
              <w:jc w:val="center"/>
              <w:rPr>
                <w:rFonts w:ascii="仿宋_GB2312" w:hAnsi="宋体" w:eastAsia="仿宋_GB2312"/>
                <w:b/>
                <w:color w:val="auto"/>
                <w:sz w:val="24"/>
                <w:highlight w:val="none"/>
              </w:rPr>
            </w:pPr>
          </w:p>
        </w:tc>
        <w:tc>
          <w:tcPr>
            <w:tcW w:w="1294" w:type="dxa"/>
            <w:vAlign w:val="center"/>
          </w:tcPr>
          <w:p w14:paraId="056C1938">
            <w:pPr>
              <w:spacing w:line="360" w:lineRule="exact"/>
              <w:jc w:val="center"/>
              <w:rPr>
                <w:rFonts w:ascii="仿宋_GB2312" w:hAnsi="宋体" w:eastAsia="仿宋_GB2312"/>
                <w:b/>
                <w:color w:val="auto"/>
                <w:sz w:val="24"/>
                <w:highlight w:val="none"/>
              </w:rPr>
            </w:pPr>
          </w:p>
        </w:tc>
        <w:tc>
          <w:tcPr>
            <w:tcW w:w="1294" w:type="dxa"/>
            <w:vAlign w:val="center"/>
          </w:tcPr>
          <w:p w14:paraId="312BB7A5">
            <w:pPr>
              <w:spacing w:line="360" w:lineRule="exact"/>
              <w:jc w:val="center"/>
              <w:rPr>
                <w:rFonts w:ascii="仿宋_GB2312" w:hAnsi="宋体" w:eastAsia="仿宋_GB2312"/>
                <w:b/>
                <w:color w:val="auto"/>
                <w:sz w:val="24"/>
                <w:highlight w:val="none"/>
              </w:rPr>
            </w:pPr>
          </w:p>
        </w:tc>
        <w:tc>
          <w:tcPr>
            <w:tcW w:w="1295" w:type="dxa"/>
            <w:vAlign w:val="center"/>
          </w:tcPr>
          <w:p w14:paraId="37008CC0">
            <w:pPr>
              <w:spacing w:line="360" w:lineRule="exact"/>
              <w:jc w:val="center"/>
              <w:rPr>
                <w:rFonts w:ascii="仿宋_GB2312" w:hAnsi="宋体" w:eastAsia="仿宋_GB2312"/>
                <w:b/>
                <w:color w:val="auto"/>
                <w:sz w:val="24"/>
                <w:highlight w:val="none"/>
              </w:rPr>
            </w:pPr>
          </w:p>
        </w:tc>
        <w:tc>
          <w:tcPr>
            <w:tcW w:w="1295" w:type="dxa"/>
            <w:vAlign w:val="center"/>
          </w:tcPr>
          <w:p w14:paraId="6CDBD9F6">
            <w:pPr>
              <w:spacing w:line="360" w:lineRule="exact"/>
              <w:jc w:val="center"/>
              <w:rPr>
                <w:rFonts w:ascii="仿宋_GB2312" w:hAnsi="宋体" w:eastAsia="仿宋_GB2312"/>
                <w:b/>
                <w:color w:val="auto"/>
                <w:sz w:val="24"/>
                <w:highlight w:val="none"/>
              </w:rPr>
            </w:pPr>
          </w:p>
        </w:tc>
      </w:tr>
      <w:tr w14:paraId="130F1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5B29F5F7">
            <w:pPr>
              <w:spacing w:line="360" w:lineRule="exact"/>
              <w:jc w:val="center"/>
              <w:rPr>
                <w:rFonts w:ascii="仿宋_GB2312" w:hAnsi="宋体" w:eastAsia="仿宋_GB2312"/>
                <w:b/>
                <w:color w:val="auto"/>
                <w:sz w:val="24"/>
                <w:highlight w:val="none"/>
              </w:rPr>
            </w:pPr>
          </w:p>
        </w:tc>
        <w:tc>
          <w:tcPr>
            <w:tcW w:w="1275" w:type="dxa"/>
            <w:vAlign w:val="center"/>
          </w:tcPr>
          <w:p w14:paraId="3DD3F026">
            <w:pPr>
              <w:spacing w:line="360" w:lineRule="exact"/>
              <w:jc w:val="center"/>
              <w:rPr>
                <w:rFonts w:ascii="仿宋_GB2312" w:hAnsi="宋体" w:eastAsia="仿宋_GB2312"/>
                <w:b/>
                <w:color w:val="auto"/>
                <w:sz w:val="24"/>
                <w:highlight w:val="none"/>
              </w:rPr>
            </w:pPr>
          </w:p>
        </w:tc>
        <w:tc>
          <w:tcPr>
            <w:tcW w:w="939" w:type="dxa"/>
            <w:vAlign w:val="center"/>
          </w:tcPr>
          <w:p w14:paraId="0BEE23BB">
            <w:pPr>
              <w:spacing w:line="360" w:lineRule="exact"/>
              <w:jc w:val="center"/>
              <w:rPr>
                <w:rFonts w:ascii="仿宋_GB2312" w:hAnsi="宋体" w:eastAsia="仿宋_GB2312"/>
                <w:b/>
                <w:color w:val="auto"/>
                <w:sz w:val="24"/>
                <w:highlight w:val="none"/>
              </w:rPr>
            </w:pPr>
          </w:p>
        </w:tc>
        <w:tc>
          <w:tcPr>
            <w:tcW w:w="1294" w:type="dxa"/>
            <w:vAlign w:val="center"/>
          </w:tcPr>
          <w:p w14:paraId="05577339">
            <w:pPr>
              <w:spacing w:line="360" w:lineRule="exact"/>
              <w:jc w:val="center"/>
              <w:rPr>
                <w:rFonts w:ascii="仿宋_GB2312" w:hAnsi="宋体" w:eastAsia="仿宋_GB2312"/>
                <w:b/>
                <w:color w:val="auto"/>
                <w:sz w:val="24"/>
                <w:highlight w:val="none"/>
              </w:rPr>
            </w:pPr>
          </w:p>
        </w:tc>
        <w:tc>
          <w:tcPr>
            <w:tcW w:w="1294" w:type="dxa"/>
            <w:vAlign w:val="center"/>
          </w:tcPr>
          <w:p w14:paraId="391B523A">
            <w:pPr>
              <w:spacing w:line="360" w:lineRule="exact"/>
              <w:jc w:val="center"/>
              <w:rPr>
                <w:rFonts w:ascii="仿宋_GB2312" w:hAnsi="宋体" w:eastAsia="仿宋_GB2312"/>
                <w:b/>
                <w:color w:val="auto"/>
                <w:sz w:val="24"/>
                <w:highlight w:val="none"/>
              </w:rPr>
            </w:pPr>
          </w:p>
        </w:tc>
        <w:tc>
          <w:tcPr>
            <w:tcW w:w="1295" w:type="dxa"/>
            <w:vAlign w:val="center"/>
          </w:tcPr>
          <w:p w14:paraId="57F8A29C">
            <w:pPr>
              <w:spacing w:line="360" w:lineRule="exact"/>
              <w:jc w:val="center"/>
              <w:rPr>
                <w:rFonts w:ascii="仿宋_GB2312" w:hAnsi="宋体" w:eastAsia="仿宋_GB2312"/>
                <w:b/>
                <w:color w:val="auto"/>
                <w:sz w:val="24"/>
                <w:highlight w:val="none"/>
              </w:rPr>
            </w:pPr>
          </w:p>
        </w:tc>
        <w:tc>
          <w:tcPr>
            <w:tcW w:w="1295" w:type="dxa"/>
            <w:vAlign w:val="center"/>
          </w:tcPr>
          <w:p w14:paraId="6B602783">
            <w:pPr>
              <w:spacing w:line="360" w:lineRule="exact"/>
              <w:jc w:val="center"/>
              <w:rPr>
                <w:rFonts w:ascii="仿宋_GB2312" w:hAnsi="宋体" w:eastAsia="仿宋_GB2312"/>
                <w:b/>
                <w:color w:val="auto"/>
                <w:sz w:val="24"/>
                <w:highlight w:val="none"/>
              </w:rPr>
            </w:pPr>
          </w:p>
        </w:tc>
      </w:tr>
      <w:tr w14:paraId="3D53C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72FADACD">
            <w:pPr>
              <w:spacing w:line="360" w:lineRule="exact"/>
              <w:jc w:val="center"/>
              <w:rPr>
                <w:rFonts w:ascii="仿宋_GB2312" w:hAnsi="宋体" w:eastAsia="仿宋_GB2312"/>
                <w:b/>
                <w:color w:val="auto"/>
                <w:sz w:val="24"/>
                <w:highlight w:val="none"/>
              </w:rPr>
            </w:pPr>
          </w:p>
        </w:tc>
        <w:tc>
          <w:tcPr>
            <w:tcW w:w="1275" w:type="dxa"/>
            <w:vAlign w:val="center"/>
          </w:tcPr>
          <w:p w14:paraId="07C71420">
            <w:pPr>
              <w:spacing w:line="360" w:lineRule="exact"/>
              <w:jc w:val="center"/>
              <w:rPr>
                <w:rFonts w:ascii="仿宋_GB2312" w:hAnsi="宋体" w:eastAsia="仿宋_GB2312"/>
                <w:b/>
                <w:color w:val="auto"/>
                <w:sz w:val="24"/>
                <w:highlight w:val="none"/>
              </w:rPr>
            </w:pPr>
          </w:p>
        </w:tc>
        <w:tc>
          <w:tcPr>
            <w:tcW w:w="939" w:type="dxa"/>
            <w:vAlign w:val="center"/>
          </w:tcPr>
          <w:p w14:paraId="1A2A3FD0">
            <w:pPr>
              <w:spacing w:line="360" w:lineRule="exact"/>
              <w:jc w:val="center"/>
              <w:rPr>
                <w:rFonts w:ascii="仿宋_GB2312" w:hAnsi="宋体" w:eastAsia="仿宋_GB2312"/>
                <w:b/>
                <w:color w:val="auto"/>
                <w:sz w:val="24"/>
                <w:highlight w:val="none"/>
              </w:rPr>
            </w:pPr>
          </w:p>
        </w:tc>
        <w:tc>
          <w:tcPr>
            <w:tcW w:w="1294" w:type="dxa"/>
            <w:vAlign w:val="center"/>
          </w:tcPr>
          <w:p w14:paraId="7ECB3491">
            <w:pPr>
              <w:spacing w:line="360" w:lineRule="exact"/>
              <w:jc w:val="center"/>
              <w:rPr>
                <w:rFonts w:ascii="仿宋_GB2312" w:hAnsi="宋体" w:eastAsia="仿宋_GB2312"/>
                <w:b/>
                <w:color w:val="auto"/>
                <w:sz w:val="24"/>
                <w:highlight w:val="none"/>
              </w:rPr>
            </w:pPr>
          </w:p>
        </w:tc>
        <w:tc>
          <w:tcPr>
            <w:tcW w:w="1294" w:type="dxa"/>
            <w:vAlign w:val="center"/>
          </w:tcPr>
          <w:p w14:paraId="005D5376">
            <w:pPr>
              <w:spacing w:line="360" w:lineRule="exact"/>
              <w:jc w:val="center"/>
              <w:rPr>
                <w:rFonts w:ascii="仿宋_GB2312" w:hAnsi="宋体" w:eastAsia="仿宋_GB2312"/>
                <w:b/>
                <w:color w:val="auto"/>
                <w:sz w:val="24"/>
                <w:highlight w:val="none"/>
              </w:rPr>
            </w:pPr>
          </w:p>
        </w:tc>
        <w:tc>
          <w:tcPr>
            <w:tcW w:w="1295" w:type="dxa"/>
            <w:vAlign w:val="center"/>
          </w:tcPr>
          <w:p w14:paraId="1B9E37F7">
            <w:pPr>
              <w:spacing w:line="360" w:lineRule="exact"/>
              <w:jc w:val="center"/>
              <w:rPr>
                <w:rFonts w:ascii="仿宋_GB2312" w:hAnsi="宋体" w:eastAsia="仿宋_GB2312"/>
                <w:b/>
                <w:color w:val="auto"/>
                <w:sz w:val="24"/>
                <w:highlight w:val="none"/>
              </w:rPr>
            </w:pPr>
          </w:p>
        </w:tc>
        <w:tc>
          <w:tcPr>
            <w:tcW w:w="1295" w:type="dxa"/>
            <w:vAlign w:val="center"/>
          </w:tcPr>
          <w:p w14:paraId="6F560C18">
            <w:pPr>
              <w:spacing w:line="360" w:lineRule="exact"/>
              <w:jc w:val="center"/>
              <w:rPr>
                <w:rFonts w:ascii="仿宋_GB2312" w:hAnsi="宋体" w:eastAsia="仿宋_GB2312"/>
                <w:b/>
                <w:color w:val="auto"/>
                <w:sz w:val="24"/>
                <w:highlight w:val="none"/>
              </w:rPr>
            </w:pPr>
          </w:p>
        </w:tc>
      </w:tr>
      <w:tr w14:paraId="16162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04A590B0">
            <w:pPr>
              <w:spacing w:line="360" w:lineRule="exact"/>
              <w:jc w:val="center"/>
              <w:rPr>
                <w:rFonts w:ascii="仿宋_GB2312" w:hAnsi="宋体" w:eastAsia="仿宋_GB2312"/>
                <w:b/>
                <w:color w:val="auto"/>
                <w:sz w:val="24"/>
                <w:highlight w:val="none"/>
              </w:rPr>
            </w:pPr>
          </w:p>
        </w:tc>
        <w:tc>
          <w:tcPr>
            <w:tcW w:w="1275" w:type="dxa"/>
            <w:vAlign w:val="center"/>
          </w:tcPr>
          <w:p w14:paraId="76C74099">
            <w:pPr>
              <w:spacing w:line="360" w:lineRule="exact"/>
              <w:jc w:val="center"/>
              <w:rPr>
                <w:rFonts w:ascii="仿宋_GB2312" w:hAnsi="宋体" w:eastAsia="仿宋_GB2312"/>
                <w:b/>
                <w:color w:val="auto"/>
                <w:sz w:val="24"/>
                <w:highlight w:val="none"/>
              </w:rPr>
            </w:pPr>
          </w:p>
        </w:tc>
        <w:tc>
          <w:tcPr>
            <w:tcW w:w="939" w:type="dxa"/>
            <w:vAlign w:val="center"/>
          </w:tcPr>
          <w:p w14:paraId="01C43F36">
            <w:pPr>
              <w:spacing w:line="360" w:lineRule="exact"/>
              <w:jc w:val="center"/>
              <w:rPr>
                <w:rFonts w:ascii="仿宋_GB2312" w:hAnsi="宋体" w:eastAsia="仿宋_GB2312"/>
                <w:b/>
                <w:color w:val="auto"/>
                <w:sz w:val="24"/>
                <w:highlight w:val="none"/>
              </w:rPr>
            </w:pPr>
          </w:p>
        </w:tc>
        <w:tc>
          <w:tcPr>
            <w:tcW w:w="1294" w:type="dxa"/>
            <w:vAlign w:val="center"/>
          </w:tcPr>
          <w:p w14:paraId="43991363">
            <w:pPr>
              <w:spacing w:line="360" w:lineRule="exact"/>
              <w:jc w:val="center"/>
              <w:rPr>
                <w:rFonts w:ascii="仿宋_GB2312" w:hAnsi="宋体" w:eastAsia="仿宋_GB2312"/>
                <w:b/>
                <w:color w:val="auto"/>
                <w:sz w:val="24"/>
                <w:highlight w:val="none"/>
              </w:rPr>
            </w:pPr>
          </w:p>
        </w:tc>
        <w:tc>
          <w:tcPr>
            <w:tcW w:w="1294" w:type="dxa"/>
            <w:vAlign w:val="center"/>
          </w:tcPr>
          <w:p w14:paraId="4EAF0183">
            <w:pPr>
              <w:spacing w:line="360" w:lineRule="exact"/>
              <w:jc w:val="center"/>
              <w:rPr>
                <w:rFonts w:ascii="仿宋_GB2312" w:hAnsi="宋体" w:eastAsia="仿宋_GB2312"/>
                <w:b/>
                <w:color w:val="auto"/>
                <w:sz w:val="24"/>
                <w:highlight w:val="none"/>
              </w:rPr>
            </w:pPr>
          </w:p>
        </w:tc>
        <w:tc>
          <w:tcPr>
            <w:tcW w:w="1295" w:type="dxa"/>
            <w:vAlign w:val="center"/>
          </w:tcPr>
          <w:p w14:paraId="4FE7424A">
            <w:pPr>
              <w:spacing w:line="360" w:lineRule="exact"/>
              <w:jc w:val="center"/>
              <w:rPr>
                <w:rFonts w:ascii="仿宋_GB2312" w:hAnsi="宋体" w:eastAsia="仿宋_GB2312"/>
                <w:b/>
                <w:color w:val="auto"/>
                <w:sz w:val="24"/>
                <w:highlight w:val="none"/>
              </w:rPr>
            </w:pPr>
          </w:p>
        </w:tc>
        <w:tc>
          <w:tcPr>
            <w:tcW w:w="1295" w:type="dxa"/>
            <w:vAlign w:val="center"/>
          </w:tcPr>
          <w:p w14:paraId="363F9CAE">
            <w:pPr>
              <w:spacing w:line="360" w:lineRule="exact"/>
              <w:jc w:val="center"/>
              <w:rPr>
                <w:rFonts w:ascii="仿宋_GB2312" w:hAnsi="宋体" w:eastAsia="仿宋_GB2312"/>
                <w:b/>
                <w:color w:val="auto"/>
                <w:sz w:val="24"/>
                <w:highlight w:val="none"/>
              </w:rPr>
            </w:pPr>
          </w:p>
        </w:tc>
      </w:tr>
      <w:tr w14:paraId="3D6D1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14556ADA">
            <w:pPr>
              <w:spacing w:line="360" w:lineRule="exact"/>
              <w:jc w:val="center"/>
              <w:rPr>
                <w:rFonts w:ascii="仿宋_GB2312" w:hAnsi="宋体" w:eastAsia="仿宋_GB2312"/>
                <w:b/>
                <w:color w:val="auto"/>
                <w:sz w:val="24"/>
                <w:highlight w:val="none"/>
              </w:rPr>
            </w:pPr>
          </w:p>
        </w:tc>
        <w:tc>
          <w:tcPr>
            <w:tcW w:w="1275" w:type="dxa"/>
            <w:vAlign w:val="center"/>
          </w:tcPr>
          <w:p w14:paraId="263E6230">
            <w:pPr>
              <w:spacing w:line="360" w:lineRule="exact"/>
              <w:jc w:val="center"/>
              <w:rPr>
                <w:rFonts w:ascii="仿宋_GB2312" w:hAnsi="宋体" w:eastAsia="仿宋_GB2312"/>
                <w:b/>
                <w:color w:val="auto"/>
                <w:sz w:val="24"/>
                <w:highlight w:val="none"/>
              </w:rPr>
            </w:pPr>
          </w:p>
        </w:tc>
        <w:tc>
          <w:tcPr>
            <w:tcW w:w="939" w:type="dxa"/>
            <w:vAlign w:val="center"/>
          </w:tcPr>
          <w:p w14:paraId="6EBB0671">
            <w:pPr>
              <w:spacing w:line="360" w:lineRule="exact"/>
              <w:jc w:val="center"/>
              <w:rPr>
                <w:rFonts w:ascii="仿宋_GB2312" w:hAnsi="宋体" w:eastAsia="仿宋_GB2312"/>
                <w:b/>
                <w:color w:val="auto"/>
                <w:sz w:val="24"/>
                <w:highlight w:val="none"/>
              </w:rPr>
            </w:pPr>
          </w:p>
        </w:tc>
        <w:tc>
          <w:tcPr>
            <w:tcW w:w="1294" w:type="dxa"/>
            <w:vAlign w:val="center"/>
          </w:tcPr>
          <w:p w14:paraId="7BC9239E">
            <w:pPr>
              <w:spacing w:line="360" w:lineRule="exact"/>
              <w:jc w:val="center"/>
              <w:rPr>
                <w:rFonts w:ascii="仿宋_GB2312" w:hAnsi="宋体" w:eastAsia="仿宋_GB2312"/>
                <w:b/>
                <w:color w:val="auto"/>
                <w:sz w:val="24"/>
                <w:highlight w:val="none"/>
              </w:rPr>
            </w:pPr>
          </w:p>
        </w:tc>
        <w:tc>
          <w:tcPr>
            <w:tcW w:w="1294" w:type="dxa"/>
            <w:vAlign w:val="center"/>
          </w:tcPr>
          <w:p w14:paraId="672A5126">
            <w:pPr>
              <w:spacing w:line="360" w:lineRule="exact"/>
              <w:jc w:val="center"/>
              <w:rPr>
                <w:rFonts w:ascii="仿宋_GB2312" w:hAnsi="宋体" w:eastAsia="仿宋_GB2312"/>
                <w:b/>
                <w:color w:val="auto"/>
                <w:sz w:val="24"/>
                <w:highlight w:val="none"/>
              </w:rPr>
            </w:pPr>
          </w:p>
        </w:tc>
        <w:tc>
          <w:tcPr>
            <w:tcW w:w="1295" w:type="dxa"/>
            <w:vAlign w:val="center"/>
          </w:tcPr>
          <w:p w14:paraId="0A40989B">
            <w:pPr>
              <w:spacing w:line="360" w:lineRule="exact"/>
              <w:jc w:val="center"/>
              <w:rPr>
                <w:rFonts w:ascii="仿宋_GB2312" w:hAnsi="宋体" w:eastAsia="仿宋_GB2312"/>
                <w:b/>
                <w:color w:val="auto"/>
                <w:sz w:val="24"/>
                <w:highlight w:val="none"/>
              </w:rPr>
            </w:pPr>
          </w:p>
        </w:tc>
        <w:tc>
          <w:tcPr>
            <w:tcW w:w="1295" w:type="dxa"/>
            <w:vAlign w:val="center"/>
          </w:tcPr>
          <w:p w14:paraId="6A0DD311">
            <w:pPr>
              <w:spacing w:line="360" w:lineRule="exact"/>
              <w:jc w:val="center"/>
              <w:rPr>
                <w:rFonts w:ascii="仿宋_GB2312" w:hAnsi="宋体" w:eastAsia="仿宋_GB2312"/>
                <w:b/>
                <w:color w:val="auto"/>
                <w:sz w:val="24"/>
                <w:highlight w:val="none"/>
              </w:rPr>
            </w:pPr>
          </w:p>
        </w:tc>
      </w:tr>
      <w:tr w14:paraId="1E26E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489EB3F7">
            <w:pPr>
              <w:spacing w:line="360" w:lineRule="exact"/>
              <w:jc w:val="center"/>
              <w:rPr>
                <w:rFonts w:ascii="仿宋_GB2312" w:hAnsi="宋体" w:eastAsia="仿宋_GB2312"/>
                <w:b/>
                <w:color w:val="auto"/>
                <w:sz w:val="24"/>
                <w:highlight w:val="none"/>
              </w:rPr>
            </w:pPr>
          </w:p>
        </w:tc>
        <w:tc>
          <w:tcPr>
            <w:tcW w:w="1275" w:type="dxa"/>
            <w:vAlign w:val="center"/>
          </w:tcPr>
          <w:p w14:paraId="424412E6">
            <w:pPr>
              <w:spacing w:line="360" w:lineRule="exact"/>
              <w:jc w:val="center"/>
              <w:rPr>
                <w:rFonts w:ascii="仿宋_GB2312" w:hAnsi="宋体" w:eastAsia="仿宋_GB2312"/>
                <w:b/>
                <w:color w:val="auto"/>
                <w:sz w:val="24"/>
                <w:highlight w:val="none"/>
              </w:rPr>
            </w:pPr>
          </w:p>
        </w:tc>
        <w:tc>
          <w:tcPr>
            <w:tcW w:w="939" w:type="dxa"/>
            <w:vAlign w:val="center"/>
          </w:tcPr>
          <w:p w14:paraId="0D1E5573">
            <w:pPr>
              <w:spacing w:line="360" w:lineRule="exact"/>
              <w:jc w:val="center"/>
              <w:rPr>
                <w:rFonts w:ascii="仿宋_GB2312" w:hAnsi="宋体" w:eastAsia="仿宋_GB2312"/>
                <w:b/>
                <w:color w:val="auto"/>
                <w:sz w:val="24"/>
                <w:highlight w:val="none"/>
              </w:rPr>
            </w:pPr>
          </w:p>
        </w:tc>
        <w:tc>
          <w:tcPr>
            <w:tcW w:w="1294" w:type="dxa"/>
            <w:vAlign w:val="center"/>
          </w:tcPr>
          <w:p w14:paraId="793139C1">
            <w:pPr>
              <w:spacing w:line="360" w:lineRule="exact"/>
              <w:jc w:val="center"/>
              <w:rPr>
                <w:rFonts w:ascii="仿宋_GB2312" w:hAnsi="宋体" w:eastAsia="仿宋_GB2312"/>
                <w:b/>
                <w:color w:val="auto"/>
                <w:sz w:val="24"/>
                <w:highlight w:val="none"/>
              </w:rPr>
            </w:pPr>
          </w:p>
        </w:tc>
        <w:tc>
          <w:tcPr>
            <w:tcW w:w="1294" w:type="dxa"/>
            <w:vAlign w:val="center"/>
          </w:tcPr>
          <w:p w14:paraId="15A5B0D1">
            <w:pPr>
              <w:spacing w:line="360" w:lineRule="exact"/>
              <w:jc w:val="center"/>
              <w:rPr>
                <w:rFonts w:ascii="仿宋_GB2312" w:hAnsi="宋体" w:eastAsia="仿宋_GB2312"/>
                <w:b/>
                <w:color w:val="auto"/>
                <w:sz w:val="24"/>
                <w:highlight w:val="none"/>
              </w:rPr>
            </w:pPr>
          </w:p>
        </w:tc>
        <w:tc>
          <w:tcPr>
            <w:tcW w:w="1295" w:type="dxa"/>
            <w:vAlign w:val="center"/>
          </w:tcPr>
          <w:p w14:paraId="0F2F0933">
            <w:pPr>
              <w:spacing w:line="360" w:lineRule="exact"/>
              <w:jc w:val="center"/>
              <w:rPr>
                <w:rFonts w:ascii="仿宋_GB2312" w:hAnsi="宋体" w:eastAsia="仿宋_GB2312"/>
                <w:b/>
                <w:color w:val="auto"/>
                <w:sz w:val="24"/>
                <w:highlight w:val="none"/>
              </w:rPr>
            </w:pPr>
          </w:p>
        </w:tc>
        <w:tc>
          <w:tcPr>
            <w:tcW w:w="1295" w:type="dxa"/>
            <w:vAlign w:val="center"/>
          </w:tcPr>
          <w:p w14:paraId="5C15F794">
            <w:pPr>
              <w:spacing w:line="360" w:lineRule="exact"/>
              <w:jc w:val="center"/>
              <w:rPr>
                <w:rFonts w:ascii="仿宋_GB2312" w:hAnsi="宋体" w:eastAsia="仿宋_GB2312"/>
                <w:b/>
                <w:color w:val="auto"/>
                <w:sz w:val="24"/>
                <w:highlight w:val="none"/>
              </w:rPr>
            </w:pPr>
          </w:p>
        </w:tc>
      </w:tr>
      <w:tr w14:paraId="1032D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51348FB9">
            <w:pPr>
              <w:spacing w:line="360" w:lineRule="exact"/>
              <w:jc w:val="center"/>
              <w:rPr>
                <w:rFonts w:ascii="仿宋_GB2312" w:hAnsi="宋体" w:eastAsia="仿宋_GB2312"/>
                <w:b/>
                <w:color w:val="auto"/>
                <w:sz w:val="24"/>
                <w:highlight w:val="none"/>
              </w:rPr>
            </w:pPr>
          </w:p>
        </w:tc>
        <w:tc>
          <w:tcPr>
            <w:tcW w:w="1275" w:type="dxa"/>
            <w:vAlign w:val="center"/>
          </w:tcPr>
          <w:p w14:paraId="721C9F5C">
            <w:pPr>
              <w:spacing w:line="360" w:lineRule="exact"/>
              <w:jc w:val="center"/>
              <w:rPr>
                <w:rFonts w:ascii="仿宋_GB2312" w:hAnsi="宋体" w:eastAsia="仿宋_GB2312"/>
                <w:b/>
                <w:color w:val="auto"/>
                <w:sz w:val="24"/>
                <w:highlight w:val="none"/>
              </w:rPr>
            </w:pPr>
          </w:p>
        </w:tc>
        <w:tc>
          <w:tcPr>
            <w:tcW w:w="939" w:type="dxa"/>
            <w:vAlign w:val="center"/>
          </w:tcPr>
          <w:p w14:paraId="31CBD9D0">
            <w:pPr>
              <w:spacing w:line="360" w:lineRule="exact"/>
              <w:jc w:val="center"/>
              <w:rPr>
                <w:rFonts w:ascii="仿宋_GB2312" w:hAnsi="宋体" w:eastAsia="仿宋_GB2312"/>
                <w:b/>
                <w:color w:val="auto"/>
                <w:sz w:val="24"/>
                <w:highlight w:val="none"/>
              </w:rPr>
            </w:pPr>
          </w:p>
        </w:tc>
        <w:tc>
          <w:tcPr>
            <w:tcW w:w="1294" w:type="dxa"/>
            <w:vAlign w:val="center"/>
          </w:tcPr>
          <w:p w14:paraId="1D9B2640">
            <w:pPr>
              <w:spacing w:line="360" w:lineRule="exact"/>
              <w:jc w:val="center"/>
              <w:rPr>
                <w:rFonts w:ascii="仿宋_GB2312" w:hAnsi="宋体" w:eastAsia="仿宋_GB2312"/>
                <w:b/>
                <w:color w:val="auto"/>
                <w:sz w:val="24"/>
                <w:highlight w:val="none"/>
              </w:rPr>
            </w:pPr>
          </w:p>
        </w:tc>
        <w:tc>
          <w:tcPr>
            <w:tcW w:w="1294" w:type="dxa"/>
            <w:vAlign w:val="center"/>
          </w:tcPr>
          <w:p w14:paraId="3D20BDA9">
            <w:pPr>
              <w:spacing w:line="360" w:lineRule="exact"/>
              <w:jc w:val="center"/>
              <w:rPr>
                <w:rFonts w:ascii="仿宋_GB2312" w:hAnsi="宋体" w:eastAsia="仿宋_GB2312"/>
                <w:b/>
                <w:color w:val="auto"/>
                <w:sz w:val="24"/>
                <w:highlight w:val="none"/>
              </w:rPr>
            </w:pPr>
          </w:p>
        </w:tc>
        <w:tc>
          <w:tcPr>
            <w:tcW w:w="1295" w:type="dxa"/>
            <w:vAlign w:val="center"/>
          </w:tcPr>
          <w:p w14:paraId="49C2596B">
            <w:pPr>
              <w:spacing w:line="360" w:lineRule="exact"/>
              <w:jc w:val="center"/>
              <w:rPr>
                <w:rFonts w:ascii="仿宋_GB2312" w:hAnsi="宋体" w:eastAsia="仿宋_GB2312"/>
                <w:b/>
                <w:color w:val="auto"/>
                <w:sz w:val="24"/>
                <w:highlight w:val="none"/>
              </w:rPr>
            </w:pPr>
          </w:p>
        </w:tc>
        <w:tc>
          <w:tcPr>
            <w:tcW w:w="1295" w:type="dxa"/>
            <w:vAlign w:val="center"/>
          </w:tcPr>
          <w:p w14:paraId="2C23C132">
            <w:pPr>
              <w:spacing w:line="360" w:lineRule="exact"/>
              <w:jc w:val="center"/>
              <w:rPr>
                <w:rFonts w:ascii="仿宋_GB2312" w:hAnsi="宋体" w:eastAsia="仿宋_GB2312"/>
                <w:b/>
                <w:color w:val="auto"/>
                <w:sz w:val="24"/>
                <w:highlight w:val="none"/>
              </w:rPr>
            </w:pPr>
          </w:p>
        </w:tc>
      </w:tr>
      <w:tr w14:paraId="25CE9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7ABCB0D5">
            <w:pPr>
              <w:spacing w:line="360" w:lineRule="exact"/>
              <w:jc w:val="center"/>
              <w:rPr>
                <w:rFonts w:ascii="仿宋_GB2312" w:hAnsi="宋体" w:eastAsia="仿宋_GB2312"/>
                <w:b/>
                <w:color w:val="auto"/>
                <w:sz w:val="24"/>
                <w:highlight w:val="none"/>
              </w:rPr>
            </w:pPr>
          </w:p>
        </w:tc>
        <w:tc>
          <w:tcPr>
            <w:tcW w:w="1275" w:type="dxa"/>
            <w:vAlign w:val="center"/>
          </w:tcPr>
          <w:p w14:paraId="11C34C55">
            <w:pPr>
              <w:spacing w:line="360" w:lineRule="exact"/>
              <w:jc w:val="center"/>
              <w:rPr>
                <w:rFonts w:ascii="仿宋_GB2312" w:hAnsi="宋体" w:eastAsia="仿宋_GB2312"/>
                <w:b/>
                <w:color w:val="auto"/>
                <w:sz w:val="24"/>
                <w:highlight w:val="none"/>
              </w:rPr>
            </w:pPr>
          </w:p>
        </w:tc>
        <w:tc>
          <w:tcPr>
            <w:tcW w:w="939" w:type="dxa"/>
            <w:vAlign w:val="center"/>
          </w:tcPr>
          <w:p w14:paraId="38E956EE">
            <w:pPr>
              <w:spacing w:line="360" w:lineRule="exact"/>
              <w:jc w:val="center"/>
              <w:rPr>
                <w:rFonts w:ascii="仿宋_GB2312" w:hAnsi="宋体" w:eastAsia="仿宋_GB2312"/>
                <w:b/>
                <w:color w:val="auto"/>
                <w:sz w:val="24"/>
                <w:highlight w:val="none"/>
              </w:rPr>
            </w:pPr>
          </w:p>
        </w:tc>
        <w:tc>
          <w:tcPr>
            <w:tcW w:w="1294" w:type="dxa"/>
            <w:vAlign w:val="center"/>
          </w:tcPr>
          <w:p w14:paraId="10F63701">
            <w:pPr>
              <w:spacing w:line="360" w:lineRule="exact"/>
              <w:jc w:val="center"/>
              <w:rPr>
                <w:rFonts w:ascii="仿宋_GB2312" w:hAnsi="宋体" w:eastAsia="仿宋_GB2312"/>
                <w:b/>
                <w:color w:val="auto"/>
                <w:sz w:val="24"/>
                <w:highlight w:val="none"/>
              </w:rPr>
            </w:pPr>
          </w:p>
        </w:tc>
        <w:tc>
          <w:tcPr>
            <w:tcW w:w="1294" w:type="dxa"/>
            <w:vAlign w:val="center"/>
          </w:tcPr>
          <w:p w14:paraId="45B33125">
            <w:pPr>
              <w:spacing w:line="360" w:lineRule="exact"/>
              <w:jc w:val="center"/>
              <w:rPr>
                <w:rFonts w:ascii="仿宋_GB2312" w:hAnsi="宋体" w:eastAsia="仿宋_GB2312"/>
                <w:b/>
                <w:color w:val="auto"/>
                <w:sz w:val="24"/>
                <w:highlight w:val="none"/>
              </w:rPr>
            </w:pPr>
          </w:p>
        </w:tc>
        <w:tc>
          <w:tcPr>
            <w:tcW w:w="1295" w:type="dxa"/>
            <w:vAlign w:val="center"/>
          </w:tcPr>
          <w:p w14:paraId="46B2A0C5">
            <w:pPr>
              <w:spacing w:line="360" w:lineRule="exact"/>
              <w:jc w:val="center"/>
              <w:rPr>
                <w:rFonts w:ascii="仿宋_GB2312" w:hAnsi="宋体" w:eastAsia="仿宋_GB2312"/>
                <w:b/>
                <w:color w:val="auto"/>
                <w:sz w:val="24"/>
                <w:highlight w:val="none"/>
              </w:rPr>
            </w:pPr>
          </w:p>
        </w:tc>
        <w:tc>
          <w:tcPr>
            <w:tcW w:w="1295" w:type="dxa"/>
            <w:vAlign w:val="center"/>
          </w:tcPr>
          <w:p w14:paraId="60F20431">
            <w:pPr>
              <w:spacing w:line="360" w:lineRule="exact"/>
              <w:jc w:val="center"/>
              <w:rPr>
                <w:rFonts w:ascii="仿宋_GB2312" w:hAnsi="宋体" w:eastAsia="仿宋_GB2312"/>
                <w:b/>
                <w:color w:val="auto"/>
                <w:sz w:val="24"/>
                <w:highlight w:val="none"/>
              </w:rPr>
            </w:pPr>
          </w:p>
        </w:tc>
      </w:tr>
      <w:tr w14:paraId="17BF7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280F54F7">
            <w:pPr>
              <w:spacing w:line="360" w:lineRule="exact"/>
              <w:jc w:val="center"/>
              <w:rPr>
                <w:rFonts w:ascii="仿宋_GB2312" w:hAnsi="宋体" w:eastAsia="仿宋_GB2312"/>
                <w:b/>
                <w:color w:val="auto"/>
                <w:sz w:val="24"/>
                <w:highlight w:val="none"/>
              </w:rPr>
            </w:pPr>
          </w:p>
        </w:tc>
        <w:tc>
          <w:tcPr>
            <w:tcW w:w="1275" w:type="dxa"/>
            <w:vAlign w:val="center"/>
          </w:tcPr>
          <w:p w14:paraId="37D61720">
            <w:pPr>
              <w:spacing w:line="360" w:lineRule="exact"/>
              <w:jc w:val="center"/>
              <w:rPr>
                <w:rFonts w:ascii="仿宋_GB2312" w:hAnsi="宋体" w:eastAsia="仿宋_GB2312"/>
                <w:b/>
                <w:color w:val="auto"/>
                <w:sz w:val="24"/>
                <w:highlight w:val="none"/>
              </w:rPr>
            </w:pPr>
          </w:p>
        </w:tc>
        <w:tc>
          <w:tcPr>
            <w:tcW w:w="939" w:type="dxa"/>
            <w:vAlign w:val="center"/>
          </w:tcPr>
          <w:p w14:paraId="18CFB5C3">
            <w:pPr>
              <w:spacing w:line="360" w:lineRule="exact"/>
              <w:jc w:val="center"/>
              <w:rPr>
                <w:rFonts w:ascii="仿宋_GB2312" w:hAnsi="宋体" w:eastAsia="仿宋_GB2312"/>
                <w:b/>
                <w:color w:val="auto"/>
                <w:sz w:val="24"/>
                <w:highlight w:val="none"/>
              </w:rPr>
            </w:pPr>
          </w:p>
        </w:tc>
        <w:tc>
          <w:tcPr>
            <w:tcW w:w="1294" w:type="dxa"/>
            <w:vAlign w:val="center"/>
          </w:tcPr>
          <w:p w14:paraId="35E27084">
            <w:pPr>
              <w:spacing w:line="360" w:lineRule="exact"/>
              <w:jc w:val="center"/>
              <w:rPr>
                <w:rFonts w:ascii="仿宋_GB2312" w:hAnsi="宋体" w:eastAsia="仿宋_GB2312"/>
                <w:b/>
                <w:color w:val="auto"/>
                <w:sz w:val="24"/>
                <w:highlight w:val="none"/>
              </w:rPr>
            </w:pPr>
          </w:p>
        </w:tc>
        <w:tc>
          <w:tcPr>
            <w:tcW w:w="1294" w:type="dxa"/>
            <w:vAlign w:val="center"/>
          </w:tcPr>
          <w:p w14:paraId="4828CFE6">
            <w:pPr>
              <w:spacing w:line="360" w:lineRule="exact"/>
              <w:jc w:val="center"/>
              <w:rPr>
                <w:rFonts w:ascii="仿宋_GB2312" w:hAnsi="宋体" w:eastAsia="仿宋_GB2312"/>
                <w:b/>
                <w:color w:val="auto"/>
                <w:sz w:val="24"/>
                <w:highlight w:val="none"/>
              </w:rPr>
            </w:pPr>
          </w:p>
        </w:tc>
        <w:tc>
          <w:tcPr>
            <w:tcW w:w="1295" w:type="dxa"/>
            <w:vAlign w:val="center"/>
          </w:tcPr>
          <w:p w14:paraId="045F4B3D">
            <w:pPr>
              <w:spacing w:line="360" w:lineRule="exact"/>
              <w:jc w:val="center"/>
              <w:rPr>
                <w:rFonts w:ascii="仿宋_GB2312" w:hAnsi="宋体" w:eastAsia="仿宋_GB2312"/>
                <w:b/>
                <w:color w:val="auto"/>
                <w:sz w:val="24"/>
                <w:highlight w:val="none"/>
              </w:rPr>
            </w:pPr>
          </w:p>
        </w:tc>
        <w:tc>
          <w:tcPr>
            <w:tcW w:w="1295" w:type="dxa"/>
            <w:vAlign w:val="center"/>
          </w:tcPr>
          <w:p w14:paraId="077F97E8">
            <w:pPr>
              <w:spacing w:line="360" w:lineRule="exact"/>
              <w:jc w:val="center"/>
              <w:rPr>
                <w:rFonts w:ascii="仿宋_GB2312" w:hAnsi="宋体" w:eastAsia="仿宋_GB2312"/>
                <w:b/>
                <w:color w:val="auto"/>
                <w:sz w:val="24"/>
                <w:highlight w:val="none"/>
              </w:rPr>
            </w:pPr>
          </w:p>
        </w:tc>
      </w:tr>
      <w:tr w14:paraId="2013F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44B7A1D7">
            <w:pPr>
              <w:spacing w:line="360" w:lineRule="exact"/>
              <w:jc w:val="center"/>
              <w:rPr>
                <w:rFonts w:ascii="仿宋_GB2312" w:hAnsi="宋体" w:eastAsia="仿宋_GB2312"/>
                <w:b/>
                <w:color w:val="auto"/>
                <w:sz w:val="24"/>
                <w:highlight w:val="none"/>
              </w:rPr>
            </w:pPr>
          </w:p>
        </w:tc>
        <w:tc>
          <w:tcPr>
            <w:tcW w:w="1275" w:type="dxa"/>
            <w:vAlign w:val="center"/>
          </w:tcPr>
          <w:p w14:paraId="2BD8A24B">
            <w:pPr>
              <w:spacing w:line="360" w:lineRule="exact"/>
              <w:jc w:val="center"/>
              <w:rPr>
                <w:rFonts w:ascii="仿宋_GB2312" w:hAnsi="宋体" w:eastAsia="仿宋_GB2312"/>
                <w:b/>
                <w:color w:val="auto"/>
                <w:sz w:val="24"/>
                <w:highlight w:val="none"/>
              </w:rPr>
            </w:pPr>
          </w:p>
        </w:tc>
        <w:tc>
          <w:tcPr>
            <w:tcW w:w="939" w:type="dxa"/>
            <w:vAlign w:val="center"/>
          </w:tcPr>
          <w:p w14:paraId="7F984201">
            <w:pPr>
              <w:spacing w:line="360" w:lineRule="exact"/>
              <w:jc w:val="center"/>
              <w:rPr>
                <w:rFonts w:ascii="仿宋_GB2312" w:hAnsi="宋体" w:eastAsia="仿宋_GB2312"/>
                <w:b/>
                <w:color w:val="auto"/>
                <w:sz w:val="24"/>
                <w:highlight w:val="none"/>
              </w:rPr>
            </w:pPr>
          </w:p>
        </w:tc>
        <w:tc>
          <w:tcPr>
            <w:tcW w:w="1294" w:type="dxa"/>
            <w:vAlign w:val="center"/>
          </w:tcPr>
          <w:p w14:paraId="25D4B381">
            <w:pPr>
              <w:spacing w:line="360" w:lineRule="exact"/>
              <w:jc w:val="center"/>
              <w:rPr>
                <w:rFonts w:ascii="仿宋_GB2312" w:hAnsi="宋体" w:eastAsia="仿宋_GB2312"/>
                <w:b/>
                <w:color w:val="auto"/>
                <w:sz w:val="24"/>
                <w:highlight w:val="none"/>
              </w:rPr>
            </w:pPr>
          </w:p>
        </w:tc>
        <w:tc>
          <w:tcPr>
            <w:tcW w:w="1294" w:type="dxa"/>
            <w:vAlign w:val="center"/>
          </w:tcPr>
          <w:p w14:paraId="64B66570">
            <w:pPr>
              <w:spacing w:line="360" w:lineRule="exact"/>
              <w:jc w:val="center"/>
              <w:rPr>
                <w:rFonts w:ascii="仿宋_GB2312" w:hAnsi="宋体" w:eastAsia="仿宋_GB2312"/>
                <w:b/>
                <w:color w:val="auto"/>
                <w:sz w:val="24"/>
                <w:highlight w:val="none"/>
              </w:rPr>
            </w:pPr>
          </w:p>
        </w:tc>
        <w:tc>
          <w:tcPr>
            <w:tcW w:w="1295" w:type="dxa"/>
            <w:vAlign w:val="center"/>
          </w:tcPr>
          <w:p w14:paraId="4323A9C5">
            <w:pPr>
              <w:spacing w:line="360" w:lineRule="exact"/>
              <w:jc w:val="center"/>
              <w:rPr>
                <w:rFonts w:ascii="仿宋_GB2312" w:hAnsi="宋体" w:eastAsia="仿宋_GB2312"/>
                <w:b/>
                <w:color w:val="auto"/>
                <w:sz w:val="24"/>
                <w:highlight w:val="none"/>
              </w:rPr>
            </w:pPr>
          </w:p>
        </w:tc>
        <w:tc>
          <w:tcPr>
            <w:tcW w:w="1295" w:type="dxa"/>
            <w:vAlign w:val="center"/>
          </w:tcPr>
          <w:p w14:paraId="3EA6D13A">
            <w:pPr>
              <w:spacing w:line="360" w:lineRule="exact"/>
              <w:jc w:val="center"/>
              <w:rPr>
                <w:rFonts w:ascii="仿宋_GB2312" w:hAnsi="宋体" w:eastAsia="仿宋_GB2312"/>
                <w:b/>
                <w:color w:val="auto"/>
                <w:sz w:val="24"/>
                <w:highlight w:val="none"/>
              </w:rPr>
            </w:pPr>
          </w:p>
        </w:tc>
      </w:tr>
      <w:tr w14:paraId="3BB0A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72154A73">
            <w:pPr>
              <w:spacing w:line="360" w:lineRule="exact"/>
              <w:jc w:val="center"/>
              <w:rPr>
                <w:rFonts w:ascii="仿宋_GB2312" w:hAnsi="宋体" w:eastAsia="仿宋_GB2312"/>
                <w:b/>
                <w:color w:val="auto"/>
                <w:sz w:val="24"/>
                <w:highlight w:val="none"/>
              </w:rPr>
            </w:pPr>
          </w:p>
        </w:tc>
        <w:tc>
          <w:tcPr>
            <w:tcW w:w="1275" w:type="dxa"/>
            <w:vAlign w:val="center"/>
          </w:tcPr>
          <w:p w14:paraId="586CB97B">
            <w:pPr>
              <w:spacing w:line="360" w:lineRule="exact"/>
              <w:jc w:val="center"/>
              <w:rPr>
                <w:rFonts w:ascii="仿宋_GB2312" w:hAnsi="宋体" w:eastAsia="仿宋_GB2312"/>
                <w:b/>
                <w:color w:val="auto"/>
                <w:sz w:val="24"/>
                <w:highlight w:val="none"/>
              </w:rPr>
            </w:pPr>
          </w:p>
        </w:tc>
        <w:tc>
          <w:tcPr>
            <w:tcW w:w="939" w:type="dxa"/>
            <w:vAlign w:val="center"/>
          </w:tcPr>
          <w:p w14:paraId="686FB92A">
            <w:pPr>
              <w:spacing w:line="360" w:lineRule="exact"/>
              <w:jc w:val="center"/>
              <w:rPr>
                <w:rFonts w:ascii="仿宋_GB2312" w:hAnsi="宋体" w:eastAsia="仿宋_GB2312"/>
                <w:b/>
                <w:color w:val="auto"/>
                <w:sz w:val="24"/>
                <w:highlight w:val="none"/>
              </w:rPr>
            </w:pPr>
          </w:p>
        </w:tc>
        <w:tc>
          <w:tcPr>
            <w:tcW w:w="1294" w:type="dxa"/>
            <w:vAlign w:val="center"/>
          </w:tcPr>
          <w:p w14:paraId="52C5A327">
            <w:pPr>
              <w:spacing w:line="360" w:lineRule="exact"/>
              <w:jc w:val="center"/>
              <w:rPr>
                <w:rFonts w:ascii="仿宋_GB2312" w:hAnsi="宋体" w:eastAsia="仿宋_GB2312"/>
                <w:b/>
                <w:color w:val="auto"/>
                <w:sz w:val="24"/>
                <w:highlight w:val="none"/>
              </w:rPr>
            </w:pPr>
          </w:p>
        </w:tc>
        <w:tc>
          <w:tcPr>
            <w:tcW w:w="1294" w:type="dxa"/>
            <w:vAlign w:val="center"/>
          </w:tcPr>
          <w:p w14:paraId="4CD9F7A7">
            <w:pPr>
              <w:spacing w:line="360" w:lineRule="exact"/>
              <w:jc w:val="center"/>
              <w:rPr>
                <w:rFonts w:ascii="仿宋_GB2312" w:hAnsi="宋体" w:eastAsia="仿宋_GB2312"/>
                <w:b/>
                <w:color w:val="auto"/>
                <w:sz w:val="24"/>
                <w:highlight w:val="none"/>
              </w:rPr>
            </w:pPr>
          </w:p>
        </w:tc>
        <w:tc>
          <w:tcPr>
            <w:tcW w:w="1295" w:type="dxa"/>
            <w:vAlign w:val="center"/>
          </w:tcPr>
          <w:p w14:paraId="52EF7726">
            <w:pPr>
              <w:spacing w:line="360" w:lineRule="exact"/>
              <w:jc w:val="center"/>
              <w:rPr>
                <w:rFonts w:ascii="仿宋_GB2312" w:hAnsi="宋体" w:eastAsia="仿宋_GB2312"/>
                <w:b/>
                <w:color w:val="auto"/>
                <w:sz w:val="24"/>
                <w:highlight w:val="none"/>
              </w:rPr>
            </w:pPr>
          </w:p>
        </w:tc>
        <w:tc>
          <w:tcPr>
            <w:tcW w:w="1295" w:type="dxa"/>
            <w:vAlign w:val="center"/>
          </w:tcPr>
          <w:p w14:paraId="266AB2CC">
            <w:pPr>
              <w:spacing w:line="360" w:lineRule="exact"/>
              <w:jc w:val="center"/>
              <w:rPr>
                <w:rFonts w:ascii="仿宋_GB2312" w:hAnsi="宋体" w:eastAsia="仿宋_GB2312"/>
                <w:b/>
                <w:color w:val="auto"/>
                <w:sz w:val="24"/>
                <w:highlight w:val="none"/>
              </w:rPr>
            </w:pPr>
          </w:p>
        </w:tc>
      </w:tr>
      <w:tr w14:paraId="33F9B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27D17BF3">
            <w:pPr>
              <w:spacing w:line="360" w:lineRule="exact"/>
              <w:jc w:val="center"/>
              <w:rPr>
                <w:rFonts w:ascii="仿宋_GB2312" w:hAnsi="宋体" w:eastAsia="仿宋_GB2312"/>
                <w:b/>
                <w:color w:val="auto"/>
                <w:sz w:val="24"/>
                <w:highlight w:val="none"/>
              </w:rPr>
            </w:pPr>
          </w:p>
        </w:tc>
        <w:tc>
          <w:tcPr>
            <w:tcW w:w="1275" w:type="dxa"/>
            <w:vAlign w:val="center"/>
          </w:tcPr>
          <w:p w14:paraId="7432EF18">
            <w:pPr>
              <w:spacing w:line="360" w:lineRule="exact"/>
              <w:jc w:val="center"/>
              <w:rPr>
                <w:rFonts w:ascii="仿宋_GB2312" w:hAnsi="宋体" w:eastAsia="仿宋_GB2312"/>
                <w:b/>
                <w:color w:val="auto"/>
                <w:sz w:val="24"/>
                <w:highlight w:val="none"/>
              </w:rPr>
            </w:pPr>
          </w:p>
        </w:tc>
        <w:tc>
          <w:tcPr>
            <w:tcW w:w="939" w:type="dxa"/>
            <w:vAlign w:val="center"/>
          </w:tcPr>
          <w:p w14:paraId="02BBF2C9">
            <w:pPr>
              <w:spacing w:line="360" w:lineRule="exact"/>
              <w:jc w:val="center"/>
              <w:rPr>
                <w:rFonts w:ascii="仿宋_GB2312" w:hAnsi="宋体" w:eastAsia="仿宋_GB2312"/>
                <w:b/>
                <w:color w:val="auto"/>
                <w:sz w:val="24"/>
                <w:highlight w:val="none"/>
              </w:rPr>
            </w:pPr>
          </w:p>
        </w:tc>
        <w:tc>
          <w:tcPr>
            <w:tcW w:w="1294" w:type="dxa"/>
            <w:vAlign w:val="center"/>
          </w:tcPr>
          <w:p w14:paraId="0E901752">
            <w:pPr>
              <w:spacing w:line="360" w:lineRule="exact"/>
              <w:jc w:val="center"/>
              <w:rPr>
                <w:rFonts w:ascii="仿宋_GB2312" w:hAnsi="宋体" w:eastAsia="仿宋_GB2312"/>
                <w:b/>
                <w:color w:val="auto"/>
                <w:sz w:val="24"/>
                <w:highlight w:val="none"/>
              </w:rPr>
            </w:pPr>
          </w:p>
        </w:tc>
        <w:tc>
          <w:tcPr>
            <w:tcW w:w="1294" w:type="dxa"/>
            <w:vAlign w:val="center"/>
          </w:tcPr>
          <w:p w14:paraId="23F2CB43">
            <w:pPr>
              <w:spacing w:line="360" w:lineRule="exact"/>
              <w:jc w:val="center"/>
              <w:rPr>
                <w:rFonts w:ascii="仿宋_GB2312" w:hAnsi="宋体" w:eastAsia="仿宋_GB2312"/>
                <w:b/>
                <w:color w:val="auto"/>
                <w:sz w:val="24"/>
                <w:highlight w:val="none"/>
              </w:rPr>
            </w:pPr>
          </w:p>
        </w:tc>
        <w:tc>
          <w:tcPr>
            <w:tcW w:w="1295" w:type="dxa"/>
            <w:vAlign w:val="center"/>
          </w:tcPr>
          <w:p w14:paraId="1A6C8E12">
            <w:pPr>
              <w:spacing w:line="360" w:lineRule="exact"/>
              <w:jc w:val="center"/>
              <w:rPr>
                <w:rFonts w:ascii="仿宋_GB2312" w:hAnsi="宋体" w:eastAsia="仿宋_GB2312"/>
                <w:b/>
                <w:color w:val="auto"/>
                <w:sz w:val="24"/>
                <w:highlight w:val="none"/>
              </w:rPr>
            </w:pPr>
          </w:p>
        </w:tc>
        <w:tc>
          <w:tcPr>
            <w:tcW w:w="1295" w:type="dxa"/>
            <w:vAlign w:val="center"/>
          </w:tcPr>
          <w:p w14:paraId="2D5976D3">
            <w:pPr>
              <w:spacing w:line="360" w:lineRule="exact"/>
              <w:jc w:val="center"/>
              <w:rPr>
                <w:rFonts w:ascii="仿宋_GB2312" w:hAnsi="宋体" w:eastAsia="仿宋_GB2312"/>
                <w:b/>
                <w:color w:val="auto"/>
                <w:sz w:val="24"/>
                <w:highlight w:val="none"/>
              </w:rPr>
            </w:pPr>
          </w:p>
        </w:tc>
      </w:tr>
      <w:tr w14:paraId="3A9D8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2285A76F">
            <w:pPr>
              <w:spacing w:line="360" w:lineRule="exact"/>
              <w:jc w:val="center"/>
              <w:rPr>
                <w:rFonts w:ascii="仿宋_GB2312" w:hAnsi="宋体" w:eastAsia="仿宋_GB2312"/>
                <w:b/>
                <w:color w:val="auto"/>
                <w:sz w:val="24"/>
                <w:highlight w:val="none"/>
              </w:rPr>
            </w:pPr>
          </w:p>
        </w:tc>
        <w:tc>
          <w:tcPr>
            <w:tcW w:w="1275" w:type="dxa"/>
            <w:vAlign w:val="center"/>
          </w:tcPr>
          <w:p w14:paraId="76BB9CA5">
            <w:pPr>
              <w:spacing w:line="360" w:lineRule="exact"/>
              <w:jc w:val="center"/>
              <w:rPr>
                <w:rFonts w:ascii="仿宋_GB2312" w:hAnsi="宋体" w:eastAsia="仿宋_GB2312"/>
                <w:b/>
                <w:color w:val="auto"/>
                <w:sz w:val="24"/>
                <w:highlight w:val="none"/>
              </w:rPr>
            </w:pPr>
          </w:p>
        </w:tc>
        <w:tc>
          <w:tcPr>
            <w:tcW w:w="939" w:type="dxa"/>
            <w:vAlign w:val="center"/>
          </w:tcPr>
          <w:p w14:paraId="4957D6AF">
            <w:pPr>
              <w:spacing w:line="360" w:lineRule="exact"/>
              <w:jc w:val="center"/>
              <w:rPr>
                <w:rFonts w:ascii="仿宋_GB2312" w:hAnsi="宋体" w:eastAsia="仿宋_GB2312"/>
                <w:b/>
                <w:color w:val="auto"/>
                <w:sz w:val="24"/>
                <w:highlight w:val="none"/>
              </w:rPr>
            </w:pPr>
          </w:p>
        </w:tc>
        <w:tc>
          <w:tcPr>
            <w:tcW w:w="1294" w:type="dxa"/>
            <w:vAlign w:val="center"/>
          </w:tcPr>
          <w:p w14:paraId="105ADB6B">
            <w:pPr>
              <w:spacing w:line="360" w:lineRule="exact"/>
              <w:jc w:val="center"/>
              <w:rPr>
                <w:rFonts w:ascii="仿宋_GB2312" w:hAnsi="宋体" w:eastAsia="仿宋_GB2312"/>
                <w:b/>
                <w:color w:val="auto"/>
                <w:sz w:val="24"/>
                <w:highlight w:val="none"/>
              </w:rPr>
            </w:pPr>
          </w:p>
        </w:tc>
        <w:tc>
          <w:tcPr>
            <w:tcW w:w="1294" w:type="dxa"/>
            <w:vAlign w:val="center"/>
          </w:tcPr>
          <w:p w14:paraId="219EDED9">
            <w:pPr>
              <w:spacing w:line="360" w:lineRule="exact"/>
              <w:jc w:val="center"/>
              <w:rPr>
                <w:rFonts w:ascii="仿宋_GB2312" w:hAnsi="宋体" w:eastAsia="仿宋_GB2312"/>
                <w:b/>
                <w:color w:val="auto"/>
                <w:sz w:val="24"/>
                <w:highlight w:val="none"/>
              </w:rPr>
            </w:pPr>
          </w:p>
        </w:tc>
        <w:tc>
          <w:tcPr>
            <w:tcW w:w="1295" w:type="dxa"/>
            <w:vAlign w:val="center"/>
          </w:tcPr>
          <w:p w14:paraId="4D2E073B">
            <w:pPr>
              <w:spacing w:line="360" w:lineRule="exact"/>
              <w:jc w:val="center"/>
              <w:rPr>
                <w:rFonts w:ascii="仿宋_GB2312" w:hAnsi="宋体" w:eastAsia="仿宋_GB2312"/>
                <w:b/>
                <w:color w:val="auto"/>
                <w:sz w:val="24"/>
                <w:highlight w:val="none"/>
              </w:rPr>
            </w:pPr>
          </w:p>
        </w:tc>
        <w:tc>
          <w:tcPr>
            <w:tcW w:w="1295" w:type="dxa"/>
            <w:vAlign w:val="center"/>
          </w:tcPr>
          <w:p w14:paraId="4EB6B226">
            <w:pPr>
              <w:spacing w:line="360" w:lineRule="exact"/>
              <w:jc w:val="center"/>
              <w:rPr>
                <w:rFonts w:ascii="仿宋_GB2312" w:hAnsi="宋体" w:eastAsia="仿宋_GB2312"/>
                <w:b/>
                <w:color w:val="auto"/>
                <w:sz w:val="24"/>
                <w:highlight w:val="none"/>
              </w:rPr>
            </w:pPr>
          </w:p>
        </w:tc>
      </w:tr>
      <w:tr w14:paraId="6D7EE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776515CC">
            <w:pPr>
              <w:spacing w:line="360" w:lineRule="exact"/>
              <w:jc w:val="center"/>
              <w:rPr>
                <w:rFonts w:ascii="仿宋_GB2312" w:hAnsi="宋体" w:eastAsia="仿宋_GB2312"/>
                <w:b/>
                <w:color w:val="auto"/>
                <w:sz w:val="24"/>
                <w:highlight w:val="none"/>
              </w:rPr>
            </w:pPr>
          </w:p>
        </w:tc>
        <w:tc>
          <w:tcPr>
            <w:tcW w:w="1275" w:type="dxa"/>
            <w:vAlign w:val="center"/>
          </w:tcPr>
          <w:p w14:paraId="10C5D9FE">
            <w:pPr>
              <w:spacing w:line="360" w:lineRule="exact"/>
              <w:jc w:val="center"/>
              <w:rPr>
                <w:rFonts w:ascii="仿宋_GB2312" w:hAnsi="宋体" w:eastAsia="仿宋_GB2312"/>
                <w:b/>
                <w:color w:val="auto"/>
                <w:sz w:val="24"/>
                <w:highlight w:val="none"/>
              </w:rPr>
            </w:pPr>
          </w:p>
        </w:tc>
        <w:tc>
          <w:tcPr>
            <w:tcW w:w="939" w:type="dxa"/>
            <w:vAlign w:val="center"/>
          </w:tcPr>
          <w:p w14:paraId="24BE0A84">
            <w:pPr>
              <w:spacing w:line="360" w:lineRule="exact"/>
              <w:jc w:val="center"/>
              <w:rPr>
                <w:rFonts w:ascii="仿宋_GB2312" w:hAnsi="宋体" w:eastAsia="仿宋_GB2312"/>
                <w:b/>
                <w:color w:val="auto"/>
                <w:sz w:val="24"/>
                <w:highlight w:val="none"/>
              </w:rPr>
            </w:pPr>
          </w:p>
        </w:tc>
        <w:tc>
          <w:tcPr>
            <w:tcW w:w="1294" w:type="dxa"/>
            <w:vAlign w:val="center"/>
          </w:tcPr>
          <w:p w14:paraId="1D7D2EE0">
            <w:pPr>
              <w:spacing w:line="360" w:lineRule="exact"/>
              <w:jc w:val="center"/>
              <w:rPr>
                <w:rFonts w:ascii="仿宋_GB2312" w:hAnsi="宋体" w:eastAsia="仿宋_GB2312"/>
                <w:b/>
                <w:color w:val="auto"/>
                <w:sz w:val="24"/>
                <w:highlight w:val="none"/>
              </w:rPr>
            </w:pPr>
          </w:p>
        </w:tc>
        <w:tc>
          <w:tcPr>
            <w:tcW w:w="1294" w:type="dxa"/>
            <w:vAlign w:val="center"/>
          </w:tcPr>
          <w:p w14:paraId="142F85EB">
            <w:pPr>
              <w:spacing w:line="360" w:lineRule="exact"/>
              <w:jc w:val="center"/>
              <w:rPr>
                <w:rFonts w:ascii="仿宋_GB2312" w:hAnsi="宋体" w:eastAsia="仿宋_GB2312"/>
                <w:b/>
                <w:color w:val="auto"/>
                <w:sz w:val="24"/>
                <w:highlight w:val="none"/>
              </w:rPr>
            </w:pPr>
          </w:p>
        </w:tc>
        <w:tc>
          <w:tcPr>
            <w:tcW w:w="1295" w:type="dxa"/>
            <w:vAlign w:val="center"/>
          </w:tcPr>
          <w:p w14:paraId="58408CDF">
            <w:pPr>
              <w:spacing w:line="360" w:lineRule="exact"/>
              <w:jc w:val="center"/>
              <w:rPr>
                <w:rFonts w:ascii="仿宋_GB2312" w:hAnsi="宋体" w:eastAsia="仿宋_GB2312"/>
                <w:b/>
                <w:color w:val="auto"/>
                <w:sz w:val="24"/>
                <w:highlight w:val="none"/>
              </w:rPr>
            </w:pPr>
          </w:p>
        </w:tc>
        <w:tc>
          <w:tcPr>
            <w:tcW w:w="1295" w:type="dxa"/>
            <w:vAlign w:val="center"/>
          </w:tcPr>
          <w:p w14:paraId="058D8CD6">
            <w:pPr>
              <w:spacing w:line="360" w:lineRule="exact"/>
              <w:jc w:val="center"/>
              <w:rPr>
                <w:rFonts w:ascii="仿宋_GB2312" w:hAnsi="宋体" w:eastAsia="仿宋_GB2312"/>
                <w:b/>
                <w:color w:val="auto"/>
                <w:sz w:val="24"/>
                <w:highlight w:val="none"/>
              </w:rPr>
            </w:pPr>
          </w:p>
        </w:tc>
      </w:tr>
      <w:tr w14:paraId="73355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7073C21E">
            <w:pPr>
              <w:spacing w:line="360" w:lineRule="exact"/>
              <w:jc w:val="center"/>
              <w:rPr>
                <w:rFonts w:ascii="仿宋_GB2312" w:hAnsi="宋体" w:eastAsia="仿宋_GB2312"/>
                <w:color w:val="auto"/>
                <w:sz w:val="24"/>
                <w:highlight w:val="none"/>
              </w:rPr>
            </w:pPr>
            <w:r>
              <w:rPr>
                <w:rFonts w:hint="eastAsia" w:ascii="仿宋_GB2312" w:hAnsi="仿宋" w:eastAsia="仿宋_GB2312"/>
                <w:color w:val="auto"/>
                <w:sz w:val="24"/>
                <w:highlight w:val="none"/>
              </w:rPr>
              <w:t>总计</w:t>
            </w:r>
          </w:p>
        </w:tc>
        <w:tc>
          <w:tcPr>
            <w:tcW w:w="1275" w:type="dxa"/>
            <w:vAlign w:val="center"/>
          </w:tcPr>
          <w:p w14:paraId="53E49B53">
            <w:pPr>
              <w:spacing w:line="360" w:lineRule="exact"/>
              <w:jc w:val="center"/>
              <w:rPr>
                <w:rFonts w:ascii="仿宋_GB2312" w:hAnsi="宋体" w:eastAsia="仿宋_GB2312"/>
                <w:b/>
                <w:color w:val="auto"/>
                <w:sz w:val="24"/>
                <w:highlight w:val="none"/>
              </w:rPr>
            </w:pPr>
          </w:p>
        </w:tc>
        <w:tc>
          <w:tcPr>
            <w:tcW w:w="939" w:type="dxa"/>
            <w:vAlign w:val="center"/>
          </w:tcPr>
          <w:p w14:paraId="5A491322">
            <w:pPr>
              <w:spacing w:line="360" w:lineRule="exact"/>
              <w:jc w:val="center"/>
              <w:rPr>
                <w:rFonts w:ascii="仿宋_GB2312" w:hAnsi="宋体" w:eastAsia="仿宋_GB2312"/>
                <w:b/>
                <w:color w:val="auto"/>
                <w:sz w:val="24"/>
                <w:highlight w:val="none"/>
              </w:rPr>
            </w:pPr>
          </w:p>
        </w:tc>
        <w:tc>
          <w:tcPr>
            <w:tcW w:w="1294" w:type="dxa"/>
            <w:vAlign w:val="center"/>
          </w:tcPr>
          <w:p w14:paraId="1A496C4F">
            <w:pPr>
              <w:spacing w:line="360" w:lineRule="exact"/>
              <w:jc w:val="center"/>
              <w:rPr>
                <w:rFonts w:ascii="仿宋_GB2312" w:hAnsi="宋体" w:eastAsia="仿宋_GB2312"/>
                <w:b/>
                <w:color w:val="auto"/>
                <w:sz w:val="24"/>
                <w:highlight w:val="none"/>
              </w:rPr>
            </w:pPr>
          </w:p>
        </w:tc>
        <w:tc>
          <w:tcPr>
            <w:tcW w:w="1294" w:type="dxa"/>
            <w:vAlign w:val="center"/>
          </w:tcPr>
          <w:p w14:paraId="34F42507">
            <w:pPr>
              <w:spacing w:line="360" w:lineRule="exact"/>
              <w:jc w:val="center"/>
              <w:rPr>
                <w:rFonts w:ascii="仿宋_GB2312" w:hAnsi="宋体" w:eastAsia="仿宋_GB2312"/>
                <w:b/>
                <w:color w:val="auto"/>
                <w:sz w:val="24"/>
                <w:highlight w:val="none"/>
              </w:rPr>
            </w:pPr>
          </w:p>
        </w:tc>
        <w:tc>
          <w:tcPr>
            <w:tcW w:w="1295" w:type="dxa"/>
            <w:vAlign w:val="center"/>
          </w:tcPr>
          <w:p w14:paraId="2C000C16">
            <w:pPr>
              <w:spacing w:line="360" w:lineRule="exact"/>
              <w:jc w:val="center"/>
              <w:rPr>
                <w:rFonts w:ascii="仿宋_GB2312" w:hAnsi="宋体" w:eastAsia="仿宋_GB2312"/>
                <w:b/>
                <w:color w:val="auto"/>
                <w:sz w:val="24"/>
                <w:highlight w:val="none"/>
              </w:rPr>
            </w:pPr>
          </w:p>
        </w:tc>
        <w:tc>
          <w:tcPr>
            <w:tcW w:w="1295" w:type="dxa"/>
            <w:vAlign w:val="center"/>
          </w:tcPr>
          <w:p w14:paraId="15920315">
            <w:pPr>
              <w:spacing w:line="360" w:lineRule="exact"/>
              <w:jc w:val="center"/>
              <w:rPr>
                <w:rFonts w:ascii="仿宋_GB2312" w:hAnsi="宋体" w:eastAsia="仿宋_GB2312"/>
                <w:b/>
                <w:color w:val="auto"/>
                <w:sz w:val="24"/>
                <w:highlight w:val="none"/>
              </w:rPr>
            </w:pPr>
          </w:p>
        </w:tc>
      </w:tr>
    </w:tbl>
    <w:p w14:paraId="578FEC88">
      <w:pPr>
        <w:spacing w:line="520" w:lineRule="exact"/>
        <w:jc w:val="left"/>
        <w:rPr>
          <w:rFonts w:ascii="仿宋_GB2312" w:hAnsi="仿宋" w:eastAsia="仿宋_GB2312"/>
          <w:color w:val="auto"/>
          <w:sz w:val="30"/>
          <w:szCs w:val="30"/>
          <w:highlight w:val="none"/>
        </w:rPr>
      </w:pPr>
    </w:p>
    <w:p w14:paraId="12521C2E">
      <w:pPr>
        <w:wordWrap w:val="0"/>
        <w:spacing w:line="520" w:lineRule="exact"/>
        <w:jc w:val="righ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 xml:space="preserve">投标人名称(盖章):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p>
    <w:p w14:paraId="4CB432C3">
      <w:pPr>
        <w:wordWrap w:val="0"/>
        <w:spacing w:line="440" w:lineRule="exact"/>
        <w:jc w:val="right"/>
        <w:rPr>
          <w:rFonts w:ascii="仿宋_GB2312" w:hAnsi="仿宋" w:eastAsia="仿宋_GB2312"/>
          <w:color w:val="auto"/>
          <w:sz w:val="30"/>
          <w:szCs w:val="30"/>
          <w:highlight w:val="none"/>
        </w:rPr>
      </w:pPr>
      <w:r>
        <w:rPr>
          <w:rFonts w:hint="eastAsia" w:ascii="仿宋_GB2312" w:hAnsi="仿宋" w:eastAsia="仿宋_GB2312"/>
          <w:color w:val="auto"/>
          <w:sz w:val="32"/>
          <w:szCs w:val="32"/>
          <w:highlight w:val="none"/>
        </w:rPr>
        <w:t>法定代表人（依法登记的负责人）或授权代表（签字或签章）</w:t>
      </w:r>
      <w:r>
        <w:rPr>
          <w:rFonts w:hint="eastAsia" w:ascii="仿宋_GB2312" w:hAnsi="仿宋" w:eastAsia="仿宋_GB2312"/>
          <w:color w:val="auto"/>
          <w:sz w:val="30"/>
          <w:szCs w:val="30"/>
          <w:highlight w:val="none"/>
        </w:rPr>
        <w:t xml:space="preserve">: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p>
    <w:p w14:paraId="0C0C686B">
      <w:pPr>
        <w:jc w:val="right"/>
        <w:rPr>
          <w:rFonts w:ascii="黑体" w:hAnsi="黑体" w:eastAsia="黑体"/>
          <w:color w:val="auto"/>
          <w:sz w:val="44"/>
          <w:szCs w:val="44"/>
          <w:highlight w:val="none"/>
        </w:rPr>
      </w:pPr>
      <w:r>
        <w:rPr>
          <w:rFonts w:ascii="仿宋_GB2312" w:hAnsi="仿宋" w:eastAsia="仿宋_GB2312"/>
          <w:color w:val="auto"/>
          <w:sz w:val="30"/>
          <w:szCs w:val="30"/>
          <w:highlight w:val="none"/>
        </w:rPr>
        <w:br w:type="page"/>
      </w:r>
      <w:r>
        <w:rPr>
          <w:rFonts w:hint="eastAsia" w:ascii="黑体" w:hAnsi="黑体" w:eastAsia="黑体"/>
          <w:color w:val="auto"/>
          <w:sz w:val="44"/>
          <w:szCs w:val="44"/>
          <w:highlight w:val="none"/>
        </w:rPr>
        <w:t>质保期内能供应的备品备件价格明细表（如有）</w:t>
      </w:r>
    </w:p>
    <w:p w14:paraId="793686B4">
      <w:pPr>
        <w:ind w:right="280"/>
        <w:jc w:val="right"/>
        <w:rPr>
          <w:rFonts w:ascii="仿宋_GB2312" w:hAnsi="仿宋" w:eastAsia="仿宋_GB2312"/>
          <w:bCs/>
          <w:color w:val="auto"/>
          <w:sz w:val="30"/>
          <w:szCs w:val="30"/>
          <w:highlight w:val="none"/>
          <w:u w:val="single"/>
        </w:rPr>
      </w:pPr>
      <w:r>
        <w:rPr>
          <w:rFonts w:hint="eastAsia" w:ascii="仿宋_GB2312" w:hAnsi="仿宋" w:eastAsia="仿宋_GB2312"/>
          <w:color w:val="auto"/>
          <w:sz w:val="30"/>
          <w:szCs w:val="30"/>
          <w:highlight w:val="none"/>
        </w:rPr>
        <w:t>单位：元</w:t>
      </w:r>
    </w:p>
    <w:tbl>
      <w:tblPr>
        <w:tblStyle w:val="30"/>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08"/>
        <w:gridCol w:w="1800"/>
        <w:gridCol w:w="2340"/>
        <w:gridCol w:w="900"/>
        <w:gridCol w:w="1260"/>
        <w:gridCol w:w="1080"/>
        <w:gridCol w:w="1170"/>
      </w:tblGrid>
      <w:tr w14:paraId="4FC49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2D6DD0B1">
            <w:pPr>
              <w:spacing w:line="360" w:lineRule="auto"/>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序号</w:t>
            </w:r>
          </w:p>
        </w:tc>
        <w:tc>
          <w:tcPr>
            <w:tcW w:w="1800" w:type="dxa"/>
            <w:tcBorders>
              <w:top w:val="single" w:color="auto" w:sz="4" w:space="0"/>
              <w:left w:val="single" w:color="auto" w:sz="4" w:space="0"/>
              <w:bottom w:val="single" w:color="auto" w:sz="4" w:space="0"/>
              <w:right w:val="single" w:color="auto" w:sz="4" w:space="0"/>
            </w:tcBorders>
            <w:vAlign w:val="center"/>
          </w:tcPr>
          <w:p w14:paraId="020E07CA">
            <w:pPr>
              <w:spacing w:line="360" w:lineRule="auto"/>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备品备件、</w:t>
            </w:r>
          </w:p>
          <w:p w14:paraId="54A9F6D1">
            <w:pPr>
              <w:spacing w:line="360" w:lineRule="auto"/>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易损件名称</w:t>
            </w:r>
          </w:p>
        </w:tc>
        <w:tc>
          <w:tcPr>
            <w:tcW w:w="2340" w:type="dxa"/>
            <w:tcBorders>
              <w:top w:val="single" w:color="auto" w:sz="4" w:space="0"/>
              <w:left w:val="single" w:color="auto" w:sz="4" w:space="0"/>
              <w:bottom w:val="single" w:color="auto" w:sz="4" w:space="0"/>
              <w:right w:val="single" w:color="auto" w:sz="4" w:space="0"/>
            </w:tcBorders>
            <w:vAlign w:val="center"/>
          </w:tcPr>
          <w:p w14:paraId="7B7531E2">
            <w:pPr>
              <w:spacing w:line="360" w:lineRule="auto"/>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规格型号</w:t>
            </w:r>
          </w:p>
        </w:tc>
        <w:tc>
          <w:tcPr>
            <w:tcW w:w="900" w:type="dxa"/>
            <w:tcBorders>
              <w:top w:val="single" w:color="auto" w:sz="4" w:space="0"/>
              <w:left w:val="single" w:color="auto" w:sz="4" w:space="0"/>
              <w:bottom w:val="single" w:color="auto" w:sz="4" w:space="0"/>
              <w:right w:val="single" w:color="auto" w:sz="4" w:space="0"/>
            </w:tcBorders>
            <w:vAlign w:val="center"/>
          </w:tcPr>
          <w:p w14:paraId="4C9681F9">
            <w:pPr>
              <w:spacing w:line="360" w:lineRule="auto"/>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数量</w:t>
            </w:r>
          </w:p>
        </w:tc>
        <w:tc>
          <w:tcPr>
            <w:tcW w:w="1260" w:type="dxa"/>
            <w:tcBorders>
              <w:top w:val="single" w:color="auto" w:sz="4" w:space="0"/>
              <w:left w:val="single" w:color="auto" w:sz="4" w:space="0"/>
              <w:bottom w:val="single" w:color="auto" w:sz="4" w:space="0"/>
              <w:right w:val="single" w:color="auto" w:sz="4" w:space="0"/>
            </w:tcBorders>
            <w:vAlign w:val="center"/>
          </w:tcPr>
          <w:p w14:paraId="5A85D20E">
            <w:pPr>
              <w:spacing w:line="360" w:lineRule="auto"/>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单价</w:t>
            </w:r>
          </w:p>
        </w:tc>
        <w:tc>
          <w:tcPr>
            <w:tcW w:w="1080" w:type="dxa"/>
            <w:tcBorders>
              <w:top w:val="single" w:color="auto" w:sz="4" w:space="0"/>
              <w:left w:val="single" w:color="auto" w:sz="4" w:space="0"/>
              <w:bottom w:val="single" w:color="auto" w:sz="4" w:space="0"/>
              <w:right w:val="single" w:color="auto" w:sz="4" w:space="0"/>
            </w:tcBorders>
            <w:vAlign w:val="center"/>
          </w:tcPr>
          <w:p w14:paraId="732F8EAF">
            <w:pPr>
              <w:spacing w:line="360" w:lineRule="auto"/>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合价</w:t>
            </w:r>
          </w:p>
        </w:tc>
        <w:tc>
          <w:tcPr>
            <w:tcW w:w="1170" w:type="dxa"/>
            <w:tcBorders>
              <w:top w:val="single" w:color="auto" w:sz="4" w:space="0"/>
              <w:left w:val="single" w:color="auto" w:sz="4" w:space="0"/>
              <w:bottom w:val="single" w:color="auto" w:sz="4" w:space="0"/>
              <w:right w:val="single" w:color="auto" w:sz="4" w:space="0"/>
            </w:tcBorders>
            <w:vAlign w:val="center"/>
          </w:tcPr>
          <w:p w14:paraId="2F2F8B8C">
            <w:pPr>
              <w:spacing w:line="360" w:lineRule="auto"/>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备注</w:t>
            </w:r>
          </w:p>
        </w:tc>
      </w:tr>
      <w:tr w14:paraId="69725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4DDBA7DF">
            <w:pPr>
              <w:spacing w:line="360" w:lineRule="auto"/>
              <w:jc w:val="center"/>
              <w:rPr>
                <w:rFonts w:ascii="仿宋_GB2312" w:hAnsi="仿宋" w:eastAsia="仿宋_GB2312"/>
                <w:color w:val="auto"/>
                <w:sz w:val="30"/>
                <w:szCs w:val="30"/>
                <w:highlight w:val="none"/>
              </w:rPr>
            </w:pPr>
          </w:p>
        </w:tc>
        <w:tc>
          <w:tcPr>
            <w:tcW w:w="1800" w:type="dxa"/>
            <w:tcBorders>
              <w:top w:val="single" w:color="auto" w:sz="4" w:space="0"/>
              <w:left w:val="single" w:color="auto" w:sz="4" w:space="0"/>
              <w:bottom w:val="single" w:color="auto" w:sz="4" w:space="0"/>
              <w:right w:val="single" w:color="auto" w:sz="4" w:space="0"/>
            </w:tcBorders>
            <w:vAlign w:val="center"/>
          </w:tcPr>
          <w:p w14:paraId="12711889">
            <w:pPr>
              <w:spacing w:line="360" w:lineRule="auto"/>
              <w:jc w:val="center"/>
              <w:rPr>
                <w:rFonts w:ascii="仿宋_GB2312" w:hAnsi="仿宋" w:eastAsia="仿宋_GB2312"/>
                <w:color w:val="auto"/>
                <w:sz w:val="30"/>
                <w:szCs w:val="30"/>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14:paraId="5BE67DF8">
            <w:pPr>
              <w:spacing w:line="360" w:lineRule="auto"/>
              <w:jc w:val="center"/>
              <w:rPr>
                <w:rFonts w:ascii="仿宋_GB2312" w:hAnsi="仿宋" w:eastAsia="仿宋_GB2312"/>
                <w:color w:val="auto"/>
                <w:sz w:val="30"/>
                <w:szCs w:val="30"/>
                <w:highlight w:val="none"/>
              </w:rPr>
            </w:pPr>
          </w:p>
        </w:tc>
        <w:tc>
          <w:tcPr>
            <w:tcW w:w="900" w:type="dxa"/>
            <w:tcBorders>
              <w:top w:val="single" w:color="auto" w:sz="4" w:space="0"/>
              <w:left w:val="single" w:color="auto" w:sz="4" w:space="0"/>
              <w:bottom w:val="single" w:color="auto" w:sz="4" w:space="0"/>
              <w:right w:val="single" w:color="auto" w:sz="4" w:space="0"/>
            </w:tcBorders>
            <w:vAlign w:val="center"/>
          </w:tcPr>
          <w:p w14:paraId="14A92E63">
            <w:pPr>
              <w:spacing w:line="360" w:lineRule="auto"/>
              <w:jc w:val="center"/>
              <w:rPr>
                <w:rFonts w:ascii="仿宋_GB2312" w:hAnsi="仿宋" w:eastAsia="仿宋_GB2312"/>
                <w:color w:val="auto"/>
                <w:sz w:val="30"/>
                <w:szCs w:val="30"/>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04F52911">
            <w:pPr>
              <w:spacing w:line="360" w:lineRule="auto"/>
              <w:jc w:val="center"/>
              <w:rPr>
                <w:rFonts w:ascii="仿宋_GB2312" w:hAnsi="仿宋" w:eastAsia="仿宋_GB2312"/>
                <w:color w:val="auto"/>
                <w:sz w:val="30"/>
                <w:szCs w:val="30"/>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56959EB7">
            <w:pPr>
              <w:spacing w:line="360" w:lineRule="auto"/>
              <w:jc w:val="center"/>
              <w:rPr>
                <w:rFonts w:ascii="仿宋_GB2312" w:hAnsi="仿宋" w:eastAsia="仿宋_GB2312"/>
                <w:color w:val="auto"/>
                <w:sz w:val="30"/>
                <w:szCs w:val="30"/>
                <w:highlight w:val="none"/>
              </w:rPr>
            </w:pPr>
          </w:p>
        </w:tc>
        <w:tc>
          <w:tcPr>
            <w:tcW w:w="1170" w:type="dxa"/>
            <w:tcBorders>
              <w:top w:val="single" w:color="auto" w:sz="4" w:space="0"/>
              <w:left w:val="single" w:color="auto" w:sz="4" w:space="0"/>
              <w:bottom w:val="single" w:color="auto" w:sz="4" w:space="0"/>
              <w:right w:val="single" w:color="auto" w:sz="4" w:space="0"/>
            </w:tcBorders>
            <w:vAlign w:val="center"/>
          </w:tcPr>
          <w:p w14:paraId="142660D9">
            <w:pPr>
              <w:spacing w:line="360" w:lineRule="auto"/>
              <w:jc w:val="center"/>
              <w:rPr>
                <w:rFonts w:ascii="仿宋_GB2312" w:hAnsi="仿宋" w:eastAsia="仿宋_GB2312"/>
                <w:color w:val="auto"/>
                <w:sz w:val="30"/>
                <w:szCs w:val="30"/>
                <w:highlight w:val="none"/>
              </w:rPr>
            </w:pPr>
          </w:p>
        </w:tc>
      </w:tr>
      <w:tr w14:paraId="56D60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58F2B886">
            <w:pPr>
              <w:spacing w:line="360" w:lineRule="auto"/>
              <w:jc w:val="center"/>
              <w:rPr>
                <w:rFonts w:ascii="仿宋_GB2312" w:hAnsi="仿宋" w:eastAsia="仿宋_GB2312"/>
                <w:color w:val="auto"/>
                <w:sz w:val="30"/>
                <w:szCs w:val="30"/>
                <w:highlight w:val="none"/>
              </w:rPr>
            </w:pPr>
          </w:p>
        </w:tc>
        <w:tc>
          <w:tcPr>
            <w:tcW w:w="1800" w:type="dxa"/>
            <w:tcBorders>
              <w:top w:val="single" w:color="auto" w:sz="4" w:space="0"/>
              <w:left w:val="single" w:color="auto" w:sz="4" w:space="0"/>
              <w:bottom w:val="single" w:color="auto" w:sz="4" w:space="0"/>
              <w:right w:val="single" w:color="auto" w:sz="4" w:space="0"/>
            </w:tcBorders>
            <w:vAlign w:val="center"/>
          </w:tcPr>
          <w:p w14:paraId="2945963B">
            <w:pPr>
              <w:spacing w:line="360" w:lineRule="auto"/>
              <w:jc w:val="center"/>
              <w:rPr>
                <w:rFonts w:ascii="仿宋_GB2312" w:hAnsi="仿宋" w:eastAsia="仿宋_GB2312"/>
                <w:color w:val="auto"/>
                <w:sz w:val="30"/>
                <w:szCs w:val="30"/>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14:paraId="3CAF72F8">
            <w:pPr>
              <w:spacing w:line="360" w:lineRule="auto"/>
              <w:jc w:val="center"/>
              <w:rPr>
                <w:rFonts w:ascii="仿宋_GB2312" w:hAnsi="仿宋" w:eastAsia="仿宋_GB2312"/>
                <w:color w:val="auto"/>
                <w:sz w:val="30"/>
                <w:szCs w:val="30"/>
                <w:highlight w:val="none"/>
              </w:rPr>
            </w:pPr>
          </w:p>
        </w:tc>
        <w:tc>
          <w:tcPr>
            <w:tcW w:w="900" w:type="dxa"/>
            <w:tcBorders>
              <w:top w:val="single" w:color="auto" w:sz="4" w:space="0"/>
              <w:left w:val="single" w:color="auto" w:sz="4" w:space="0"/>
              <w:bottom w:val="single" w:color="auto" w:sz="4" w:space="0"/>
              <w:right w:val="single" w:color="auto" w:sz="4" w:space="0"/>
            </w:tcBorders>
            <w:vAlign w:val="center"/>
          </w:tcPr>
          <w:p w14:paraId="3D507A19">
            <w:pPr>
              <w:spacing w:line="360" w:lineRule="auto"/>
              <w:jc w:val="center"/>
              <w:rPr>
                <w:rFonts w:ascii="仿宋_GB2312" w:hAnsi="仿宋" w:eastAsia="仿宋_GB2312"/>
                <w:color w:val="auto"/>
                <w:sz w:val="30"/>
                <w:szCs w:val="30"/>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58485C63">
            <w:pPr>
              <w:spacing w:line="360" w:lineRule="auto"/>
              <w:jc w:val="center"/>
              <w:rPr>
                <w:rFonts w:ascii="仿宋_GB2312" w:hAnsi="仿宋" w:eastAsia="仿宋_GB2312"/>
                <w:color w:val="auto"/>
                <w:sz w:val="30"/>
                <w:szCs w:val="30"/>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50F255F4">
            <w:pPr>
              <w:spacing w:line="360" w:lineRule="auto"/>
              <w:jc w:val="center"/>
              <w:rPr>
                <w:rFonts w:ascii="仿宋_GB2312" w:hAnsi="仿宋" w:eastAsia="仿宋_GB2312"/>
                <w:color w:val="auto"/>
                <w:sz w:val="30"/>
                <w:szCs w:val="30"/>
                <w:highlight w:val="none"/>
              </w:rPr>
            </w:pPr>
          </w:p>
        </w:tc>
        <w:tc>
          <w:tcPr>
            <w:tcW w:w="1170" w:type="dxa"/>
            <w:tcBorders>
              <w:top w:val="single" w:color="auto" w:sz="4" w:space="0"/>
              <w:left w:val="single" w:color="auto" w:sz="4" w:space="0"/>
              <w:bottom w:val="single" w:color="auto" w:sz="4" w:space="0"/>
              <w:right w:val="single" w:color="auto" w:sz="4" w:space="0"/>
            </w:tcBorders>
            <w:vAlign w:val="center"/>
          </w:tcPr>
          <w:p w14:paraId="5982435B">
            <w:pPr>
              <w:spacing w:line="360" w:lineRule="auto"/>
              <w:jc w:val="center"/>
              <w:rPr>
                <w:rFonts w:ascii="仿宋_GB2312" w:hAnsi="仿宋" w:eastAsia="仿宋_GB2312"/>
                <w:color w:val="auto"/>
                <w:sz w:val="30"/>
                <w:szCs w:val="30"/>
                <w:highlight w:val="none"/>
              </w:rPr>
            </w:pPr>
          </w:p>
        </w:tc>
      </w:tr>
      <w:tr w14:paraId="77AF9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36DA4DC2">
            <w:pPr>
              <w:spacing w:line="360" w:lineRule="auto"/>
              <w:jc w:val="center"/>
              <w:rPr>
                <w:rFonts w:ascii="仿宋_GB2312" w:hAnsi="仿宋" w:eastAsia="仿宋_GB2312"/>
                <w:color w:val="auto"/>
                <w:sz w:val="30"/>
                <w:szCs w:val="30"/>
                <w:highlight w:val="none"/>
              </w:rPr>
            </w:pPr>
          </w:p>
        </w:tc>
        <w:tc>
          <w:tcPr>
            <w:tcW w:w="1800" w:type="dxa"/>
            <w:tcBorders>
              <w:top w:val="single" w:color="auto" w:sz="4" w:space="0"/>
              <w:left w:val="single" w:color="auto" w:sz="4" w:space="0"/>
              <w:bottom w:val="single" w:color="auto" w:sz="4" w:space="0"/>
              <w:right w:val="single" w:color="auto" w:sz="4" w:space="0"/>
            </w:tcBorders>
            <w:vAlign w:val="center"/>
          </w:tcPr>
          <w:p w14:paraId="722EC937">
            <w:pPr>
              <w:spacing w:line="360" w:lineRule="auto"/>
              <w:jc w:val="center"/>
              <w:rPr>
                <w:rFonts w:ascii="仿宋_GB2312" w:hAnsi="仿宋" w:eastAsia="仿宋_GB2312"/>
                <w:color w:val="auto"/>
                <w:sz w:val="30"/>
                <w:szCs w:val="30"/>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14:paraId="2CBED36F">
            <w:pPr>
              <w:spacing w:line="360" w:lineRule="auto"/>
              <w:jc w:val="center"/>
              <w:rPr>
                <w:rFonts w:ascii="仿宋_GB2312" w:hAnsi="仿宋" w:eastAsia="仿宋_GB2312"/>
                <w:color w:val="auto"/>
                <w:sz w:val="30"/>
                <w:szCs w:val="30"/>
                <w:highlight w:val="none"/>
              </w:rPr>
            </w:pPr>
          </w:p>
        </w:tc>
        <w:tc>
          <w:tcPr>
            <w:tcW w:w="900" w:type="dxa"/>
            <w:tcBorders>
              <w:top w:val="single" w:color="auto" w:sz="4" w:space="0"/>
              <w:left w:val="single" w:color="auto" w:sz="4" w:space="0"/>
              <w:bottom w:val="single" w:color="auto" w:sz="4" w:space="0"/>
              <w:right w:val="single" w:color="auto" w:sz="4" w:space="0"/>
            </w:tcBorders>
            <w:vAlign w:val="center"/>
          </w:tcPr>
          <w:p w14:paraId="1F135719">
            <w:pPr>
              <w:spacing w:line="360" w:lineRule="auto"/>
              <w:jc w:val="center"/>
              <w:rPr>
                <w:rFonts w:ascii="仿宋_GB2312" w:hAnsi="仿宋" w:eastAsia="仿宋_GB2312"/>
                <w:color w:val="auto"/>
                <w:sz w:val="30"/>
                <w:szCs w:val="30"/>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2656CD6A">
            <w:pPr>
              <w:spacing w:line="360" w:lineRule="auto"/>
              <w:jc w:val="center"/>
              <w:rPr>
                <w:rFonts w:ascii="仿宋_GB2312" w:hAnsi="仿宋" w:eastAsia="仿宋_GB2312"/>
                <w:color w:val="auto"/>
                <w:sz w:val="30"/>
                <w:szCs w:val="30"/>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461F02DF">
            <w:pPr>
              <w:spacing w:line="360" w:lineRule="auto"/>
              <w:jc w:val="center"/>
              <w:rPr>
                <w:rFonts w:ascii="仿宋_GB2312" w:hAnsi="仿宋" w:eastAsia="仿宋_GB2312"/>
                <w:color w:val="auto"/>
                <w:sz w:val="30"/>
                <w:szCs w:val="30"/>
                <w:highlight w:val="none"/>
              </w:rPr>
            </w:pPr>
          </w:p>
        </w:tc>
        <w:tc>
          <w:tcPr>
            <w:tcW w:w="1170" w:type="dxa"/>
            <w:tcBorders>
              <w:top w:val="single" w:color="auto" w:sz="4" w:space="0"/>
              <w:left w:val="single" w:color="auto" w:sz="4" w:space="0"/>
              <w:bottom w:val="single" w:color="auto" w:sz="4" w:space="0"/>
              <w:right w:val="single" w:color="auto" w:sz="4" w:space="0"/>
            </w:tcBorders>
            <w:vAlign w:val="center"/>
          </w:tcPr>
          <w:p w14:paraId="4A41CE9A">
            <w:pPr>
              <w:spacing w:line="360" w:lineRule="auto"/>
              <w:jc w:val="center"/>
              <w:rPr>
                <w:rFonts w:ascii="仿宋_GB2312" w:hAnsi="仿宋" w:eastAsia="仿宋_GB2312"/>
                <w:color w:val="auto"/>
                <w:sz w:val="30"/>
                <w:szCs w:val="30"/>
                <w:highlight w:val="none"/>
              </w:rPr>
            </w:pPr>
          </w:p>
        </w:tc>
      </w:tr>
      <w:tr w14:paraId="56FF4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53CE7361">
            <w:pPr>
              <w:spacing w:line="360" w:lineRule="auto"/>
              <w:jc w:val="center"/>
              <w:rPr>
                <w:rFonts w:ascii="仿宋_GB2312" w:hAnsi="仿宋" w:eastAsia="仿宋_GB2312"/>
                <w:color w:val="auto"/>
                <w:sz w:val="30"/>
                <w:szCs w:val="30"/>
                <w:highlight w:val="none"/>
              </w:rPr>
            </w:pPr>
          </w:p>
        </w:tc>
        <w:tc>
          <w:tcPr>
            <w:tcW w:w="1800" w:type="dxa"/>
            <w:tcBorders>
              <w:top w:val="single" w:color="auto" w:sz="4" w:space="0"/>
              <w:left w:val="single" w:color="auto" w:sz="4" w:space="0"/>
              <w:bottom w:val="single" w:color="auto" w:sz="4" w:space="0"/>
              <w:right w:val="single" w:color="auto" w:sz="4" w:space="0"/>
            </w:tcBorders>
            <w:vAlign w:val="center"/>
          </w:tcPr>
          <w:p w14:paraId="472421B2">
            <w:pPr>
              <w:spacing w:line="360" w:lineRule="auto"/>
              <w:jc w:val="center"/>
              <w:rPr>
                <w:rFonts w:ascii="仿宋_GB2312" w:hAnsi="仿宋" w:eastAsia="仿宋_GB2312"/>
                <w:color w:val="auto"/>
                <w:sz w:val="30"/>
                <w:szCs w:val="30"/>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14:paraId="28C8D356">
            <w:pPr>
              <w:spacing w:line="360" w:lineRule="auto"/>
              <w:jc w:val="center"/>
              <w:rPr>
                <w:rFonts w:ascii="仿宋_GB2312" w:hAnsi="仿宋" w:eastAsia="仿宋_GB2312"/>
                <w:color w:val="auto"/>
                <w:sz w:val="30"/>
                <w:szCs w:val="30"/>
                <w:highlight w:val="none"/>
              </w:rPr>
            </w:pPr>
          </w:p>
        </w:tc>
        <w:tc>
          <w:tcPr>
            <w:tcW w:w="900" w:type="dxa"/>
            <w:tcBorders>
              <w:top w:val="single" w:color="auto" w:sz="4" w:space="0"/>
              <w:left w:val="single" w:color="auto" w:sz="4" w:space="0"/>
              <w:bottom w:val="single" w:color="auto" w:sz="4" w:space="0"/>
              <w:right w:val="single" w:color="auto" w:sz="4" w:space="0"/>
            </w:tcBorders>
            <w:vAlign w:val="center"/>
          </w:tcPr>
          <w:p w14:paraId="5131B1CD">
            <w:pPr>
              <w:spacing w:line="360" w:lineRule="auto"/>
              <w:jc w:val="center"/>
              <w:rPr>
                <w:rFonts w:ascii="仿宋_GB2312" w:hAnsi="仿宋" w:eastAsia="仿宋_GB2312"/>
                <w:color w:val="auto"/>
                <w:sz w:val="30"/>
                <w:szCs w:val="30"/>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317A47D3">
            <w:pPr>
              <w:spacing w:line="360" w:lineRule="auto"/>
              <w:jc w:val="center"/>
              <w:rPr>
                <w:rFonts w:ascii="仿宋_GB2312" w:hAnsi="仿宋" w:eastAsia="仿宋_GB2312"/>
                <w:color w:val="auto"/>
                <w:sz w:val="30"/>
                <w:szCs w:val="30"/>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114E217B">
            <w:pPr>
              <w:spacing w:line="360" w:lineRule="auto"/>
              <w:jc w:val="center"/>
              <w:rPr>
                <w:rFonts w:ascii="仿宋_GB2312" w:hAnsi="仿宋" w:eastAsia="仿宋_GB2312"/>
                <w:color w:val="auto"/>
                <w:sz w:val="30"/>
                <w:szCs w:val="30"/>
                <w:highlight w:val="none"/>
              </w:rPr>
            </w:pPr>
          </w:p>
        </w:tc>
        <w:tc>
          <w:tcPr>
            <w:tcW w:w="1170" w:type="dxa"/>
            <w:tcBorders>
              <w:top w:val="single" w:color="auto" w:sz="4" w:space="0"/>
              <w:left w:val="single" w:color="auto" w:sz="4" w:space="0"/>
              <w:bottom w:val="single" w:color="auto" w:sz="4" w:space="0"/>
              <w:right w:val="single" w:color="auto" w:sz="4" w:space="0"/>
            </w:tcBorders>
            <w:vAlign w:val="center"/>
          </w:tcPr>
          <w:p w14:paraId="17C3D867">
            <w:pPr>
              <w:spacing w:line="360" w:lineRule="auto"/>
              <w:jc w:val="center"/>
              <w:rPr>
                <w:rFonts w:ascii="仿宋_GB2312" w:hAnsi="仿宋" w:eastAsia="仿宋_GB2312"/>
                <w:color w:val="auto"/>
                <w:sz w:val="30"/>
                <w:szCs w:val="30"/>
                <w:highlight w:val="none"/>
              </w:rPr>
            </w:pPr>
          </w:p>
        </w:tc>
      </w:tr>
      <w:tr w14:paraId="64699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71324506">
            <w:pPr>
              <w:spacing w:line="360" w:lineRule="auto"/>
              <w:jc w:val="center"/>
              <w:rPr>
                <w:rFonts w:ascii="仿宋_GB2312" w:hAnsi="仿宋" w:eastAsia="仿宋_GB2312"/>
                <w:color w:val="auto"/>
                <w:sz w:val="30"/>
                <w:szCs w:val="30"/>
                <w:highlight w:val="none"/>
              </w:rPr>
            </w:pPr>
          </w:p>
        </w:tc>
        <w:tc>
          <w:tcPr>
            <w:tcW w:w="1800" w:type="dxa"/>
            <w:tcBorders>
              <w:top w:val="single" w:color="auto" w:sz="4" w:space="0"/>
              <w:left w:val="single" w:color="auto" w:sz="4" w:space="0"/>
              <w:bottom w:val="single" w:color="auto" w:sz="4" w:space="0"/>
              <w:right w:val="single" w:color="auto" w:sz="4" w:space="0"/>
            </w:tcBorders>
            <w:vAlign w:val="center"/>
          </w:tcPr>
          <w:p w14:paraId="2F1AB906">
            <w:pPr>
              <w:spacing w:line="360" w:lineRule="auto"/>
              <w:jc w:val="center"/>
              <w:rPr>
                <w:rFonts w:ascii="仿宋_GB2312" w:hAnsi="仿宋" w:eastAsia="仿宋_GB2312"/>
                <w:color w:val="auto"/>
                <w:sz w:val="30"/>
                <w:szCs w:val="30"/>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14:paraId="228443CC">
            <w:pPr>
              <w:spacing w:line="360" w:lineRule="auto"/>
              <w:jc w:val="center"/>
              <w:rPr>
                <w:rFonts w:ascii="仿宋_GB2312" w:hAnsi="仿宋" w:eastAsia="仿宋_GB2312"/>
                <w:color w:val="auto"/>
                <w:sz w:val="30"/>
                <w:szCs w:val="30"/>
                <w:highlight w:val="none"/>
              </w:rPr>
            </w:pPr>
          </w:p>
        </w:tc>
        <w:tc>
          <w:tcPr>
            <w:tcW w:w="900" w:type="dxa"/>
            <w:tcBorders>
              <w:top w:val="single" w:color="auto" w:sz="4" w:space="0"/>
              <w:left w:val="single" w:color="auto" w:sz="4" w:space="0"/>
              <w:bottom w:val="single" w:color="auto" w:sz="4" w:space="0"/>
              <w:right w:val="single" w:color="auto" w:sz="4" w:space="0"/>
            </w:tcBorders>
            <w:vAlign w:val="center"/>
          </w:tcPr>
          <w:p w14:paraId="149DF9AD">
            <w:pPr>
              <w:spacing w:line="360" w:lineRule="auto"/>
              <w:jc w:val="center"/>
              <w:rPr>
                <w:rFonts w:ascii="仿宋_GB2312" w:hAnsi="仿宋" w:eastAsia="仿宋_GB2312"/>
                <w:color w:val="auto"/>
                <w:sz w:val="30"/>
                <w:szCs w:val="30"/>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01678392">
            <w:pPr>
              <w:spacing w:line="360" w:lineRule="auto"/>
              <w:jc w:val="center"/>
              <w:rPr>
                <w:rFonts w:ascii="仿宋_GB2312" w:hAnsi="仿宋" w:eastAsia="仿宋_GB2312"/>
                <w:color w:val="auto"/>
                <w:sz w:val="30"/>
                <w:szCs w:val="30"/>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73AFCB67">
            <w:pPr>
              <w:spacing w:line="360" w:lineRule="auto"/>
              <w:jc w:val="center"/>
              <w:rPr>
                <w:rFonts w:ascii="仿宋_GB2312" w:hAnsi="仿宋" w:eastAsia="仿宋_GB2312"/>
                <w:color w:val="auto"/>
                <w:sz w:val="30"/>
                <w:szCs w:val="30"/>
                <w:highlight w:val="none"/>
              </w:rPr>
            </w:pPr>
          </w:p>
        </w:tc>
        <w:tc>
          <w:tcPr>
            <w:tcW w:w="1170" w:type="dxa"/>
            <w:tcBorders>
              <w:top w:val="single" w:color="auto" w:sz="4" w:space="0"/>
              <w:left w:val="single" w:color="auto" w:sz="4" w:space="0"/>
              <w:bottom w:val="single" w:color="auto" w:sz="4" w:space="0"/>
              <w:right w:val="single" w:color="auto" w:sz="4" w:space="0"/>
            </w:tcBorders>
            <w:vAlign w:val="center"/>
          </w:tcPr>
          <w:p w14:paraId="03B03D37">
            <w:pPr>
              <w:spacing w:line="360" w:lineRule="auto"/>
              <w:jc w:val="center"/>
              <w:rPr>
                <w:rFonts w:ascii="仿宋_GB2312" w:hAnsi="仿宋" w:eastAsia="仿宋_GB2312"/>
                <w:color w:val="auto"/>
                <w:sz w:val="30"/>
                <w:szCs w:val="30"/>
                <w:highlight w:val="none"/>
              </w:rPr>
            </w:pPr>
          </w:p>
        </w:tc>
      </w:tr>
    </w:tbl>
    <w:p w14:paraId="08442756">
      <w:pPr>
        <w:spacing w:line="360" w:lineRule="exact"/>
        <w:rPr>
          <w:rFonts w:ascii="仿宋_GB2312" w:hAnsi="仿宋" w:eastAsia="仿宋_GB2312"/>
          <w:color w:val="auto"/>
          <w:sz w:val="28"/>
          <w:highlight w:val="none"/>
        </w:rPr>
      </w:pPr>
    </w:p>
    <w:p w14:paraId="29804012">
      <w:pPr>
        <w:spacing w:line="360" w:lineRule="exact"/>
        <w:rPr>
          <w:rFonts w:ascii="仿宋_GB2312" w:hAnsi="仿宋" w:eastAsia="仿宋_GB2312"/>
          <w:color w:val="auto"/>
          <w:sz w:val="30"/>
          <w:szCs w:val="30"/>
          <w:highlight w:val="none"/>
        </w:rPr>
      </w:pPr>
    </w:p>
    <w:p w14:paraId="50060B6B">
      <w:pPr>
        <w:wordWrap w:val="0"/>
        <w:spacing w:line="520" w:lineRule="exact"/>
        <w:jc w:val="righ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 xml:space="preserve">投标人名称(盖章):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p>
    <w:p w14:paraId="1F9CE3EC">
      <w:pPr>
        <w:wordWrap w:val="0"/>
        <w:spacing w:line="440" w:lineRule="exact"/>
        <w:jc w:val="right"/>
        <w:rPr>
          <w:rFonts w:ascii="仿宋_GB2312" w:hAnsi="宋体" w:eastAsia="仿宋_GB2312"/>
          <w:b/>
          <w:color w:val="auto"/>
          <w:sz w:val="28"/>
          <w:szCs w:val="28"/>
          <w:highlight w:val="none"/>
        </w:rPr>
      </w:pPr>
      <w:r>
        <w:rPr>
          <w:rFonts w:hint="eastAsia" w:ascii="仿宋_GB2312" w:hAnsi="仿宋" w:eastAsia="仿宋_GB2312"/>
          <w:color w:val="auto"/>
          <w:sz w:val="32"/>
          <w:szCs w:val="32"/>
          <w:highlight w:val="none"/>
        </w:rPr>
        <w:t>法定代表人（依法登记的负责人）或授权代表（签字或签章）</w:t>
      </w:r>
      <w:r>
        <w:rPr>
          <w:rFonts w:hint="eastAsia" w:ascii="仿宋_GB2312" w:hAnsi="仿宋" w:eastAsia="仿宋_GB2312"/>
          <w:color w:val="auto"/>
          <w:sz w:val="30"/>
          <w:szCs w:val="30"/>
          <w:highlight w:val="none"/>
        </w:rPr>
        <w:t xml:space="preserve">: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p>
    <w:p w14:paraId="4E527FED">
      <w:pPr>
        <w:wordWrap w:val="0"/>
        <w:spacing w:line="520" w:lineRule="exact"/>
        <w:jc w:val="right"/>
        <w:rPr>
          <w:rFonts w:ascii="仿宋_GB2312" w:hAnsi="仿宋" w:eastAsia="仿宋_GB2312"/>
          <w:color w:val="auto"/>
          <w:sz w:val="30"/>
          <w:szCs w:val="30"/>
          <w:highlight w:val="none"/>
        </w:rPr>
      </w:pPr>
      <w:r>
        <w:rPr>
          <w:rFonts w:ascii="仿宋_GB2312" w:hAnsi="仿宋" w:eastAsia="仿宋_GB2312"/>
          <w:bCs/>
          <w:color w:val="auto"/>
          <w:sz w:val="30"/>
          <w:szCs w:val="30"/>
          <w:highlight w:val="none"/>
        </w:rPr>
        <w:br w:type="page"/>
      </w:r>
    </w:p>
    <w:p w14:paraId="5C0ED49E">
      <w:pPr>
        <w:jc w:val="right"/>
        <w:rPr>
          <w:rFonts w:ascii="仿宋_GB2312" w:hAnsi="宋体" w:eastAsia="仿宋_GB2312"/>
          <w:color w:val="auto"/>
          <w:sz w:val="22"/>
          <w:szCs w:val="28"/>
          <w:highlight w:val="none"/>
        </w:rPr>
      </w:pPr>
      <w:r>
        <w:rPr>
          <w:rFonts w:hint="eastAsia" w:ascii="仿宋_GB2312" w:hAnsi="宋体" w:eastAsia="仿宋_GB2312"/>
          <w:color w:val="auto"/>
          <w:sz w:val="22"/>
          <w:szCs w:val="28"/>
          <w:highlight w:val="none"/>
        </w:rPr>
        <w:t>如中标（成交），随中标（成交）公告公示</w:t>
      </w:r>
    </w:p>
    <w:p w14:paraId="6C0B0DEA">
      <w:pPr>
        <w:widowControl/>
        <w:jc w:val="center"/>
        <w:rPr>
          <w:rFonts w:ascii="仿宋_GB2312" w:hAnsi="仿宋" w:eastAsia="仿宋_GB2312" w:cs="Arial"/>
          <w:color w:val="auto"/>
          <w:sz w:val="32"/>
          <w:szCs w:val="32"/>
          <w:highlight w:val="none"/>
        </w:rPr>
      </w:pPr>
    </w:p>
    <w:p w14:paraId="76D68A19">
      <w:pPr>
        <w:widowControl/>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国内同类项目业绩表</w:t>
      </w:r>
    </w:p>
    <w:tbl>
      <w:tblPr>
        <w:tblStyle w:val="30"/>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14:paraId="5D2A1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4" w:type="dxa"/>
            <w:vAlign w:val="center"/>
          </w:tcPr>
          <w:p w14:paraId="3A4BEFC5">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序号</w:t>
            </w:r>
          </w:p>
        </w:tc>
        <w:tc>
          <w:tcPr>
            <w:tcW w:w="917" w:type="dxa"/>
            <w:vAlign w:val="center"/>
          </w:tcPr>
          <w:p w14:paraId="6733C35D">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用户名称</w:t>
            </w:r>
          </w:p>
        </w:tc>
        <w:tc>
          <w:tcPr>
            <w:tcW w:w="2552" w:type="dxa"/>
            <w:vAlign w:val="center"/>
          </w:tcPr>
          <w:p w14:paraId="2AC61E7B">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项目名称</w:t>
            </w:r>
          </w:p>
        </w:tc>
        <w:tc>
          <w:tcPr>
            <w:tcW w:w="1134" w:type="dxa"/>
            <w:vAlign w:val="center"/>
          </w:tcPr>
          <w:p w14:paraId="645E99CA">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合同额</w:t>
            </w:r>
          </w:p>
        </w:tc>
        <w:tc>
          <w:tcPr>
            <w:tcW w:w="1417" w:type="dxa"/>
            <w:vAlign w:val="center"/>
          </w:tcPr>
          <w:p w14:paraId="1A531C94">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签订时间</w:t>
            </w:r>
          </w:p>
        </w:tc>
        <w:tc>
          <w:tcPr>
            <w:tcW w:w="1276" w:type="dxa"/>
            <w:vAlign w:val="center"/>
          </w:tcPr>
          <w:p w14:paraId="388BF82F">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电话/联系人</w:t>
            </w:r>
          </w:p>
        </w:tc>
        <w:tc>
          <w:tcPr>
            <w:tcW w:w="1210" w:type="dxa"/>
            <w:vAlign w:val="center"/>
          </w:tcPr>
          <w:p w14:paraId="7BC5B8C6">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备注</w:t>
            </w:r>
          </w:p>
        </w:tc>
      </w:tr>
      <w:tr w14:paraId="1DD20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85AFB8B">
            <w:pPr>
              <w:jc w:val="center"/>
              <w:rPr>
                <w:rFonts w:ascii="仿宋_GB2312" w:hAnsi="仿宋" w:eastAsia="仿宋_GB2312"/>
                <w:color w:val="auto"/>
                <w:sz w:val="30"/>
                <w:szCs w:val="30"/>
                <w:highlight w:val="none"/>
              </w:rPr>
            </w:pPr>
          </w:p>
        </w:tc>
        <w:tc>
          <w:tcPr>
            <w:tcW w:w="917" w:type="dxa"/>
            <w:vAlign w:val="center"/>
          </w:tcPr>
          <w:p w14:paraId="2089FC1B">
            <w:pPr>
              <w:jc w:val="center"/>
              <w:rPr>
                <w:rFonts w:ascii="仿宋_GB2312" w:hAnsi="仿宋" w:eastAsia="仿宋_GB2312"/>
                <w:color w:val="auto"/>
                <w:sz w:val="30"/>
                <w:szCs w:val="30"/>
                <w:highlight w:val="none"/>
              </w:rPr>
            </w:pPr>
          </w:p>
        </w:tc>
        <w:tc>
          <w:tcPr>
            <w:tcW w:w="2552" w:type="dxa"/>
            <w:vAlign w:val="center"/>
          </w:tcPr>
          <w:p w14:paraId="275965DE">
            <w:pPr>
              <w:jc w:val="center"/>
              <w:rPr>
                <w:rFonts w:ascii="仿宋_GB2312" w:hAnsi="仿宋" w:eastAsia="仿宋_GB2312"/>
                <w:color w:val="auto"/>
                <w:sz w:val="30"/>
                <w:szCs w:val="30"/>
                <w:highlight w:val="none"/>
              </w:rPr>
            </w:pPr>
          </w:p>
        </w:tc>
        <w:tc>
          <w:tcPr>
            <w:tcW w:w="1134" w:type="dxa"/>
            <w:vAlign w:val="center"/>
          </w:tcPr>
          <w:p w14:paraId="34915B5D">
            <w:pPr>
              <w:jc w:val="center"/>
              <w:rPr>
                <w:rFonts w:ascii="仿宋_GB2312" w:hAnsi="仿宋" w:eastAsia="仿宋_GB2312"/>
                <w:color w:val="auto"/>
                <w:sz w:val="30"/>
                <w:szCs w:val="30"/>
                <w:highlight w:val="none"/>
              </w:rPr>
            </w:pPr>
          </w:p>
        </w:tc>
        <w:tc>
          <w:tcPr>
            <w:tcW w:w="1417" w:type="dxa"/>
            <w:vAlign w:val="center"/>
          </w:tcPr>
          <w:p w14:paraId="7788F6C1">
            <w:pPr>
              <w:jc w:val="center"/>
              <w:rPr>
                <w:rFonts w:ascii="仿宋_GB2312" w:hAnsi="仿宋" w:eastAsia="仿宋_GB2312"/>
                <w:color w:val="auto"/>
                <w:sz w:val="30"/>
                <w:szCs w:val="30"/>
                <w:highlight w:val="none"/>
              </w:rPr>
            </w:pPr>
          </w:p>
        </w:tc>
        <w:tc>
          <w:tcPr>
            <w:tcW w:w="1276" w:type="dxa"/>
            <w:vAlign w:val="center"/>
          </w:tcPr>
          <w:p w14:paraId="3C0BAE7B">
            <w:pPr>
              <w:jc w:val="center"/>
              <w:rPr>
                <w:rFonts w:ascii="仿宋_GB2312" w:hAnsi="仿宋" w:eastAsia="仿宋_GB2312"/>
                <w:color w:val="auto"/>
                <w:sz w:val="30"/>
                <w:szCs w:val="30"/>
                <w:highlight w:val="none"/>
              </w:rPr>
            </w:pPr>
          </w:p>
        </w:tc>
        <w:tc>
          <w:tcPr>
            <w:tcW w:w="1210" w:type="dxa"/>
            <w:vAlign w:val="center"/>
          </w:tcPr>
          <w:p w14:paraId="7FE9C641">
            <w:pPr>
              <w:jc w:val="center"/>
              <w:rPr>
                <w:rFonts w:ascii="仿宋_GB2312" w:hAnsi="仿宋" w:eastAsia="仿宋_GB2312"/>
                <w:color w:val="auto"/>
                <w:sz w:val="30"/>
                <w:szCs w:val="30"/>
                <w:highlight w:val="none"/>
              </w:rPr>
            </w:pPr>
          </w:p>
        </w:tc>
      </w:tr>
      <w:tr w14:paraId="1BAE9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C9C37B6">
            <w:pPr>
              <w:jc w:val="center"/>
              <w:rPr>
                <w:rFonts w:ascii="仿宋_GB2312" w:hAnsi="仿宋" w:eastAsia="仿宋_GB2312"/>
                <w:color w:val="auto"/>
                <w:sz w:val="30"/>
                <w:szCs w:val="30"/>
                <w:highlight w:val="none"/>
              </w:rPr>
            </w:pPr>
          </w:p>
        </w:tc>
        <w:tc>
          <w:tcPr>
            <w:tcW w:w="917" w:type="dxa"/>
            <w:vAlign w:val="center"/>
          </w:tcPr>
          <w:p w14:paraId="090B87E1">
            <w:pPr>
              <w:jc w:val="center"/>
              <w:rPr>
                <w:rFonts w:ascii="仿宋_GB2312" w:hAnsi="仿宋" w:eastAsia="仿宋_GB2312"/>
                <w:color w:val="auto"/>
                <w:sz w:val="30"/>
                <w:szCs w:val="30"/>
                <w:highlight w:val="none"/>
              </w:rPr>
            </w:pPr>
          </w:p>
        </w:tc>
        <w:tc>
          <w:tcPr>
            <w:tcW w:w="2552" w:type="dxa"/>
            <w:vAlign w:val="center"/>
          </w:tcPr>
          <w:p w14:paraId="56B1E971">
            <w:pPr>
              <w:jc w:val="center"/>
              <w:rPr>
                <w:rFonts w:ascii="仿宋_GB2312" w:hAnsi="仿宋" w:eastAsia="仿宋_GB2312"/>
                <w:color w:val="auto"/>
                <w:sz w:val="30"/>
                <w:szCs w:val="30"/>
                <w:highlight w:val="none"/>
              </w:rPr>
            </w:pPr>
          </w:p>
        </w:tc>
        <w:tc>
          <w:tcPr>
            <w:tcW w:w="1134" w:type="dxa"/>
            <w:vAlign w:val="center"/>
          </w:tcPr>
          <w:p w14:paraId="7B65A1D6">
            <w:pPr>
              <w:jc w:val="center"/>
              <w:rPr>
                <w:rFonts w:ascii="仿宋_GB2312" w:hAnsi="仿宋" w:eastAsia="仿宋_GB2312"/>
                <w:color w:val="auto"/>
                <w:sz w:val="30"/>
                <w:szCs w:val="30"/>
                <w:highlight w:val="none"/>
              </w:rPr>
            </w:pPr>
          </w:p>
        </w:tc>
        <w:tc>
          <w:tcPr>
            <w:tcW w:w="1417" w:type="dxa"/>
            <w:vAlign w:val="center"/>
          </w:tcPr>
          <w:p w14:paraId="572EDB16">
            <w:pPr>
              <w:jc w:val="center"/>
              <w:rPr>
                <w:rFonts w:ascii="仿宋_GB2312" w:hAnsi="仿宋" w:eastAsia="仿宋_GB2312"/>
                <w:color w:val="auto"/>
                <w:sz w:val="30"/>
                <w:szCs w:val="30"/>
                <w:highlight w:val="none"/>
              </w:rPr>
            </w:pPr>
          </w:p>
        </w:tc>
        <w:tc>
          <w:tcPr>
            <w:tcW w:w="1276" w:type="dxa"/>
            <w:vAlign w:val="center"/>
          </w:tcPr>
          <w:p w14:paraId="0B99212B">
            <w:pPr>
              <w:jc w:val="center"/>
              <w:rPr>
                <w:rFonts w:ascii="仿宋_GB2312" w:hAnsi="仿宋" w:eastAsia="仿宋_GB2312"/>
                <w:color w:val="auto"/>
                <w:sz w:val="30"/>
                <w:szCs w:val="30"/>
                <w:highlight w:val="none"/>
              </w:rPr>
            </w:pPr>
          </w:p>
        </w:tc>
        <w:tc>
          <w:tcPr>
            <w:tcW w:w="1210" w:type="dxa"/>
            <w:vAlign w:val="center"/>
          </w:tcPr>
          <w:p w14:paraId="6CC96967">
            <w:pPr>
              <w:jc w:val="center"/>
              <w:rPr>
                <w:rFonts w:ascii="仿宋_GB2312" w:hAnsi="仿宋" w:eastAsia="仿宋_GB2312"/>
                <w:color w:val="auto"/>
                <w:sz w:val="30"/>
                <w:szCs w:val="30"/>
                <w:highlight w:val="none"/>
              </w:rPr>
            </w:pPr>
          </w:p>
        </w:tc>
      </w:tr>
      <w:tr w14:paraId="7A165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2D35D84">
            <w:pPr>
              <w:jc w:val="center"/>
              <w:rPr>
                <w:rFonts w:ascii="仿宋_GB2312" w:hAnsi="仿宋" w:eastAsia="仿宋_GB2312"/>
                <w:color w:val="auto"/>
                <w:sz w:val="30"/>
                <w:szCs w:val="30"/>
                <w:highlight w:val="none"/>
              </w:rPr>
            </w:pPr>
          </w:p>
        </w:tc>
        <w:tc>
          <w:tcPr>
            <w:tcW w:w="917" w:type="dxa"/>
            <w:vAlign w:val="center"/>
          </w:tcPr>
          <w:p w14:paraId="56A4BBDF">
            <w:pPr>
              <w:jc w:val="center"/>
              <w:rPr>
                <w:rFonts w:ascii="仿宋_GB2312" w:hAnsi="仿宋" w:eastAsia="仿宋_GB2312"/>
                <w:color w:val="auto"/>
                <w:sz w:val="30"/>
                <w:szCs w:val="30"/>
                <w:highlight w:val="none"/>
              </w:rPr>
            </w:pPr>
          </w:p>
        </w:tc>
        <w:tc>
          <w:tcPr>
            <w:tcW w:w="2552" w:type="dxa"/>
            <w:vAlign w:val="center"/>
          </w:tcPr>
          <w:p w14:paraId="4BF1B9D0">
            <w:pPr>
              <w:jc w:val="center"/>
              <w:rPr>
                <w:rFonts w:ascii="仿宋_GB2312" w:hAnsi="仿宋" w:eastAsia="仿宋_GB2312"/>
                <w:color w:val="auto"/>
                <w:sz w:val="30"/>
                <w:szCs w:val="30"/>
                <w:highlight w:val="none"/>
              </w:rPr>
            </w:pPr>
          </w:p>
        </w:tc>
        <w:tc>
          <w:tcPr>
            <w:tcW w:w="1134" w:type="dxa"/>
            <w:vAlign w:val="center"/>
          </w:tcPr>
          <w:p w14:paraId="23DBA919">
            <w:pPr>
              <w:jc w:val="center"/>
              <w:rPr>
                <w:rFonts w:ascii="仿宋_GB2312" w:hAnsi="仿宋" w:eastAsia="仿宋_GB2312"/>
                <w:color w:val="auto"/>
                <w:sz w:val="30"/>
                <w:szCs w:val="30"/>
                <w:highlight w:val="none"/>
              </w:rPr>
            </w:pPr>
          </w:p>
        </w:tc>
        <w:tc>
          <w:tcPr>
            <w:tcW w:w="1417" w:type="dxa"/>
            <w:vAlign w:val="center"/>
          </w:tcPr>
          <w:p w14:paraId="40A0A810">
            <w:pPr>
              <w:jc w:val="center"/>
              <w:rPr>
                <w:rFonts w:ascii="仿宋_GB2312" w:hAnsi="仿宋" w:eastAsia="仿宋_GB2312"/>
                <w:color w:val="auto"/>
                <w:sz w:val="30"/>
                <w:szCs w:val="30"/>
                <w:highlight w:val="none"/>
              </w:rPr>
            </w:pPr>
          </w:p>
        </w:tc>
        <w:tc>
          <w:tcPr>
            <w:tcW w:w="1276" w:type="dxa"/>
            <w:vAlign w:val="center"/>
          </w:tcPr>
          <w:p w14:paraId="214608AB">
            <w:pPr>
              <w:jc w:val="center"/>
              <w:rPr>
                <w:rFonts w:ascii="仿宋_GB2312" w:hAnsi="仿宋" w:eastAsia="仿宋_GB2312"/>
                <w:color w:val="auto"/>
                <w:sz w:val="30"/>
                <w:szCs w:val="30"/>
                <w:highlight w:val="none"/>
              </w:rPr>
            </w:pPr>
          </w:p>
        </w:tc>
        <w:tc>
          <w:tcPr>
            <w:tcW w:w="1210" w:type="dxa"/>
            <w:vAlign w:val="center"/>
          </w:tcPr>
          <w:p w14:paraId="369121EC">
            <w:pPr>
              <w:jc w:val="center"/>
              <w:rPr>
                <w:rFonts w:ascii="仿宋_GB2312" w:hAnsi="仿宋" w:eastAsia="仿宋_GB2312"/>
                <w:color w:val="auto"/>
                <w:sz w:val="30"/>
                <w:szCs w:val="30"/>
                <w:highlight w:val="none"/>
              </w:rPr>
            </w:pPr>
          </w:p>
        </w:tc>
      </w:tr>
      <w:tr w14:paraId="00622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C2B2FFD">
            <w:pPr>
              <w:jc w:val="center"/>
              <w:rPr>
                <w:rFonts w:ascii="仿宋_GB2312" w:hAnsi="仿宋" w:eastAsia="仿宋_GB2312"/>
                <w:color w:val="auto"/>
                <w:sz w:val="30"/>
                <w:szCs w:val="30"/>
                <w:highlight w:val="none"/>
              </w:rPr>
            </w:pPr>
          </w:p>
        </w:tc>
        <w:tc>
          <w:tcPr>
            <w:tcW w:w="917" w:type="dxa"/>
            <w:vAlign w:val="center"/>
          </w:tcPr>
          <w:p w14:paraId="260B9DDC">
            <w:pPr>
              <w:jc w:val="center"/>
              <w:rPr>
                <w:rFonts w:ascii="仿宋_GB2312" w:hAnsi="仿宋" w:eastAsia="仿宋_GB2312"/>
                <w:color w:val="auto"/>
                <w:sz w:val="30"/>
                <w:szCs w:val="30"/>
                <w:highlight w:val="none"/>
              </w:rPr>
            </w:pPr>
          </w:p>
        </w:tc>
        <w:tc>
          <w:tcPr>
            <w:tcW w:w="2552" w:type="dxa"/>
            <w:vAlign w:val="center"/>
          </w:tcPr>
          <w:p w14:paraId="750E7564">
            <w:pPr>
              <w:jc w:val="center"/>
              <w:rPr>
                <w:rFonts w:ascii="仿宋_GB2312" w:hAnsi="仿宋" w:eastAsia="仿宋_GB2312"/>
                <w:color w:val="auto"/>
                <w:sz w:val="30"/>
                <w:szCs w:val="30"/>
                <w:highlight w:val="none"/>
              </w:rPr>
            </w:pPr>
          </w:p>
        </w:tc>
        <w:tc>
          <w:tcPr>
            <w:tcW w:w="1134" w:type="dxa"/>
            <w:vAlign w:val="center"/>
          </w:tcPr>
          <w:p w14:paraId="12F63996">
            <w:pPr>
              <w:jc w:val="center"/>
              <w:rPr>
                <w:rFonts w:ascii="仿宋_GB2312" w:hAnsi="仿宋" w:eastAsia="仿宋_GB2312"/>
                <w:color w:val="auto"/>
                <w:sz w:val="30"/>
                <w:szCs w:val="30"/>
                <w:highlight w:val="none"/>
              </w:rPr>
            </w:pPr>
          </w:p>
        </w:tc>
        <w:tc>
          <w:tcPr>
            <w:tcW w:w="1417" w:type="dxa"/>
            <w:vAlign w:val="center"/>
          </w:tcPr>
          <w:p w14:paraId="491E32F1">
            <w:pPr>
              <w:jc w:val="center"/>
              <w:rPr>
                <w:rFonts w:ascii="仿宋_GB2312" w:hAnsi="仿宋" w:eastAsia="仿宋_GB2312"/>
                <w:color w:val="auto"/>
                <w:sz w:val="30"/>
                <w:szCs w:val="30"/>
                <w:highlight w:val="none"/>
              </w:rPr>
            </w:pPr>
          </w:p>
        </w:tc>
        <w:tc>
          <w:tcPr>
            <w:tcW w:w="1276" w:type="dxa"/>
            <w:vAlign w:val="center"/>
          </w:tcPr>
          <w:p w14:paraId="1FE42C86">
            <w:pPr>
              <w:jc w:val="center"/>
              <w:rPr>
                <w:rFonts w:ascii="仿宋_GB2312" w:hAnsi="仿宋" w:eastAsia="仿宋_GB2312"/>
                <w:color w:val="auto"/>
                <w:sz w:val="30"/>
                <w:szCs w:val="30"/>
                <w:highlight w:val="none"/>
              </w:rPr>
            </w:pPr>
          </w:p>
        </w:tc>
        <w:tc>
          <w:tcPr>
            <w:tcW w:w="1210" w:type="dxa"/>
            <w:vAlign w:val="center"/>
          </w:tcPr>
          <w:p w14:paraId="6873CC8F">
            <w:pPr>
              <w:jc w:val="center"/>
              <w:rPr>
                <w:rFonts w:ascii="仿宋_GB2312" w:hAnsi="仿宋" w:eastAsia="仿宋_GB2312"/>
                <w:color w:val="auto"/>
                <w:sz w:val="30"/>
                <w:szCs w:val="30"/>
                <w:highlight w:val="none"/>
              </w:rPr>
            </w:pPr>
          </w:p>
        </w:tc>
      </w:tr>
      <w:tr w14:paraId="7B4E4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F018AEC">
            <w:pPr>
              <w:jc w:val="center"/>
              <w:rPr>
                <w:rFonts w:ascii="仿宋_GB2312" w:hAnsi="仿宋" w:eastAsia="仿宋_GB2312"/>
                <w:color w:val="auto"/>
                <w:sz w:val="30"/>
                <w:szCs w:val="30"/>
                <w:highlight w:val="none"/>
              </w:rPr>
            </w:pPr>
          </w:p>
        </w:tc>
        <w:tc>
          <w:tcPr>
            <w:tcW w:w="917" w:type="dxa"/>
            <w:vAlign w:val="center"/>
          </w:tcPr>
          <w:p w14:paraId="4D4185F8">
            <w:pPr>
              <w:jc w:val="center"/>
              <w:rPr>
                <w:rFonts w:ascii="仿宋_GB2312" w:hAnsi="仿宋" w:eastAsia="仿宋_GB2312"/>
                <w:color w:val="auto"/>
                <w:sz w:val="30"/>
                <w:szCs w:val="30"/>
                <w:highlight w:val="none"/>
              </w:rPr>
            </w:pPr>
          </w:p>
        </w:tc>
        <w:tc>
          <w:tcPr>
            <w:tcW w:w="2552" w:type="dxa"/>
            <w:vAlign w:val="center"/>
          </w:tcPr>
          <w:p w14:paraId="47F93F3D">
            <w:pPr>
              <w:jc w:val="center"/>
              <w:rPr>
                <w:rFonts w:ascii="仿宋_GB2312" w:hAnsi="仿宋" w:eastAsia="仿宋_GB2312"/>
                <w:color w:val="auto"/>
                <w:sz w:val="30"/>
                <w:szCs w:val="30"/>
                <w:highlight w:val="none"/>
              </w:rPr>
            </w:pPr>
          </w:p>
        </w:tc>
        <w:tc>
          <w:tcPr>
            <w:tcW w:w="1134" w:type="dxa"/>
            <w:vAlign w:val="center"/>
          </w:tcPr>
          <w:p w14:paraId="3397AAD2">
            <w:pPr>
              <w:jc w:val="center"/>
              <w:rPr>
                <w:rFonts w:ascii="仿宋_GB2312" w:hAnsi="仿宋" w:eastAsia="仿宋_GB2312"/>
                <w:color w:val="auto"/>
                <w:sz w:val="30"/>
                <w:szCs w:val="30"/>
                <w:highlight w:val="none"/>
              </w:rPr>
            </w:pPr>
          </w:p>
        </w:tc>
        <w:tc>
          <w:tcPr>
            <w:tcW w:w="1417" w:type="dxa"/>
            <w:vAlign w:val="center"/>
          </w:tcPr>
          <w:p w14:paraId="7D277F00">
            <w:pPr>
              <w:jc w:val="center"/>
              <w:rPr>
                <w:rFonts w:ascii="仿宋_GB2312" w:hAnsi="仿宋" w:eastAsia="仿宋_GB2312"/>
                <w:color w:val="auto"/>
                <w:sz w:val="30"/>
                <w:szCs w:val="30"/>
                <w:highlight w:val="none"/>
              </w:rPr>
            </w:pPr>
          </w:p>
        </w:tc>
        <w:tc>
          <w:tcPr>
            <w:tcW w:w="1276" w:type="dxa"/>
            <w:vAlign w:val="center"/>
          </w:tcPr>
          <w:p w14:paraId="3E303B74">
            <w:pPr>
              <w:jc w:val="center"/>
              <w:rPr>
                <w:rFonts w:ascii="仿宋_GB2312" w:hAnsi="仿宋" w:eastAsia="仿宋_GB2312"/>
                <w:color w:val="auto"/>
                <w:sz w:val="30"/>
                <w:szCs w:val="30"/>
                <w:highlight w:val="none"/>
              </w:rPr>
            </w:pPr>
          </w:p>
        </w:tc>
        <w:tc>
          <w:tcPr>
            <w:tcW w:w="1210" w:type="dxa"/>
            <w:vAlign w:val="center"/>
          </w:tcPr>
          <w:p w14:paraId="262FF054">
            <w:pPr>
              <w:jc w:val="center"/>
              <w:rPr>
                <w:rFonts w:ascii="仿宋_GB2312" w:hAnsi="仿宋" w:eastAsia="仿宋_GB2312"/>
                <w:color w:val="auto"/>
                <w:sz w:val="30"/>
                <w:szCs w:val="30"/>
                <w:highlight w:val="none"/>
              </w:rPr>
            </w:pPr>
          </w:p>
        </w:tc>
      </w:tr>
      <w:tr w14:paraId="1258F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5C96D71">
            <w:pPr>
              <w:jc w:val="center"/>
              <w:rPr>
                <w:rFonts w:ascii="仿宋_GB2312" w:hAnsi="仿宋" w:eastAsia="仿宋_GB2312"/>
                <w:color w:val="auto"/>
                <w:sz w:val="30"/>
                <w:szCs w:val="30"/>
                <w:highlight w:val="none"/>
              </w:rPr>
            </w:pPr>
          </w:p>
        </w:tc>
        <w:tc>
          <w:tcPr>
            <w:tcW w:w="917" w:type="dxa"/>
            <w:vAlign w:val="center"/>
          </w:tcPr>
          <w:p w14:paraId="597C2A6F">
            <w:pPr>
              <w:jc w:val="center"/>
              <w:rPr>
                <w:rFonts w:ascii="仿宋_GB2312" w:hAnsi="仿宋" w:eastAsia="仿宋_GB2312"/>
                <w:color w:val="auto"/>
                <w:sz w:val="30"/>
                <w:szCs w:val="30"/>
                <w:highlight w:val="none"/>
              </w:rPr>
            </w:pPr>
          </w:p>
        </w:tc>
        <w:tc>
          <w:tcPr>
            <w:tcW w:w="2552" w:type="dxa"/>
            <w:vAlign w:val="center"/>
          </w:tcPr>
          <w:p w14:paraId="4AC92270">
            <w:pPr>
              <w:jc w:val="center"/>
              <w:rPr>
                <w:rFonts w:ascii="仿宋_GB2312" w:hAnsi="仿宋" w:eastAsia="仿宋_GB2312"/>
                <w:color w:val="auto"/>
                <w:sz w:val="30"/>
                <w:szCs w:val="30"/>
                <w:highlight w:val="none"/>
              </w:rPr>
            </w:pPr>
          </w:p>
        </w:tc>
        <w:tc>
          <w:tcPr>
            <w:tcW w:w="1134" w:type="dxa"/>
            <w:vAlign w:val="center"/>
          </w:tcPr>
          <w:p w14:paraId="5FB91C82">
            <w:pPr>
              <w:jc w:val="center"/>
              <w:rPr>
                <w:rFonts w:ascii="仿宋_GB2312" w:hAnsi="仿宋" w:eastAsia="仿宋_GB2312"/>
                <w:color w:val="auto"/>
                <w:sz w:val="30"/>
                <w:szCs w:val="30"/>
                <w:highlight w:val="none"/>
              </w:rPr>
            </w:pPr>
          </w:p>
        </w:tc>
        <w:tc>
          <w:tcPr>
            <w:tcW w:w="1417" w:type="dxa"/>
            <w:vAlign w:val="center"/>
          </w:tcPr>
          <w:p w14:paraId="02DF65AB">
            <w:pPr>
              <w:jc w:val="center"/>
              <w:rPr>
                <w:rFonts w:ascii="仿宋_GB2312" w:hAnsi="仿宋" w:eastAsia="仿宋_GB2312"/>
                <w:color w:val="auto"/>
                <w:sz w:val="30"/>
                <w:szCs w:val="30"/>
                <w:highlight w:val="none"/>
              </w:rPr>
            </w:pPr>
          </w:p>
        </w:tc>
        <w:tc>
          <w:tcPr>
            <w:tcW w:w="1276" w:type="dxa"/>
            <w:vAlign w:val="center"/>
          </w:tcPr>
          <w:p w14:paraId="189C9A3B">
            <w:pPr>
              <w:jc w:val="center"/>
              <w:rPr>
                <w:rFonts w:ascii="仿宋_GB2312" w:hAnsi="仿宋" w:eastAsia="仿宋_GB2312"/>
                <w:color w:val="auto"/>
                <w:sz w:val="30"/>
                <w:szCs w:val="30"/>
                <w:highlight w:val="none"/>
              </w:rPr>
            </w:pPr>
          </w:p>
        </w:tc>
        <w:tc>
          <w:tcPr>
            <w:tcW w:w="1210" w:type="dxa"/>
            <w:vAlign w:val="center"/>
          </w:tcPr>
          <w:p w14:paraId="0EBCBC63">
            <w:pPr>
              <w:jc w:val="center"/>
              <w:rPr>
                <w:rFonts w:ascii="仿宋_GB2312" w:hAnsi="仿宋" w:eastAsia="仿宋_GB2312"/>
                <w:color w:val="auto"/>
                <w:sz w:val="30"/>
                <w:szCs w:val="30"/>
                <w:highlight w:val="none"/>
              </w:rPr>
            </w:pPr>
          </w:p>
        </w:tc>
      </w:tr>
      <w:tr w14:paraId="63615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AE0BFED">
            <w:pPr>
              <w:jc w:val="center"/>
              <w:rPr>
                <w:rFonts w:ascii="仿宋_GB2312" w:hAnsi="仿宋" w:eastAsia="仿宋_GB2312"/>
                <w:color w:val="auto"/>
                <w:sz w:val="30"/>
                <w:szCs w:val="30"/>
                <w:highlight w:val="none"/>
              </w:rPr>
            </w:pPr>
          </w:p>
        </w:tc>
        <w:tc>
          <w:tcPr>
            <w:tcW w:w="917" w:type="dxa"/>
            <w:vAlign w:val="center"/>
          </w:tcPr>
          <w:p w14:paraId="48AB0DBC">
            <w:pPr>
              <w:jc w:val="center"/>
              <w:rPr>
                <w:rFonts w:ascii="仿宋_GB2312" w:hAnsi="仿宋" w:eastAsia="仿宋_GB2312"/>
                <w:color w:val="auto"/>
                <w:sz w:val="30"/>
                <w:szCs w:val="30"/>
                <w:highlight w:val="none"/>
              </w:rPr>
            </w:pPr>
          </w:p>
        </w:tc>
        <w:tc>
          <w:tcPr>
            <w:tcW w:w="2552" w:type="dxa"/>
            <w:vAlign w:val="center"/>
          </w:tcPr>
          <w:p w14:paraId="79918D23">
            <w:pPr>
              <w:jc w:val="center"/>
              <w:rPr>
                <w:rFonts w:ascii="仿宋_GB2312" w:hAnsi="仿宋" w:eastAsia="仿宋_GB2312"/>
                <w:color w:val="auto"/>
                <w:sz w:val="30"/>
                <w:szCs w:val="30"/>
                <w:highlight w:val="none"/>
              </w:rPr>
            </w:pPr>
          </w:p>
        </w:tc>
        <w:tc>
          <w:tcPr>
            <w:tcW w:w="1134" w:type="dxa"/>
            <w:vAlign w:val="center"/>
          </w:tcPr>
          <w:p w14:paraId="7851D74F">
            <w:pPr>
              <w:jc w:val="center"/>
              <w:rPr>
                <w:rFonts w:ascii="仿宋_GB2312" w:hAnsi="仿宋" w:eastAsia="仿宋_GB2312"/>
                <w:color w:val="auto"/>
                <w:sz w:val="30"/>
                <w:szCs w:val="30"/>
                <w:highlight w:val="none"/>
              </w:rPr>
            </w:pPr>
          </w:p>
        </w:tc>
        <w:tc>
          <w:tcPr>
            <w:tcW w:w="1417" w:type="dxa"/>
            <w:vAlign w:val="center"/>
          </w:tcPr>
          <w:p w14:paraId="52CF0E39">
            <w:pPr>
              <w:jc w:val="center"/>
              <w:rPr>
                <w:rFonts w:ascii="仿宋_GB2312" w:hAnsi="仿宋" w:eastAsia="仿宋_GB2312"/>
                <w:color w:val="auto"/>
                <w:sz w:val="30"/>
                <w:szCs w:val="30"/>
                <w:highlight w:val="none"/>
              </w:rPr>
            </w:pPr>
          </w:p>
        </w:tc>
        <w:tc>
          <w:tcPr>
            <w:tcW w:w="1276" w:type="dxa"/>
            <w:vAlign w:val="center"/>
          </w:tcPr>
          <w:p w14:paraId="0F8365D0">
            <w:pPr>
              <w:jc w:val="center"/>
              <w:rPr>
                <w:rFonts w:ascii="仿宋_GB2312" w:hAnsi="仿宋" w:eastAsia="仿宋_GB2312"/>
                <w:color w:val="auto"/>
                <w:sz w:val="30"/>
                <w:szCs w:val="30"/>
                <w:highlight w:val="none"/>
              </w:rPr>
            </w:pPr>
          </w:p>
        </w:tc>
        <w:tc>
          <w:tcPr>
            <w:tcW w:w="1210" w:type="dxa"/>
            <w:vAlign w:val="center"/>
          </w:tcPr>
          <w:p w14:paraId="7E4F284E">
            <w:pPr>
              <w:jc w:val="center"/>
              <w:rPr>
                <w:rFonts w:ascii="仿宋_GB2312" w:hAnsi="仿宋" w:eastAsia="仿宋_GB2312"/>
                <w:color w:val="auto"/>
                <w:sz w:val="30"/>
                <w:szCs w:val="30"/>
                <w:highlight w:val="none"/>
              </w:rPr>
            </w:pPr>
          </w:p>
        </w:tc>
      </w:tr>
      <w:tr w14:paraId="58B4E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1A93697">
            <w:pPr>
              <w:jc w:val="center"/>
              <w:rPr>
                <w:rFonts w:ascii="仿宋_GB2312" w:hAnsi="仿宋" w:eastAsia="仿宋_GB2312"/>
                <w:color w:val="auto"/>
                <w:sz w:val="30"/>
                <w:szCs w:val="30"/>
                <w:highlight w:val="none"/>
              </w:rPr>
            </w:pPr>
          </w:p>
        </w:tc>
        <w:tc>
          <w:tcPr>
            <w:tcW w:w="917" w:type="dxa"/>
            <w:vAlign w:val="center"/>
          </w:tcPr>
          <w:p w14:paraId="0034351C">
            <w:pPr>
              <w:jc w:val="center"/>
              <w:rPr>
                <w:rFonts w:ascii="仿宋_GB2312" w:hAnsi="仿宋" w:eastAsia="仿宋_GB2312"/>
                <w:color w:val="auto"/>
                <w:sz w:val="30"/>
                <w:szCs w:val="30"/>
                <w:highlight w:val="none"/>
              </w:rPr>
            </w:pPr>
          </w:p>
        </w:tc>
        <w:tc>
          <w:tcPr>
            <w:tcW w:w="2552" w:type="dxa"/>
            <w:vAlign w:val="center"/>
          </w:tcPr>
          <w:p w14:paraId="26CE0891">
            <w:pPr>
              <w:jc w:val="center"/>
              <w:rPr>
                <w:rFonts w:ascii="仿宋_GB2312" w:hAnsi="仿宋" w:eastAsia="仿宋_GB2312"/>
                <w:color w:val="auto"/>
                <w:sz w:val="30"/>
                <w:szCs w:val="30"/>
                <w:highlight w:val="none"/>
              </w:rPr>
            </w:pPr>
          </w:p>
        </w:tc>
        <w:tc>
          <w:tcPr>
            <w:tcW w:w="1134" w:type="dxa"/>
            <w:vAlign w:val="center"/>
          </w:tcPr>
          <w:p w14:paraId="6233DF45">
            <w:pPr>
              <w:jc w:val="center"/>
              <w:rPr>
                <w:rFonts w:ascii="仿宋_GB2312" w:hAnsi="仿宋" w:eastAsia="仿宋_GB2312"/>
                <w:color w:val="auto"/>
                <w:sz w:val="30"/>
                <w:szCs w:val="30"/>
                <w:highlight w:val="none"/>
              </w:rPr>
            </w:pPr>
          </w:p>
        </w:tc>
        <w:tc>
          <w:tcPr>
            <w:tcW w:w="1417" w:type="dxa"/>
            <w:vAlign w:val="center"/>
          </w:tcPr>
          <w:p w14:paraId="5AC2B08B">
            <w:pPr>
              <w:jc w:val="center"/>
              <w:rPr>
                <w:rFonts w:ascii="仿宋_GB2312" w:hAnsi="仿宋" w:eastAsia="仿宋_GB2312"/>
                <w:color w:val="auto"/>
                <w:sz w:val="30"/>
                <w:szCs w:val="30"/>
                <w:highlight w:val="none"/>
              </w:rPr>
            </w:pPr>
          </w:p>
        </w:tc>
        <w:tc>
          <w:tcPr>
            <w:tcW w:w="1276" w:type="dxa"/>
            <w:vAlign w:val="center"/>
          </w:tcPr>
          <w:p w14:paraId="43C161C0">
            <w:pPr>
              <w:jc w:val="center"/>
              <w:rPr>
                <w:rFonts w:ascii="仿宋_GB2312" w:hAnsi="仿宋" w:eastAsia="仿宋_GB2312"/>
                <w:color w:val="auto"/>
                <w:sz w:val="30"/>
                <w:szCs w:val="30"/>
                <w:highlight w:val="none"/>
              </w:rPr>
            </w:pPr>
          </w:p>
        </w:tc>
        <w:tc>
          <w:tcPr>
            <w:tcW w:w="1210" w:type="dxa"/>
            <w:vAlign w:val="center"/>
          </w:tcPr>
          <w:p w14:paraId="211D9F16">
            <w:pPr>
              <w:jc w:val="center"/>
              <w:rPr>
                <w:rFonts w:ascii="仿宋_GB2312" w:hAnsi="仿宋" w:eastAsia="仿宋_GB2312"/>
                <w:color w:val="auto"/>
                <w:sz w:val="30"/>
                <w:szCs w:val="30"/>
                <w:highlight w:val="none"/>
              </w:rPr>
            </w:pPr>
          </w:p>
        </w:tc>
      </w:tr>
      <w:tr w14:paraId="015C8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0FA8038">
            <w:pPr>
              <w:jc w:val="center"/>
              <w:rPr>
                <w:rFonts w:ascii="仿宋_GB2312" w:hAnsi="仿宋" w:eastAsia="仿宋_GB2312"/>
                <w:color w:val="auto"/>
                <w:sz w:val="30"/>
                <w:szCs w:val="30"/>
                <w:highlight w:val="none"/>
              </w:rPr>
            </w:pPr>
          </w:p>
        </w:tc>
        <w:tc>
          <w:tcPr>
            <w:tcW w:w="917" w:type="dxa"/>
            <w:vAlign w:val="center"/>
          </w:tcPr>
          <w:p w14:paraId="77D314BC">
            <w:pPr>
              <w:jc w:val="center"/>
              <w:rPr>
                <w:rFonts w:ascii="仿宋_GB2312" w:hAnsi="仿宋" w:eastAsia="仿宋_GB2312"/>
                <w:color w:val="auto"/>
                <w:sz w:val="30"/>
                <w:szCs w:val="30"/>
                <w:highlight w:val="none"/>
              </w:rPr>
            </w:pPr>
          </w:p>
        </w:tc>
        <w:tc>
          <w:tcPr>
            <w:tcW w:w="2552" w:type="dxa"/>
            <w:vAlign w:val="center"/>
          </w:tcPr>
          <w:p w14:paraId="1AC66116">
            <w:pPr>
              <w:jc w:val="center"/>
              <w:rPr>
                <w:rFonts w:ascii="仿宋_GB2312" w:hAnsi="仿宋" w:eastAsia="仿宋_GB2312"/>
                <w:color w:val="auto"/>
                <w:sz w:val="30"/>
                <w:szCs w:val="30"/>
                <w:highlight w:val="none"/>
              </w:rPr>
            </w:pPr>
          </w:p>
        </w:tc>
        <w:tc>
          <w:tcPr>
            <w:tcW w:w="1134" w:type="dxa"/>
            <w:vAlign w:val="center"/>
          </w:tcPr>
          <w:p w14:paraId="62374F83">
            <w:pPr>
              <w:jc w:val="center"/>
              <w:rPr>
                <w:rFonts w:ascii="仿宋_GB2312" w:hAnsi="仿宋" w:eastAsia="仿宋_GB2312"/>
                <w:color w:val="auto"/>
                <w:sz w:val="30"/>
                <w:szCs w:val="30"/>
                <w:highlight w:val="none"/>
              </w:rPr>
            </w:pPr>
          </w:p>
        </w:tc>
        <w:tc>
          <w:tcPr>
            <w:tcW w:w="1417" w:type="dxa"/>
            <w:vAlign w:val="center"/>
          </w:tcPr>
          <w:p w14:paraId="45A22BC0">
            <w:pPr>
              <w:jc w:val="center"/>
              <w:rPr>
                <w:rFonts w:ascii="仿宋_GB2312" w:hAnsi="仿宋" w:eastAsia="仿宋_GB2312"/>
                <w:color w:val="auto"/>
                <w:sz w:val="30"/>
                <w:szCs w:val="30"/>
                <w:highlight w:val="none"/>
              </w:rPr>
            </w:pPr>
          </w:p>
        </w:tc>
        <w:tc>
          <w:tcPr>
            <w:tcW w:w="1276" w:type="dxa"/>
            <w:vAlign w:val="center"/>
          </w:tcPr>
          <w:p w14:paraId="53318AC5">
            <w:pPr>
              <w:jc w:val="center"/>
              <w:rPr>
                <w:rFonts w:ascii="仿宋_GB2312" w:hAnsi="仿宋" w:eastAsia="仿宋_GB2312"/>
                <w:color w:val="auto"/>
                <w:sz w:val="30"/>
                <w:szCs w:val="30"/>
                <w:highlight w:val="none"/>
              </w:rPr>
            </w:pPr>
          </w:p>
        </w:tc>
        <w:tc>
          <w:tcPr>
            <w:tcW w:w="1210" w:type="dxa"/>
            <w:vAlign w:val="center"/>
          </w:tcPr>
          <w:p w14:paraId="75153249">
            <w:pPr>
              <w:jc w:val="center"/>
              <w:rPr>
                <w:rFonts w:ascii="仿宋_GB2312" w:hAnsi="仿宋" w:eastAsia="仿宋_GB2312"/>
                <w:color w:val="auto"/>
                <w:sz w:val="30"/>
                <w:szCs w:val="30"/>
                <w:highlight w:val="none"/>
              </w:rPr>
            </w:pPr>
          </w:p>
        </w:tc>
      </w:tr>
      <w:tr w14:paraId="43EB6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9B28607">
            <w:pPr>
              <w:jc w:val="center"/>
              <w:rPr>
                <w:rFonts w:ascii="仿宋_GB2312" w:hAnsi="仿宋" w:eastAsia="仿宋_GB2312"/>
                <w:color w:val="auto"/>
                <w:sz w:val="30"/>
                <w:szCs w:val="30"/>
                <w:highlight w:val="none"/>
              </w:rPr>
            </w:pPr>
          </w:p>
        </w:tc>
        <w:tc>
          <w:tcPr>
            <w:tcW w:w="917" w:type="dxa"/>
            <w:vAlign w:val="center"/>
          </w:tcPr>
          <w:p w14:paraId="3D8CA3DA">
            <w:pPr>
              <w:jc w:val="center"/>
              <w:rPr>
                <w:rFonts w:ascii="仿宋_GB2312" w:hAnsi="仿宋" w:eastAsia="仿宋_GB2312"/>
                <w:color w:val="auto"/>
                <w:sz w:val="30"/>
                <w:szCs w:val="30"/>
                <w:highlight w:val="none"/>
              </w:rPr>
            </w:pPr>
          </w:p>
        </w:tc>
        <w:tc>
          <w:tcPr>
            <w:tcW w:w="2552" w:type="dxa"/>
            <w:vAlign w:val="center"/>
          </w:tcPr>
          <w:p w14:paraId="5E81FADB">
            <w:pPr>
              <w:jc w:val="center"/>
              <w:rPr>
                <w:rFonts w:ascii="仿宋_GB2312" w:hAnsi="仿宋" w:eastAsia="仿宋_GB2312"/>
                <w:color w:val="auto"/>
                <w:sz w:val="30"/>
                <w:szCs w:val="30"/>
                <w:highlight w:val="none"/>
              </w:rPr>
            </w:pPr>
          </w:p>
        </w:tc>
        <w:tc>
          <w:tcPr>
            <w:tcW w:w="1134" w:type="dxa"/>
            <w:vAlign w:val="center"/>
          </w:tcPr>
          <w:p w14:paraId="7DBB05CB">
            <w:pPr>
              <w:jc w:val="center"/>
              <w:rPr>
                <w:rFonts w:ascii="仿宋_GB2312" w:hAnsi="仿宋" w:eastAsia="仿宋_GB2312"/>
                <w:color w:val="auto"/>
                <w:sz w:val="30"/>
                <w:szCs w:val="30"/>
                <w:highlight w:val="none"/>
              </w:rPr>
            </w:pPr>
          </w:p>
        </w:tc>
        <w:tc>
          <w:tcPr>
            <w:tcW w:w="1417" w:type="dxa"/>
            <w:vAlign w:val="center"/>
          </w:tcPr>
          <w:p w14:paraId="5ECFC59C">
            <w:pPr>
              <w:jc w:val="center"/>
              <w:rPr>
                <w:rFonts w:ascii="仿宋_GB2312" w:hAnsi="仿宋" w:eastAsia="仿宋_GB2312"/>
                <w:color w:val="auto"/>
                <w:sz w:val="30"/>
                <w:szCs w:val="30"/>
                <w:highlight w:val="none"/>
              </w:rPr>
            </w:pPr>
          </w:p>
        </w:tc>
        <w:tc>
          <w:tcPr>
            <w:tcW w:w="1276" w:type="dxa"/>
            <w:vAlign w:val="center"/>
          </w:tcPr>
          <w:p w14:paraId="41C6E165">
            <w:pPr>
              <w:jc w:val="center"/>
              <w:rPr>
                <w:rFonts w:ascii="仿宋_GB2312" w:hAnsi="仿宋" w:eastAsia="仿宋_GB2312"/>
                <w:color w:val="auto"/>
                <w:sz w:val="30"/>
                <w:szCs w:val="30"/>
                <w:highlight w:val="none"/>
              </w:rPr>
            </w:pPr>
          </w:p>
        </w:tc>
        <w:tc>
          <w:tcPr>
            <w:tcW w:w="1210" w:type="dxa"/>
            <w:vAlign w:val="center"/>
          </w:tcPr>
          <w:p w14:paraId="02BF5CFF">
            <w:pPr>
              <w:jc w:val="center"/>
              <w:rPr>
                <w:rFonts w:ascii="仿宋_GB2312" w:hAnsi="仿宋" w:eastAsia="仿宋_GB2312"/>
                <w:color w:val="auto"/>
                <w:sz w:val="30"/>
                <w:szCs w:val="30"/>
                <w:highlight w:val="none"/>
              </w:rPr>
            </w:pPr>
          </w:p>
        </w:tc>
      </w:tr>
      <w:tr w14:paraId="13B67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7C26A72">
            <w:pPr>
              <w:jc w:val="center"/>
              <w:rPr>
                <w:rFonts w:ascii="仿宋_GB2312" w:hAnsi="仿宋" w:eastAsia="仿宋_GB2312"/>
                <w:color w:val="auto"/>
                <w:sz w:val="30"/>
                <w:szCs w:val="30"/>
                <w:highlight w:val="none"/>
              </w:rPr>
            </w:pPr>
          </w:p>
        </w:tc>
        <w:tc>
          <w:tcPr>
            <w:tcW w:w="917" w:type="dxa"/>
            <w:vAlign w:val="center"/>
          </w:tcPr>
          <w:p w14:paraId="6888256B">
            <w:pPr>
              <w:jc w:val="center"/>
              <w:rPr>
                <w:rFonts w:ascii="仿宋_GB2312" w:hAnsi="仿宋" w:eastAsia="仿宋_GB2312"/>
                <w:color w:val="auto"/>
                <w:sz w:val="30"/>
                <w:szCs w:val="30"/>
                <w:highlight w:val="none"/>
              </w:rPr>
            </w:pPr>
          </w:p>
        </w:tc>
        <w:tc>
          <w:tcPr>
            <w:tcW w:w="2552" w:type="dxa"/>
            <w:vAlign w:val="center"/>
          </w:tcPr>
          <w:p w14:paraId="19778F26">
            <w:pPr>
              <w:jc w:val="center"/>
              <w:rPr>
                <w:rFonts w:ascii="仿宋_GB2312" w:hAnsi="仿宋" w:eastAsia="仿宋_GB2312"/>
                <w:color w:val="auto"/>
                <w:sz w:val="30"/>
                <w:szCs w:val="30"/>
                <w:highlight w:val="none"/>
              </w:rPr>
            </w:pPr>
          </w:p>
        </w:tc>
        <w:tc>
          <w:tcPr>
            <w:tcW w:w="1134" w:type="dxa"/>
            <w:vAlign w:val="center"/>
          </w:tcPr>
          <w:p w14:paraId="77F93ED1">
            <w:pPr>
              <w:jc w:val="center"/>
              <w:rPr>
                <w:rFonts w:ascii="仿宋_GB2312" w:hAnsi="仿宋" w:eastAsia="仿宋_GB2312"/>
                <w:color w:val="auto"/>
                <w:sz w:val="30"/>
                <w:szCs w:val="30"/>
                <w:highlight w:val="none"/>
              </w:rPr>
            </w:pPr>
          </w:p>
        </w:tc>
        <w:tc>
          <w:tcPr>
            <w:tcW w:w="1417" w:type="dxa"/>
            <w:vAlign w:val="center"/>
          </w:tcPr>
          <w:p w14:paraId="5D5E97A8">
            <w:pPr>
              <w:jc w:val="center"/>
              <w:rPr>
                <w:rFonts w:ascii="仿宋_GB2312" w:hAnsi="仿宋" w:eastAsia="仿宋_GB2312"/>
                <w:color w:val="auto"/>
                <w:sz w:val="30"/>
                <w:szCs w:val="30"/>
                <w:highlight w:val="none"/>
              </w:rPr>
            </w:pPr>
          </w:p>
        </w:tc>
        <w:tc>
          <w:tcPr>
            <w:tcW w:w="1276" w:type="dxa"/>
            <w:vAlign w:val="center"/>
          </w:tcPr>
          <w:p w14:paraId="44E8AFE6">
            <w:pPr>
              <w:jc w:val="center"/>
              <w:rPr>
                <w:rFonts w:ascii="仿宋_GB2312" w:hAnsi="仿宋" w:eastAsia="仿宋_GB2312"/>
                <w:color w:val="auto"/>
                <w:sz w:val="30"/>
                <w:szCs w:val="30"/>
                <w:highlight w:val="none"/>
              </w:rPr>
            </w:pPr>
          </w:p>
        </w:tc>
        <w:tc>
          <w:tcPr>
            <w:tcW w:w="1210" w:type="dxa"/>
            <w:vAlign w:val="center"/>
          </w:tcPr>
          <w:p w14:paraId="0045D1C6">
            <w:pPr>
              <w:jc w:val="center"/>
              <w:rPr>
                <w:rFonts w:ascii="仿宋_GB2312" w:hAnsi="仿宋" w:eastAsia="仿宋_GB2312"/>
                <w:color w:val="auto"/>
                <w:sz w:val="30"/>
                <w:szCs w:val="30"/>
                <w:highlight w:val="none"/>
              </w:rPr>
            </w:pPr>
          </w:p>
        </w:tc>
      </w:tr>
      <w:tr w14:paraId="21A21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8439863">
            <w:pPr>
              <w:jc w:val="center"/>
              <w:rPr>
                <w:rFonts w:ascii="仿宋_GB2312" w:hAnsi="仿宋" w:eastAsia="仿宋_GB2312"/>
                <w:color w:val="auto"/>
                <w:sz w:val="30"/>
                <w:szCs w:val="30"/>
                <w:highlight w:val="none"/>
              </w:rPr>
            </w:pPr>
          </w:p>
        </w:tc>
        <w:tc>
          <w:tcPr>
            <w:tcW w:w="917" w:type="dxa"/>
            <w:vAlign w:val="center"/>
          </w:tcPr>
          <w:p w14:paraId="0B4767FF">
            <w:pPr>
              <w:jc w:val="center"/>
              <w:rPr>
                <w:rFonts w:ascii="仿宋_GB2312" w:hAnsi="仿宋" w:eastAsia="仿宋_GB2312"/>
                <w:color w:val="auto"/>
                <w:sz w:val="30"/>
                <w:szCs w:val="30"/>
                <w:highlight w:val="none"/>
              </w:rPr>
            </w:pPr>
          </w:p>
        </w:tc>
        <w:tc>
          <w:tcPr>
            <w:tcW w:w="2552" w:type="dxa"/>
            <w:vAlign w:val="center"/>
          </w:tcPr>
          <w:p w14:paraId="45216522">
            <w:pPr>
              <w:jc w:val="center"/>
              <w:rPr>
                <w:rFonts w:ascii="仿宋_GB2312" w:hAnsi="仿宋" w:eastAsia="仿宋_GB2312"/>
                <w:color w:val="auto"/>
                <w:sz w:val="30"/>
                <w:szCs w:val="30"/>
                <w:highlight w:val="none"/>
              </w:rPr>
            </w:pPr>
          </w:p>
        </w:tc>
        <w:tc>
          <w:tcPr>
            <w:tcW w:w="1134" w:type="dxa"/>
            <w:vAlign w:val="center"/>
          </w:tcPr>
          <w:p w14:paraId="7692F32A">
            <w:pPr>
              <w:jc w:val="center"/>
              <w:rPr>
                <w:rFonts w:ascii="仿宋_GB2312" w:hAnsi="仿宋" w:eastAsia="仿宋_GB2312"/>
                <w:color w:val="auto"/>
                <w:sz w:val="30"/>
                <w:szCs w:val="30"/>
                <w:highlight w:val="none"/>
              </w:rPr>
            </w:pPr>
          </w:p>
        </w:tc>
        <w:tc>
          <w:tcPr>
            <w:tcW w:w="1417" w:type="dxa"/>
            <w:vAlign w:val="center"/>
          </w:tcPr>
          <w:p w14:paraId="7E5E8764">
            <w:pPr>
              <w:jc w:val="center"/>
              <w:rPr>
                <w:rFonts w:ascii="仿宋_GB2312" w:hAnsi="仿宋" w:eastAsia="仿宋_GB2312"/>
                <w:color w:val="auto"/>
                <w:sz w:val="30"/>
                <w:szCs w:val="30"/>
                <w:highlight w:val="none"/>
              </w:rPr>
            </w:pPr>
          </w:p>
        </w:tc>
        <w:tc>
          <w:tcPr>
            <w:tcW w:w="1276" w:type="dxa"/>
            <w:vAlign w:val="center"/>
          </w:tcPr>
          <w:p w14:paraId="6EF939AA">
            <w:pPr>
              <w:jc w:val="center"/>
              <w:rPr>
                <w:rFonts w:ascii="仿宋_GB2312" w:hAnsi="仿宋" w:eastAsia="仿宋_GB2312"/>
                <w:color w:val="auto"/>
                <w:sz w:val="30"/>
                <w:szCs w:val="30"/>
                <w:highlight w:val="none"/>
              </w:rPr>
            </w:pPr>
          </w:p>
        </w:tc>
        <w:tc>
          <w:tcPr>
            <w:tcW w:w="1210" w:type="dxa"/>
            <w:vAlign w:val="center"/>
          </w:tcPr>
          <w:p w14:paraId="266ABBBE">
            <w:pPr>
              <w:jc w:val="center"/>
              <w:rPr>
                <w:rFonts w:ascii="仿宋_GB2312" w:hAnsi="仿宋" w:eastAsia="仿宋_GB2312"/>
                <w:color w:val="auto"/>
                <w:sz w:val="30"/>
                <w:szCs w:val="30"/>
                <w:highlight w:val="none"/>
              </w:rPr>
            </w:pPr>
          </w:p>
        </w:tc>
      </w:tr>
    </w:tbl>
    <w:p w14:paraId="0533D178">
      <w:pPr>
        <w:rPr>
          <w:rFonts w:ascii="仿宋_GB2312" w:hAnsi="仿宋" w:eastAsia="仿宋_GB2312"/>
          <w:color w:val="auto"/>
          <w:sz w:val="24"/>
          <w:highlight w:val="none"/>
        </w:rPr>
      </w:pPr>
      <w:r>
        <w:rPr>
          <w:rFonts w:hint="eastAsia" w:ascii="仿宋_GB2312" w:hAnsi="仿宋" w:eastAsia="仿宋_GB2312"/>
          <w:color w:val="auto"/>
          <w:sz w:val="24"/>
          <w:highlight w:val="none"/>
        </w:rPr>
        <w:t>备注：此表应认真填写，不得提供虚假业绩。</w:t>
      </w:r>
    </w:p>
    <w:p w14:paraId="6045BD47">
      <w:pPr>
        <w:ind w:firstLine="720" w:firstLineChars="300"/>
        <w:rPr>
          <w:rFonts w:ascii="仿宋_GB2312" w:hAnsi="仿宋" w:eastAsia="仿宋_GB2312"/>
          <w:color w:val="auto"/>
          <w:sz w:val="24"/>
          <w:highlight w:val="none"/>
        </w:rPr>
      </w:pPr>
      <w:r>
        <w:rPr>
          <w:rFonts w:hint="eastAsia" w:ascii="仿宋_GB2312" w:hAnsi="仿宋" w:eastAsia="仿宋_GB2312"/>
          <w:color w:val="auto"/>
          <w:sz w:val="24"/>
          <w:highlight w:val="none"/>
        </w:rPr>
        <w:t>后附合同书的扫描件；</w:t>
      </w:r>
    </w:p>
    <w:p w14:paraId="41DDFE50">
      <w:pPr>
        <w:ind w:firstLine="720" w:firstLineChars="300"/>
        <w:rPr>
          <w:rFonts w:ascii="仿宋_GB2312" w:hAnsi="仿宋" w:eastAsia="仿宋_GB2312"/>
          <w:color w:val="auto"/>
          <w:sz w:val="24"/>
          <w:highlight w:val="none"/>
        </w:rPr>
      </w:pPr>
      <w:r>
        <w:rPr>
          <w:rFonts w:hint="eastAsia" w:ascii="仿宋_GB2312" w:hAnsi="仿宋" w:eastAsia="仿宋_GB2312"/>
          <w:color w:val="auto"/>
          <w:sz w:val="24"/>
          <w:highlight w:val="none"/>
        </w:rPr>
        <w:t>界定日期以合同签订时间为准。</w:t>
      </w:r>
    </w:p>
    <w:p w14:paraId="1286AC3F">
      <w:pPr>
        <w:ind w:firstLine="720" w:firstLineChars="300"/>
        <w:rPr>
          <w:rFonts w:ascii="仿宋_GB2312" w:hAnsi="仿宋" w:eastAsia="仿宋_GB2312"/>
          <w:color w:val="auto"/>
          <w:sz w:val="24"/>
          <w:highlight w:val="none"/>
        </w:rPr>
      </w:pPr>
    </w:p>
    <w:p w14:paraId="2FE2A291">
      <w:pPr>
        <w:wordWrap w:val="0"/>
        <w:jc w:val="right"/>
        <w:rPr>
          <w:rFonts w:ascii="仿宋_GB2312" w:hAnsi="仿宋" w:eastAsia="仿宋_GB2312"/>
          <w:color w:val="auto"/>
          <w:sz w:val="24"/>
          <w:highlight w:val="none"/>
        </w:rPr>
      </w:pPr>
      <w:r>
        <w:rPr>
          <w:rFonts w:hint="eastAsia" w:ascii="仿宋_GB2312" w:hAnsi="仿宋" w:eastAsia="仿宋_GB2312"/>
          <w:color w:val="auto"/>
          <w:sz w:val="30"/>
          <w:szCs w:val="30"/>
          <w:highlight w:val="none"/>
        </w:rPr>
        <w:t xml:space="preserve">投标人名称(盖章):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p>
    <w:p w14:paraId="0DC27E8A">
      <w:pPr>
        <w:wordWrap w:val="0"/>
        <w:spacing w:line="560" w:lineRule="exact"/>
        <w:jc w:val="right"/>
        <w:rPr>
          <w:rFonts w:ascii="仿宋_GB2312" w:hAnsi="仿宋" w:eastAsia="仿宋_GB2312"/>
          <w:color w:val="auto"/>
          <w:sz w:val="30"/>
          <w:szCs w:val="30"/>
          <w:highlight w:val="none"/>
        </w:rPr>
      </w:pPr>
      <w:r>
        <w:rPr>
          <w:rFonts w:hint="eastAsia" w:ascii="仿宋_GB2312" w:hAnsi="仿宋" w:eastAsia="仿宋_GB2312"/>
          <w:color w:val="auto"/>
          <w:sz w:val="32"/>
          <w:szCs w:val="32"/>
          <w:highlight w:val="none"/>
        </w:rPr>
        <w:t>法定代表人（依法登记的负责人）或授权代表（签字或签章）</w:t>
      </w:r>
      <w:r>
        <w:rPr>
          <w:rFonts w:hint="eastAsia" w:ascii="仿宋_GB2312" w:hAnsi="仿宋" w:eastAsia="仿宋_GB2312"/>
          <w:color w:val="auto"/>
          <w:sz w:val="30"/>
          <w:szCs w:val="30"/>
          <w:highlight w:val="none"/>
        </w:rPr>
        <w:t xml:space="preserve">: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p>
    <w:p w14:paraId="38A35970">
      <w:pPr>
        <w:rPr>
          <w:rFonts w:hint="eastAsia" w:ascii="黑体" w:hAnsi="黑体" w:eastAsia="黑体"/>
          <w:color w:val="auto"/>
          <w:sz w:val="44"/>
          <w:szCs w:val="44"/>
          <w:highlight w:val="none"/>
        </w:rPr>
      </w:pPr>
      <w:r>
        <w:rPr>
          <w:rFonts w:hint="eastAsia" w:ascii="黑体" w:hAnsi="黑体" w:eastAsia="黑体"/>
          <w:color w:val="auto"/>
          <w:sz w:val="44"/>
          <w:szCs w:val="44"/>
          <w:highlight w:val="none"/>
        </w:rPr>
        <w:br w:type="page"/>
      </w:r>
    </w:p>
    <w:p w14:paraId="186E6CC7">
      <w:pPr>
        <w:jc w:val="center"/>
        <w:rPr>
          <w:rFonts w:ascii="Arial" w:hAnsi="Arial" w:eastAsia="黑体"/>
          <w:bCs/>
          <w:color w:val="auto"/>
          <w:sz w:val="44"/>
          <w:szCs w:val="32"/>
          <w:highlight w:val="none"/>
        </w:rPr>
      </w:pPr>
      <w:r>
        <w:rPr>
          <w:rFonts w:hint="eastAsia" w:ascii="黑体" w:hAnsi="黑体" w:eastAsia="黑体"/>
          <w:color w:val="auto"/>
          <w:sz w:val="44"/>
          <w:szCs w:val="44"/>
          <w:highlight w:val="none"/>
        </w:rPr>
        <w:t>技术文件</w:t>
      </w:r>
    </w:p>
    <w:p w14:paraId="0C89ABF9">
      <w:pPr>
        <w:jc w:val="center"/>
        <w:rPr>
          <w:rFonts w:ascii="仿宋_GB2312" w:hAnsi="仿宋" w:eastAsia="仿宋_GB2312"/>
          <w:color w:val="auto"/>
          <w:sz w:val="30"/>
          <w:szCs w:val="30"/>
          <w:highlight w:val="none"/>
        </w:rPr>
      </w:pPr>
    </w:p>
    <w:p w14:paraId="4DE91392">
      <w:pPr>
        <w:jc w:val="center"/>
        <w:rPr>
          <w:rFonts w:ascii="黑体" w:hAnsi="黑体" w:eastAsia="黑体"/>
          <w:color w:val="auto"/>
          <w:sz w:val="32"/>
          <w:szCs w:val="32"/>
          <w:highlight w:val="none"/>
        </w:rPr>
      </w:pPr>
      <w:r>
        <w:rPr>
          <w:rFonts w:ascii="仿宋_GB2312" w:hAnsi="仿宋" w:eastAsia="仿宋_GB2312"/>
          <w:color w:val="auto"/>
          <w:sz w:val="30"/>
          <w:szCs w:val="30"/>
          <w:highlight w:val="none"/>
        </w:rPr>
        <w:br w:type="page"/>
      </w:r>
      <w:r>
        <w:rPr>
          <w:rFonts w:hint="eastAsia" w:ascii="黑体" w:hAnsi="黑体" w:eastAsia="黑体"/>
          <w:color w:val="auto"/>
          <w:sz w:val="32"/>
          <w:szCs w:val="32"/>
          <w:highlight w:val="none"/>
        </w:rPr>
        <w:t>技术服务、培训和售后服务内容及承诺</w:t>
      </w:r>
    </w:p>
    <w:p w14:paraId="3B95237A">
      <w:pPr>
        <w:jc w:val="center"/>
        <w:rPr>
          <w:rFonts w:ascii="黑体" w:hAnsi="黑体" w:eastAsia="黑体"/>
          <w:color w:val="auto"/>
          <w:sz w:val="32"/>
          <w:szCs w:val="44"/>
          <w:highlight w:val="none"/>
        </w:rPr>
      </w:pPr>
    </w:p>
    <w:tbl>
      <w:tblPr>
        <w:tblStyle w:val="30"/>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820"/>
      </w:tblGrid>
      <w:tr w14:paraId="0AB1B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134" w:hRule="atLeast"/>
          <w:jc w:val="center"/>
        </w:trPr>
        <w:tc>
          <w:tcPr>
            <w:tcW w:w="8820" w:type="dxa"/>
            <w:tcBorders>
              <w:top w:val="single" w:color="auto" w:sz="4" w:space="0"/>
              <w:left w:val="single" w:color="auto" w:sz="4" w:space="0"/>
              <w:bottom w:val="single" w:color="auto" w:sz="4" w:space="0"/>
              <w:right w:val="single" w:color="auto" w:sz="4" w:space="0"/>
            </w:tcBorders>
          </w:tcPr>
          <w:p w14:paraId="132B20FD">
            <w:pPr>
              <w:tabs>
                <w:tab w:val="left" w:pos="1005"/>
              </w:tabs>
              <w:spacing w:line="440" w:lineRule="exac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技术、培训和售后服务承诺：</w:t>
            </w:r>
          </w:p>
          <w:p w14:paraId="21B0BA9A">
            <w:pPr>
              <w:tabs>
                <w:tab w:val="left" w:pos="1005"/>
              </w:tabs>
              <w:spacing w:line="440" w:lineRule="exac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 xml:space="preserve">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p>
        </w:tc>
      </w:tr>
      <w:tr w14:paraId="16CC0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963" w:hRule="atLeast"/>
          <w:jc w:val="center"/>
        </w:trPr>
        <w:tc>
          <w:tcPr>
            <w:tcW w:w="8820" w:type="dxa"/>
            <w:tcBorders>
              <w:top w:val="single" w:color="auto" w:sz="4" w:space="0"/>
              <w:left w:val="single" w:color="auto" w:sz="4" w:space="0"/>
              <w:bottom w:val="single" w:color="auto" w:sz="4" w:space="0"/>
              <w:right w:val="single" w:color="auto" w:sz="4" w:space="0"/>
            </w:tcBorders>
          </w:tcPr>
          <w:p w14:paraId="204B209A">
            <w:pPr>
              <w:tabs>
                <w:tab w:val="left" w:pos="1005"/>
              </w:tabs>
              <w:spacing w:line="440" w:lineRule="exac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售后服务承诺至少包含下列内容</w:t>
            </w:r>
          </w:p>
          <w:p w14:paraId="2AF41493">
            <w:pPr>
              <w:tabs>
                <w:tab w:val="left" w:pos="1005"/>
              </w:tabs>
              <w:spacing w:line="440" w:lineRule="exac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响应时间：</w:t>
            </w:r>
          </w:p>
          <w:p w14:paraId="25AA07B2">
            <w:pPr>
              <w:tabs>
                <w:tab w:val="left" w:pos="1005"/>
              </w:tabs>
              <w:spacing w:line="440" w:lineRule="exac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到达现场时间：</w:t>
            </w:r>
          </w:p>
          <w:p w14:paraId="17477CCA">
            <w:pPr>
              <w:tabs>
                <w:tab w:val="left" w:pos="1005"/>
              </w:tabs>
              <w:spacing w:line="440" w:lineRule="exac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完成修复时间：</w:t>
            </w:r>
          </w:p>
          <w:p w14:paraId="0C030CA8">
            <w:pPr>
              <w:tabs>
                <w:tab w:val="left" w:pos="1005"/>
              </w:tabs>
              <w:spacing w:line="440" w:lineRule="exac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不能修复的保证措施：</w:t>
            </w:r>
          </w:p>
          <w:p w14:paraId="21F16EE4">
            <w:pPr>
              <w:tabs>
                <w:tab w:val="left" w:pos="1005"/>
              </w:tabs>
              <w:spacing w:line="440" w:lineRule="exac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质保期内措施：</w:t>
            </w:r>
          </w:p>
          <w:p w14:paraId="77EDDCE9">
            <w:pPr>
              <w:tabs>
                <w:tab w:val="left" w:pos="1005"/>
              </w:tabs>
              <w:spacing w:line="440" w:lineRule="exac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质保期外措施：</w:t>
            </w:r>
          </w:p>
          <w:p w14:paraId="4067DE2C">
            <w:pPr>
              <w:tabs>
                <w:tab w:val="left" w:pos="1005"/>
              </w:tabs>
              <w:spacing w:line="440" w:lineRule="exac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w:t>
            </w:r>
          </w:p>
        </w:tc>
      </w:tr>
    </w:tbl>
    <w:p w14:paraId="738AB473">
      <w:pPr>
        <w:ind w:firstLine="4200" w:firstLineChars="1400"/>
        <w:rPr>
          <w:rFonts w:ascii="仿宋" w:hAnsi="仿宋" w:eastAsia="仿宋"/>
          <w:color w:val="auto"/>
          <w:sz w:val="30"/>
          <w:szCs w:val="30"/>
          <w:highlight w:val="none"/>
        </w:rPr>
      </w:pPr>
    </w:p>
    <w:p w14:paraId="6C39360F">
      <w:pPr>
        <w:wordWrap w:val="0"/>
        <w:spacing w:line="520" w:lineRule="exact"/>
        <w:ind w:firstLine="4050" w:firstLineChars="1350"/>
        <w:jc w:val="right"/>
        <w:rPr>
          <w:rFonts w:ascii="仿宋" w:hAnsi="仿宋" w:eastAsia="仿宋"/>
          <w:color w:val="auto"/>
          <w:sz w:val="30"/>
          <w:szCs w:val="30"/>
          <w:highlight w:val="none"/>
        </w:rPr>
      </w:pPr>
      <w:r>
        <w:rPr>
          <w:rFonts w:hint="eastAsia" w:ascii="仿宋" w:hAnsi="仿宋" w:eastAsia="仿宋"/>
          <w:color w:val="auto"/>
          <w:sz w:val="30"/>
          <w:szCs w:val="30"/>
          <w:highlight w:val="none"/>
        </w:rPr>
        <w:t xml:space="preserve">投标人名称(盖章):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r>
        <w:rPr>
          <w:rFonts w:hint="eastAsia" w:ascii="仿宋" w:hAnsi="仿宋" w:eastAsia="仿宋"/>
          <w:color w:val="auto"/>
          <w:sz w:val="30"/>
          <w:szCs w:val="30"/>
          <w:highlight w:val="none"/>
        </w:rPr>
        <w:t xml:space="preserve">   </w:t>
      </w:r>
    </w:p>
    <w:p w14:paraId="3358DABE">
      <w:pPr>
        <w:wordWrap w:val="0"/>
        <w:jc w:val="right"/>
        <w:rPr>
          <w:rFonts w:ascii="仿宋_GB2312" w:hAnsi="仿宋" w:eastAsia="仿宋_GB2312"/>
          <w:color w:val="auto"/>
          <w:sz w:val="30"/>
          <w:szCs w:val="30"/>
          <w:highlight w:val="none"/>
        </w:rPr>
      </w:pPr>
      <w:r>
        <w:rPr>
          <w:rFonts w:hint="eastAsia" w:ascii="仿宋_GB2312" w:hAnsi="仿宋" w:eastAsia="仿宋_GB2312"/>
          <w:color w:val="auto"/>
          <w:sz w:val="32"/>
          <w:szCs w:val="32"/>
          <w:highlight w:val="none"/>
        </w:rPr>
        <w:t>法定代表人（依法登记的负责人）或授权代表（签字或签章）</w:t>
      </w:r>
      <w:r>
        <w:rPr>
          <w:rFonts w:hint="eastAsia" w:ascii="仿宋" w:hAnsi="仿宋" w:eastAsia="仿宋"/>
          <w:color w:val="auto"/>
          <w:sz w:val="30"/>
          <w:szCs w:val="30"/>
          <w:highlight w:val="none"/>
        </w:rPr>
        <w:t xml:space="preserve">: </w:t>
      </w:r>
      <w:r>
        <w:rPr>
          <w:rFonts w:hint="eastAsia" w:ascii="仿宋_GB2312" w:hAnsi="仿宋" w:eastAsia="仿宋_GB2312"/>
          <w:color w:val="auto"/>
          <w:sz w:val="30"/>
          <w:szCs w:val="30"/>
          <w:highlight w:val="none"/>
        </w:rPr>
        <w:t xml:space="preserve">  </w:t>
      </w:r>
      <w:r>
        <w:rPr>
          <w:rFonts w:ascii="仿宋_GB2312" w:hAnsi="仿宋" w:eastAsia="仿宋_GB2312"/>
          <w:color w:val="auto"/>
          <w:sz w:val="30"/>
          <w:szCs w:val="30"/>
          <w:highlight w:val="none"/>
        </w:rPr>
        <w:t xml:space="preserve"> </w:t>
      </w:r>
      <w:r>
        <w:rPr>
          <w:rFonts w:hint="eastAsia" w:ascii="仿宋" w:hAnsi="仿宋" w:eastAsia="仿宋"/>
          <w:color w:val="auto"/>
          <w:sz w:val="30"/>
          <w:szCs w:val="30"/>
          <w:highlight w:val="none"/>
        </w:rPr>
        <w:t xml:space="preserve">    </w:t>
      </w:r>
    </w:p>
    <w:p w14:paraId="35A7D87E">
      <w:pPr>
        <w:jc w:val="right"/>
        <w:rPr>
          <w:rFonts w:ascii="仿宋_GB2312" w:hAnsi="宋体" w:eastAsia="仿宋_GB2312"/>
          <w:color w:val="auto"/>
          <w:sz w:val="22"/>
          <w:szCs w:val="28"/>
          <w:highlight w:val="none"/>
        </w:rPr>
      </w:pPr>
      <w:r>
        <w:rPr>
          <w:rFonts w:ascii="仿宋_GB2312" w:hAnsi="仿宋" w:eastAsia="仿宋_GB2312"/>
          <w:bCs/>
          <w:color w:val="auto"/>
          <w:sz w:val="30"/>
          <w:szCs w:val="30"/>
          <w:highlight w:val="none"/>
        </w:rPr>
        <w:br w:type="page"/>
      </w:r>
    </w:p>
    <w:p w14:paraId="03628F4B">
      <w:pPr>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需要采购人提供的配合</w:t>
      </w:r>
    </w:p>
    <w:p w14:paraId="275EF15B">
      <w:pPr>
        <w:rPr>
          <w:color w:val="auto"/>
          <w:highlight w:val="none"/>
        </w:rPr>
        <w:sectPr>
          <w:footerReference r:id="rId22" w:type="default"/>
          <w:pgSz w:w="11906" w:h="16838"/>
          <w:pgMar w:top="1440" w:right="1080" w:bottom="1440" w:left="1080" w:header="851" w:footer="992" w:gutter="0"/>
          <w:cols w:space="720" w:num="1"/>
          <w:docGrid w:type="lines" w:linePitch="312" w:charSpace="0"/>
        </w:sectPr>
      </w:pPr>
    </w:p>
    <w:p w14:paraId="58342432">
      <w:pPr>
        <w:bidi w:val="0"/>
        <w:rPr>
          <w:rFonts w:hint="eastAsia"/>
          <w:color w:val="auto"/>
          <w:highlight w:val="none"/>
        </w:rPr>
      </w:pPr>
    </w:p>
    <w:p w14:paraId="09BBDD96">
      <w:pPr>
        <w:bidi w:val="0"/>
        <w:rPr>
          <w:rFonts w:hint="eastAsia"/>
          <w:color w:val="auto"/>
          <w:highlight w:val="none"/>
        </w:rPr>
      </w:pPr>
    </w:p>
    <w:p w14:paraId="68365A95">
      <w:pPr>
        <w:bidi w:val="0"/>
        <w:rPr>
          <w:rFonts w:hint="eastAsia"/>
          <w:color w:val="auto"/>
          <w:highlight w:val="none"/>
        </w:rPr>
      </w:pPr>
    </w:p>
    <w:p w14:paraId="54659CDD">
      <w:pPr>
        <w:bidi w:val="0"/>
        <w:rPr>
          <w:rFonts w:hint="eastAsia"/>
          <w:color w:val="auto"/>
          <w:highlight w:val="none"/>
        </w:rPr>
      </w:pPr>
    </w:p>
    <w:p w14:paraId="740F2B02">
      <w:pPr>
        <w:bidi w:val="0"/>
        <w:rPr>
          <w:rFonts w:hint="eastAsia"/>
          <w:color w:val="auto"/>
          <w:highlight w:val="none"/>
        </w:rPr>
      </w:pPr>
    </w:p>
    <w:p w14:paraId="1CA5A92A">
      <w:pPr>
        <w:bidi w:val="0"/>
        <w:rPr>
          <w:rFonts w:hint="eastAsia"/>
          <w:color w:val="auto"/>
          <w:highlight w:val="none"/>
        </w:rPr>
      </w:pPr>
    </w:p>
    <w:p w14:paraId="6F43E994">
      <w:pPr>
        <w:bidi w:val="0"/>
        <w:rPr>
          <w:rFonts w:hint="eastAsia"/>
          <w:color w:val="auto"/>
          <w:highlight w:val="none"/>
        </w:rPr>
      </w:pPr>
    </w:p>
    <w:p w14:paraId="01274738">
      <w:pPr>
        <w:bidi w:val="0"/>
        <w:rPr>
          <w:rFonts w:hint="eastAsia"/>
          <w:color w:val="auto"/>
          <w:highlight w:val="none"/>
        </w:rPr>
      </w:pPr>
    </w:p>
    <w:p w14:paraId="3E6CB84B">
      <w:pPr>
        <w:bidi w:val="0"/>
        <w:rPr>
          <w:rFonts w:hint="eastAsia"/>
          <w:color w:val="auto"/>
          <w:highlight w:val="none"/>
        </w:rPr>
      </w:pPr>
    </w:p>
    <w:p w14:paraId="164DFD31">
      <w:pPr>
        <w:bidi w:val="0"/>
        <w:rPr>
          <w:rFonts w:hint="eastAsia"/>
          <w:color w:val="auto"/>
          <w:highlight w:val="none"/>
        </w:rPr>
      </w:pPr>
    </w:p>
    <w:p w14:paraId="6B13E7A1">
      <w:pPr>
        <w:bidi w:val="0"/>
        <w:rPr>
          <w:rFonts w:hint="eastAsia"/>
          <w:color w:val="auto"/>
          <w:highlight w:val="none"/>
        </w:rPr>
      </w:pPr>
    </w:p>
    <w:p w14:paraId="0DD88C8B">
      <w:pPr>
        <w:bidi w:val="0"/>
        <w:rPr>
          <w:rFonts w:hint="eastAsia"/>
          <w:color w:val="auto"/>
          <w:highlight w:val="none"/>
        </w:rPr>
      </w:pPr>
    </w:p>
    <w:p w14:paraId="5B76FE99">
      <w:pPr>
        <w:bidi w:val="0"/>
        <w:rPr>
          <w:rFonts w:hint="eastAsia"/>
          <w:color w:val="auto"/>
          <w:highlight w:val="none"/>
        </w:rPr>
      </w:pPr>
    </w:p>
    <w:p w14:paraId="02369E0D">
      <w:pPr>
        <w:bidi w:val="0"/>
        <w:rPr>
          <w:rFonts w:hint="eastAsia"/>
          <w:color w:val="auto"/>
          <w:highlight w:val="none"/>
        </w:rPr>
      </w:pPr>
    </w:p>
    <w:p w14:paraId="5B55B6E7">
      <w:pPr>
        <w:bidi w:val="0"/>
        <w:rPr>
          <w:rFonts w:hint="eastAsia"/>
          <w:color w:val="auto"/>
          <w:highlight w:val="none"/>
        </w:rPr>
      </w:pPr>
    </w:p>
    <w:p w14:paraId="6A94CC88">
      <w:pPr>
        <w:bidi w:val="0"/>
        <w:rPr>
          <w:rFonts w:hint="eastAsia"/>
          <w:color w:val="auto"/>
          <w:highlight w:val="none"/>
        </w:rPr>
      </w:pPr>
    </w:p>
    <w:p w14:paraId="7731D0A7">
      <w:pPr>
        <w:bidi w:val="0"/>
        <w:rPr>
          <w:rFonts w:hint="eastAsia"/>
          <w:color w:val="auto"/>
          <w:highlight w:val="none"/>
        </w:rPr>
      </w:pPr>
    </w:p>
    <w:p w14:paraId="30325A5D">
      <w:pPr>
        <w:pStyle w:val="28"/>
        <w:spacing w:before="100" w:beforeAutospacing="1" w:after="100" w:afterAutospacing="1" w:line="415" w:lineRule="auto"/>
        <w:rPr>
          <w:rFonts w:ascii="楷体_GB2312" w:hAnsi="宋体" w:eastAsia="楷体_GB2312" w:cs="宋体"/>
          <w:color w:val="auto"/>
          <w:sz w:val="44"/>
          <w:szCs w:val="44"/>
          <w:highlight w:val="none"/>
        </w:rPr>
      </w:pPr>
      <w:r>
        <w:rPr>
          <w:rFonts w:hint="eastAsia" w:ascii="楷体_GB2312" w:hAnsi="宋体" w:eastAsia="楷体_GB2312" w:cs="宋体"/>
          <w:color w:val="auto"/>
          <w:sz w:val="44"/>
          <w:szCs w:val="44"/>
          <w:highlight w:val="none"/>
        </w:rPr>
        <w:t>第六章</w:t>
      </w:r>
      <w:r>
        <w:rPr>
          <w:rFonts w:hint="eastAsia" w:ascii="宋体" w:hAnsi="宋体" w:cs="宋体"/>
          <w:color w:val="auto"/>
          <w:sz w:val="44"/>
          <w:szCs w:val="44"/>
          <w:highlight w:val="none"/>
        </w:rPr>
        <w:t xml:space="preserve"> </w:t>
      </w:r>
      <w:r>
        <w:rPr>
          <w:rFonts w:hint="eastAsia" w:ascii="楷体_GB2312" w:hAnsi="宋体" w:eastAsia="楷体_GB2312" w:cs="宋体"/>
          <w:color w:val="auto"/>
          <w:sz w:val="44"/>
          <w:szCs w:val="44"/>
          <w:highlight w:val="none"/>
        </w:rPr>
        <w:t>采购合同（范本）</w:t>
      </w:r>
    </w:p>
    <w:p w14:paraId="46B7073F">
      <w:pPr>
        <w:rPr>
          <w:color w:val="auto"/>
          <w:highlight w:val="none"/>
        </w:rPr>
      </w:pPr>
    </w:p>
    <w:p w14:paraId="72E71640">
      <w:pPr>
        <w:rPr>
          <w:color w:val="auto"/>
          <w:highlight w:val="none"/>
        </w:r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219F7610">
      <w:pPr>
        <w:pStyle w:val="16"/>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auto"/>
          <w:sz w:val="32"/>
          <w:szCs w:val="32"/>
          <w:highlight w:val="none"/>
        </w:rPr>
      </w:pPr>
      <w:r>
        <w:rPr>
          <w:rFonts w:hint="eastAsia" w:ascii="仿宋_GB2312" w:hAnsi="仿宋" w:eastAsia="仿宋_GB2312" w:cs="宋体"/>
          <w:b/>
          <w:bCs/>
          <w:color w:val="auto"/>
          <w:sz w:val="32"/>
          <w:szCs w:val="32"/>
          <w:highlight w:val="none"/>
          <w:shd w:val="solid" w:color="EEECE1" w:fill="FFFFFF"/>
        </w:rPr>
        <w:t>合同编号：SDRS-TPZB-2026-084</w:t>
      </w:r>
    </w:p>
    <w:p w14:paraId="7382889B">
      <w:pPr>
        <w:jc w:val="center"/>
        <w:rPr>
          <w:rFonts w:hint="eastAsia" w:ascii="仿宋_GB2312" w:hAnsi="仿宋" w:eastAsia="仿宋_GB2312"/>
          <w:b/>
          <w:color w:val="auto"/>
          <w:sz w:val="44"/>
          <w:szCs w:val="44"/>
          <w:highlight w:val="none"/>
        </w:rPr>
      </w:pPr>
    </w:p>
    <w:p w14:paraId="7CDE27BD">
      <w:pPr>
        <w:pStyle w:val="29"/>
        <w:ind w:firstLine="880"/>
        <w:rPr>
          <w:rFonts w:hint="eastAsia" w:ascii="仿宋_GB2312" w:hAnsi="仿宋" w:eastAsia="仿宋_GB2312"/>
          <w:color w:val="auto"/>
          <w:sz w:val="44"/>
          <w:szCs w:val="44"/>
          <w:highlight w:val="none"/>
        </w:rPr>
      </w:pPr>
    </w:p>
    <w:p w14:paraId="174BB25C">
      <w:pPr>
        <w:pStyle w:val="29"/>
        <w:ind w:left="0" w:leftChars="0" w:firstLine="880"/>
        <w:rPr>
          <w:rFonts w:hint="eastAsia" w:ascii="仿宋_GB2312" w:hAnsi="仿宋" w:eastAsia="仿宋_GB2312"/>
          <w:color w:val="auto"/>
          <w:sz w:val="44"/>
          <w:szCs w:val="44"/>
          <w:highlight w:val="none"/>
        </w:rPr>
      </w:pPr>
    </w:p>
    <w:p w14:paraId="512DA8D5">
      <w:pPr>
        <w:jc w:val="center"/>
        <w:rPr>
          <w:rFonts w:hint="eastAsia" w:ascii="仿宋_GB2312" w:hAnsi="仿宋" w:eastAsia="仿宋_GB2312"/>
          <w:b/>
          <w:color w:val="auto"/>
          <w:sz w:val="44"/>
          <w:szCs w:val="44"/>
          <w:highlight w:val="none"/>
        </w:rPr>
      </w:pPr>
      <w:r>
        <w:rPr>
          <w:rFonts w:hint="eastAsia" w:ascii="仿宋_GB2312" w:hAnsi="仿宋" w:eastAsia="仿宋_GB2312"/>
          <w:b/>
          <w:color w:val="auto"/>
          <w:sz w:val="44"/>
          <w:szCs w:val="44"/>
          <w:highlight w:val="none"/>
        </w:rPr>
        <w:t>乳山市兴宇安装工程有限公司采购</w:t>
      </w:r>
    </w:p>
    <w:p w14:paraId="41F0401C">
      <w:pPr>
        <w:ind w:firstLine="883" w:firstLineChars="200"/>
        <w:rPr>
          <w:rFonts w:hint="eastAsia" w:ascii="仿宋_GB2312" w:hAnsi="仿宋" w:eastAsia="仿宋_GB2312"/>
          <w:b/>
          <w:color w:val="auto"/>
          <w:sz w:val="44"/>
          <w:szCs w:val="44"/>
          <w:highlight w:val="none"/>
        </w:rPr>
      </w:pPr>
    </w:p>
    <w:p w14:paraId="340840E7">
      <w:pPr>
        <w:jc w:val="center"/>
        <w:rPr>
          <w:rFonts w:hint="eastAsia" w:ascii="仿宋_GB2312" w:hAnsi="仿宋" w:eastAsia="仿宋_GB2312"/>
          <w:b/>
          <w:color w:val="auto"/>
          <w:sz w:val="44"/>
          <w:szCs w:val="44"/>
          <w:highlight w:val="none"/>
        </w:rPr>
      </w:pPr>
      <w:r>
        <w:rPr>
          <w:rFonts w:hint="eastAsia" w:ascii="仿宋_GB2312" w:hAnsi="仿宋" w:eastAsia="仿宋_GB2312"/>
          <w:b/>
          <w:color w:val="auto"/>
          <w:sz w:val="44"/>
          <w:szCs w:val="44"/>
          <w:highlight w:val="none"/>
        </w:rPr>
        <w:t>2026年乳山市松材线虫病媒介昆虫飞防药剂采购项目合同</w:t>
      </w:r>
    </w:p>
    <w:p w14:paraId="3CBF52DA">
      <w:pPr>
        <w:ind w:firstLine="3080" w:firstLineChars="700"/>
        <w:rPr>
          <w:rFonts w:hint="eastAsia" w:ascii="仿宋_GB2312" w:hAnsi="仿宋" w:eastAsia="仿宋_GB2312"/>
          <w:color w:val="auto"/>
          <w:sz w:val="44"/>
          <w:szCs w:val="44"/>
          <w:highlight w:val="none"/>
        </w:rPr>
      </w:pPr>
    </w:p>
    <w:p w14:paraId="697B100A">
      <w:pPr>
        <w:pStyle w:val="29"/>
        <w:ind w:left="0" w:leftChars="0" w:firstLine="880"/>
        <w:rPr>
          <w:rFonts w:hint="eastAsia" w:ascii="仿宋_GB2312" w:hAnsi="仿宋" w:eastAsia="仿宋_GB2312"/>
          <w:color w:val="auto"/>
          <w:sz w:val="44"/>
          <w:szCs w:val="44"/>
          <w:highlight w:val="none"/>
        </w:rPr>
      </w:pPr>
    </w:p>
    <w:p w14:paraId="102D2C58">
      <w:pPr>
        <w:ind w:firstLine="2080" w:firstLineChars="650"/>
        <w:rPr>
          <w:rFonts w:hint="eastAsia" w:ascii="仿宋_GB2312" w:hAnsi="仿宋" w:eastAsia="仿宋_GB2312"/>
          <w:color w:val="auto"/>
          <w:sz w:val="32"/>
          <w:szCs w:val="32"/>
          <w:highlight w:val="none"/>
        </w:rPr>
      </w:pPr>
    </w:p>
    <w:p w14:paraId="46865D3D">
      <w:pPr>
        <w:ind w:firstLine="2080" w:firstLineChars="650"/>
        <w:rPr>
          <w:rFonts w:hint="eastAsia" w:ascii="仿宋_GB2312" w:hAnsi="仿宋" w:eastAsia="仿宋_GB2312"/>
          <w:color w:val="auto"/>
          <w:sz w:val="32"/>
          <w:szCs w:val="32"/>
          <w:highlight w:val="none"/>
        </w:rPr>
      </w:pPr>
    </w:p>
    <w:p w14:paraId="4FCCBC28">
      <w:pPr>
        <w:ind w:firstLine="2080" w:firstLineChars="650"/>
        <w:rPr>
          <w:rFonts w:hint="eastAsia" w:ascii="仿宋_GB2312" w:hAnsi="仿宋" w:eastAsia="仿宋_GB2312"/>
          <w:color w:val="auto"/>
          <w:sz w:val="32"/>
          <w:szCs w:val="32"/>
          <w:highlight w:val="none"/>
        </w:rPr>
      </w:pPr>
    </w:p>
    <w:p w14:paraId="2B44CF2B">
      <w:pPr>
        <w:ind w:firstLine="2080" w:firstLineChars="650"/>
        <w:rPr>
          <w:rFonts w:hint="eastAsia"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甲    方: 乳山市兴宇安装工程有限公司</w:t>
      </w:r>
    </w:p>
    <w:p w14:paraId="65F9A6C3">
      <w:pPr>
        <w:ind w:firstLine="2080" w:firstLineChars="650"/>
        <w:rPr>
          <w:rFonts w:hint="eastAsia" w:ascii="仿宋_GB2312" w:hAnsi="仿宋" w:eastAsia="仿宋_GB2312"/>
          <w:color w:val="auto"/>
          <w:sz w:val="32"/>
          <w:szCs w:val="32"/>
          <w:highlight w:val="none"/>
        </w:rPr>
      </w:pPr>
    </w:p>
    <w:p w14:paraId="71E3A3F8">
      <w:pPr>
        <w:ind w:firstLine="2080" w:firstLineChars="650"/>
        <w:rPr>
          <w:rFonts w:hint="eastAsia"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乙    方: </w:t>
      </w:r>
    </w:p>
    <w:p w14:paraId="608A2782">
      <w:pPr>
        <w:pStyle w:val="18"/>
        <w:ind w:firstLine="2728" w:firstLineChars="620"/>
        <w:rPr>
          <w:rFonts w:hint="eastAsia" w:ascii="仿宋_GB2312" w:hAnsi="仿宋" w:eastAsia="仿宋_GB2312"/>
          <w:color w:val="auto"/>
          <w:sz w:val="44"/>
          <w:szCs w:val="44"/>
          <w:highlight w:val="none"/>
        </w:rPr>
      </w:pPr>
    </w:p>
    <w:p w14:paraId="0B38AEEB">
      <w:pPr>
        <w:pStyle w:val="18"/>
        <w:ind w:firstLine="1984" w:firstLineChars="620"/>
        <w:rPr>
          <w:rFonts w:hint="eastAsia"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签订日期:    年   月  日</w:t>
      </w:r>
    </w:p>
    <w:p w14:paraId="653EB387">
      <w:pPr>
        <w:spacing w:line="360" w:lineRule="auto"/>
        <w:ind w:firstLine="624" w:firstLineChars="200"/>
        <w:rPr>
          <w:rFonts w:hint="eastAsia" w:ascii="仿宋_GB2312" w:hAnsi="仿宋" w:eastAsia="仿宋_GB2312"/>
          <w:color w:val="auto"/>
          <w:sz w:val="30"/>
          <w:szCs w:val="30"/>
          <w:highlight w:val="none"/>
        </w:rPr>
      </w:pPr>
      <w:r>
        <w:rPr>
          <w:rFonts w:hint="eastAsia" w:ascii="仿宋_GB2312" w:hAnsi="仿宋" w:eastAsia="仿宋_GB2312" w:cs="宋体"/>
          <w:color w:val="auto"/>
          <w:spacing w:val="6"/>
          <w:sz w:val="30"/>
          <w:szCs w:val="30"/>
          <w:highlight w:val="none"/>
        </w:rPr>
        <w:br w:type="page"/>
      </w:r>
      <w:r>
        <w:rPr>
          <w:rFonts w:hint="eastAsia" w:ascii="仿宋_GB2312" w:hAnsi="仿宋" w:eastAsia="仿宋_GB2312"/>
          <w:color w:val="auto"/>
          <w:sz w:val="30"/>
          <w:szCs w:val="30"/>
          <w:highlight w:val="none"/>
        </w:rPr>
        <w:t>本合同于</w:t>
      </w:r>
      <w:r>
        <w:rPr>
          <w:rFonts w:ascii="仿宋_GB2312" w:hAnsi="仿宋" w:eastAsia="仿宋_GB2312"/>
          <w:color w:val="auto"/>
          <w:sz w:val="30"/>
          <w:szCs w:val="30"/>
          <w:highlight w:val="none"/>
          <w:u w:val="single"/>
        </w:rPr>
        <w:t xml:space="preserve">    </w:t>
      </w:r>
      <w:r>
        <w:rPr>
          <w:rFonts w:hint="eastAsia" w:ascii="仿宋_GB2312" w:hAnsi="仿宋" w:eastAsia="仿宋_GB2312"/>
          <w:color w:val="auto"/>
          <w:sz w:val="30"/>
          <w:szCs w:val="30"/>
          <w:highlight w:val="none"/>
        </w:rPr>
        <w:t>年</w:t>
      </w:r>
      <w:r>
        <w:rPr>
          <w:rFonts w:hint="eastAsia" w:ascii="仿宋_GB2312" w:hAnsi="仿宋" w:eastAsia="仿宋_GB2312"/>
          <w:color w:val="auto"/>
          <w:sz w:val="30"/>
          <w:szCs w:val="30"/>
          <w:highlight w:val="none"/>
          <w:u w:val="single"/>
        </w:rPr>
        <w:t xml:space="preserve">   </w:t>
      </w:r>
      <w:r>
        <w:rPr>
          <w:rFonts w:hint="eastAsia" w:ascii="仿宋_GB2312" w:hAnsi="仿宋" w:eastAsia="仿宋_GB2312"/>
          <w:color w:val="auto"/>
          <w:sz w:val="30"/>
          <w:szCs w:val="30"/>
          <w:highlight w:val="none"/>
        </w:rPr>
        <w:t>月</w:t>
      </w:r>
      <w:r>
        <w:rPr>
          <w:rFonts w:hint="eastAsia" w:ascii="仿宋_GB2312" w:hAnsi="仿宋" w:eastAsia="仿宋_GB2312"/>
          <w:color w:val="auto"/>
          <w:sz w:val="30"/>
          <w:szCs w:val="30"/>
          <w:highlight w:val="none"/>
          <w:u w:val="single"/>
        </w:rPr>
        <w:t xml:space="preserve">   </w:t>
      </w:r>
      <w:r>
        <w:rPr>
          <w:rFonts w:hint="eastAsia" w:ascii="仿宋_GB2312" w:hAnsi="仿宋" w:eastAsia="仿宋_GB2312"/>
          <w:color w:val="auto"/>
          <w:sz w:val="30"/>
          <w:szCs w:val="30"/>
          <w:highlight w:val="none"/>
        </w:rPr>
        <w:t>日由甲、乙两方共同签订。甲方为用户单位</w:t>
      </w:r>
      <w:r>
        <w:rPr>
          <w:rFonts w:hint="eastAsia" w:ascii="仿宋_GB2312" w:hAnsi="仿宋" w:eastAsia="仿宋_GB2312"/>
          <w:bCs/>
          <w:color w:val="auto"/>
          <w:sz w:val="30"/>
          <w:szCs w:val="30"/>
          <w:highlight w:val="none"/>
        </w:rPr>
        <w:t xml:space="preserve"> </w:t>
      </w:r>
      <w:r>
        <w:rPr>
          <w:rFonts w:hint="eastAsia" w:ascii="仿宋_GB2312" w:hAnsi="仿宋" w:eastAsia="仿宋_GB2312"/>
          <w:color w:val="auto"/>
          <w:sz w:val="30"/>
          <w:szCs w:val="30"/>
          <w:highlight w:val="none"/>
        </w:rPr>
        <w:t>、乙方为成交供应商。合同各方必须遵守《中华人民共和国民法典》，并各自履行应负的全部责任。本合同书共四份。</w:t>
      </w:r>
    </w:p>
    <w:p w14:paraId="4F53E950">
      <w:pPr>
        <w:pStyle w:val="18"/>
        <w:spacing w:line="360" w:lineRule="auto"/>
        <w:ind w:firstLine="560"/>
        <w:rPr>
          <w:rFonts w:hint="eastAsia" w:ascii="仿宋_GB2312" w:hAnsi="仿宋" w:eastAsia="仿宋_GB2312" w:cs="宋体"/>
          <w:b/>
          <w:color w:val="auto"/>
          <w:spacing w:val="6"/>
          <w:sz w:val="30"/>
          <w:szCs w:val="30"/>
          <w:highlight w:val="none"/>
        </w:rPr>
      </w:pPr>
      <w:r>
        <w:rPr>
          <w:rFonts w:hint="eastAsia" w:ascii="仿宋_GB2312" w:hAnsi="仿宋" w:eastAsia="仿宋_GB2312" w:cs="宋体"/>
          <w:b/>
          <w:color w:val="auto"/>
          <w:spacing w:val="6"/>
          <w:sz w:val="30"/>
          <w:szCs w:val="30"/>
          <w:highlight w:val="none"/>
        </w:rPr>
        <w:t>一、合同的组成部分</w:t>
      </w:r>
    </w:p>
    <w:p w14:paraId="165EEC60">
      <w:pPr>
        <w:pStyle w:val="18"/>
        <w:spacing w:line="360" w:lineRule="auto"/>
        <w:ind w:firstLine="560"/>
        <w:rPr>
          <w:rFonts w:hint="eastAsia" w:ascii="仿宋_GB2312" w:hAnsi="仿宋" w:eastAsia="仿宋_GB2312" w:cs="宋体"/>
          <w:color w:val="auto"/>
          <w:spacing w:val="6"/>
          <w:sz w:val="30"/>
          <w:szCs w:val="30"/>
          <w:highlight w:val="none"/>
        </w:rPr>
      </w:pPr>
      <w:r>
        <w:rPr>
          <w:rFonts w:hint="eastAsia" w:ascii="仿宋_GB2312" w:hAnsi="仿宋" w:eastAsia="仿宋_GB2312" w:cs="宋体"/>
          <w:color w:val="auto"/>
          <w:spacing w:val="6"/>
          <w:sz w:val="30"/>
          <w:szCs w:val="30"/>
          <w:highlight w:val="none"/>
        </w:rPr>
        <w:t>1、中标通知书</w:t>
      </w:r>
    </w:p>
    <w:p w14:paraId="1AFFC917">
      <w:pPr>
        <w:pStyle w:val="18"/>
        <w:spacing w:line="360" w:lineRule="auto"/>
        <w:ind w:firstLine="560"/>
        <w:rPr>
          <w:rFonts w:hint="eastAsia" w:ascii="仿宋_GB2312" w:hAnsi="仿宋" w:eastAsia="仿宋_GB2312" w:cs="宋体"/>
          <w:color w:val="auto"/>
          <w:spacing w:val="6"/>
          <w:sz w:val="30"/>
          <w:szCs w:val="30"/>
          <w:highlight w:val="none"/>
        </w:rPr>
      </w:pPr>
      <w:r>
        <w:rPr>
          <w:rFonts w:hint="eastAsia" w:ascii="仿宋_GB2312" w:hAnsi="仿宋" w:eastAsia="仿宋_GB2312" w:cs="宋体"/>
          <w:color w:val="auto"/>
          <w:spacing w:val="6"/>
          <w:sz w:val="30"/>
          <w:szCs w:val="30"/>
          <w:highlight w:val="none"/>
        </w:rPr>
        <w:t>2、本合同书</w:t>
      </w:r>
    </w:p>
    <w:p w14:paraId="606F426C">
      <w:pPr>
        <w:pStyle w:val="18"/>
        <w:spacing w:line="360" w:lineRule="auto"/>
        <w:ind w:firstLine="560"/>
        <w:rPr>
          <w:rFonts w:hint="eastAsia" w:ascii="仿宋_GB2312" w:hAnsi="仿宋" w:eastAsia="仿宋_GB2312" w:cs="宋体"/>
          <w:color w:val="auto"/>
          <w:spacing w:val="6"/>
          <w:sz w:val="30"/>
          <w:szCs w:val="30"/>
          <w:highlight w:val="none"/>
        </w:rPr>
      </w:pPr>
      <w:r>
        <w:rPr>
          <w:rFonts w:hint="eastAsia" w:ascii="仿宋_GB2312" w:hAnsi="仿宋" w:eastAsia="仿宋_GB2312" w:cs="宋体"/>
          <w:color w:val="auto"/>
          <w:spacing w:val="6"/>
          <w:sz w:val="30"/>
          <w:szCs w:val="30"/>
          <w:highlight w:val="none"/>
        </w:rPr>
        <w:t>3、乙方在评审过程中补充、修改或澄清的文件</w:t>
      </w:r>
    </w:p>
    <w:p w14:paraId="1DC8D4BE">
      <w:pPr>
        <w:pStyle w:val="18"/>
        <w:spacing w:line="360" w:lineRule="auto"/>
        <w:ind w:firstLine="560"/>
        <w:rPr>
          <w:rFonts w:hint="eastAsia" w:ascii="仿宋_GB2312" w:hAnsi="仿宋" w:eastAsia="仿宋_GB2312" w:cs="宋体"/>
          <w:color w:val="auto"/>
          <w:spacing w:val="6"/>
          <w:sz w:val="30"/>
          <w:szCs w:val="30"/>
          <w:highlight w:val="none"/>
        </w:rPr>
      </w:pPr>
      <w:r>
        <w:rPr>
          <w:rFonts w:hint="eastAsia" w:ascii="仿宋_GB2312" w:hAnsi="仿宋" w:eastAsia="仿宋_GB2312" w:cs="宋体"/>
          <w:color w:val="auto"/>
          <w:spacing w:val="6"/>
          <w:sz w:val="30"/>
          <w:szCs w:val="30"/>
          <w:highlight w:val="none"/>
        </w:rPr>
        <w:t>4、SDRS-TPZB-2026-084招标文件</w:t>
      </w:r>
    </w:p>
    <w:p w14:paraId="38E8ED12">
      <w:pPr>
        <w:pStyle w:val="18"/>
        <w:spacing w:line="360" w:lineRule="auto"/>
        <w:ind w:firstLine="560"/>
        <w:rPr>
          <w:rFonts w:hint="eastAsia" w:ascii="仿宋_GB2312" w:hAnsi="仿宋" w:eastAsia="仿宋_GB2312" w:cs="宋体"/>
          <w:color w:val="auto"/>
          <w:spacing w:val="6"/>
          <w:sz w:val="30"/>
          <w:szCs w:val="30"/>
          <w:highlight w:val="none"/>
        </w:rPr>
      </w:pPr>
      <w:r>
        <w:rPr>
          <w:rFonts w:hint="eastAsia" w:ascii="仿宋_GB2312" w:hAnsi="仿宋" w:eastAsia="仿宋_GB2312" w:cs="宋体"/>
          <w:color w:val="auto"/>
          <w:spacing w:val="6"/>
          <w:sz w:val="30"/>
          <w:szCs w:val="30"/>
          <w:highlight w:val="none"/>
        </w:rPr>
        <w:t>5、乙方的投标文件</w:t>
      </w:r>
    </w:p>
    <w:p w14:paraId="450A9CE7">
      <w:pPr>
        <w:pStyle w:val="18"/>
        <w:spacing w:line="360" w:lineRule="auto"/>
        <w:ind w:firstLine="560"/>
        <w:rPr>
          <w:rFonts w:hint="eastAsia" w:ascii="仿宋_GB2312" w:hAnsi="仿宋" w:eastAsia="仿宋_GB2312" w:cs="宋体"/>
          <w:color w:val="auto"/>
          <w:spacing w:val="6"/>
          <w:sz w:val="30"/>
          <w:szCs w:val="30"/>
          <w:highlight w:val="none"/>
        </w:rPr>
      </w:pPr>
      <w:r>
        <w:rPr>
          <w:rFonts w:hint="eastAsia" w:ascii="仿宋_GB2312" w:hAnsi="仿宋" w:eastAsia="仿宋_GB2312" w:cs="宋体"/>
          <w:color w:val="auto"/>
          <w:spacing w:val="6"/>
          <w:sz w:val="30"/>
          <w:szCs w:val="30"/>
          <w:highlight w:val="none"/>
        </w:rPr>
        <w:t>6、本合同附件</w:t>
      </w:r>
    </w:p>
    <w:p w14:paraId="619280E4">
      <w:pPr>
        <w:pStyle w:val="18"/>
        <w:spacing w:line="360" w:lineRule="auto"/>
        <w:ind w:firstLine="560"/>
        <w:rPr>
          <w:rFonts w:hint="eastAsia" w:ascii="仿宋_GB2312" w:hAnsi="仿宋" w:eastAsia="仿宋_GB2312" w:cs="宋体"/>
          <w:color w:val="auto"/>
          <w:spacing w:val="6"/>
          <w:sz w:val="30"/>
          <w:szCs w:val="30"/>
          <w:highlight w:val="none"/>
        </w:rPr>
      </w:pPr>
      <w:r>
        <w:rPr>
          <w:rFonts w:hint="eastAsia" w:ascii="仿宋_GB2312" w:hAnsi="仿宋" w:eastAsia="仿宋_GB2312" w:cs="宋体"/>
          <w:color w:val="auto"/>
          <w:spacing w:val="6"/>
          <w:sz w:val="30"/>
          <w:szCs w:val="30"/>
          <w:highlight w:val="none"/>
        </w:rPr>
        <w:t>上述文件将相互补充，合同各方必须予以遵守执行。若有不明确或不一致之处，以上列次序在先者为准。</w:t>
      </w:r>
    </w:p>
    <w:p w14:paraId="17860C20">
      <w:pPr>
        <w:pStyle w:val="18"/>
        <w:spacing w:line="360" w:lineRule="auto"/>
        <w:ind w:firstLine="560"/>
        <w:rPr>
          <w:rFonts w:hint="eastAsia" w:ascii="仿宋_GB2312" w:hAnsi="仿宋" w:eastAsia="仿宋_GB2312" w:cs="宋体"/>
          <w:b/>
          <w:color w:val="auto"/>
          <w:spacing w:val="6"/>
          <w:sz w:val="30"/>
          <w:szCs w:val="30"/>
          <w:highlight w:val="none"/>
        </w:rPr>
      </w:pPr>
      <w:r>
        <w:rPr>
          <w:rFonts w:hint="eastAsia" w:ascii="仿宋_GB2312" w:hAnsi="仿宋" w:eastAsia="仿宋_GB2312" w:cs="宋体"/>
          <w:b/>
          <w:color w:val="auto"/>
          <w:spacing w:val="6"/>
          <w:sz w:val="30"/>
          <w:szCs w:val="30"/>
          <w:highlight w:val="none"/>
        </w:rPr>
        <w:t>二、标的物及数量：</w:t>
      </w:r>
    </w:p>
    <w:p w14:paraId="0F86595D">
      <w:pPr>
        <w:pStyle w:val="18"/>
        <w:spacing w:line="360" w:lineRule="auto"/>
        <w:ind w:firstLine="560"/>
        <w:rPr>
          <w:rFonts w:hint="eastAsia" w:ascii="仿宋_GB2312" w:hAnsi="仿宋" w:eastAsia="仿宋_GB2312" w:cs="宋体"/>
          <w:b/>
          <w:color w:val="auto"/>
          <w:spacing w:val="6"/>
          <w:sz w:val="30"/>
          <w:szCs w:val="30"/>
          <w:highlight w:val="none"/>
        </w:rPr>
      </w:pPr>
      <w:r>
        <w:rPr>
          <w:rFonts w:hint="eastAsia" w:ascii="仿宋_GB2312" w:hAnsi="仿宋" w:eastAsia="仿宋_GB2312" w:cs="宋体"/>
          <w:b/>
          <w:color w:val="auto"/>
          <w:spacing w:val="6"/>
          <w:sz w:val="30"/>
          <w:szCs w:val="30"/>
          <w:highlight w:val="none"/>
        </w:rPr>
        <w:t>三、价款：</w:t>
      </w:r>
    </w:p>
    <w:p w14:paraId="233DA24D">
      <w:pPr>
        <w:pStyle w:val="18"/>
        <w:spacing w:line="360" w:lineRule="auto"/>
        <w:ind w:firstLine="560"/>
        <w:rPr>
          <w:rFonts w:hint="eastAsia" w:ascii="仿宋_GB2312" w:hAnsi="仿宋" w:eastAsia="仿宋_GB2312"/>
          <w:bCs/>
          <w:color w:val="auto"/>
          <w:sz w:val="30"/>
          <w:szCs w:val="30"/>
          <w:highlight w:val="none"/>
        </w:rPr>
      </w:pPr>
      <w:r>
        <w:rPr>
          <w:rFonts w:hint="eastAsia" w:ascii="仿宋_GB2312" w:hAnsi="仿宋" w:eastAsia="仿宋_GB2312"/>
          <w:bCs/>
          <w:color w:val="auto"/>
          <w:sz w:val="30"/>
          <w:szCs w:val="30"/>
          <w:highlight w:val="none"/>
        </w:rPr>
        <w:t>本合同总价款为人民币</w:t>
      </w:r>
      <w:r>
        <w:rPr>
          <w:rFonts w:hint="eastAsia" w:ascii="仿宋_GB2312" w:hAnsi="仿宋" w:eastAsia="仿宋_GB2312"/>
          <w:bCs/>
          <w:color w:val="auto"/>
          <w:sz w:val="30"/>
          <w:szCs w:val="30"/>
          <w:highlight w:val="none"/>
          <w:u w:val="single"/>
        </w:rPr>
        <w:t xml:space="preserve">         </w:t>
      </w:r>
      <w:r>
        <w:rPr>
          <w:rFonts w:hint="eastAsia" w:ascii="仿宋_GB2312" w:hAnsi="仿宋" w:eastAsia="仿宋_GB2312"/>
          <w:bCs/>
          <w:color w:val="auto"/>
          <w:sz w:val="30"/>
          <w:szCs w:val="30"/>
          <w:highlight w:val="none"/>
        </w:rPr>
        <w:t>元整（￥</w:t>
      </w:r>
      <w:r>
        <w:rPr>
          <w:rFonts w:hint="eastAsia" w:ascii="仿宋_GB2312" w:hAnsi="仿宋" w:eastAsia="仿宋_GB2312"/>
          <w:bCs/>
          <w:color w:val="auto"/>
          <w:sz w:val="30"/>
          <w:szCs w:val="30"/>
          <w:highlight w:val="none"/>
          <w:u w:val="single"/>
        </w:rPr>
        <w:t xml:space="preserve">    </w:t>
      </w:r>
      <w:r>
        <w:rPr>
          <w:rFonts w:hint="eastAsia" w:ascii="仿宋_GB2312" w:hAnsi="仿宋" w:eastAsia="仿宋_GB2312"/>
          <w:bCs/>
          <w:color w:val="auto"/>
          <w:sz w:val="30"/>
          <w:szCs w:val="30"/>
          <w:highlight w:val="none"/>
        </w:rPr>
        <w:t>元）。</w:t>
      </w:r>
    </w:p>
    <w:p w14:paraId="38275C0A">
      <w:pPr>
        <w:spacing w:line="360" w:lineRule="auto"/>
        <w:ind w:firstLine="600" w:firstLineChars="200"/>
        <w:rPr>
          <w:rFonts w:hint="eastAsia" w:ascii="仿宋_GB2312" w:hAnsi="仿宋" w:eastAsia="仿宋_GB2312"/>
          <w:b/>
          <w:bCs/>
          <w:color w:val="auto"/>
          <w:sz w:val="30"/>
          <w:szCs w:val="30"/>
          <w:highlight w:val="none"/>
        </w:rPr>
      </w:pPr>
      <w:r>
        <w:rPr>
          <w:rFonts w:hint="eastAsia" w:ascii="仿宋_GB2312" w:hAnsi="仿宋" w:eastAsia="仿宋_GB2312"/>
          <w:color w:val="auto"/>
          <w:sz w:val="30"/>
          <w:szCs w:val="30"/>
          <w:highlight w:val="none"/>
        </w:rPr>
        <w:t>四、质量及专利权</w:t>
      </w:r>
    </w:p>
    <w:p w14:paraId="01CE696B">
      <w:pPr>
        <w:spacing w:line="360" w:lineRule="auto"/>
        <w:ind w:firstLine="600" w:firstLineChars="200"/>
        <w:rPr>
          <w:rFonts w:hint="eastAsia"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１.乙方提供的标的物的技术参数必须符合该项目的采购文件的要求、乙方投标文件的承诺及乙方在评审过程中做出的澄清、说明或者补正内容。</w:t>
      </w:r>
    </w:p>
    <w:p w14:paraId="5518110E">
      <w:pPr>
        <w:widowControl/>
        <w:tabs>
          <w:tab w:val="left" w:pos="1080"/>
          <w:tab w:val="left" w:pos="1260"/>
        </w:tabs>
        <w:spacing w:line="360" w:lineRule="auto"/>
        <w:ind w:firstLine="600" w:firstLineChars="200"/>
        <w:jc w:val="left"/>
        <w:rPr>
          <w:rFonts w:hint="eastAsia"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2.乙方应保证甲方在中华人民共和国境内使用其提供的标的物或标的物的任何一部分时，免受第三方提起的侵犯其专利权、商标权、著作权或其他产权纠纷，否则由乙方承担一切法律责任。</w:t>
      </w:r>
    </w:p>
    <w:p w14:paraId="0D09463E">
      <w:pPr>
        <w:pStyle w:val="18"/>
        <w:tabs>
          <w:tab w:val="left" w:pos="60"/>
        </w:tabs>
        <w:spacing w:line="360" w:lineRule="auto"/>
        <w:ind w:left="665"/>
        <w:rPr>
          <w:rFonts w:hint="eastAsia" w:ascii="仿宋_GB2312" w:hAnsi="仿宋" w:eastAsia="仿宋_GB2312" w:cs="宋体"/>
          <w:color w:val="auto"/>
          <w:sz w:val="30"/>
          <w:szCs w:val="30"/>
          <w:highlight w:val="none"/>
        </w:rPr>
      </w:pPr>
      <w:r>
        <w:rPr>
          <w:rFonts w:hint="eastAsia" w:ascii="仿宋_GB2312" w:hAnsi="仿宋" w:eastAsia="仿宋_GB2312"/>
          <w:color w:val="auto"/>
          <w:sz w:val="30"/>
          <w:szCs w:val="30"/>
          <w:highlight w:val="none"/>
        </w:rPr>
        <w:t>3.质量保证期：</w:t>
      </w:r>
      <w:r>
        <w:rPr>
          <w:rFonts w:hint="eastAsia" w:ascii="仿宋_GB2312" w:hAnsi="仿宋" w:eastAsia="仿宋_GB2312"/>
          <w:color w:val="auto"/>
          <w:sz w:val="30"/>
          <w:szCs w:val="30"/>
          <w:highlight w:val="none"/>
          <w:u w:val="single"/>
        </w:rPr>
        <w:t xml:space="preserve">         </w:t>
      </w:r>
      <w:r>
        <w:rPr>
          <w:rFonts w:hint="eastAsia" w:ascii="仿宋_GB2312" w:hAnsi="仿宋" w:eastAsia="仿宋_GB2312"/>
          <w:color w:val="auto"/>
          <w:sz w:val="30"/>
          <w:szCs w:val="30"/>
          <w:highlight w:val="none"/>
        </w:rPr>
        <w:t>。</w:t>
      </w:r>
      <w:r>
        <w:rPr>
          <w:rFonts w:hint="eastAsia" w:ascii="仿宋_GB2312" w:hAnsi="仿宋" w:eastAsia="仿宋_GB2312" w:cs="宋体"/>
          <w:color w:val="auto"/>
          <w:sz w:val="30"/>
          <w:szCs w:val="30"/>
          <w:highlight w:val="none"/>
        </w:rPr>
        <w:t xml:space="preserve"> </w:t>
      </w:r>
    </w:p>
    <w:p w14:paraId="547028E7">
      <w:pPr>
        <w:spacing w:line="360" w:lineRule="auto"/>
        <w:ind w:left="560"/>
        <w:rPr>
          <w:rFonts w:hint="eastAsia" w:ascii="仿宋_GB2312" w:hAnsi="仿宋" w:eastAsia="仿宋_GB2312" w:cs="宋体"/>
          <w:b/>
          <w:color w:val="auto"/>
          <w:sz w:val="30"/>
          <w:szCs w:val="30"/>
          <w:highlight w:val="none"/>
        </w:rPr>
      </w:pPr>
      <w:r>
        <w:rPr>
          <w:rFonts w:hint="eastAsia" w:ascii="仿宋_GB2312" w:hAnsi="仿宋" w:eastAsia="仿宋_GB2312" w:cs="宋体"/>
          <w:b/>
          <w:color w:val="auto"/>
          <w:sz w:val="30"/>
          <w:szCs w:val="30"/>
          <w:highlight w:val="none"/>
        </w:rPr>
        <w:t>五、供货地点及联系人：</w:t>
      </w:r>
    </w:p>
    <w:p w14:paraId="2BA8A33D">
      <w:pPr>
        <w:spacing w:line="360" w:lineRule="auto"/>
        <w:ind w:firstLine="600" w:firstLineChars="200"/>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供货地点：甲方指定地点。</w:t>
      </w:r>
    </w:p>
    <w:p w14:paraId="2AF53564">
      <w:pPr>
        <w:spacing w:line="360" w:lineRule="auto"/>
        <w:ind w:firstLine="600" w:firstLineChars="200"/>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联系人：</w:t>
      </w:r>
      <w:r>
        <w:rPr>
          <w:rFonts w:hint="eastAsia" w:ascii="仿宋_GB2312" w:hAnsi="仿宋" w:eastAsia="仿宋_GB2312" w:cs="宋体"/>
          <w:color w:val="auto"/>
          <w:sz w:val="30"/>
          <w:szCs w:val="30"/>
          <w:highlight w:val="none"/>
          <w:u w:val="single"/>
        </w:rPr>
        <w:t xml:space="preserve"> 王臣</w:t>
      </w:r>
      <w:r>
        <w:rPr>
          <w:rFonts w:hint="eastAsia" w:ascii="仿宋_GB2312" w:hAnsi="仿宋" w:eastAsia="仿宋_GB2312" w:cs="宋体"/>
          <w:color w:val="auto"/>
          <w:sz w:val="30"/>
          <w:szCs w:val="30"/>
          <w:highlight w:val="none"/>
        </w:rPr>
        <w:t>；</w:t>
      </w:r>
    </w:p>
    <w:p w14:paraId="6D8A4AF7">
      <w:pPr>
        <w:spacing w:line="360" w:lineRule="auto"/>
        <w:ind w:firstLine="600" w:firstLineChars="200"/>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联系电话：</w:t>
      </w:r>
      <w:r>
        <w:rPr>
          <w:rFonts w:hint="eastAsia" w:ascii="仿宋_GB2312" w:hAnsi="仿宋" w:eastAsia="仿宋_GB2312" w:cs="宋体"/>
          <w:color w:val="auto"/>
          <w:sz w:val="30"/>
          <w:szCs w:val="30"/>
          <w:highlight w:val="none"/>
          <w:u w:val="single"/>
        </w:rPr>
        <w:t xml:space="preserve"> 13206316663</w:t>
      </w:r>
      <w:r>
        <w:rPr>
          <w:rFonts w:hint="eastAsia" w:ascii="仿宋_GB2312" w:hAnsi="仿宋" w:eastAsia="仿宋_GB2312" w:cs="宋体"/>
          <w:color w:val="auto"/>
          <w:sz w:val="30"/>
          <w:szCs w:val="30"/>
          <w:highlight w:val="none"/>
        </w:rPr>
        <w:t>。</w:t>
      </w:r>
    </w:p>
    <w:p w14:paraId="7FD7908D">
      <w:pPr>
        <w:spacing w:line="360" w:lineRule="auto"/>
        <w:ind w:firstLine="525"/>
        <w:rPr>
          <w:rFonts w:hint="eastAsia" w:ascii="仿宋_GB2312" w:hAnsi="仿宋" w:eastAsia="仿宋_GB2312" w:cs="宋体"/>
          <w:b/>
          <w:color w:val="auto"/>
          <w:sz w:val="30"/>
          <w:szCs w:val="30"/>
          <w:highlight w:val="none"/>
        </w:rPr>
      </w:pPr>
      <w:r>
        <w:rPr>
          <w:rFonts w:hint="eastAsia" w:ascii="仿宋_GB2312" w:hAnsi="仿宋" w:eastAsia="仿宋_GB2312" w:cs="宋体"/>
          <w:b/>
          <w:color w:val="auto"/>
          <w:sz w:val="30"/>
          <w:szCs w:val="30"/>
          <w:highlight w:val="none"/>
        </w:rPr>
        <w:t>六、交货期： 。</w:t>
      </w:r>
    </w:p>
    <w:p w14:paraId="01628425">
      <w:pPr>
        <w:spacing w:line="360" w:lineRule="auto"/>
        <w:ind w:firstLine="525"/>
        <w:rPr>
          <w:rFonts w:hint="eastAsia" w:ascii="仿宋_GB2312" w:hAnsi="仿宋" w:eastAsia="仿宋_GB2312" w:cs="宋体"/>
          <w:color w:val="auto"/>
          <w:sz w:val="30"/>
          <w:szCs w:val="30"/>
          <w:highlight w:val="none"/>
        </w:rPr>
      </w:pPr>
      <w:r>
        <w:rPr>
          <w:rFonts w:hint="eastAsia" w:ascii="仿宋_GB2312" w:hAnsi="仿宋" w:eastAsia="仿宋_GB2312" w:cs="宋体"/>
          <w:b/>
          <w:color w:val="auto"/>
          <w:sz w:val="30"/>
          <w:szCs w:val="30"/>
          <w:highlight w:val="none"/>
        </w:rPr>
        <w:t>七、验收</w:t>
      </w:r>
    </w:p>
    <w:p w14:paraId="73B742ED">
      <w:pPr>
        <w:spacing w:line="360" w:lineRule="auto"/>
        <w:ind w:firstLine="600" w:firstLineChars="200"/>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1、标的物应按照国家及有关部门的规定进行包装，以确保其安全无损地运抵交货地点。</w:t>
      </w:r>
    </w:p>
    <w:p w14:paraId="3E0EFB43">
      <w:pPr>
        <w:spacing w:line="360" w:lineRule="auto"/>
        <w:ind w:firstLine="600" w:firstLineChars="200"/>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2、交货前，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5F845706">
      <w:pPr>
        <w:pStyle w:val="18"/>
        <w:tabs>
          <w:tab w:val="left" w:pos="720"/>
          <w:tab w:val="left" w:pos="900"/>
        </w:tabs>
        <w:spacing w:line="360" w:lineRule="auto"/>
        <w:ind w:left="50" w:leftChars="24" w:firstLine="590" w:firstLineChars="196"/>
        <w:rPr>
          <w:rFonts w:hint="eastAsia" w:ascii="仿宋_GB2312" w:hAnsi="仿宋" w:eastAsia="仿宋_GB2312" w:cs="宋体"/>
          <w:b/>
          <w:color w:val="auto"/>
          <w:sz w:val="30"/>
          <w:szCs w:val="30"/>
          <w:highlight w:val="none"/>
        </w:rPr>
      </w:pPr>
      <w:r>
        <w:rPr>
          <w:rFonts w:hint="eastAsia" w:ascii="仿宋_GB2312" w:hAnsi="仿宋" w:eastAsia="仿宋_GB2312" w:cs="宋体"/>
          <w:b/>
          <w:color w:val="auto"/>
          <w:sz w:val="30"/>
          <w:szCs w:val="30"/>
          <w:highlight w:val="none"/>
        </w:rPr>
        <w:t>八、付款：</w:t>
      </w:r>
    </w:p>
    <w:p w14:paraId="0F1E6CC7">
      <w:pPr>
        <w:spacing w:line="360" w:lineRule="auto"/>
        <w:ind w:firstLine="600" w:firstLineChars="200"/>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（1）本合同以人民币付款。</w:t>
      </w:r>
    </w:p>
    <w:p w14:paraId="291DD9D1">
      <w:pPr>
        <w:spacing w:line="360" w:lineRule="auto"/>
        <w:ind w:firstLine="600" w:firstLineChars="200"/>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 xml:space="preserve">（2）付款方式： </w:t>
      </w:r>
    </w:p>
    <w:p w14:paraId="10C73CE0">
      <w:pPr>
        <w:spacing w:line="360" w:lineRule="auto"/>
        <w:ind w:firstLine="600" w:firstLineChars="200"/>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（3）甲方支付上述款项前，乙方应按照甲方的要求提供合法有效的发票，否则甲方有权拒付合同款。</w:t>
      </w:r>
    </w:p>
    <w:p w14:paraId="1EA8F471">
      <w:pPr>
        <w:pStyle w:val="18"/>
        <w:tabs>
          <w:tab w:val="left" w:pos="1040"/>
        </w:tabs>
        <w:spacing w:line="360" w:lineRule="auto"/>
        <w:ind w:left="50" w:firstLine="600" w:firstLineChars="200"/>
        <w:jc w:val="left"/>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w:t>
      </w:r>
      <w:r>
        <w:rPr>
          <w:rFonts w:ascii="仿宋_GB2312" w:hAnsi="仿宋" w:eastAsia="仿宋_GB2312" w:cs="宋体"/>
          <w:color w:val="auto"/>
          <w:sz w:val="30"/>
          <w:szCs w:val="30"/>
          <w:highlight w:val="none"/>
        </w:rPr>
        <w:t>4</w:t>
      </w:r>
      <w:r>
        <w:rPr>
          <w:rFonts w:hint="eastAsia" w:ascii="仿宋_GB2312" w:hAnsi="仿宋" w:eastAsia="仿宋_GB2312" w:cs="宋体"/>
          <w:color w:val="auto"/>
          <w:sz w:val="30"/>
          <w:szCs w:val="30"/>
          <w:highlight w:val="none"/>
        </w:rPr>
        <w:t>）付款按以下资信办理</w:t>
      </w:r>
    </w:p>
    <w:p w14:paraId="5B9E072C">
      <w:pPr>
        <w:pStyle w:val="18"/>
        <w:tabs>
          <w:tab w:val="left" w:pos="1040"/>
        </w:tabs>
        <w:spacing w:line="360" w:lineRule="auto"/>
        <w:ind w:firstLine="1365" w:firstLineChars="455"/>
        <w:jc w:val="left"/>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收 款 人：</w:t>
      </w:r>
    </w:p>
    <w:p w14:paraId="0C7443B1">
      <w:pPr>
        <w:pStyle w:val="18"/>
        <w:tabs>
          <w:tab w:val="left" w:pos="1040"/>
        </w:tabs>
        <w:spacing w:line="360" w:lineRule="auto"/>
        <w:ind w:firstLine="1365" w:firstLineChars="455"/>
        <w:jc w:val="left"/>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开户银行：</w:t>
      </w:r>
    </w:p>
    <w:p w14:paraId="038451F6">
      <w:pPr>
        <w:pStyle w:val="18"/>
        <w:tabs>
          <w:tab w:val="left" w:pos="1040"/>
        </w:tabs>
        <w:spacing w:line="360" w:lineRule="auto"/>
        <w:ind w:firstLine="1365" w:firstLineChars="455"/>
        <w:jc w:val="left"/>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银行账号：</w:t>
      </w:r>
    </w:p>
    <w:p w14:paraId="15FC84A5">
      <w:pPr>
        <w:spacing w:line="360" w:lineRule="auto"/>
        <w:ind w:firstLine="1365" w:firstLineChars="455"/>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联 系 人：</w:t>
      </w:r>
    </w:p>
    <w:p w14:paraId="2B1694ED">
      <w:pPr>
        <w:spacing w:line="360" w:lineRule="auto"/>
        <w:ind w:firstLine="1365" w:firstLineChars="455"/>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联系电话：</w:t>
      </w:r>
    </w:p>
    <w:p w14:paraId="46FB68FC">
      <w:pPr>
        <w:pStyle w:val="18"/>
        <w:spacing w:line="360" w:lineRule="auto"/>
        <w:ind w:left="50" w:firstLine="640"/>
        <w:rPr>
          <w:rFonts w:hint="eastAsia" w:ascii="仿宋_GB2312" w:hAnsi="仿宋" w:eastAsia="仿宋_GB2312" w:cs="宋体"/>
          <w:b/>
          <w:color w:val="auto"/>
          <w:sz w:val="30"/>
          <w:szCs w:val="30"/>
          <w:highlight w:val="none"/>
        </w:rPr>
      </w:pPr>
      <w:r>
        <w:rPr>
          <w:rFonts w:hint="eastAsia" w:ascii="仿宋_GB2312" w:hAnsi="仿宋" w:eastAsia="仿宋_GB2312" w:cs="宋体"/>
          <w:b/>
          <w:color w:val="auto"/>
          <w:sz w:val="30"/>
          <w:szCs w:val="30"/>
          <w:highlight w:val="none"/>
        </w:rPr>
        <w:t>九、售后服务：</w:t>
      </w:r>
    </w:p>
    <w:p w14:paraId="7DBC6421">
      <w:pPr>
        <w:spacing w:line="360" w:lineRule="auto"/>
        <w:ind w:firstLine="600" w:firstLineChars="200"/>
        <w:rPr>
          <w:rFonts w:hint="eastAsia" w:ascii="仿宋_GB2312" w:hAnsi="宋体" w:eastAsia="仿宋_GB2312"/>
          <w:color w:val="auto"/>
          <w:sz w:val="30"/>
          <w:szCs w:val="30"/>
          <w:highlight w:val="none"/>
        </w:rPr>
      </w:pPr>
      <w:r>
        <w:rPr>
          <w:rFonts w:hint="eastAsia" w:ascii="仿宋_GB2312" w:hAnsi="宋体" w:eastAsia="仿宋_GB2312"/>
          <w:color w:val="auto"/>
          <w:sz w:val="30"/>
          <w:szCs w:val="30"/>
          <w:highlight w:val="none"/>
        </w:rPr>
        <w:t>1.根据甲方需要，乙方应派技术人员现场服务，处理现场出现的技术问题。</w:t>
      </w:r>
    </w:p>
    <w:p w14:paraId="2E65CF3D">
      <w:pPr>
        <w:spacing w:line="360" w:lineRule="auto"/>
        <w:ind w:firstLine="600" w:firstLineChars="200"/>
        <w:rPr>
          <w:rFonts w:hint="eastAsia" w:ascii="仿宋_GB2312" w:hAnsi="宋体" w:eastAsia="仿宋_GB2312"/>
          <w:color w:val="auto"/>
          <w:sz w:val="30"/>
          <w:szCs w:val="30"/>
          <w:highlight w:val="none"/>
        </w:rPr>
      </w:pPr>
      <w:r>
        <w:rPr>
          <w:rFonts w:hint="eastAsia" w:ascii="仿宋_GB2312" w:hAnsi="宋体" w:eastAsia="仿宋_GB2312"/>
          <w:color w:val="auto"/>
          <w:sz w:val="30"/>
          <w:szCs w:val="30"/>
          <w:highlight w:val="none"/>
        </w:rPr>
        <w:t>2.乙方要保证提供优质的售后服务，其服务必须达到或超过标的物生产厂提供的承诺。质保期内，免费负责三包（包退、包换、保修）。</w:t>
      </w:r>
    </w:p>
    <w:p w14:paraId="302F6902">
      <w:pPr>
        <w:widowControl/>
        <w:spacing w:line="360" w:lineRule="auto"/>
        <w:ind w:firstLine="600" w:firstLineChars="200"/>
        <w:jc w:val="left"/>
        <w:rPr>
          <w:rFonts w:hint="eastAsia" w:ascii="仿宋_GB2312" w:hAnsi="宋体" w:eastAsia="仿宋_GB2312" w:cs="仿宋_GB2312"/>
          <w:color w:val="auto"/>
          <w:kern w:val="0"/>
          <w:sz w:val="30"/>
          <w:szCs w:val="30"/>
          <w:highlight w:val="none"/>
        </w:rPr>
      </w:pPr>
      <w:r>
        <w:rPr>
          <w:rFonts w:hint="eastAsia" w:ascii="仿宋_GB2312" w:hAnsi="宋体" w:eastAsia="仿宋_GB2312"/>
          <w:color w:val="auto"/>
          <w:kern w:val="0"/>
          <w:sz w:val="30"/>
          <w:szCs w:val="30"/>
          <w:highlight w:val="none"/>
        </w:rPr>
        <w:t>3.</w:t>
      </w:r>
      <w:r>
        <w:rPr>
          <w:rFonts w:hint="eastAsia" w:ascii="仿宋_GB2312" w:hAnsi="宋体" w:eastAsia="仿宋_GB2312" w:cs="仿宋_GB2312"/>
          <w:color w:val="auto"/>
          <w:kern w:val="0"/>
          <w:sz w:val="30"/>
          <w:szCs w:val="30"/>
          <w:highlight w:val="none"/>
        </w:rPr>
        <w:t>标的物出现问题时，无论质保期内外，乙方均须保证</w:t>
      </w:r>
      <w:r>
        <w:rPr>
          <w:rFonts w:hint="eastAsia" w:ascii="仿宋_GB2312" w:hAnsi="宋体" w:eastAsia="仿宋_GB2312" w:cs="仿宋_GB2312"/>
          <w:color w:val="auto"/>
          <w:kern w:val="0"/>
          <w:sz w:val="30"/>
          <w:szCs w:val="30"/>
          <w:highlight w:val="none"/>
          <w:u w:val="single"/>
        </w:rPr>
        <w:t xml:space="preserve">  </w:t>
      </w:r>
      <w:r>
        <w:rPr>
          <w:rFonts w:hint="eastAsia" w:ascii="仿宋_GB2312" w:hAnsi="宋体" w:eastAsia="仿宋_GB2312" w:cs="仿宋_GB2312"/>
          <w:color w:val="auto"/>
          <w:kern w:val="0"/>
          <w:sz w:val="30"/>
          <w:szCs w:val="30"/>
          <w:highlight w:val="none"/>
        </w:rPr>
        <w:t>分钟内响应甲方的要求，</w:t>
      </w:r>
      <w:r>
        <w:rPr>
          <w:rFonts w:hint="eastAsia" w:ascii="仿宋_GB2312" w:hAnsi="宋体" w:eastAsia="仿宋_GB2312" w:cs="仿宋_GB2312"/>
          <w:color w:val="auto"/>
          <w:kern w:val="0"/>
          <w:sz w:val="30"/>
          <w:szCs w:val="30"/>
          <w:highlight w:val="none"/>
          <w:u w:val="single"/>
        </w:rPr>
        <w:t xml:space="preserve">  </w:t>
      </w:r>
      <w:r>
        <w:rPr>
          <w:rFonts w:hint="eastAsia" w:ascii="仿宋_GB2312" w:hAnsi="宋体" w:eastAsia="仿宋_GB2312" w:cs="仿宋_GB2312"/>
          <w:color w:val="auto"/>
          <w:kern w:val="0"/>
          <w:sz w:val="30"/>
          <w:szCs w:val="30"/>
          <w:highlight w:val="none"/>
        </w:rPr>
        <w:t>小时内到达现场，</w:t>
      </w:r>
      <w:r>
        <w:rPr>
          <w:rFonts w:hint="eastAsia" w:ascii="仿宋_GB2312" w:hAnsi="宋体" w:eastAsia="仿宋_GB2312" w:cs="仿宋_GB2312"/>
          <w:color w:val="auto"/>
          <w:kern w:val="0"/>
          <w:sz w:val="30"/>
          <w:szCs w:val="30"/>
          <w:highlight w:val="none"/>
          <w:u w:val="single"/>
        </w:rPr>
        <w:t xml:space="preserve">  </w:t>
      </w:r>
      <w:r>
        <w:rPr>
          <w:rFonts w:hint="eastAsia" w:ascii="仿宋_GB2312" w:hAnsi="宋体" w:eastAsia="仿宋_GB2312" w:cs="仿宋_GB2312"/>
          <w:color w:val="auto"/>
          <w:kern w:val="0"/>
          <w:sz w:val="30"/>
          <w:szCs w:val="30"/>
          <w:highlight w:val="none"/>
        </w:rPr>
        <w:t>内完成修复，以保证甲方工作的正常进行。</w:t>
      </w:r>
    </w:p>
    <w:p w14:paraId="2EFE0973">
      <w:pPr>
        <w:widowControl/>
        <w:spacing w:line="360" w:lineRule="auto"/>
        <w:ind w:firstLine="600" w:firstLineChars="200"/>
        <w:jc w:val="left"/>
        <w:rPr>
          <w:rFonts w:hint="eastAsia" w:ascii="仿宋_GB2312" w:hAnsi="宋体" w:eastAsia="仿宋_GB2312"/>
          <w:color w:val="auto"/>
          <w:szCs w:val="28"/>
          <w:highlight w:val="none"/>
        </w:rPr>
      </w:pPr>
      <w:r>
        <w:rPr>
          <w:rFonts w:hint="eastAsia" w:ascii="仿宋_GB2312" w:hAnsi="宋体" w:eastAsia="仿宋_GB2312"/>
          <w:color w:val="auto"/>
          <w:sz w:val="30"/>
          <w:szCs w:val="30"/>
          <w:highlight w:val="none"/>
        </w:rPr>
        <w:t>4.乙方应严格履行其在该项目的投标文件中所做出的承诺。</w:t>
      </w:r>
    </w:p>
    <w:p w14:paraId="7A3236DD">
      <w:pPr>
        <w:spacing w:line="360" w:lineRule="auto"/>
        <w:ind w:left="-10" w:firstLine="561"/>
        <w:rPr>
          <w:rFonts w:hint="eastAsia" w:ascii="仿宋_GB2312" w:hAnsi="仿宋" w:eastAsia="仿宋_GB2312" w:cs="宋体"/>
          <w:b/>
          <w:color w:val="auto"/>
          <w:sz w:val="30"/>
          <w:szCs w:val="30"/>
          <w:highlight w:val="none"/>
        </w:rPr>
      </w:pPr>
      <w:r>
        <w:rPr>
          <w:rFonts w:hint="eastAsia" w:ascii="仿宋_GB2312" w:hAnsi="仿宋" w:eastAsia="仿宋_GB2312" w:cs="宋体"/>
          <w:b/>
          <w:color w:val="auto"/>
          <w:sz w:val="30"/>
          <w:szCs w:val="30"/>
          <w:highlight w:val="none"/>
        </w:rPr>
        <w:t>十、变更与修改</w:t>
      </w:r>
    </w:p>
    <w:p w14:paraId="0F04BBA5">
      <w:pPr>
        <w:pStyle w:val="18"/>
        <w:spacing w:line="360" w:lineRule="auto"/>
        <w:ind w:left="50" w:firstLine="638"/>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乙方应严格按合同要求供货、安装、调试，未经甲方书面同意，乙方不得擅自就合同标的物的数量、质量、供货或完工日期、技术规格以及其他的合同条款进行变更、修改。</w:t>
      </w:r>
    </w:p>
    <w:p w14:paraId="4EDF28C6">
      <w:pPr>
        <w:spacing w:line="360" w:lineRule="auto"/>
        <w:ind w:firstLine="602" w:firstLineChars="200"/>
        <w:rPr>
          <w:rFonts w:hint="eastAsia" w:ascii="仿宋_GB2312" w:hAnsi="仿宋" w:eastAsia="仿宋_GB2312" w:cs="宋体"/>
          <w:color w:val="auto"/>
          <w:sz w:val="30"/>
          <w:szCs w:val="30"/>
          <w:highlight w:val="none"/>
        </w:rPr>
      </w:pPr>
      <w:r>
        <w:rPr>
          <w:rFonts w:hint="eastAsia" w:ascii="仿宋_GB2312" w:hAnsi="仿宋" w:eastAsia="仿宋_GB2312" w:cs="宋体"/>
          <w:b/>
          <w:color w:val="auto"/>
          <w:sz w:val="30"/>
          <w:szCs w:val="30"/>
          <w:highlight w:val="none"/>
        </w:rPr>
        <w:t>十一、</w:t>
      </w:r>
      <w:r>
        <w:rPr>
          <w:rFonts w:hint="eastAsia" w:ascii="仿宋_GB2312" w:hAnsi="仿宋" w:eastAsia="仿宋_GB2312" w:cs="宋体"/>
          <w:b/>
          <w:bCs/>
          <w:color w:val="auto"/>
          <w:sz w:val="30"/>
          <w:szCs w:val="30"/>
          <w:highlight w:val="none"/>
        </w:rPr>
        <w:t>合同解除：</w:t>
      </w:r>
    </w:p>
    <w:p w14:paraId="30E01040">
      <w:pPr>
        <w:spacing w:line="360" w:lineRule="auto"/>
        <w:ind w:firstLine="600" w:firstLineChars="200"/>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有下列情况之一的，招标公司经甲方书面同意，可向乙方发出书面通知，解除本合同。</w:t>
      </w:r>
    </w:p>
    <w:p w14:paraId="5FBFE067">
      <w:pPr>
        <w:spacing w:line="360" w:lineRule="auto"/>
        <w:ind w:firstLine="600" w:firstLineChars="200"/>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（1）乙方未能在合同约定的限期内履行合同义务的；</w:t>
      </w:r>
    </w:p>
    <w:p w14:paraId="0855C538">
      <w:pPr>
        <w:spacing w:line="360" w:lineRule="auto"/>
        <w:ind w:firstLine="600" w:firstLineChars="200"/>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（2）乙方没有按照合同约定的要求交付标的物，或标的物验收不合格的；</w:t>
      </w:r>
    </w:p>
    <w:p w14:paraId="38CD624D">
      <w:pPr>
        <w:spacing w:line="360" w:lineRule="auto"/>
        <w:ind w:firstLine="600" w:firstLineChars="200"/>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（3）乙方未经书面同意部分转让或全部转让其应履行的合同义务；</w:t>
      </w:r>
    </w:p>
    <w:p w14:paraId="0C884E2B">
      <w:pPr>
        <w:spacing w:line="360" w:lineRule="auto"/>
        <w:ind w:firstLine="602" w:firstLineChars="200"/>
        <w:rPr>
          <w:rFonts w:hint="eastAsia" w:ascii="仿宋_GB2312" w:hAnsi="仿宋" w:eastAsia="仿宋_GB2312" w:cs="宋体"/>
          <w:b/>
          <w:bCs/>
          <w:color w:val="auto"/>
          <w:sz w:val="30"/>
          <w:szCs w:val="30"/>
          <w:highlight w:val="none"/>
        </w:rPr>
      </w:pPr>
      <w:r>
        <w:rPr>
          <w:rFonts w:hint="eastAsia" w:ascii="仿宋_GB2312" w:hAnsi="仿宋" w:eastAsia="仿宋_GB2312" w:cs="宋体"/>
          <w:b/>
          <w:bCs/>
          <w:color w:val="auto"/>
          <w:sz w:val="30"/>
          <w:szCs w:val="30"/>
          <w:highlight w:val="none"/>
        </w:rPr>
        <w:t>十二、违约赔偿：</w:t>
      </w:r>
    </w:p>
    <w:p w14:paraId="62C37268">
      <w:pPr>
        <w:spacing w:line="360" w:lineRule="auto"/>
        <w:ind w:firstLine="534"/>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1、除“不可抗力”外，乙方延期交货或验收不合格而造成的损失由乙方承担。“不可抗力”仅限于战争、严重火灾、洪水、台风、地震及甲方认可的其他事件。</w:t>
      </w:r>
    </w:p>
    <w:p w14:paraId="1B692E8A">
      <w:pPr>
        <w:spacing w:line="360" w:lineRule="auto"/>
        <w:ind w:firstLine="534"/>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2、乙方逾期交货的，除甲方书面同意的原因外，每逾期一日按照逾期交货部分合同价款的3‰向甲方交纳违约金，不足一日，按一日计算（下同）。</w:t>
      </w:r>
    </w:p>
    <w:p w14:paraId="7F138350">
      <w:pPr>
        <w:spacing w:line="360" w:lineRule="auto"/>
        <w:ind w:firstLine="534"/>
        <w:rPr>
          <w:rFonts w:hint="eastAsia" w:ascii="仿宋_GB2312" w:hAnsi="仿宋" w:eastAsia="仿宋_GB2312" w:cs="宋体"/>
          <w:b/>
          <w:bCs/>
          <w:color w:val="auto"/>
          <w:sz w:val="30"/>
          <w:szCs w:val="30"/>
          <w:highlight w:val="none"/>
        </w:rPr>
      </w:pPr>
      <w:r>
        <w:rPr>
          <w:rFonts w:hint="eastAsia" w:ascii="仿宋_GB2312" w:hAnsi="仿宋" w:eastAsia="仿宋_GB2312" w:cs="宋体"/>
          <w:b/>
          <w:bCs/>
          <w:color w:val="auto"/>
          <w:sz w:val="30"/>
          <w:szCs w:val="30"/>
          <w:highlight w:val="none"/>
        </w:rPr>
        <w:t>十三、争议解决：</w:t>
      </w:r>
    </w:p>
    <w:p w14:paraId="5A30407C">
      <w:pPr>
        <w:spacing w:line="360" w:lineRule="auto"/>
        <w:ind w:firstLine="600" w:firstLineChars="200"/>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1、合同双方应通过友好协商，解决执行本合同中所发生的或与本合同有关的一切争议，如协商不成，可向合同签约地的人民法院提起诉讼；</w:t>
      </w:r>
    </w:p>
    <w:p w14:paraId="05C49CE0">
      <w:pPr>
        <w:spacing w:line="360" w:lineRule="auto"/>
        <w:ind w:firstLine="534"/>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2、在诉讼期间，本合同无争议的部分应继续执行。</w:t>
      </w:r>
    </w:p>
    <w:p w14:paraId="2DB2B48A">
      <w:pPr>
        <w:spacing w:line="360" w:lineRule="auto"/>
        <w:ind w:firstLine="602" w:firstLineChars="200"/>
        <w:rPr>
          <w:rFonts w:hint="eastAsia" w:ascii="仿宋_GB2312" w:hAnsi="仿宋" w:eastAsia="仿宋_GB2312" w:cs="宋体"/>
          <w:b/>
          <w:bCs/>
          <w:color w:val="auto"/>
          <w:sz w:val="30"/>
          <w:szCs w:val="30"/>
          <w:highlight w:val="none"/>
        </w:rPr>
      </w:pPr>
      <w:r>
        <w:rPr>
          <w:rFonts w:hint="eastAsia" w:ascii="仿宋_GB2312" w:hAnsi="仿宋" w:eastAsia="仿宋_GB2312" w:cs="宋体"/>
          <w:b/>
          <w:bCs/>
          <w:color w:val="auto"/>
          <w:sz w:val="30"/>
          <w:szCs w:val="30"/>
          <w:highlight w:val="none"/>
        </w:rPr>
        <w:t>十四、合同生效：</w:t>
      </w:r>
    </w:p>
    <w:p w14:paraId="6A3C3E86">
      <w:pPr>
        <w:spacing w:line="360" w:lineRule="auto"/>
        <w:ind w:firstLine="600" w:firstLineChars="200"/>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本合同由双方代表签字或加盖双方公章或合同章后生效。</w:t>
      </w:r>
    </w:p>
    <w:p w14:paraId="0844CA0D">
      <w:pPr>
        <w:widowControl/>
        <w:spacing w:line="360" w:lineRule="auto"/>
        <w:ind w:firstLine="605" w:firstLineChars="201"/>
        <w:jc w:val="left"/>
        <w:rPr>
          <w:rFonts w:hint="eastAsia" w:ascii="仿宋_GB2312" w:hAnsi="仿宋" w:eastAsia="仿宋_GB2312" w:cs="宋体"/>
          <w:color w:val="auto"/>
          <w:sz w:val="30"/>
          <w:szCs w:val="30"/>
          <w:highlight w:val="none"/>
          <w:shd w:val="pct10" w:color="auto" w:fill="FFFFFF"/>
        </w:rPr>
      </w:pPr>
      <w:r>
        <w:rPr>
          <w:rFonts w:hint="eastAsia" w:ascii="仿宋_GB2312" w:hAnsi="仿宋" w:eastAsia="仿宋_GB2312" w:cs="宋体"/>
          <w:b/>
          <w:bCs/>
          <w:color w:val="auto"/>
          <w:sz w:val="30"/>
          <w:szCs w:val="30"/>
          <w:highlight w:val="none"/>
        </w:rPr>
        <w:t>十五、签约地点：</w:t>
      </w:r>
      <w:r>
        <w:rPr>
          <w:rFonts w:hint="eastAsia" w:ascii="仿宋_GB2312" w:hAnsi="仿宋" w:eastAsia="仿宋_GB2312" w:cs="宋体"/>
          <w:color w:val="auto"/>
          <w:sz w:val="30"/>
          <w:szCs w:val="30"/>
          <w:highlight w:val="none"/>
        </w:rPr>
        <w:t>山东省乳山市。</w:t>
      </w:r>
    </w:p>
    <w:p w14:paraId="60DDEE7D">
      <w:pPr>
        <w:spacing w:line="360" w:lineRule="auto"/>
        <w:ind w:firstLine="605" w:firstLineChars="201"/>
        <w:rPr>
          <w:rFonts w:hint="eastAsia" w:ascii="仿宋_GB2312" w:hAnsi="仿宋" w:eastAsia="仿宋_GB2312" w:cs="宋体"/>
          <w:b/>
          <w:bCs/>
          <w:color w:val="auto"/>
          <w:sz w:val="30"/>
          <w:szCs w:val="30"/>
          <w:highlight w:val="none"/>
        </w:rPr>
      </w:pPr>
      <w:r>
        <w:rPr>
          <w:rFonts w:hint="eastAsia" w:ascii="仿宋_GB2312" w:hAnsi="仿宋" w:eastAsia="仿宋_GB2312" w:cs="宋体"/>
          <w:b/>
          <w:bCs/>
          <w:color w:val="auto"/>
          <w:sz w:val="30"/>
          <w:szCs w:val="30"/>
          <w:highlight w:val="none"/>
        </w:rPr>
        <w:t>十六、通知与送达</w:t>
      </w:r>
    </w:p>
    <w:p w14:paraId="4EA2A6FC">
      <w:pPr>
        <w:spacing w:line="360" w:lineRule="auto"/>
        <w:ind w:firstLine="600" w:firstLineChars="200"/>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770ADDC5">
      <w:pPr>
        <w:spacing w:line="360" w:lineRule="auto"/>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双方地址与联系方式如下：</w:t>
      </w:r>
    </w:p>
    <w:p w14:paraId="19ABFB1C">
      <w:pPr>
        <w:spacing w:line="360" w:lineRule="auto"/>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如致甲方：【</w:t>
      </w:r>
      <w:r>
        <w:rPr>
          <w:rFonts w:hint="eastAsia" w:ascii="仿宋_GB2312" w:hAnsi="仿宋" w:eastAsia="仿宋_GB2312" w:cs="宋体"/>
          <w:color w:val="auto"/>
          <w:spacing w:val="8"/>
          <w:kern w:val="0"/>
          <w:sz w:val="28"/>
          <w:szCs w:val="28"/>
          <w:highlight w:val="none"/>
          <w:lang w:val="en-US" w:eastAsia="zh-CN"/>
        </w:rPr>
        <w:t>乳山市兴宇安装工程有限公司</w:t>
      </w:r>
      <w:r>
        <w:rPr>
          <w:rFonts w:hint="eastAsia" w:ascii="仿宋_GB2312" w:hAnsi="仿宋" w:eastAsia="仿宋_GB2312" w:cs="宋体"/>
          <w:color w:val="auto"/>
          <w:sz w:val="30"/>
          <w:szCs w:val="30"/>
          <w:highlight w:val="none"/>
        </w:rPr>
        <w:t>】</w:t>
      </w:r>
    </w:p>
    <w:p w14:paraId="323F426C">
      <w:pPr>
        <w:spacing w:line="360" w:lineRule="auto"/>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地址：【</w:t>
      </w:r>
      <w:r>
        <w:rPr>
          <w:rFonts w:hint="eastAsia" w:ascii="仿宋_GB2312" w:hAnsi="仿宋" w:eastAsia="仿宋_GB2312" w:cs="宋体"/>
          <w:color w:val="auto"/>
          <w:spacing w:val="8"/>
          <w:kern w:val="0"/>
          <w:sz w:val="28"/>
          <w:szCs w:val="28"/>
          <w:highlight w:val="none"/>
        </w:rPr>
        <w:t>山东省威海市乳山市北环路21号</w:t>
      </w:r>
      <w:r>
        <w:rPr>
          <w:rFonts w:hint="eastAsia" w:ascii="仿宋_GB2312" w:hAnsi="仿宋" w:eastAsia="仿宋_GB2312" w:cs="宋体"/>
          <w:color w:val="auto"/>
          <w:sz w:val="30"/>
          <w:szCs w:val="30"/>
          <w:highlight w:val="none"/>
        </w:rPr>
        <w:t>】</w:t>
      </w:r>
    </w:p>
    <w:p w14:paraId="5F34A1B2">
      <w:pPr>
        <w:spacing w:line="360" w:lineRule="auto"/>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电话：【13206316663】</w:t>
      </w:r>
    </w:p>
    <w:p w14:paraId="659F4CCE">
      <w:pPr>
        <w:spacing w:line="360" w:lineRule="auto"/>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邮政编码：【】</w:t>
      </w:r>
    </w:p>
    <w:p w14:paraId="542990F6">
      <w:pPr>
        <w:spacing w:line="360" w:lineRule="auto"/>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如致乙方：</w:t>
      </w:r>
    </w:p>
    <w:p w14:paraId="5C04B76C">
      <w:pPr>
        <w:spacing w:line="360" w:lineRule="auto"/>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w:t>
      </w:r>
    </w:p>
    <w:p w14:paraId="0963E243">
      <w:pPr>
        <w:spacing w:line="360" w:lineRule="auto"/>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地址：【】</w:t>
      </w:r>
    </w:p>
    <w:p w14:paraId="0851AF06">
      <w:pPr>
        <w:spacing w:line="360" w:lineRule="auto"/>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电话：【】</w:t>
      </w:r>
    </w:p>
    <w:p w14:paraId="7EDCBEE6">
      <w:pPr>
        <w:spacing w:line="360" w:lineRule="auto"/>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邮政编码：【】</w:t>
      </w:r>
    </w:p>
    <w:p w14:paraId="18DC240A">
      <w:pPr>
        <w:spacing w:line="360" w:lineRule="auto"/>
        <w:rPr>
          <w:rFonts w:hint="eastAsia" w:ascii="仿宋_GB2312" w:hAnsi="仿宋" w:eastAsia="仿宋_GB2312" w:cs="宋体"/>
          <w:color w:val="auto"/>
          <w:sz w:val="30"/>
          <w:szCs w:val="30"/>
          <w:highlight w:val="none"/>
        </w:rPr>
      </w:pPr>
    </w:p>
    <w:tbl>
      <w:tblPr>
        <w:tblStyle w:val="30"/>
        <w:tblW w:w="0" w:type="auto"/>
        <w:tblInd w:w="0" w:type="dxa"/>
        <w:tblLayout w:type="autofit"/>
        <w:tblCellMar>
          <w:top w:w="0" w:type="dxa"/>
          <w:left w:w="108" w:type="dxa"/>
          <w:bottom w:w="0" w:type="dxa"/>
          <w:right w:w="108" w:type="dxa"/>
        </w:tblCellMar>
      </w:tblPr>
      <w:tblGrid>
        <w:gridCol w:w="4984"/>
        <w:gridCol w:w="4984"/>
      </w:tblGrid>
      <w:tr w14:paraId="7D76504A">
        <w:tblPrEx>
          <w:tblCellMar>
            <w:top w:w="0" w:type="dxa"/>
            <w:left w:w="108" w:type="dxa"/>
            <w:bottom w:w="0" w:type="dxa"/>
            <w:right w:w="108" w:type="dxa"/>
          </w:tblCellMar>
        </w:tblPrEx>
        <w:trPr>
          <w:trHeight w:val="1064" w:hRule="atLeast"/>
        </w:trPr>
        <w:tc>
          <w:tcPr>
            <w:tcW w:w="5035" w:type="dxa"/>
          </w:tcPr>
          <w:p w14:paraId="69C5D464">
            <w:pPr>
              <w:pStyle w:val="18"/>
              <w:rPr>
                <w:rFonts w:hint="eastAsia" w:ascii="仿宋_GB2312" w:hAnsi="仿宋" w:eastAsia="仿宋_GB2312" w:cs="宋体"/>
                <w:color w:val="auto"/>
                <w:sz w:val="30"/>
                <w:szCs w:val="30"/>
                <w:highlight w:val="none"/>
              </w:rPr>
            </w:pPr>
            <w:r>
              <w:rPr>
                <w:rFonts w:hint="eastAsia" w:ascii="仿宋_GB2312" w:hAnsi="仿宋" w:eastAsia="仿宋_GB2312"/>
                <w:bCs/>
                <w:color w:val="auto"/>
                <w:sz w:val="30"/>
                <w:szCs w:val="30"/>
                <w:highlight w:val="none"/>
              </w:rPr>
              <w:t>甲方:乳山市兴宇安装工程有限公司</w:t>
            </w:r>
          </w:p>
        </w:tc>
        <w:tc>
          <w:tcPr>
            <w:tcW w:w="5035" w:type="dxa"/>
          </w:tcPr>
          <w:p w14:paraId="2057F8B1">
            <w:pPr>
              <w:pStyle w:val="18"/>
              <w:rPr>
                <w:rFonts w:hint="eastAsia" w:ascii="仿宋_GB2312" w:hAnsi="仿宋" w:eastAsia="仿宋_GB2312" w:cs="宋体"/>
                <w:color w:val="auto"/>
                <w:sz w:val="30"/>
                <w:szCs w:val="30"/>
                <w:highlight w:val="none"/>
              </w:rPr>
            </w:pPr>
            <w:r>
              <w:rPr>
                <w:rFonts w:hint="eastAsia" w:ascii="仿宋_GB2312" w:hAnsi="仿宋" w:eastAsia="仿宋_GB2312"/>
                <w:bCs/>
                <w:color w:val="auto"/>
                <w:sz w:val="30"/>
                <w:szCs w:val="30"/>
                <w:highlight w:val="none"/>
              </w:rPr>
              <w:t>乙方:</w:t>
            </w:r>
          </w:p>
        </w:tc>
      </w:tr>
      <w:tr w14:paraId="18219C14">
        <w:tblPrEx>
          <w:tblCellMar>
            <w:top w:w="0" w:type="dxa"/>
            <w:left w:w="108" w:type="dxa"/>
            <w:bottom w:w="0" w:type="dxa"/>
            <w:right w:w="108" w:type="dxa"/>
          </w:tblCellMar>
        </w:tblPrEx>
        <w:trPr>
          <w:trHeight w:val="1681" w:hRule="atLeast"/>
        </w:trPr>
        <w:tc>
          <w:tcPr>
            <w:tcW w:w="5035" w:type="dxa"/>
          </w:tcPr>
          <w:p w14:paraId="760FF5F1">
            <w:pPr>
              <w:pStyle w:val="18"/>
              <w:rPr>
                <w:rFonts w:hint="eastAsia" w:ascii="仿宋_GB2312" w:hAnsi="仿宋" w:eastAsia="仿宋_GB2312" w:cs="宋体"/>
                <w:color w:val="auto"/>
                <w:sz w:val="30"/>
                <w:szCs w:val="30"/>
                <w:highlight w:val="none"/>
              </w:rPr>
            </w:pPr>
            <w:r>
              <w:rPr>
                <w:rFonts w:hint="eastAsia" w:ascii="仿宋_GB2312" w:hAnsi="仿宋" w:eastAsia="仿宋_GB2312"/>
                <w:bCs/>
                <w:color w:val="auto"/>
                <w:sz w:val="30"/>
                <w:szCs w:val="30"/>
                <w:highlight w:val="none"/>
              </w:rPr>
              <w:t>单位盖章:</w:t>
            </w:r>
          </w:p>
        </w:tc>
        <w:tc>
          <w:tcPr>
            <w:tcW w:w="5035" w:type="dxa"/>
          </w:tcPr>
          <w:p w14:paraId="7E875AFE">
            <w:pPr>
              <w:pStyle w:val="18"/>
              <w:rPr>
                <w:rFonts w:hint="eastAsia" w:ascii="仿宋_GB2312" w:hAnsi="仿宋" w:eastAsia="仿宋_GB2312" w:cs="宋体"/>
                <w:color w:val="auto"/>
                <w:sz w:val="30"/>
                <w:szCs w:val="30"/>
                <w:highlight w:val="none"/>
              </w:rPr>
            </w:pPr>
            <w:r>
              <w:rPr>
                <w:rFonts w:hint="eastAsia" w:ascii="仿宋_GB2312" w:hAnsi="仿宋" w:eastAsia="仿宋_GB2312"/>
                <w:bCs/>
                <w:color w:val="auto"/>
                <w:sz w:val="30"/>
                <w:szCs w:val="30"/>
                <w:highlight w:val="none"/>
              </w:rPr>
              <w:t>单位盖章:</w:t>
            </w:r>
          </w:p>
        </w:tc>
      </w:tr>
      <w:tr w14:paraId="54C33B70">
        <w:tblPrEx>
          <w:tblCellMar>
            <w:top w:w="0" w:type="dxa"/>
            <w:left w:w="108" w:type="dxa"/>
            <w:bottom w:w="0" w:type="dxa"/>
            <w:right w:w="108" w:type="dxa"/>
          </w:tblCellMar>
        </w:tblPrEx>
        <w:trPr>
          <w:trHeight w:val="1713" w:hRule="atLeast"/>
        </w:trPr>
        <w:tc>
          <w:tcPr>
            <w:tcW w:w="5035" w:type="dxa"/>
          </w:tcPr>
          <w:p w14:paraId="1899D721">
            <w:pPr>
              <w:pStyle w:val="18"/>
              <w:rPr>
                <w:rFonts w:hint="eastAsia" w:ascii="仿宋_GB2312" w:hAnsi="仿宋" w:eastAsia="仿宋_GB2312" w:cs="宋体"/>
                <w:color w:val="auto"/>
                <w:sz w:val="30"/>
                <w:szCs w:val="30"/>
                <w:highlight w:val="none"/>
              </w:rPr>
            </w:pPr>
            <w:r>
              <w:rPr>
                <w:rFonts w:hint="eastAsia" w:ascii="仿宋_GB2312" w:hAnsi="仿宋" w:eastAsia="仿宋_GB2312"/>
                <w:bCs/>
                <w:color w:val="auto"/>
                <w:sz w:val="30"/>
                <w:szCs w:val="30"/>
                <w:highlight w:val="none"/>
              </w:rPr>
              <w:t>代表签字:</w:t>
            </w:r>
          </w:p>
        </w:tc>
        <w:tc>
          <w:tcPr>
            <w:tcW w:w="5035" w:type="dxa"/>
          </w:tcPr>
          <w:p w14:paraId="5F09ED4D">
            <w:pPr>
              <w:pStyle w:val="18"/>
              <w:rPr>
                <w:rFonts w:hint="eastAsia" w:ascii="仿宋_GB2312" w:hAnsi="仿宋" w:eastAsia="仿宋_GB2312" w:cs="宋体"/>
                <w:color w:val="auto"/>
                <w:sz w:val="30"/>
                <w:szCs w:val="30"/>
                <w:highlight w:val="none"/>
              </w:rPr>
            </w:pPr>
            <w:r>
              <w:rPr>
                <w:rFonts w:hint="eastAsia" w:ascii="仿宋_GB2312" w:hAnsi="仿宋" w:eastAsia="仿宋_GB2312"/>
                <w:bCs/>
                <w:color w:val="auto"/>
                <w:sz w:val="30"/>
                <w:szCs w:val="30"/>
                <w:highlight w:val="none"/>
              </w:rPr>
              <w:t>代表签字:</w:t>
            </w:r>
          </w:p>
        </w:tc>
      </w:tr>
    </w:tbl>
    <w:p w14:paraId="0AC6448F">
      <w:pPr>
        <w:spacing w:line="560" w:lineRule="exact"/>
        <w:ind w:firstLine="560" w:firstLineChars="200"/>
        <w:rPr>
          <w:rFonts w:ascii="仿宋_GB2312" w:hAnsi="宋体" w:eastAsia="仿宋_GB2312"/>
          <w:bCs/>
          <w:color w:val="auto"/>
          <w:sz w:val="28"/>
          <w:szCs w:val="28"/>
          <w:highlight w:val="none"/>
        </w:rPr>
        <w:sectPr>
          <w:footerReference r:id="rId26" w:type="default"/>
          <w:pgSz w:w="11906" w:h="16838"/>
          <w:pgMar w:top="1440" w:right="1077" w:bottom="1440" w:left="1077" w:header="851" w:footer="992" w:gutter="0"/>
          <w:cols w:space="720" w:num="1"/>
          <w:docGrid w:type="lines" w:linePitch="312" w:charSpace="0"/>
        </w:sectPr>
      </w:pPr>
      <w:r>
        <w:rPr>
          <w:rFonts w:hint="eastAsia" w:ascii="仿宋_GB2312" w:hAnsi="宋体" w:eastAsia="仿宋_GB2312"/>
          <w:bCs/>
          <w:color w:val="auto"/>
          <w:sz w:val="28"/>
          <w:szCs w:val="28"/>
          <w:highlight w:val="none"/>
        </w:rPr>
        <w:t xml:space="preserve"> </w:t>
      </w:r>
    </w:p>
    <w:p w14:paraId="5C1CB607">
      <w:pPr>
        <w:spacing w:line="560" w:lineRule="exact"/>
        <w:ind w:firstLine="560" w:firstLineChars="200"/>
        <w:rPr>
          <w:rFonts w:ascii="仿宋_GB2312" w:hAnsi="宋体" w:eastAsia="仿宋_GB2312"/>
          <w:bCs/>
          <w:color w:val="auto"/>
          <w:sz w:val="28"/>
          <w:szCs w:val="28"/>
          <w:highlight w:val="none"/>
        </w:rPr>
      </w:pPr>
      <w:r>
        <w:rPr>
          <w:rFonts w:hint="eastAsia" w:ascii="仿宋_GB2312" w:hAnsi="宋体" w:eastAsia="仿宋_GB2312"/>
          <w:color w:val="auto"/>
          <w:sz w:val="28"/>
          <w:szCs w:val="28"/>
          <w:highlight w:val="none"/>
        </w:rPr>
        <w:t>附表如下：</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16"/>
        <w:gridCol w:w="1701"/>
        <w:gridCol w:w="1559"/>
        <w:gridCol w:w="3413"/>
        <w:gridCol w:w="1650"/>
        <w:gridCol w:w="1519"/>
        <w:gridCol w:w="1758"/>
        <w:gridCol w:w="1758"/>
      </w:tblGrid>
      <w:tr w14:paraId="14DCFA2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88" w:type="pct"/>
            <w:tcBorders>
              <w:top w:val="single" w:color="auto" w:sz="4" w:space="0"/>
            </w:tcBorders>
            <w:vAlign w:val="center"/>
          </w:tcPr>
          <w:p w14:paraId="56B10B9B">
            <w:pPr>
              <w:spacing w:line="560" w:lineRule="exact"/>
              <w:rPr>
                <w:rFonts w:ascii="仿宋_GB2312" w:hAnsi="宋体" w:eastAsia="仿宋_GB2312"/>
                <w:color w:val="auto"/>
                <w:sz w:val="24"/>
                <w:szCs w:val="28"/>
                <w:highlight w:val="none"/>
              </w:rPr>
            </w:pPr>
            <w:r>
              <w:rPr>
                <w:rFonts w:hint="eastAsia" w:ascii="仿宋_GB2312" w:hAnsi="宋体" w:eastAsia="仿宋_GB2312"/>
                <w:color w:val="auto"/>
                <w:sz w:val="24"/>
                <w:szCs w:val="28"/>
                <w:highlight w:val="none"/>
              </w:rPr>
              <w:t>序号</w:t>
            </w:r>
          </w:p>
        </w:tc>
        <w:tc>
          <w:tcPr>
            <w:tcW w:w="600" w:type="pct"/>
            <w:tcBorders>
              <w:top w:val="single" w:color="auto" w:sz="4" w:space="0"/>
            </w:tcBorders>
            <w:vAlign w:val="center"/>
          </w:tcPr>
          <w:p w14:paraId="66BA1EBA">
            <w:pPr>
              <w:spacing w:line="560" w:lineRule="exact"/>
              <w:rPr>
                <w:rFonts w:ascii="仿宋_GB2312" w:hAnsi="宋体" w:eastAsia="仿宋_GB2312"/>
                <w:color w:val="auto"/>
                <w:sz w:val="24"/>
                <w:szCs w:val="28"/>
                <w:highlight w:val="none"/>
              </w:rPr>
            </w:pPr>
            <w:r>
              <w:rPr>
                <w:rFonts w:hint="eastAsia" w:ascii="仿宋_GB2312" w:hAnsi="宋体" w:eastAsia="仿宋_GB2312"/>
                <w:color w:val="auto"/>
                <w:sz w:val="24"/>
                <w:szCs w:val="28"/>
                <w:highlight w:val="none"/>
              </w:rPr>
              <w:t>货物内容</w:t>
            </w:r>
          </w:p>
        </w:tc>
        <w:tc>
          <w:tcPr>
            <w:tcW w:w="550" w:type="pct"/>
            <w:tcBorders>
              <w:top w:val="single" w:color="auto" w:sz="4" w:space="0"/>
              <w:right w:val="single" w:color="auto" w:sz="4" w:space="0"/>
            </w:tcBorders>
            <w:vAlign w:val="center"/>
          </w:tcPr>
          <w:p w14:paraId="531787D3">
            <w:pPr>
              <w:spacing w:line="560" w:lineRule="exact"/>
              <w:rPr>
                <w:rFonts w:ascii="仿宋_GB2312" w:hAnsi="宋体" w:eastAsia="仿宋_GB2312"/>
                <w:color w:val="auto"/>
                <w:sz w:val="24"/>
                <w:szCs w:val="28"/>
                <w:highlight w:val="none"/>
              </w:rPr>
            </w:pPr>
            <w:r>
              <w:rPr>
                <w:rFonts w:hint="eastAsia" w:ascii="仿宋_GB2312" w:hAnsi="宋体" w:eastAsia="仿宋_GB2312"/>
                <w:color w:val="auto"/>
                <w:sz w:val="24"/>
                <w:szCs w:val="28"/>
                <w:highlight w:val="none"/>
              </w:rPr>
              <w:t>品牌型号</w:t>
            </w:r>
          </w:p>
        </w:tc>
        <w:tc>
          <w:tcPr>
            <w:tcW w:w="1204" w:type="pct"/>
            <w:tcBorders>
              <w:top w:val="single" w:color="auto" w:sz="4" w:space="0"/>
            </w:tcBorders>
            <w:vAlign w:val="center"/>
          </w:tcPr>
          <w:p w14:paraId="276651C0">
            <w:pPr>
              <w:spacing w:line="560" w:lineRule="exact"/>
              <w:rPr>
                <w:rFonts w:ascii="仿宋_GB2312" w:hAnsi="宋体" w:eastAsia="仿宋_GB2312"/>
                <w:color w:val="auto"/>
                <w:sz w:val="24"/>
                <w:szCs w:val="28"/>
                <w:highlight w:val="none"/>
              </w:rPr>
            </w:pPr>
            <w:r>
              <w:rPr>
                <w:rFonts w:hint="eastAsia" w:ascii="仿宋_GB2312" w:hAnsi="宋体" w:eastAsia="仿宋_GB2312"/>
                <w:color w:val="auto"/>
                <w:sz w:val="24"/>
                <w:szCs w:val="28"/>
                <w:highlight w:val="none"/>
              </w:rPr>
              <w:t>详细配置</w:t>
            </w:r>
          </w:p>
        </w:tc>
        <w:tc>
          <w:tcPr>
            <w:tcW w:w="582" w:type="pct"/>
            <w:tcBorders>
              <w:top w:val="single" w:color="auto" w:sz="4" w:space="0"/>
            </w:tcBorders>
            <w:vAlign w:val="center"/>
          </w:tcPr>
          <w:p w14:paraId="3A5832C8">
            <w:pPr>
              <w:spacing w:line="560" w:lineRule="exact"/>
              <w:rPr>
                <w:rFonts w:ascii="仿宋_GB2312" w:hAnsi="宋体" w:eastAsia="仿宋_GB2312"/>
                <w:color w:val="auto"/>
                <w:sz w:val="24"/>
                <w:szCs w:val="28"/>
                <w:highlight w:val="none"/>
              </w:rPr>
            </w:pPr>
            <w:r>
              <w:rPr>
                <w:rFonts w:hint="eastAsia" w:ascii="仿宋_GB2312" w:hAnsi="宋体" w:eastAsia="仿宋_GB2312"/>
                <w:color w:val="auto"/>
                <w:sz w:val="24"/>
                <w:szCs w:val="28"/>
                <w:highlight w:val="none"/>
              </w:rPr>
              <w:t>生产厂家</w:t>
            </w:r>
          </w:p>
        </w:tc>
        <w:tc>
          <w:tcPr>
            <w:tcW w:w="536" w:type="pct"/>
            <w:tcBorders>
              <w:top w:val="single" w:color="auto" w:sz="4" w:space="0"/>
              <w:right w:val="single" w:color="auto" w:sz="4" w:space="0"/>
            </w:tcBorders>
            <w:vAlign w:val="center"/>
          </w:tcPr>
          <w:p w14:paraId="5B9B2259">
            <w:pPr>
              <w:spacing w:line="560" w:lineRule="exact"/>
              <w:rPr>
                <w:rFonts w:ascii="仿宋_GB2312" w:hAnsi="宋体" w:eastAsia="仿宋_GB2312"/>
                <w:color w:val="auto"/>
                <w:sz w:val="24"/>
                <w:szCs w:val="28"/>
                <w:highlight w:val="none"/>
              </w:rPr>
            </w:pPr>
            <w:r>
              <w:rPr>
                <w:rFonts w:hint="eastAsia" w:ascii="仿宋_GB2312" w:hAnsi="宋体" w:eastAsia="仿宋_GB2312"/>
                <w:color w:val="auto"/>
                <w:sz w:val="24"/>
                <w:szCs w:val="28"/>
                <w:highlight w:val="none"/>
              </w:rPr>
              <w:t>数量</w:t>
            </w:r>
          </w:p>
        </w:tc>
        <w:tc>
          <w:tcPr>
            <w:tcW w:w="620" w:type="pct"/>
            <w:tcBorders>
              <w:top w:val="single" w:color="auto" w:sz="4" w:space="0"/>
              <w:left w:val="single" w:color="auto" w:sz="4" w:space="0"/>
              <w:right w:val="single" w:color="auto" w:sz="4" w:space="0"/>
            </w:tcBorders>
            <w:vAlign w:val="center"/>
          </w:tcPr>
          <w:p w14:paraId="58F637EF">
            <w:pPr>
              <w:spacing w:line="560" w:lineRule="exact"/>
              <w:rPr>
                <w:rFonts w:ascii="仿宋_GB2312" w:hAnsi="宋体" w:eastAsia="仿宋_GB2312"/>
                <w:color w:val="auto"/>
                <w:sz w:val="24"/>
                <w:szCs w:val="28"/>
                <w:highlight w:val="none"/>
              </w:rPr>
            </w:pPr>
            <w:r>
              <w:rPr>
                <w:rFonts w:hint="eastAsia" w:ascii="仿宋_GB2312" w:hAnsi="宋体" w:eastAsia="仿宋_GB2312"/>
                <w:color w:val="auto"/>
                <w:sz w:val="24"/>
                <w:szCs w:val="28"/>
                <w:highlight w:val="none"/>
              </w:rPr>
              <w:t>单价（元）</w:t>
            </w:r>
          </w:p>
        </w:tc>
        <w:tc>
          <w:tcPr>
            <w:tcW w:w="620" w:type="pct"/>
            <w:tcBorders>
              <w:top w:val="single" w:color="auto" w:sz="4" w:space="0"/>
              <w:left w:val="single" w:color="auto" w:sz="4" w:space="0"/>
            </w:tcBorders>
            <w:vAlign w:val="center"/>
          </w:tcPr>
          <w:p w14:paraId="47E2C382">
            <w:pPr>
              <w:spacing w:line="560" w:lineRule="exact"/>
              <w:rPr>
                <w:rFonts w:ascii="仿宋_GB2312" w:hAnsi="宋体" w:eastAsia="仿宋_GB2312"/>
                <w:color w:val="auto"/>
                <w:sz w:val="24"/>
                <w:szCs w:val="28"/>
                <w:highlight w:val="none"/>
              </w:rPr>
            </w:pPr>
            <w:r>
              <w:rPr>
                <w:rFonts w:hint="eastAsia" w:ascii="仿宋_GB2312" w:hAnsi="宋体" w:eastAsia="仿宋_GB2312"/>
                <w:color w:val="auto"/>
                <w:sz w:val="24"/>
                <w:szCs w:val="28"/>
                <w:highlight w:val="none"/>
              </w:rPr>
              <w:t>总价（元）</w:t>
            </w:r>
          </w:p>
        </w:tc>
      </w:tr>
      <w:tr w14:paraId="7B992B7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88" w:type="pct"/>
            <w:vAlign w:val="center"/>
          </w:tcPr>
          <w:p w14:paraId="29FE9D36">
            <w:pPr>
              <w:spacing w:line="560" w:lineRule="exact"/>
              <w:rPr>
                <w:rFonts w:ascii="仿宋_GB2312" w:hAnsi="宋体" w:eastAsia="仿宋_GB2312"/>
                <w:color w:val="auto"/>
                <w:sz w:val="24"/>
                <w:szCs w:val="28"/>
                <w:highlight w:val="none"/>
              </w:rPr>
            </w:pPr>
            <w:r>
              <w:rPr>
                <w:rFonts w:hint="eastAsia" w:ascii="仿宋_GB2312" w:hAnsi="宋体" w:eastAsia="仿宋_GB2312"/>
                <w:bCs/>
                <w:color w:val="auto"/>
                <w:sz w:val="24"/>
                <w:szCs w:val="28"/>
                <w:highlight w:val="none"/>
              </w:rPr>
              <w:t>0</w:t>
            </w:r>
          </w:p>
        </w:tc>
        <w:tc>
          <w:tcPr>
            <w:tcW w:w="600" w:type="pct"/>
            <w:vAlign w:val="center"/>
          </w:tcPr>
          <w:p w14:paraId="440EDA35">
            <w:pPr>
              <w:spacing w:line="560" w:lineRule="exact"/>
              <w:rPr>
                <w:rFonts w:ascii="仿宋_GB2312" w:hAnsi="宋体" w:eastAsia="仿宋_GB2312"/>
                <w:color w:val="auto"/>
                <w:sz w:val="24"/>
                <w:szCs w:val="28"/>
                <w:highlight w:val="none"/>
              </w:rPr>
            </w:pPr>
          </w:p>
        </w:tc>
        <w:tc>
          <w:tcPr>
            <w:tcW w:w="550" w:type="pct"/>
            <w:tcBorders>
              <w:right w:val="single" w:color="auto" w:sz="4" w:space="0"/>
            </w:tcBorders>
            <w:vAlign w:val="center"/>
          </w:tcPr>
          <w:p w14:paraId="65BA1862">
            <w:pPr>
              <w:spacing w:line="560" w:lineRule="exact"/>
              <w:rPr>
                <w:rFonts w:ascii="仿宋_GB2312" w:hAnsi="宋体" w:eastAsia="仿宋_GB2312"/>
                <w:color w:val="auto"/>
                <w:sz w:val="24"/>
                <w:szCs w:val="28"/>
                <w:highlight w:val="none"/>
              </w:rPr>
            </w:pPr>
          </w:p>
        </w:tc>
        <w:tc>
          <w:tcPr>
            <w:tcW w:w="1204" w:type="pct"/>
            <w:vAlign w:val="center"/>
          </w:tcPr>
          <w:p w14:paraId="7BD45AD2">
            <w:pPr>
              <w:spacing w:line="560" w:lineRule="exact"/>
              <w:rPr>
                <w:rFonts w:ascii="仿宋_GB2312" w:hAnsi="宋体" w:eastAsia="仿宋_GB2312"/>
                <w:bCs/>
                <w:color w:val="auto"/>
                <w:sz w:val="24"/>
                <w:szCs w:val="28"/>
                <w:highlight w:val="none"/>
              </w:rPr>
            </w:pPr>
          </w:p>
        </w:tc>
        <w:tc>
          <w:tcPr>
            <w:tcW w:w="582" w:type="pct"/>
            <w:vAlign w:val="center"/>
          </w:tcPr>
          <w:p w14:paraId="188A7E35">
            <w:pPr>
              <w:spacing w:line="560" w:lineRule="exact"/>
              <w:rPr>
                <w:rFonts w:ascii="仿宋_GB2312" w:hAnsi="宋体" w:eastAsia="仿宋_GB2312"/>
                <w:color w:val="auto"/>
                <w:sz w:val="24"/>
                <w:szCs w:val="28"/>
                <w:highlight w:val="none"/>
              </w:rPr>
            </w:pPr>
          </w:p>
        </w:tc>
        <w:tc>
          <w:tcPr>
            <w:tcW w:w="536" w:type="pct"/>
            <w:tcBorders>
              <w:right w:val="single" w:color="auto" w:sz="4" w:space="0"/>
            </w:tcBorders>
            <w:vAlign w:val="center"/>
          </w:tcPr>
          <w:p w14:paraId="69282E9F">
            <w:pPr>
              <w:spacing w:line="560" w:lineRule="exact"/>
              <w:rPr>
                <w:rFonts w:ascii="仿宋_GB2312" w:hAnsi="宋体" w:eastAsia="仿宋_GB2312"/>
                <w:color w:val="auto"/>
                <w:sz w:val="24"/>
                <w:szCs w:val="28"/>
                <w:highlight w:val="none"/>
              </w:rPr>
            </w:pPr>
          </w:p>
        </w:tc>
        <w:tc>
          <w:tcPr>
            <w:tcW w:w="620" w:type="pct"/>
            <w:tcBorders>
              <w:left w:val="single" w:color="auto" w:sz="4" w:space="0"/>
              <w:right w:val="single" w:color="auto" w:sz="4" w:space="0"/>
            </w:tcBorders>
            <w:vAlign w:val="center"/>
          </w:tcPr>
          <w:p w14:paraId="0C7DB097">
            <w:pPr>
              <w:spacing w:line="560" w:lineRule="exact"/>
              <w:rPr>
                <w:rFonts w:ascii="仿宋_GB2312" w:hAnsi="宋体" w:eastAsia="仿宋_GB2312"/>
                <w:color w:val="auto"/>
                <w:sz w:val="24"/>
                <w:szCs w:val="28"/>
                <w:highlight w:val="none"/>
              </w:rPr>
            </w:pPr>
          </w:p>
        </w:tc>
        <w:tc>
          <w:tcPr>
            <w:tcW w:w="620" w:type="pct"/>
            <w:tcBorders>
              <w:left w:val="single" w:color="auto" w:sz="4" w:space="0"/>
            </w:tcBorders>
            <w:vAlign w:val="center"/>
          </w:tcPr>
          <w:p w14:paraId="1B908D52">
            <w:pPr>
              <w:spacing w:line="560" w:lineRule="exact"/>
              <w:rPr>
                <w:rFonts w:ascii="仿宋_GB2312" w:hAnsi="宋体" w:eastAsia="仿宋_GB2312"/>
                <w:color w:val="auto"/>
                <w:sz w:val="24"/>
                <w:szCs w:val="28"/>
                <w:highlight w:val="none"/>
              </w:rPr>
            </w:pPr>
          </w:p>
        </w:tc>
      </w:tr>
      <w:tr w14:paraId="08E4E53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4380" w:type="pct"/>
            <w:gridSpan w:val="7"/>
            <w:vAlign w:val="center"/>
          </w:tcPr>
          <w:p w14:paraId="1C837CCF">
            <w:pPr>
              <w:spacing w:line="560" w:lineRule="exact"/>
              <w:rPr>
                <w:rFonts w:ascii="仿宋_GB2312" w:hAnsi="宋体" w:eastAsia="仿宋_GB2312"/>
                <w:color w:val="auto"/>
                <w:sz w:val="24"/>
                <w:szCs w:val="28"/>
                <w:highlight w:val="none"/>
              </w:rPr>
            </w:pPr>
            <w:r>
              <w:rPr>
                <w:rFonts w:hint="eastAsia" w:ascii="仿宋_GB2312" w:hAnsi="宋体" w:eastAsia="仿宋_GB2312"/>
                <w:b/>
                <w:bCs/>
                <w:color w:val="auto"/>
                <w:sz w:val="24"/>
                <w:szCs w:val="28"/>
                <w:highlight w:val="none"/>
              </w:rPr>
              <w:t>本表总计</w:t>
            </w:r>
          </w:p>
        </w:tc>
        <w:tc>
          <w:tcPr>
            <w:tcW w:w="620" w:type="pct"/>
            <w:tcBorders>
              <w:left w:val="single" w:color="auto" w:sz="4" w:space="0"/>
            </w:tcBorders>
            <w:vAlign w:val="center"/>
          </w:tcPr>
          <w:p w14:paraId="26F0B5D3">
            <w:pPr>
              <w:spacing w:line="560" w:lineRule="exact"/>
              <w:rPr>
                <w:rFonts w:ascii="仿宋_GB2312" w:hAnsi="宋体" w:eastAsia="仿宋_GB2312"/>
                <w:color w:val="auto"/>
                <w:sz w:val="24"/>
                <w:szCs w:val="28"/>
                <w:highlight w:val="none"/>
              </w:rPr>
            </w:pPr>
            <w:r>
              <w:rPr>
                <w:rFonts w:hint="eastAsia" w:ascii="仿宋_GB2312" w:hAnsi="宋体" w:eastAsia="仿宋_GB2312"/>
                <w:b/>
                <w:bCs/>
                <w:color w:val="auto"/>
                <w:sz w:val="24"/>
                <w:szCs w:val="28"/>
                <w:highlight w:val="none"/>
              </w:rPr>
              <w:t>0</w:t>
            </w:r>
          </w:p>
        </w:tc>
      </w:tr>
    </w:tbl>
    <w:p w14:paraId="440AB4E3">
      <w:pPr>
        <w:spacing w:line="560" w:lineRule="exact"/>
        <w:rPr>
          <w:rFonts w:ascii="仿宋_GB2312" w:hAnsi="宋体" w:eastAsia="仿宋_GB2312"/>
          <w:bCs/>
          <w:color w:val="auto"/>
          <w:sz w:val="28"/>
          <w:szCs w:val="28"/>
          <w:highlight w:val="none"/>
        </w:rPr>
      </w:pPr>
      <w:r>
        <w:rPr>
          <w:rFonts w:hint="eastAsia" w:ascii="仿宋_GB2312" w:hAnsi="宋体" w:eastAsia="仿宋_GB2312"/>
          <w:bCs/>
          <w:color w:val="auto"/>
          <w:sz w:val="28"/>
          <w:szCs w:val="28"/>
          <w:highlight w:val="none"/>
        </w:rPr>
        <w:t xml:space="preserve">  </w:t>
      </w:r>
    </w:p>
    <w:p w14:paraId="1562C598">
      <w:pPr>
        <w:rPr>
          <w:color w:val="auto"/>
          <w:highlight w:val="none"/>
        </w:rPr>
      </w:pPr>
    </w:p>
    <w:p w14:paraId="523E42CF">
      <w:pPr>
        <w:rPr>
          <w:color w:val="auto"/>
          <w:highlight w:val="none"/>
        </w:rPr>
        <w:sectPr>
          <w:pgSz w:w="16838" w:h="11906" w:orient="landscape"/>
          <w:pgMar w:top="1077" w:right="1440" w:bottom="1077" w:left="1440" w:header="851" w:footer="992" w:gutter="0"/>
          <w:cols w:space="720" w:num="1"/>
          <w:docGrid w:type="lines" w:linePitch="312" w:charSpace="0"/>
        </w:sectPr>
      </w:pPr>
    </w:p>
    <w:p w14:paraId="2428092C">
      <w:pPr>
        <w:rPr>
          <w:color w:val="auto"/>
          <w:highlight w:val="none"/>
        </w:rPr>
      </w:pPr>
    </w:p>
    <w:sectPr>
      <w:type w:val="continuous"/>
      <w:pgSz w:w="16838" w:h="11906" w:orient="landscape"/>
      <w:pgMar w:top="1077" w:right="1440" w:bottom="1077"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3196645-1C1D-4B5F-8F3B-D69CCC7870BB}"/>
  </w:font>
  <w:font w:name="黑体">
    <w:panose1 w:val="02010609060101010101"/>
    <w:charset w:val="86"/>
    <w:family w:val="auto"/>
    <w:pitch w:val="default"/>
    <w:sig w:usb0="800002BF" w:usb1="38CF7CFA" w:usb2="00000016" w:usb3="00000000" w:csb0="00040001" w:csb1="00000000"/>
    <w:embedRegular r:id="rId2" w:fontKey="{463A5B0F-4D84-4095-B17B-BE89B2E3EC98}"/>
  </w:font>
  <w:font w:name="Courier New">
    <w:panose1 w:val="02070309020205020404"/>
    <w:charset w:val="01"/>
    <w:family w:val="modern"/>
    <w:pitch w:val="default"/>
    <w:sig w:usb0="E0002EFF" w:usb1="C0007843" w:usb2="00000009" w:usb3="00000000" w:csb0="400001FF" w:csb1="FFFF0000"/>
    <w:embedRegular r:id="rId3" w:fontKey="{DD889A49-7BC0-471A-BC86-96EFB53345BD}"/>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4C120E1D-044E-4197-83AC-FA564D596F60}"/>
  </w:font>
  <w:font w:name="等线">
    <w:panose1 w:val="02010600030101010101"/>
    <w:charset w:val="86"/>
    <w:family w:val="auto"/>
    <w:pitch w:val="default"/>
    <w:sig w:usb0="A00002BF" w:usb1="38CF7CFA" w:usb2="00000016" w:usb3="00000000" w:csb0="0004000F" w:csb1="00000000"/>
    <w:embedRegular r:id="rId5" w:fontKey="{FCBF408A-433F-4CE2-BDF0-0C9378C16FCB}"/>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panose1 w:val="02000000000000000000"/>
    <w:charset w:val="86"/>
    <w:family w:val="auto"/>
    <w:pitch w:val="default"/>
    <w:sig w:usb0="00000001" w:usb1="08000000" w:usb2="00000000" w:usb3="00000000" w:csb0="00040000" w:csb1="00000000"/>
    <w:embedRegular r:id="rId6" w:fontKey="{A05110C5-71F9-4772-B9B1-A1999BBB5D8B}"/>
  </w:font>
  <w:font w:name="仿宋_GB2312">
    <w:panose1 w:val="02010609030101010101"/>
    <w:charset w:val="86"/>
    <w:family w:val="modern"/>
    <w:pitch w:val="default"/>
    <w:sig w:usb0="00000001" w:usb1="080E0000" w:usb2="00000000" w:usb3="00000000" w:csb0="00040000" w:csb1="00000000"/>
    <w:embedRegular r:id="rId7" w:fontKey="{B817BC59-41DA-4AB1-B675-B49030909D0E}"/>
  </w:font>
  <w:font w:name="仿宋">
    <w:panose1 w:val="02010609060101010101"/>
    <w:charset w:val="86"/>
    <w:family w:val="modern"/>
    <w:pitch w:val="default"/>
    <w:sig w:usb0="800002BF" w:usb1="38CF7CFA" w:usb2="00000016" w:usb3="00000000" w:csb0="00040001" w:csb1="00000000"/>
    <w:embedRegular r:id="rId8" w:fontKey="{AFBB332F-E536-472D-8CA7-3015C5016A57}"/>
  </w:font>
  <w:font w:name="方正楷体简体">
    <w:panose1 w:val="02000000000000000000"/>
    <w:charset w:val="86"/>
    <w:family w:val="auto"/>
    <w:pitch w:val="default"/>
    <w:sig w:usb0="A00002BF" w:usb1="184F6CFA" w:usb2="00000012" w:usb3="00000000" w:csb0="00040001" w:csb1="00000000"/>
    <w:embedRegular r:id="rId9" w:fontKey="{B70002B7-3298-4E1F-826E-86C55BD356E6}"/>
  </w:font>
  <w:font w:name="楷体_GB2312">
    <w:panose1 w:val="02010609030101010101"/>
    <w:charset w:val="86"/>
    <w:family w:val="modern"/>
    <w:pitch w:val="default"/>
    <w:sig w:usb0="00000001" w:usb1="080E0000" w:usb2="00000000" w:usb3="00000000" w:csb0="00040000" w:csb1="00000000"/>
    <w:embedRegular r:id="rId10" w:fontKey="{53637827-69BB-4127-9E44-8037A066EA02}"/>
  </w:font>
  <w:font w:name="微软雅黑">
    <w:panose1 w:val="020B0503020204020204"/>
    <w:charset w:val="86"/>
    <w:family w:val="swiss"/>
    <w:pitch w:val="default"/>
    <w:sig w:usb0="80000287" w:usb1="2ACF3C50" w:usb2="00000016" w:usb3="00000000" w:csb0="0004001F" w:csb1="00000000"/>
    <w:embedRegular r:id="rId11" w:fontKey="{EAA38094-71EF-4636-A801-3B2FB4DA7052}"/>
  </w:font>
  <w:font w:name="WPSEMBED8">
    <w:panose1 w:val="02000000000000000000"/>
    <w:charset w:val="86"/>
    <w:family w:val="auto"/>
    <w:pitch w:val="default"/>
    <w:sig w:usb0="00000001" w:usb1="08000000" w:usb2="00000000" w:usb3="00000000" w:csb0="00040000" w:csb1="00000000"/>
  </w:font>
  <w:font w:name="WPSEMBED9">
    <w:panose1 w:val="02010609030101010101"/>
    <w:charset w:val="86"/>
    <w:family w:val="auto"/>
    <w:pitch w:val="default"/>
    <w:sig w:usb0="00000001" w:usb1="080E0000" w:usb2="00000000" w:usb3="00000000" w:csb0="00040000" w:csb1="00000000"/>
  </w:font>
  <w:font w:name="WPSEMBED11">
    <w:panose1 w:val="02010609030101010101"/>
    <w:charset w:val="86"/>
    <w:family w:val="auto"/>
    <w:pitch w:val="default"/>
    <w:sig w:usb0="00000001" w:usb1="080E0000" w:usb2="00000000" w:usb3="00000000" w:csb0="00040000" w:csb1="00000000"/>
  </w:font>
  <w:font w:name="WPSEMBED10">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0719C">
    <w:pPr>
      <w:pStyle w:val="20"/>
      <w:jc w:val="center"/>
    </w:pPr>
    <w:r>
      <w:fldChar w:fldCharType="begin"/>
    </w:r>
    <w:r>
      <w:instrText xml:space="preserve">PAGE   \* MERGEFORMAT</w:instrText>
    </w:r>
    <w:r>
      <w:fldChar w:fldCharType="separate"/>
    </w:r>
    <w:r>
      <w:rPr>
        <w:lang w:val="zh-CN"/>
      </w:rPr>
      <w:t>2</w:t>
    </w:r>
    <w:r>
      <w:fldChar w:fldCharType="end"/>
    </w:r>
  </w:p>
  <w:p w14:paraId="3B7B00A9">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659FA">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E86C4">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C6D50">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6C3D309C">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257BC">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EBC8D">
    <w:pPr>
      <w:pStyle w:val="20"/>
      <w:jc w:val="center"/>
    </w:pPr>
    <w:r>
      <w:fldChar w:fldCharType="begin"/>
    </w:r>
    <w:r>
      <w:instrText xml:space="preserve">PAGE   \* MERGEFORMAT</w:instrText>
    </w:r>
    <w:r>
      <w:fldChar w:fldCharType="separate"/>
    </w:r>
    <w:r>
      <w:rPr>
        <w:lang w:val="zh-CN"/>
      </w:rPr>
      <w:t>2</w:t>
    </w:r>
    <w:r>
      <w:fldChar w:fldCharType="end"/>
    </w:r>
  </w:p>
  <w:p w14:paraId="4F636AC3">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9831C">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BD3FA">
    <w:pPr>
      <w:pStyle w:val="20"/>
    </w:pPr>
  </w:p>
  <w:p w14:paraId="7E41DDD6">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8169A">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44D1F">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665C1">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04D7636E">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60015">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DC4A6">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AA64E">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0D1E3">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D259B">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4B09E">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85FB0"/>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1C9A7">
    <w:pPr>
      <w:pStyle w:val="2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96FDB">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AA93A">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E867B">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2CBD4">
    <w:pPr>
      <w:pStyle w:val="21"/>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2A5AB">
    <w:pPr>
      <w:pStyle w:val="2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811A19"/>
    <w:multiLevelType w:val="singleLevel"/>
    <w:tmpl w:val="A7811A19"/>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FlMjVjMjVjMzM5NDUxMmE4NTIzNmY1ZmYzNDFkNTYifQ=="/>
  </w:docVars>
  <w:rsids>
    <w:rsidRoot w:val="00E63F79"/>
    <w:rsid w:val="000031B0"/>
    <w:rsid w:val="000444E8"/>
    <w:rsid w:val="000814A5"/>
    <w:rsid w:val="00085BE5"/>
    <w:rsid w:val="00087764"/>
    <w:rsid w:val="000E4D79"/>
    <w:rsid w:val="000F6EBA"/>
    <w:rsid w:val="00147D77"/>
    <w:rsid w:val="001856B3"/>
    <w:rsid w:val="001E0E30"/>
    <w:rsid w:val="00240BAB"/>
    <w:rsid w:val="00247E80"/>
    <w:rsid w:val="00277B16"/>
    <w:rsid w:val="00294B2E"/>
    <w:rsid w:val="002B594C"/>
    <w:rsid w:val="002C580A"/>
    <w:rsid w:val="00301B68"/>
    <w:rsid w:val="003476E3"/>
    <w:rsid w:val="00354363"/>
    <w:rsid w:val="0036259E"/>
    <w:rsid w:val="00375EE1"/>
    <w:rsid w:val="003859F5"/>
    <w:rsid w:val="003D039E"/>
    <w:rsid w:val="003D76AC"/>
    <w:rsid w:val="003D7A3D"/>
    <w:rsid w:val="003E71D9"/>
    <w:rsid w:val="00432DF7"/>
    <w:rsid w:val="00496353"/>
    <w:rsid w:val="004C0687"/>
    <w:rsid w:val="004E206B"/>
    <w:rsid w:val="00565999"/>
    <w:rsid w:val="00590D95"/>
    <w:rsid w:val="005B02DE"/>
    <w:rsid w:val="006055AE"/>
    <w:rsid w:val="0061379E"/>
    <w:rsid w:val="006478DD"/>
    <w:rsid w:val="00662B86"/>
    <w:rsid w:val="00665536"/>
    <w:rsid w:val="006B2971"/>
    <w:rsid w:val="006C2EC0"/>
    <w:rsid w:val="006D452F"/>
    <w:rsid w:val="00755FA3"/>
    <w:rsid w:val="007959BC"/>
    <w:rsid w:val="00810BD9"/>
    <w:rsid w:val="008116E0"/>
    <w:rsid w:val="00831671"/>
    <w:rsid w:val="00837945"/>
    <w:rsid w:val="00857D94"/>
    <w:rsid w:val="008858EA"/>
    <w:rsid w:val="008A4B0C"/>
    <w:rsid w:val="008A7098"/>
    <w:rsid w:val="008A7C9F"/>
    <w:rsid w:val="008B5F99"/>
    <w:rsid w:val="008C3534"/>
    <w:rsid w:val="008E3AC2"/>
    <w:rsid w:val="009134CF"/>
    <w:rsid w:val="009800BF"/>
    <w:rsid w:val="009868C1"/>
    <w:rsid w:val="009A5F4B"/>
    <w:rsid w:val="009D364C"/>
    <w:rsid w:val="00A048F5"/>
    <w:rsid w:val="00A304F6"/>
    <w:rsid w:val="00A43209"/>
    <w:rsid w:val="00A65408"/>
    <w:rsid w:val="00A827F8"/>
    <w:rsid w:val="00A90CF2"/>
    <w:rsid w:val="00AC109B"/>
    <w:rsid w:val="00AE1A64"/>
    <w:rsid w:val="00AE5FB6"/>
    <w:rsid w:val="00B65954"/>
    <w:rsid w:val="00BA5D96"/>
    <w:rsid w:val="00BB6859"/>
    <w:rsid w:val="00BD3024"/>
    <w:rsid w:val="00C16F68"/>
    <w:rsid w:val="00C22E74"/>
    <w:rsid w:val="00C707F0"/>
    <w:rsid w:val="00C80A9E"/>
    <w:rsid w:val="00C9544E"/>
    <w:rsid w:val="00CB10E9"/>
    <w:rsid w:val="00D32ACD"/>
    <w:rsid w:val="00D7425C"/>
    <w:rsid w:val="00D81867"/>
    <w:rsid w:val="00D91E92"/>
    <w:rsid w:val="00DE1B68"/>
    <w:rsid w:val="00E4522C"/>
    <w:rsid w:val="00E63F79"/>
    <w:rsid w:val="00E6445A"/>
    <w:rsid w:val="00E75BBF"/>
    <w:rsid w:val="00E87FAD"/>
    <w:rsid w:val="00EA424B"/>
    <w:rsid w:val="00ED49B0"/>
    <w:rsid w:val="00EF228B"/>
    <w:rsid w:val="00F71E4F"/>
    <w:rsid w:val="00F81DEA"/>
    <w:rsid w:val="00FA54C8"/>
    <w:rsid w:val="00FC0FB0"/>
    <w:rsid w:val="00FE1674"/>
    <w:rsid w:val="07755519"/>
    <w:rsid w:val="0AEA253A"/>
    <w:rsid w:val="289522DC"/>
    <w:rsid w:val="298C1931"/>
    <w:rsid w:val="3A3A3AFB"/>
    <w:rsid w:val="45152255"/>
    <w:rsid w:val="4BA53551"/>
    <w:rsid w:val="4BB20D77"/>
    <w:rsid w:val="57691D07"/>
    <w:rsid w:val="643E022A"/>
    <w:rsid w:val="663D1BD3"/>
    <w:rsid w:val="6D1C328F"/>
    <w:rsid w:val="7714428A"/>
    <w:rsid w:val="78EA1B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autoRedefine/>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autoRedefine/>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autoRedefine/>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autoRedefine/>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autoRedefine/>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autoRedefine/>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autoRedefine/>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autoRedefine/>
    <w:unhideWhenUsed/>
    <w:qFormat/>
    <w:uiPriority w:val="1"/>
  </w:style>
  <w:style w:type="table" w:default="1" w:styleId="30">
    <w:name w:val="Normal Table"/>
    <w:autoRedefine/>
    <w:unhideWhenUsed/>
    <w:qFormat/>
    <w:uiPriority w:val="99"/>
    <w:tblPr>
      <w:tblCellMar>
        <w:top w:w="0" w:type="dxa"/>
        <w:left w:w="108" w:type="dxa"/>
        <w:bottom w:w="0" w:type="dxa"/>
        <w:right w:w="108" w:type="dxa"/>
      </w:tblCellMar>
    </w:tblPr>
  </w:style>
  <w:style w:type="paragraph" w:styleId="11">
    <w:name w:val="Normal Indent"/>
    <w:basedOn w:val="1"/>
    <w:link w:val="47"/>
    <w:autoRedefine/>
    <w:qFormat/>
    <w:uiPriority w:val="0"/>
    <w:pPr>
      <w:ind w:firstLine="420"/>
    </w:pPr>
    <w:rPr>
      <w:szCs w:val="21"/>
    </w:rPr>
  </w:style>
  <w:style w:type="paragraph" w:styleId="12">
    <w:name w:val="List Bullet"/>
    <w:basedOn w:val="1"/>
    <w:autoRedefine/>
    <w:qFormat/>
    <w:uiPriority w:val="0"/>
    <w:pPr>
      <w:tabs>
        <w:tab w:val="left" w:pos="360"/>
      </w:tabs>
      <w:ind w:left="360" w:hanging="200" w:hangingChars="200"/>
    </w:pPr>
    <w:rPr>
      <w:szCs w:val="21"/>
    </w:rPr>
  </w:style>
  <w:style w:type="paragraph" w:styleId="13">
    <w:name w:val="Document Map"/>
    <w:basedOn w:val="1"/>
    <w:link w:val="48"/>
    <w:autoRedefine/>
    <w:qFormat/>
    <w:uiPriority w:val="0"/>
    <w:rPr>
      <w:rFonts w:ascii="宋体"/>
      <w:sz w:val="18"/>
      <w:szCs w:val="18"/>
    </w:rPr>
  </w:style>
  <w:style w:type="paragraph" w:styleId="14">
    <w:name w:val="annotation text"/>
    <w:basedOn w:val="1"/>
    <w:link w:val="49"/>
    <w:autoRedefine/>
    <w:qFormat/>
    <w:uiPriority w:val="0"/>
    <w:pPr>
      <w:jc w:val="left"/>
    </w:pPr>
    <w:rPr>
      <w:kern w:val="0"/>
      <w:sz w:val="28"/>
      <w:szCs w:val="28"/>
    </w:rPr>
  </w:style>
  <w:style w:type="paragraph" w:styleId="15">
    <w:name w:val="Body Text"/>
    <w:basedOn w:val="1"/>
    <w:link w:val="50"/>
    <w:autoRedefine/>
    <w:qFormat/>
    <w:uiPriority w:val="0"/>
    <w:pPr>
      <w:spacing w:line="420" w:lineRule="auto"/>
    </w:pPr>
    <w:rPr>
      <w:kern w:val="0"/>
      <w:sz w:val="24"/>
      <w:szCs w:val="24"/>
    </w:rPr>
  </w:style>
  <w:style w:type="paragraph" w:styleId="16">
    <w:name w:val="Body Text Indent"/>
    <w:basedOn w:val="1"/>
    <w:link w:val="51"/>
    <w:autoRedefine/>
    <w:qFormat/>
    <w:uiPriority w:val="99"/>
    <w:pPr>
      <w:ind w:firstLine="600"/>
    </w:pPr>
    <w:rPr>
      <w:kern w:val="0"/>
      <w:sz w:val="20"/>
      <w:szCs w:val="20"/>
    </w:rPr>
  </w:style>
  <w:style w:type="paragraph" w:styleId="17">
    <w:name w:val="toc 3"/>
    <w:basedOn w:val="1"/>
    <w:next w:val="1"/>
    <w:autoRedefine/>
    <w:qFormat/>
    <w:uiPriority w:val="0"/>
    <w:pPr>
      <w:ind w:left="840" w:leftChars="400"/>
    </w:pPr>
    <w:rPr>
      <w:szCs w:val="21"/>
    </w:rPr>
  </w:style>
  <w:style w:type="paragraph" w:styleId="18">
    <w:name w:val="Plain Text"/>
    <w:basedOn w:val="1"/>
    <w:link w:val="52"/>
    <w:autoRedefine/>
    <w:qFormat/>
    <w:uiPriority w:val="0"/>
    <w:rPr>
      <w:rFonts w:ascii="宋体" w:hAnsi="Courier New"/>
      <w:kern w:val="0"/>
      <w:szCs w:val="21"/>
    </w:rPr>
  </w:style>
  <w:style w:type="paragraph" w:styleId="19">
    <w:name w:val="Balloon Text"/>
    <w:basedOn w:val="1"/>
    <w:link w:val="53"/>
    <w:autoRedefine/>
    <w:qFormat/>
    <w:uiPriority w:val="0"/>
    <w:rPr>
      <w:kern w:val="0"/>
      <w:sz w:val="18"/>
      <w:szCs w:val="18"/>
    </w:rPr>
  </w:style>
  <w:style w:type="paragraph" w:styleId="20">
    <w:name w:val="footer"/>
    <w:basedOn w:val="1"/>
    <w:link w:val="54"/>
    <w:autoRedefine/>
    <w:qFormat/>
    <w:uiPriority w:val="99"/>
    <w:pPr>
      <w:tabs>
        <w:tab w:val="center" w:pos="4153"/>
        <w:tab w:val="right" w:pos="8306"/>
      </w:tabs>
      <w:snapToGrid w:val="0"/>
      <w:jc w:val="left"/>
    </w:pPr>
    <w:rPr>
      <w:kern w:val="0"/>
      <w:sz w:val="18"/>
      <w:szCs w:val="18"/>
    </w:rPr>
  </w:style>
  <w:style w:type="paragraph" w:styleId="21">
    <w:name w:val="header"/>
    <w:basedOn w:val="1"/>
    <w:link w:val="55"/>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autoRedefine/>
    <w:qFormat/>
    <w:uiPriority w:val="0"/>
    <w:rPr>
      <w:szCs w:val="21"/>
    </w:rPr>
  </w:style>
  <w:style w:type="paragraph" w:styleId="23">
    <w:name w:val="index heading"/>
    <w:basedOn w:val="1"/>
    <w:autoRedefine/>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autoRedefine/>
    <w:qFormat/>
    <w:uiPriority w:val="0"/>
    <w:pPr>
      <w:spacing w:after="120"/>
      <w:ind w:left="420" w:leftChars="200"/>
    </w:pPr>
    <w:rPr>
      <w:kern w:val="0"/>
      <w:sz w:val="16"/>
      <w:szCs w:val="16"/>
    </w:rPr>
  </w:style>
  <w:style w:type="paragraph" w:styleId="25">
    <w:name w:val="Body Text 2"/>
    <w:basedOn w:val="1"/>
    <w:link w:val="57"/>
    <w:autoRedefine/>
    <w:qFormat/>
    <w:uiPriority w:val="0"/>
    <w:pPr>
      <w:spacing w:after="120" w:line="480" w:lineRule="auto"/>
    </w:pPr>
    <w:rPr>
      <w:kern w:val="0"/>
      <w:sz w:val="24"/>
      <w:szCs w:val="24"/>
    </w:rPr>
  </w:style>
  <w:style w:type="paragraph" w:styleId="26">
    <w:name w:val="Normal (Web)"/>
    <w:basedOn w:val="1"/>
    <w:autoRedefine/>
    <w:qFormat/>
    <w:uiPriority w:val="0"/>
    <w:rPr>
      <w:sz w:val="24"/>
      <w:szCs w:val="24"/>
    </w:rPr>
  </w:style>
  <w:style w:type="paragraph" w:styleId="27">
    <w:name w:val="index 1"/>
    <w:basedOn w:val="1"/>
    <w:next w:val="1"/>
    <w:autoRedefine/>
    <w:qFormat/>
    <w:uiPriority w:val="0"/>
  </w:style>
  <w:style w:type="paragraph" w:styleId="28">
    <w:name w:val="Title"/>
    <w:basedOn w:val="1"/>
    <w:next w:val="1"/>
    <w:link w:val="58"/>
    <w:autoRedefine/>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autoRedefine/>
    <w:unhideWhenUsed/>
    <w:qFormat/>
    <w:uiPriority w:val="99"/>
    <w:pPr>
      <w:spacing w:after="120"/>
      <w:ind w:left="420" w:leftChars="200" w:firstLine="420" w:firstLineChars="200"/>
    </w:pPr>
    <w:rPr>
      <w:kern w:val="2"/>
      <w:sz w:val="21"/>
      <w:szCs w:val="22"/>
    </w:rPr>
  </w:style>
  <w:style w:type="table" w:styleId="31">
    <w:name w:val="Table Grid"/>
    <w:basedOn w:val="30"/>
    <w:autoRedefine/>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autoRedefine/>
    <w:qFormat/>
    <w:uiPriority w:val="0"/>
    <w:rPr>
      <w:b/>
      <w:bCs/>
    </w:rPr>
  </w:style>
  <w:style w:type="character" w:styleId="34">
    <w:name w:val="page number"/>
    <w:autoRedefine/>
    <w:qFormat/>
    <w:uiPriority w:val="0"/>
  </w:style>
  <w:style w:type="character" w:styleId="35">
    <w:name w:val="FollowedHyperlink"/>
    <w:autoRedefine/>
    <w:qFormat/>
    <w:uiPriority w:val="0"/>
    <w:rPr>
      <w:color w:val="800080"/>
      <w:u w:val="single"/>
    </w:rPr>
  </w:style>
  <w:style w:type="character" w:styleId="36">
    <w:name w:val="Hyperlink"/>
    <w:autoRedefine/>
    <w:qFormat/>
    <w:uiPriority w:val="0"/>
    <w:rPr>
      <w:color w:val="0000FF"/>
      <w:u w:val="single"/>
    </w:rPr>
  </w:style>
  <w:style w:type="character" w:styleId="37">
    <w:name w:val="annotation reference"/>
    <w:autoRedefine/>
    <w:qFormat/>
    <w:uiPriority w:val="0"/>
    <w:rPr>
      <w:sz w:val="21"/>
      <w:szCs w:val="21"/>
    </w:rPr>
  </w:style>
  <w:style w:type="character" w:customStyle="1" w:styleId="38">
    <w:name w:val="标题 1 字符"/>
    <w:link w:val="2"/>
    <w:autoRedefine/>
    <w:qFormat/>
    <w:uiPriority w:val="0"/>
    <w:rPr>
      <w:rFonts w:ascii="Times New Roman" w:hAnsi="Times New Roman" w:eastAsia="宋体" w:cs="Times New Roman"/>
      <w:b/>
      <w:bCs/>
      <w:kern w:val="44"/>
      <w:sz w:val="44"/>
      <w:szCs w:val="44"/>
    </w:rPr>
  </w:style>
  <w:style w:type="character" w:customStyle="1" w:styleId="39">
    <w:name w:val="标题 2 字符"/>
    <w:link w:val="3"/>
    <w:autoRedefine/>
    <w:qFormat/>
    <w:uiPriority w:val="0"/>
    <w:rPr>
      <w:rFonts w:ascii="Cambria" w:hAnsi="Cambria" w:eastAsia="宋体" w:cs="Times New Roman"/>
      <w:b/>
      <w:bCs/>
      <w:kern w:val="0"/>
      <w:sz w:val="28"/>
      <w:szCs w:val="28"/>
    </w:rPr>
  </w:style>
  <w:style w:type="character" w:customStyle="1" w:styleId="40">
    <w:name w:val="标题 3 字符"/>
    <w:link w:val="4"/>
    <w:autoRedefine/>
    <w:qFormat/>
    <w:uiPriority w:val="0"/>
    <w:rPr>
      <w:rFonts w:ascii="Times New Roman" w:hAnsi="Times New Roman" w:eastAsia="宋体" w:cs="Times New Roman"/>
      <w:b/>
      <w:bCs/>
      <w:kern w:val="0"/>
      <w:sz w:val="32"/>
      <w:szCs w:val="32"/>
    </w:rPr>
  </w:style>
  <w:style w:type="character" w:customStyle="1" w:styleId="41">
    <w:name w:val="标题 4 字符"/>
    <w:link w:val="5"/>
    <w:autoRedefine/>
    <w:qFormat/>
    <w:uiPriority w:val="0"/>
    <w:rPr>
      <w:rFonts w:ascii="Cambria" w:hAnsi="Cambria" w:eastAsia="宋体" w:cs="Times New Roman"/>
      <w:b/>
      <w:bCs/>
      <w:kern w:val="0"/>
      <w:sz w:val="28"/>
      <w:szCs w:val="28"/>
    </w:rPr>
  </w:style>
  <w:style w:type="character" w:customStyle="1" w:styleId="42">
    <w:name w:val="标题 5 字符"/>
    <w:link w:val="6"/>
    <w:autoRedefine/>
    <w:qFormat/>
    <w:uiPriority w:val="0"/>
    <w:rPr>
      <w:rFonts w:ascii="Times New Roman" w:hAnsi="Times New Roman" w:eastAsia="宋体" w:cs="Times New Roman"/>
      <w:b/>
      <w:bCs/>
      <w:kern w:val="0"/>
      <w:sz w:val="28"/>
      <w:szCs w:val="28"/>
    </w:rPr>
  </w:style>
  <w:style w:type="character" w:customStyle="1" w:styleId="43">
    <w:name w:val="标题 6 字符"/>
    <w:link w:val="7"/>
    <w:autoRedefine/>
    <w:qFormat/>
    <w:uiPriority w:val="0"/>
    <w:rPr>
      <w:rFonts w:ascii="Arial" w:hAnsi="Arial" w:eastAsia="黑体" w:cs="Times New Roman"/>
      <w:b/>
      <w:bCs/>
      <w:kern w:val="0"/>
      <w:sz w:val="24"/>
      <w:szCs w:val="24"/>
    </w:rPr>
  </w:style>
  <w:style w:type="character" w:customStyle="1" w:styleId="44">
    <w:name w:val="标题 7 字符"/>
    <w:link w:val="8"/>
    <w:autoRedefine/>
    <w:qFormat/>
    <w:uiPriority w:val="0"/>
    <w:rPr>
      <w:rFonts w:ascii="Times New Roman" w:hAnsi="Times New Roman" w:eastAsia="宋体" w:cs="Times New Roman"/>
      <w:b/>
      <w:bCs/>
      <w:kern w:val="0"/>
      <w:sz w:val="24"/>
      <w:szCs w:val="24"/>
    </w:rPr>
  </w:style>
  <w:style w:type="character" w:customStyle="1" w:styleId="45">
    <w:name w:val="标题 8 字符"/>
    <w:link w:val="9"/>
    <w:autoRedefine/>
    <w:qFormat/>
    <w:uiPriority w:val="0"/>
    <w:rPr>
      <w:rFonts w:ascii="Arial" w:hAnsi="Arial" w:eastAsia="黑体" w:cs="Times New Roman"/>
      <w:kern w:val="0"/>
      <w:sz w:val="24"/>
      <w:szCs w:val="24"/>
    </w:rPr>
  </w:style>
  <w:style w:type="character" w:customStyle="1" w:styleId="46">
    <w:name w:val="标题 9 字符"/>
    <w:link w:val="10"/>
    <w:autoRedefine/>
    <w:qFormat/>
    <w:uiPriority w:val="0"/>
    <w:rPr>
      <w:rFonts w:ascii="Arial" w:hAnsi="Arial" w:eastAsia="黑体" w:cs="Times New Roman"/>
      <w:kern w:val="0"/>
      <w:sz w:val="20"/>
      <w:szCs w:val="20"/>
    </w:rPr>
  </w:style>
  <w:style w:type="character" w:customStyle="1" w:styleId="47">
    <w:name w:val="正文缩进 字符"/>
    <w:link w:val="11"/>
    <w:autoRedefine/>
    <w:qFormat/>
    <w:locked/>
    <w:uiPriority w:val="0"/>
    <w:rPr>
      <w:rFonts w:ascii="Times New Roman" w:hAnsi="Times New Roman" w:eastAsia="宋体" w:cs="Times New Roman"/>
      <w:szCs w:val="21"/>
    </w:rPr>
  </w:style>
  <w:style w:type="character" w:customStyle="1" w:styleId="48">
    <w:name w:val="文档结构图 字符"/>
    <w:link w:val="13"/>
    <w:autoRedefine/>
    <w:qFormat/>
    <w:uiPriority w:val="0"/>
    <w:rPr>
      <w:rFonts w:ascii="宋体" w:hAnsi="Times New Roman" w:eastAsia="宋体" w:cs="Times New Roman"/>
      <w:sz w:val="18"/>
      <w:szCs w:val="18"/>
    </w:rPr>
  </w:style>
  <w:style w:type="character" w:customStyle="1" w:styleId="49">
    <w:name w:val="批注文字 字符"/>
    <w:link w:val="14"/>
    <w:autoRedefine/>
    <w:qFormat/>
    <w:uiPriority w:val="0"/>
    <w:rPr>
      <w:rFonts w:ascii="Times New Roman" w:hAnsi="Times New Roman" w:eastAsia="宋体" w:cs="Times New Roman"/>
      <w:kern w:val="0"/>
      <w:sz w:val="28"/>
      <w:szCs w:val="28"/>
    </w:rPr>
  </w:style>
  <w:style w:type="character" w:customStyle="1" w:styleId="50">
    <w:name w:val="正文文本 字符"/>
    <w:link w:val="15"/>
    <w:autoRedefine/>
    <w:qFormat/>
    <w:uiPriority w:val="0"/>
    <w:rPr>
      <w:rFonts w:ascii="Times New Roman" w:hAnsi="Times New Roman" w:eastAsia="宋体" w:cs="Times New Roman"/>
      <w:kern w:val="0"/>
      <w:sz w:val="24"/>
      <w:szCs w:val="24"/>
    </w:rPr>
  </w:style>
  <w:style w:type="character" w:customStyle="1" w:styleId="51">
    <w:name w:val="正文文本缩进 字符"/>
    <w:link w:val="16"/>
    <w:autoRedefine/>
    <w:qFormat/>
    <w:uiPriority w:val="99"/>
    <w:rPr>
      <w:rFonts w:ascii="Times New Roman" w:hAnsi="Times New Roman" w:eastAsia="宋体" w:cs="Times New Roman"/>
      <w:kern w:val="0"/>
      <w:sz w:val="20"/>
      <w:szCs w:val="20"/>
    </w:rPr>
  </w:style>
  <w:style w:type="character" w:customStyle="1" w:styleId="52">
    <w:name w:val="纯文本 字符"/>
    <w:link w:val="18"/>
    <w:autoRedefine/>
    <w:qFormat/>
    <w:uiPriority w:val="0"/>
    <w:rPr>
      <w:rFonts w:ascii="宋体" w:hAnsi="Courier New" w:eastAsia="宋体" w:cs="Times New Roman"/>
      <w:kern w:val="0"/>
      <w:szCs w:val="21"/>
    </w:rPr>
  </w:style>
  <w:style w:type="character" w:customStyle="1" w:styleId="53">
    <w:name w:val="批注框文本 字符"/>
    <w:link w:val="19"/>
    <w:autoRedefine/>
    <w:qFormat/>
    <w:uiPriority w:val="0"/>
    <w:rPr>
      <w:rFonts w:ascii="Times New Roman" w:hAnsi="Times New Roman" w:eastAsia="宋体" w:cs="Times New Roman"/>
      <w:kern w:val="0"/>
      <w:sz w:val="18"/>
      <w:szCs w:val="18"/>
    </w:rPr>
  </w:style>
  <w:style w:type="character" w:customStyle="1" w:styleId="54">
    <w:name w:val="页脚 字符"/>
    <w:link w:val="20"/>
    <w:autoRedefine/>
    <w:qFormat/>
    <w:uiPriority w:val="99"/>
    <w:rPr>
      <w:rFonts w:ascii="Times New Roman" w:hAnsi="Times New Roman" w:eastAsia="宋体" w:cs="Times New Roman"/>
      <w:kern w:val="0"/>
      <w:sz w:val="18"/>
      <w:szCs w:val="18"/>
    </w:rPr>
  </w:style>
  <w:style w:type="character" w:customStyle="1" w:styleId="55">
    <w:name w:val="页眉 字符"/>
    <w:link w:val="21"/>
    <w:autoRedefine/>
    <w:qFormat/>
    <w:uiPriority w:val="0"/>
    <w:rPr>
      <w:rFonts w:ascii="Times New Roman" w:hAnsi="Times New Roman" w:eastAsia="宋体" w:cs="Times New Roman"/>
      <w:kern w:val="0"/>
      <w:sz w:val="18"/>
      <w:szCs w:val="18"/>
    </w:rPr>
  </w:style>
  <w:style w:type="character" w:customStyle="1" w:styleId="56">
    <w:name w:val="正文文本缩进 3 字符"/>
    <w:link w:val="24"/>
    <w:autoRedefine/>
    <w:qFormat/>
    <w:uiPriority w:val="0"/>
    <w:rPr>
      <w:rFonts w:ascii="Times New Roman" w:hAnsi="Times New Roman" w:eastAsia="宋体" w:cs="Times New Roman"/>
      <w:kern w:val="0"/>
      <w:sz w:val="16"/>
      <w:szCs w:val="16"/>
    </w:rPr>
  </w:style>
  <w:style w:type="character" w:customStyle="1" w:styleId="57">
    <w:name w:val="正文文本 2 字符"/>
    <w:link w:val="25"/>
    <w:autoRedefine/>
    <w:qFormat/>
    <w:uiPriority w:val="0"/>
    <w:rPr>
      <w:rFonts w:ascii="Times New Roman" w:hAnsi="Times New Roman" w:eastAsia="宋体" w:cs="Times New Roman"/>
      <w:kern w:val="0"/>
      <w:sz w:val="24"/>
      <w:szCs w:val="24"/>
    </w:rPr>
  </w:style>
  <w:style w:type="character" w:customStyle="1" w:styleId="58">
    <w:name w:val="标题 字符"/>
    <w:link w:val="28"/>
    <w:autoRedefine/>
    <w:qFormat/>
    <w:uiPriority w:val="0"/>
    <w:rPr>
      <w:rFonts w:ascii="Cambria" w:hAnsi="Cambria" w:eastAsia="宋体" w:cs="Times New Roman"/>
      <w:b/>
      <w:bCs/>
      <w:kern w:val="0"/>
      <w:sz w:val="32"/>
      <w:szCs w:val="32"/>
    </w:rPr>
  </w:style>
  <w:style w:type="character" w:customStyle="1" w:styleId="59">
    <w:name w:val="正文文本首行缩进 2 字符"/>
    <w:link w:val="29"/>
    <w:autoRedefine/>
    <w:semiHidden/>
    <w:qFormat/>
    <w:uiPriority w:val="99"/>
  </w:style>
  <w:style w:type="paragraph" w:styleId="60">
    <w:name w:val="List Paragraph"/>
    <w:basedOn w:val="1"/>
    <w:autoRedefine/>
    <w:qFormat/>
    <w:uiPriority w:val="0"/>
    <w:pPr>
      <w:ind w:firstLine="420" w:firstLineChars="200"/>
    </w:pPr>
    <w:rPr>
      <w:sz w:val="28"/>
      <w:szCs w:val="28"/>
    </w:rPr>
  </w:style>
  <w:style w:type="character" w:customStyle="1" w:styleId="61">
    <w:name w:val="标题 4 Char"/>
    <w:autoRedefine/>
    <w:qFormat/>
    <w:uiPriority w:val="0"/>
    <w:rPr>
      <w:rFonts w:ascii="Cambria" w:hAnsi="Cambria" w:eastAsia="宋体" w:cs="Times New Roman"/>
      <w:b/>
      <w:bCs/>
      <w:kern w:val="2"/>
      <w:sz w:val="28"/>
      <w:szCs w:val="28"/>
    </w:rPr>
  </w:style>
  <w:style w:type="table" w:customStyle="1" w:styleId="62">
    <w:name w:val="网格型1"/>
    <w:basedOn w:val="30"/>
    <w:autoRedefine/>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autoRedefine/>
    <w:qFormat/>
    <w:uiPriority w:val="0"/>
    <w:pPr>
      <w:ind w:firstLine="420" w:firstLineChars="200"/>
    </w:pPr>
    <w:rPr>
      <w:rFonts w:cs="Calibri"/>
      <w:szCs w:val="21"/>
    </w:rPr>
  </w:style>
  <w:style w:type="paragraph" w:customStyle="1" w:styleId="64">
    <w:name w:val="无间隔1"/>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autoRedefine/>
    <w:qFormat/>
    <w:uiPriority w:val="0"/>
    <w:rPr>
      <w:rFonts w:ascii="Tahoma" w:hAnsi="Tahoma" w:cs="Tahoma"/>
      <w:sz w:val="24"/>
      <w:szCs w:val="24"/>
    </w:rPr>
  </w:style>
  <w:style w:type="paragraph" w:customStyle="1" w:styleId="66">
    <w:name w:val="大汉方案正文"/>
    <w:basedOn w:val="1"/>
    <w:autoRedefine/>
    <w:qFormat/>
    <w:uiPriority w:val="0"/>
    <w:pPr>
      <w:spacing w:line="360" w:lineRule="auto"/>
      <w:ind w:firstLine="200" w:firstLineChars="200"/>
    </w:pPr>
    <w:rPr>
      <w:rFonts w:ascii="Arial" w:hAnsi="Arial" w:cs="Arial"/>
      <w:sz w:val="24"/>
      <w:szCs w:val="24"/>
    </w:rPr>
  </w:style>
  <w:style w:type="character" w:customStyle="1" w:styleId="67">
    <w:name w:val="纯文本 Char1"/>
    <w:autoRedefine/>
    <w:qFormat/>
    <w:uiPriority w:val="0"/>
    <w:rPr>
      <w:rFonts w:ascii="宋体" w:hAnsi="Courier New" w:cs="宋体"/>
      <w:kern w:val="2"/>
      <w:sz w:val="21"/>
      <w:szCs w:val="21"/>
    </w:rPr>
  </w:style>
  <w:style w:type="character" w:customStyle="1" w:styleId="68">
    <w:name w:val="批注文字 Char1"/>
    <w:autoRedefine/>
    <w:qFormat/>
    <w:uiPriority w:val="0"/>
    <w:rPr>
      <w:rFonts w:ascii="Times New Roman" w:hAnsi="Times New Roman" w:eastAsia="宋体" w:cs="Times New Roman"/>
      <w:sz w:val="24"/>
      <w:szCs w:val="24"/>
    </w:rPr>
  </w:style>
  <w:style w:type="paragraph" w:customStyle="1" w:styleId="69">
    <w:name w:val="retrait3"/>
    <w:basedOn w:val="1"/>
    <w:autoRedefine/>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autoRedefine/>
    <w:qFormat/>
    <w:uiPriority w:val="0"/>
  </w:style>
  <w:style w:type="paragraph" w:customStyle="1" w:styleId="71">
    <w:name w:val="xl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autoRedefine/>
    <w:qFormat/>
    <w:uiPriority w:val="0"/>
    <w:pPr>
      <w:ind w:firstLine="420" w:firstLineChars="200"/>
    </w:pPr>
    <w:rPr>
      <w:rFonts w:cs="Calibri"/>
      <w:szCs w:val="21"/>
    </w:rPr>
  </w:style>
  <w:style w:type="paragraph" w:customStyle="1" w:styleId="74">
    <w:name w:val="无间隔2"/>
    <w:autoRedefine/>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autoRedefine/>
    <w:qFormat/>
    <w:uiPriority w:val="0"/>
    <w:rPr>
      <w:rFonts w:ascii="Times New Roman" w:hAnsi="Times New Roman" w:eastAsia="宋体" w:cs="Times New Roman"/>
      <w:sz w:val="20"/>
      <w:szCs w:val="20"/>
    </w:rPr>
  </w:style>
  <w:style w:type="paragraph" w:customStyle="1" w:styleId="76">
    <w:name w:val="Char Char11 Char Char Char Char"/>
    <w:basedOn w:val="1"/>
    <w:autoRedefine/>
    <w:qFormat/>
    <w:uiPriority w:val="0"/>
    <w:pPr>
      <w:tabs>
        <w:tab w:val="left" w:pos="360"/>
      </w:tabs>
    </w:pPr>
    <w:rPr>
      <w:szCs w:val="21"/>
    </w:rPr>
  </w:style>
  <w:style w:type="paragraph" w:customStyle="1" w:styleId="77">
    <w:name w:val="xl65"/>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autoRedefine/>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autoRedefine/>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autoRedefine/>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autoRedefine/>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autoRedefine/>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autoRedefine/>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autoRedefine/>
    <w:qFormat/>
    <w:uiPriority w:val="0"/>
    <w:rPr>
      <w:rFonts w:ascii="宋体" w:hAnsi="Courier New"/>
      <w:sz w:val="21"/>
      <w:szCs w:val="21"/>
    </w:rPr>
  </w:style>
  <w:style w:type="paragraph" w:customStyle="1" w:styleId="117">
    <w:name w:val="Style1"/>
    <w:autoRedefine/>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autoRedefine/>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theme" Target="theme/theme1.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88</Pages>
  <Words>2809</Words>
  <Characters>3382</Characters>
  <Lines>1254</Lines>
  <Paragraphs>1076</Paragraphs>
  <TotalTime>938</TotalTime>
  <ScaleCrop>false</ScaleCrop>
  <LinksUpToDate>false</LinksUpToDate>
  <CharactersWithSpaces>3444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2026-04-27T02:39:00Z</dcterms:created>
  <dc:creator>柯 耀辉</dc:creator>
  <cp:lastModifiedBy>vicky</cp:lastModifiedBy>
  <dcterms:modified xsi:type="dcterms:W3CDTF">2026-04-29T00:46:31Z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ECF38A2602694FF4A72D701F2A9342F3</vt:lpwstr>
  </property>
  <property fmtid="{D5CDD505-2E9C-101B-9397-08002B2CF9AE}" pid="4" name="KSOTemplateDocerSaveRecord">
    <vt:lpwstr>eyJoZGlkIjoiZmMxYTVhZDg0ZTNjMTcwNzMyZmVkMWVlYmM5NjZjZmQiLCJ1c2VySWQiOiIxMjY0MjQzNTE3In0=</vt:lpwstr>
  </property>
</Properties>
</file>