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8980A">
      <w:pPr>
        <w:shd w:val="clear"/>
        <w:snapToGrid w:val="0"/>
        <w:jc w:val="center"/>
        <w:rPr>
          <w:rFonts w:hint="eastAsia" w:ascii="方正小标宋简体" w:hAnsi="黑体" w:eastAsia="方正小标宋简体" w:cs="方正小标宋简体"/>
          <w:color w:val="auto"/>
          <w:kern w:val="0"/>
          <w:sz w:val="56"/>
          <w:szCs w:val="56"/>
          <w:highlight w:val="none"/>
        </w:rPr>
      </w:pPr>
    </w:p>
    <w:p w14:paraId="77BF851E">
      <w:pPr>
        <w:shd w:val="clear"/>
        <w:snapToGrid w:val="0"/>
        <w:jc w:val="center"/>
        <w:rPr>
          <w:rFonts w:hint="eastAsia" w:ascii="方正小标宋简体" w:hAnsi="黑体" w:eastAsia="方正小标宋简体" w:cs="方正小标宋简体"/>
          <w:color w:val="auto"/>
          <w:kern w:val="0"/>
          <w:sz w:val="56"/>
          <w:szCs w:val="56"/>
          <w:highlight w:val="none"/>
        </w:rPr>
      </w:pPr>
    </w:p>
    <w:p w14:paraId="3272675C">
      <w:pPr>
        <w:shd w:val="clear"/>
        <w:snapToGrid w:val="0"/>
        <w:jc w:val="center"/>
        <w:rPr>
          <w:rFonts w:hint="eastAsia" w:ascii="方正小标宋简体" w:hAnsi="黑体" w:eastAsia="方正小标宋简体" w:cs="方正小标宋简体"/>
          <w:color w:val="auto"/>
          <w:kern w:val="0"/>
          <w:sz w:val="56"/>
          <w:szCs w:val="56"/>
          <w:highlight w:val="none"/>
        </w:rPr>
      </w:pPr>
    </w:p>
    <w:p w14:paraId="455E272D">
      <w:pPr>
        <w:shd w:val="clear"/>
        <w:snapToGrid w:val="0"/>
        <w:jc w:val="center"/>
        <w:rPr>
          <w:rFonts w:hint="eastAsia" w:ascii="方正小标宋简体" w:hAnsi="黑体" w:eastAsia="方正小标宋简体" w:cs="方正小标宋简体"/>
          <w:color w:val="auto"/>
          <w:kern w:val="0"/>
          <w:sz w:val="72"/>
          <w:szCs w:val="52"/>
          <w:highlight w:val="none"/>
          <w:lang w:eastAsia="zh-CN"/>
        </w:rPr>
      </w:pPr>
      <w:r>
        <w:rPr>
          <w:rFonts w:hint="eastAsia" w:ascii="方正小标宋简体" w:hAnsi="黑体" w:eastAsia="方正小标宋简体" w:cs="方正小标宋简体"/>
          <w:color w:val="auto"/>
          <w:kern w:val="0"/>
          <w:sz w:val="56"/>
          <w:szCs w:val="56"/>
          <w:highlight w:val="none"/>
          <w:lang w:eastAsia="zh-CN"/>
        </w:rPr>
        <w:t>威海市国家粮食储备库有限公司</w:t>
      </w:r>
    </w:p>
    <w:p w14:paraId="75A030AF">
      <w:pPr>
        <w:shd w:val="clear"/>
        <w:snapToGrid w:val="0"/>
        <w:jc w:val="center"/>
        <w:rPr>
          <w:rFonts w:hint="eastAsia" w:ascii="方正小标宋简体" w:hAnsi="黑体" w:eastAsia="方正小标宋简体" w:cs="方正小标宋简体"/>
          <w:color w:val="auto"/>
          <w:kern w:val="0"/>
          <w:sz w:val="72"/>
          <w:szCs w:val="52"/>
          <w:highlight w:val="none"/>
        </w:rPr>
      </w:pPr>
    </w:p>
    <w:p w14:paraId="006AA46B">
      <w:pPr>
        <w:shd w:val="clear"/>
        <w:snapToGrid w:val="0"/>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72"/>
          <w:highlight w:val="none"/>
        </w:rPr>
        <w:t>公开招标文件</w:t>
      </w:r>
    </w:p>
    <w:p w14:paraId="1B2AFAA5">
      <w:pPr>
        <w:shd w:val="clear"/>
        <w:spacing w:line="360" w:lineRule="auto"/>
        <w:ind w:firstLine="723" w:firstLineChars="201"/>
        <w:jc w:val="left"/>
        <w:rPr>
          <w:rFonts w:ascii="宋体" w:hAnsi="宋体"/>
          <w:color w:val="auto"/>
          <w:sz w:val="36"/>
          <w:szCs w:val="36"/>
          <w:highlight w:val="none"/>
        </w:rPr>
      </w:pPr>
    </w:p>
    <w:p w14:paraId="5737516D">
      <w:pPr>
        <w:shd w:val="clear"/>
        <w:spacing w:line="360" w:lineRule="auto"/>
        <w:jc w:val="left"/>
        <w:rPr>
          <w:rFonts w:hint="eastAsia" w:ascii="宋体" w:hAnsi="宋体"/>
          <w:color w:val="auto"/>
          <w:sz w:val="36"/>
          <w:szCs w:val="36"/>
          <w:highlight w:val="none"/>
        </w:rPr>
      </w:pPr>
      <w:r>
        <w:rPr>
          <w:rFonts w:hint="eastAsia" w:ascii="宋体" w:hAnsi="宋体"/>
          <w:color w:val="auto"/>
          <w:sz w:val="36"/>
          <w:szCs w:val="36"/>
          <w:highlight w:val="none"/>
        </w:rPr>
        <w:t xml:space="preserve">    </w:t>
      </w:r>
    </w:p>
    <w:p w14:paraId="367A0C1A">
      <w:pPr>
        <w:pStyle w:val="2"/>
        <w:shd w:val="clear"/>
        <w:rPr>
          <w:rFonts w:hint="eastAsia"/>
          <w:color w:val="auto"/>
          <w:highlight w:val="none"/>
        </w:rPr>
      </w:pPr>
    </w:p>
    <w:p w14:paraId="0EB5C376">
      <w:pPr>
        <w:shd w:val="clear"/>
        <w:rPr>
          <w:color w:val="auto"/>
          <w:highlight w:val="none"/>
        </w:rPr>
      </w:pPr>
    </w:p>
    <w:p w14:paraId="074269B5">
      <w:pPr>
        <w:shd w:val="clear"/>
        <w:spacing w:after="156" w:afterLines="50" w:line="360" w:lineRule="auto"/>
        <w:ind w:left="2542" w:leftChars="350" w:hanging="1807" w:hangingChars="500"/>
        <w:jc w:val="left"/>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lang w:eastAsia="zh-CN"/>
        </w:rPr>
        <w:t>粮食输送设备采购项目</w:t>
      </w:r>
    </w:p>
    <w:p w14:paraId="297919E4">
      <w:pPr>
        <w:shd w:val="clear"/>
        <w:spacing w:after="156" w:afterLines="50" w:line="360" w:lineRule="auto"/>
        <w:ind w:firstLine="726" w:firstLineChars="201"/>
        <w:jc w:val="left"/>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WHZCZB2026-042</w:t>
      </w:r>
    </w:p>
    <w:p w14:paraId="4E2D62C7">
      <w:pPr>
        <w:shd w:val="clear"/>
        <w:spacing w:after="156" w:afterLines="50" w:line="360" w:lineRule="auto"/>
        <w:ind w:firstLine="726" w:firstLineChars="201"/>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采购方式：公开招标</w:t>
      </w:r>
    </w:p>
    <w:p w14:paraId="25DAC5B1">
      <w:pPr>
        <w:shd w:val="clear"/>
        <w:spacing w:line="360" w:lineRule="auto"/>
        <w:rPr>
          <w:rFonts w:hint="eastAsia" w:ascii="仿宋" w:hAnsi="仿宋" w:eastAsia="仿宋" w:cs="仿宋"/>
          <w:b/>
          <w:color w:val="auto"/>
          <w:sz w:val="16"/>
          <w:szCs w:val="36"/>
          <w:highlight w:val="none"/>
        </w:rPr>
      </w:pPr>
    </w:p>
    <w:p w14:paraId="6CE2C08B">
      <w:pPr>
        <w:shd w:val="clear"/>
        <w:spacing w:line="360" w:lineRule="auto"/>
        <w:ind w:firstLine="363" w:firstLineChars="201"/>
        <w:jc w:val="center"/>
        <w:rPr>
          <w:rFonts w:hint="eastAsia" w:ascii="仿宋" w:hAnsi="仿宋" w:eastAsia="仿宋" w:cs="仿宋"/>
          <w:b/>
          <w:color w:val="auto"/>
          <w:sz w:val="18"/>
          <w:szCs w:val="36"/>
          <w:highlight w:val="none"/>
        </w:rPr>
      </w:pPr>
    </w:p>
    <w:p w14:paraId="0D39CB9C">
      <w:pPr>
        <w:pStyle w:val="2"/>
        <w:shd w:val="clear"/>
        <w:rPr>
          <w:rFonts w:hint="eastAsia" w:ascii="仿宋" w:hAnsi="仿宋" w:eastAsia="仿宋" w:cs="仿宋"/>
          <w:b/>
          <w:color w:val="auto"/>
          <w:sz w:val="18"/>
          <w:szCs w:val="36"/>
          <w:highlight w:val="none"/>
        </w:rPr>
      </w:pPr>
    </w:p>
    <w:p w14:paraId="14011AA3">
      <w:pPr>
        <w:shd w:val="clear"/>
        <w:rPr>
          <w:rFonts w:hint="eastAsia" w:ascii="仿宋" w:hAnsi="仿宋" w:eastAsia="仿宋" w:cs="仿宋"/>
          <w:color w:val="auto"/>
          <w:highlight w:val="none"/>
        </w:rPr>
      </w:pPr>
    </w:p>
    <w:p w14:paraId="78E7CE59">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山东志诚工程咨询管理有限公司</w:t>
      </w:r>
    </w:p>
    <w:p w14:paraId="67BCAC4D">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color w:val="auto"/>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b/>
          <w:color w:val="auto"/>
          <w:sz w:val="36"/>
          <w:szCs w:val="36"/>
          <w:highlight w:val="none"/>
          <w:lang w:val="en-US" w:eastAsia="zh-CN"/>
        </w:rPr>
        <w:t>2026年5</w:t>
      </w:r>
      <w:r>
        <w:rPr>
          <w:rFonts w:hint="eastAsia" w:ascii="仿宋" w:hAnsi="仿宋" w:eastAsia="仿宋" w:cs="仿宋"/>
          <w:b/>
          <w:color w:val="auto"/>
          <w:sz w:val="36"/>
          <w:szCs w:val="36"/>
          <w:highlight w:val="none"/>
        </w:rPr>
        <w:t>月</w:t>
      </w:r>
    </w:p>
    <w:p w14:paraId="580BCC51">
      <w:pPr>
        <w:shd w:val="clear"/>
        <w:spacing w:line="360" w:lineRule="auto"/>
        <w:jc w:val="center"/>
        <w:rPr>
          <w:rFonts w:ascii="黑体" w:hAnsi="黑体" w:eastAsia="黑体" w:cs="方正小标宋简体"/>
          <w:color w:val="auto"/>
          <w:kern w:val="0"/>
          <w:sz w:val="52"/>
          <w:szCs w:val="52"/>
          <w:highlight w:val="none"/>
        </w:rPr>
        <w:sectPr>
          <w:headerReference r:id="rId3" w:type="default"/>
          <w:footerReference r:id="rId4" w:type="default"/>
          <w:pgSz w:w="11906" w:h="16838"/>
          <w:pgMar w:top="1440" w:right="1083" w:bottom="1440" w:left="1083" w:header="851" w:footer="992" w:gutter="0"/>
          <w:pgNumType w:start="0"/>
          <w:cols w:space="720" w:num="1"/>
          <w:titlePg/>
          <w:rtlGutter w:val="0"/>
          <w:docGrid w:type="lines" w:linePitch="312" w:charSpace="0"/>
        </w:sectPr>
      </w:pPr>
    </w:p>
    <w:p w14:paraId="65D9B2A6">
      <w:pPr>
        <w:shd w:val="clear"/>
        <w:spacing w:line="360" w:lineRule="auto"/>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3C233109">
      <w:pPr>
        <w:shd w:val="clear"/>
        <w:spacing w:line="560" w:lineRule="exact"/>
        <w:ind w:firstLine="562" w:firstLineChars="201"/>
        <w:jc w:val="left"/>
        <w:rPr>
          <w:rFonts w:ascii="宋体" w:hAnsi="宋体" w:cs="方正楷体简体"/>
          <w:color w:val="auto"/>
          <w:sz w:val="28"/>
          <w:szCs w:val="28"/>
          <w:highlight w:val="none"/>
        </w:rPr>
      </w:pPr>
    </w:p>
    <w:p w14:paraId="510A7A4E">
      <w:pPr>
        <w:shd w:val="clear"/>
        <w:spacing w:line="560" w:lineRule="exact"/>
        <w:ind w:firstLine="562" w:firstLineChars="201"/>
        <w:jc w:val="left"/>
        <w:rPr>
          <w:rFonts w:ascii="宋体" w:hAnsi="宋体" w:cs="方正楷体简体"/>
          <w:color w:val="auto"/>
          <w:sz w:val="28"/>
          <w:szCs w:val="28"/>
          <w:highlight w:val="none"/>
        </w:rPr>
      </w:pPr>
    </w:p>
    <w:p w14:paraId="7939DCC2">
      <w:pPr>
        <w:shd w:val="clear"/>
        <w:spacing w:line="720" w:lineRule="exact"/>
        <w:ind w:firstLine="562" w:firstLineChars="200"/>
        <w:jc w:val="left"/>
        <w:rPr>
          <w:rFonts w:hint="eastAsia"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563F3323">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622582D9">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5B6FA989">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790006B7">
      <w:pPr>
        <w:shd w:val="clear"/>
        <w:spacing w:line="720" w:lineRule="exact"/>
        <w:ind w:firstLine="565" w:firstLineChars="201"/>
        <w:jc w:val="left"/>
        <w:rPr>
          <w:rFonts w:hint="eastAsia" w:ascii="仿宋" w:hAnsi="仿宋" w:eastAsia="仿宋" w:cs="仿宋"/>
          <w:b/>
          <w:bCs/>
          <w:caps/>
          <w:color w:val="auto"/>
          <w:sz w:val="28"/>
          <w:szCs w:val="28"/>
          <w:highlight w:val="none"/>
          <w:lang w:eastAsia="zh-CN"/>
        </w:rPr>
      </w:pPr>
      <w:r>
        <w:rPr>
          <w:rFonts w:hint="eastAsia" w:ascii="仿宋" w:hAnsi="仿宋" w:eastAsia="仿宋" w:cs="仿宋"/>
          <w:b/>
          <w:bCs/>
          <w:caps/>
          <w:color w:val="auto"/>
          <w:sz w:val="28"/>
          <w:szCs w:val="28"/>
          <w:highlight w:val="none"/>
        </w:rPr>
        <w:t xml:space="preserve">第五章   </w:t>
      </w:r>
      <w:r>
        <w:rPr>
          <w:rFonts w:hint="eastAsia" w:ascii="仿宋" w:hAnsi="仿宋" w:eastAsia="仿宋" w:cs="仿宋"/>
          <w:b/>
          <w:bCs/>
          <w:caps/>
          <w:color w:val="auto"/>
          <w:sz w:val="28"/>
          <w:szCs w:val="28"/>
          <w:highlight w:val="none"/>
          <w:lang w:eastAsia="zh-CN"/>
        </w:rPr>
        <w:t>投标文件格式</w:t>
      </w:r>
    </w:p>
    <w:p w14:paraId="03D04C31">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1B873C7A">
      <w:pPr>
        <w:shd w:val="clear"/>
        <w:spacing w:line="560" w:lineRule="exact"/>
        <w:ind w:firstLine="424" w:firstLineChars="151"/>
        <w:jc w:val="left"/>
        <w:rPr>
          <w:rFonts w:ascii="仿宋_GB2312" w:hAnsi="宋体" w:eastAsia="仿宋_GB2312"/>
          <w:b/>
          <w:bCs/>
          <w:caps/>
          <w:color w:val="auto"/>
          <w:sz w:val="28"/>
          <w:szCs w:val="28"/>
          <w:highlight w:val="none"/>
        </w:rPr>
      </w:pPr>
    </w:p>
    <w:p w14:paraId="12A215A2">
      <w:pPr>
        <w:shd w:val="clear"/>
        <w:rPr>
          <w:rFonts w:ascii="宋体" w:hAnsi="宋体"/>
          <w:color w:val="auto"/>
          <w:kern w:val="0"/>
          <w:highlight w:val="none"/>
        </w:rPr>
        <w:sectPr>
          <w:pgSz w:w="11906" w:h="16838"/>
          <w:pgMar w:top="1440" w:right="1083" w:bottom="1440" w:left="1083" w:header="851" w:footer="992" w:gutter="0"/>
          <w:pgNumType w:start="0"/>
          <w:cols w:space="720" w:num="1"/>
          <w:titlePg/>
          <w:rtlGutter w:val="0"/>
          <w:docGrid w:type="lines" w:linePitch="312" w:charSpace="0"/>
        </w:sectPr>
      </w:pPr>
    </w:p>
    <w:p w14:paraId="659111F0">
      <w:pPr>
        <w:pStyle w:val="27"/>
        <w:numPr>
          <w:ilvl w:val="0"/>
          <w:numId w:val="0"/>
        </w:numPr>
        <w:shd w:val="clear"/>
        <w:spacing w:before="100" w:beforeAutospacing="1" w:after="100" w:afterAutospacing="1" w:line="415" w:lineRule="auto"/>
        <w:ind w:left="1440" w:leftChars="0" w:hanging="1440" w:firstLineChars="0"/>
        <w:rPr>
          <w:rFonts w:hint="eastAsia" w:ascii="楷体" w:hAnsi="楷体" w:eastAsia="楷体" w:cs="楷体"/>
          <w:color w:val="auto"/>
          <w:sz w:val="24"/>
          <w:szCs w:val="44"/>
          <w:highlight w:val="none"/>
        </w:rPr>
      </w:pPr>
      <w:bookmarkStart w:id="0" w:name="_Toc266431116"/>
      <w:bookmarkStart w:id="1" w:name="_Toc253045125"/>
      <w:r>
        <w:rPr>
          <w:rFonts w:hint="eastAsia" w:ascii="楷体" w:hAnsi="楷体" w:eastAsia="楷体" w:cs="楷体"/>
          <w:b/>
          <w:bCs/>
          <w:color w:val="auto"/>
          <w:kern w:val="2"/>
          <w:sz w:val="44"/>
          <w:szCs w:val="44"/>
          <w:highlight w:val="none"/>
          <w:lang w:val="en-US" w:eastAsia="zh-CN" w:bidi="ar-SA"/>
        </w:rPr>
        <w:t>第一章</w:t>
      </w:r>
      <w:r>
        <w:rPr>
          <w:rFonts w:hint="eastAsia" w:ascii="楷体" w:hAnsi="楷体" w:eastAsia="楷体" w:cs="楷体"/>
          <w:color w:val="auto"/>
          <w:sz w:val="44"/>
          <w:szCs w:val="44"/>
          <w:highlight w:val="none"/>
        </w:rPr>
        <w:t xml:space="preserve">  招标公告</w:t>
      </w:r>
    </w:p>
    <w:p w14:paraId="020BA654">
      <w:pPr>
        <w:shd w:val="clear"/>
        <w:rPr>
          <w:color w:val="auto"/>
          <w:highlight w:val="none"/>
        </w:rPr>
      </w:pPr>
    </w:p>
    <w:p w14:paraId="1C805A45">
      <w:pPr>
        <w:shd w:val="clear"/>
        <w:rPr>
          <w:color w:val="auto"/>
          <w:highlight w:val="none"/>
        </w:rPr>
        <w:sectPr>
          <w:headerReference r:id="rId6" w:type="first"/>
          <w:footerReference r:id="rId8" w:type="first"/>
          <w:footerReference r:id="rId7" w:type="default"/>
          <w:headerReference r:id="rId5" w:type="even"/>
          <w:pgSz w:w="11906" w:h="16838"/>
          <w:pgMar w:top="1440" w:right="1083" w:bottom="1440" w:left="1083" w:header="851" w:footer="992" w:gutter="0"/>
          <w:pgNumType w:fmt="decimal" w:start="1"/>
          <w:cols w:space="720" w:num="1"/>
          <w:titlePg/>
          <w:rtlGutter w:val="0"/>
          <w:docGrid w:type="lines" w:linePitch="312" w:charSpace="0"/>
        </w:sectPr>
      </w:pPr>
    </w:p>
    <w:p w14:paraId="1313DA3A">
      <w:pPr>
        <w:shd w:val="clear"/>
        <w:jc w:val="center"/>
        <w:rPr>
          <w:rFonts w:ascii="方正小标宋简体" w:eastAsia="方正小标宋简体"/>
          <w:b/>
          <w:color w:val="auto"/>
          <w:sz w:val="30"/>
          <w:szCs w:val="30"/>
          <w:highlight w:val="none"/>
        </w:rPr>
      </w:pPr>
      <w:bookmarkStart w:id="2" w:name="_Toc382129899"/>
      <w:bookmarkStart w:id="3" w:name="_Toc413596381"/>
      <w:r>
        <w:rPr>
          <w:rFonts w:hint="eastAsia" w:ascii="方正小标宋简体" w:eastAsia="方正小标宋简体"/>
          <w:b/>
          <w:color w:val="auto"/>
          <w:sz w:val="30"/>
          <w:szCs w:val="30"/>
          <w:highlight w:val="none"/>
          <w:lang w:eastAsia="zh-CN"/>
        </w:rPr>
        <w:t>威海市国家粮食储备库有限公司粮食输送设备采购项目</w:t>
      </w:r>
      <w:r>
        <w:rPr>
          <w:rFonts w:hint="eastAsia" w:ascii="方正小标宋简体" w:eastAsia="方正小标宋简体"/>
          <w:b/>
          <w:color w:val="auto"/>
          <w:sz w:val="30"/>
          <w:szCs w:val="30"/>
          <w:highlight w:val="none"/>
        </w:rPr>
        <w:t>公开招标公告</w:t>
      </w:r>
    </w:p>
    <w:p w14:paraId="4CF0FAA5">
      <w:pPr>
        <w:shd w:val="clear"/>
        <w:jc w:val="center"/>
        <w:rPr>
          <w:rFonts w:ascii="方正小标宋简体" w:eastAsia="方正小标宋简体"/>
          <w:b/>
          <w:color w:val="auto"/>
          <w:sz w:val="30"/>
          <w:szCs w:val="30"/>
          <w:highlight w:val="none"/>
        </w:rPr>
      </w:pPr>
    </w:p>
    <w:p w14:paraId="2ACB9E7B">
      <w:pPr>
        <w:pBdr>
          <w:top w:val="single" w:color="auto" w:sz="4" w:space="1"/>
          <w:left w:val="single" w:color="auto" w:sz="4" w:space="4"/>
          <w:bottom w:val="single" w:color="auto" w:sz="4" w:space="1"/>
          <w:right w:val="single" w:color="auto" w:sz="4" w:space="4"/>
        </w:pBdr>
        <w:shd w:val="clear"/>
        <w:spacing w:line="560" w:lineRule="exact"/>
        <w:ind w:firstLine="560" w:firstLineChars="200"/>
        <w:rPr>
          <w:rFonts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项目概况</w:t>
      </w:r>
    </w:p>
    <w:p w14:paraId="11AAE79B">
      <w:pPr>
        <w:widowControl/>
        <w:pBdr>
          <w:top w:val="single" w:color="auto" w:sz="4" w:space="1"/>
          <w:left w:val="single" w:color="auto" w:sz="4" w:space="4"/>
          <w:bottom w:val="single" w:color="auto" w:sz="4" w:space="1"/>
          <w:right w:val="single" w:color="auto" w:sz="4" w:space="4"/>
        </w:pBdr>
        <w:shd w:val="clear"/>
        <w:adjustRightInd w:val="0"/>
        <w:spacing w:line="560" w:lineRule="exact"/>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eastAsia="zh-CN"/>
        </w:rPr>
        <w:t>粮食输送设备采购项目</w:t>
      </w:r>
      <w:r>
        <w:rPr>
          <w:rFonts w:hint="eastAsia" w:ascii="仿宋" w:hAnsi="仿宋" w:eastAsia="仿宋" w:cs="仿宋"/>
          <w:color w:val="auto"/>
          <w:spacing w:val="8"/>
          <w:kern w:val="0"/>
          <w:sz w:val="28"/>
          <w:szCs w:val="28"/>
          <w:highlight w:val="none"/>
        </w:rPr>
        <w:t>的潜在投标人应</w:t>
      </w:r>
      <w:r>
        <w:rPr>
          <w:rFonts w:hint="eastAsia" w:ascii="仿宋" w:hAnsi="仿宋" w:eastAsia="仿宋" w:cs="仿宋"/>
          <w:color w:val="auto"/>
          <w:spacing w:val="8"/>
          <w:kern w:val="0"/>
          <w:sz w:val="28"/>
          <w:szCs w:val="28"/>
          <w:highlight w:val="none"/>
          <w:u w:val="single"/>
        </w:rPr>
        <w:t>登录“威海市公共资源交易网”首页右侧“交易服务一网通办-（新版）一网通办系统”进行“平台切换”，点击“国企采购”进入国企阳光采购平台</w:t>
      </w:r>
      <w:r>
        <w:rPr>
          <w:rFonts w:hint="eastAsia" w:ascii="仿宋" w:hAnsi="仿宋" w:eastAsia="仿宋" w:cs="仿宋"/>
          <w:color w:val="auto"/>
          <w:spacing w:val="8"/>
          <w:kern w:val="0"/>
          <w:sz w:val="28"/>
          <w:szCs w:val="28"/>
          <w:highlight w:val="none"/>
        </w:rPr>
        <w:t>获取招标文件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并于</w:t>
      </w:r>
      <w:r>
        <w:rPr>
          <w:rFonts w:hint="eastAsia" w:ascii="仿宋" w:hAnsi="仿宋" w:eastAsia="仿宋" w:cs="仿宋"/>
          <w:color w:val="auto"/>
          <w:spacing w:val="8"/>
          <w:kern w:val="0"/>
          <w:sz w:val="28"/>
          <w:szCs w:val="28"/>
          <w:highlight w:val="none"/>
          <w:u w:val="single"/>
          <w:lang w:eastAsia="zh-CN"/>
        </w:rPr>
        <w:t>2026年</w:t>
      </w:r>
      <w:r>
        <w:rPr>
          <w:rFonts w:hint="eastAsia" w:ascii="仿宋" w:hAnsi="仿宋" w:eastAsia="仿宋" w:cs="仿宋"/>
          <w:color w:val="auto"/>
          <w:spacing w:val="8"/>
          <w:kern w:val="0"/>
          <w:sz w:val="28"/>
          <w:szCs w:val="28"/>
          <w:highlight w:val="none"/>
          <w:u w:val="single"/>
          <w:lang w:val="en-US" w:eastAsia="zh-CN"/>
        </w:rPr>
        <w:t>5</w:t>
      </w:r>
      <w:r>
        <w:rPr>
          <w:rFonts w:hint="eastAsia" w:ascii="仿宋" w:hAnsi="仿宋" w:eastAsia="仿宋" w:cs="仿宋"/>
          <w:color w:val="auto"/>
          <w:spacing w:val="8"/>
          <w:kern w:val="0"/>
          <w:sz w:val="28"/>
          <w:szCs w:val="28"/>
          <w:highlight w:val="none"/>
          <w:u w:val="single"/>
          <w:lang w:eastAsia="zh-CN"/>
        </w:rPr>
        <w:t>月</w:t>
      </w:r>
      <w:r>
        <w:rPr>
          <w:rFonts w:hint="eastAsia" w:ascii="仿宋" w:hAnsi="仿宋" w:eastAsia="仿宋" w:cs="仿宋"/>
          <w:color w:val="auto"/>
          <w:spacing w:val="8"/>
          <w:kern w:val="0"/>
          <w:sz w:val="28"/>
          <w:szCs w:val="28"/>
          <w:highlight w:val="none"/>
          <w:u w:val="single"/>
          <w:lang w:val="en-US" w:eastAsia="zh-CN"/>
        </w:rPr>
        <w:t>25</w:t>
      </w:r>
      <w:r>
        <w:rPr>
          <w:rFonts w:hint="eastAsia" w:ascii="仿宋" w:hAnsi="仿宋" w:eastAsia="仿宋" w:cs="仿宋"/>
          <w:color w:val="auto"/>
          <w:spacing w:val="8"/>
          <w:kern w:val="0"/>
          <w:sz w:val="28"/>
          <w:szCs w:val="28"/>
          <w:highlight w:val="none"/>
          <w:u w:val="single"/>
          <w:lang w:eastAsia="zh-CN"/>
        </w:rPr>
        <w:t>日</w:t>
      </w:r>
      <w:r>
        <w:rPr>
          <w:rFonts w:hint="eastAsia" w:ascii="仿宋" w:hAnsi="仿宋" w:eastAsia="仿宋" w:cs="仿宋"/>
          <w:color w:val="auto"/>
          <w:spacing w:val="8"/>
          <w:kern w:val="0"/>
          <w:sz w:val="28"/>
          <w:szCs w:val="28"/>
          <w:highlight w:val="none"/>
          <w:u w:val="single"/>
          <w:lang w:val="en-US" w:eastAsia="zh-CN"/>
        </w:rPr>
        <w:t>14</w:t>
      </w:r>
      <w:r>
        <w:rPr>
          <w:rFonts w:hint="eastAsia" w:ascii="仿宋" w:hAnsi="仿宋" w:eastAsia="仿宋" w:cs="仿宋"/>
          <w:color w:val="auto"/>
          <w:spacing w:val="8"/>
          <w:kern w:val="0"/>
          <w:sz w:val="28"/>
          <w:szCs w:val="28"/>
          <w:highlight w:val="none"/>
          <w:u w:val="single"/>
          <w:lang w:eastAsia="zh-CN"/>
        </w:rPr>
        <w:t>时</w:t>
      </w:r>
      <w:r>
        <w:rPr>
          <w:rFonts w:hint="eastAsia" w:ascii="仿宋" w:hAnsi="仿宋" w:eastAsia="仿宋" w:cs="仿宋"/>
          <w:color w:val="auto"/>
          <w:spacing w:val="8"/>
          <w:kern w:val="0"/>
          <w:sz w:val="28"/>
          <w:szCs w:val="28"/>
          <w:highlight w:val="none"/>
          <w:u w:val="single"/>
          <w:lang w:val="en-US" w:eastAsia="zh-CN"/>
        </w:rPr>
        <w:t>00</w:t>
      </w:r>
      <w:r>
        <w:rPr>
          <w:rFonts w:hint="eastAsia" w:ascii="仿宋" w:hAnsi="仿宋" w:eastAsia="仿宋" w:cs="仿宋"/>
          <w:color w:val="auto"/>
          <w:spacing w:val="8"/>
          <w:kern w:val="0"/>
          <w:sz w:val="28"/>
          <w:szCs w:val="28"/>
          <w:highlight w:val="none"/>
          <w:u w:val="single"/>
          <w:lang w:eastAsia="zh-CN"/>
        </w:rPr>
        <w:t>分</w:t>
      </w:r>
      <w:r>
        <w:rPr>
          <w:rFonts w:hint="eastAsia" w:ascii="仿宋" w:hAnsi="仿宋" w:eastAsia="仿宋" w:cs="仿宋"/>
          <w:color w:val="auto"/>
          <w:spacing w:val="8"/>
          <w:kern w:val="0"/>
          <w:sz w:val="28"/>
          <w:szCs w:val="28"/>
          <w:highlight w:val="none"/>
          <w:u w:val="single"/>
        </w:rPr>
        <w:t>（北京时间）</w:t>
      </w:r>
      <w:r>
        <w:rPr>
          <w:rFonts w:hint="eastAsia" w:ascii="仿宋" w:hAnsi="仿宋" w:eastAsia="仿宋" w:cs="仿宋"/>
          <w:color w:val="auto"/>
          <w:spacing w:val="8"/>
          <w:kern w:val="0"/>
          <w:sz w:val="28"/>
          <w:szCs w:val="28"/>
          <w:highlight w:val="none"/>
        </w:rPr>
        <w:t>前递交投标文件。</w:t>
      </w:r>
    </w:p>
    <w:p w14:paraId="008D0BF7">
      <w:pPr>
        <w:shd w:val="clear"/>
        <w:spacing w:line="560" w:lineRule="exact"/>
        <w:ind w:firstLine="560" w:firstLineChars="200"/>
        <w:rPr>
          <w:rFonts w:ascii="黑体" w:hAnsi="黑体" w:eastAsia="黑体" w:cs="宋体"/>
          <w:color w:val="auto"/>
          <w:kern w:val="0"/>
          <w:sz w:val="28"/>
          <w:szCs w:val="28"/>
          <w:highlight w:val="none"/>
        </w:rPr>
      </w:pPr>
    </w:p>
    <w:p w14:paraId="60C88F29">
      <w:pPr>
        <w:shd w:val="clear"/>
        <w:spacing w:line="560" w:lineRule="exact"/>
        <w:ind w:firstLine="560" w:firstLineChars="200"/>
        <w:rPr>
          <w:rFonts w:hint="eastAsia" w:ascii="黑体" w:hAnsi="黑体" w:eastAsia="黑体" w:cs="宋体"/>
          <w:color w:val="auto"/>
          <w:kern w:val="0"/>
          <w:sz w:val="28"/>
          <w:szCs w:val="28"/>
          <w:highlight w:val="none"/>
          <w:lang w:eastAsia="zh-CN"/>
        </w:rPr>
      </w:pPr>
      <w:r>
        <w:rPr>
          <w:rFonts w:hint="eastAsia" w:ascii="黑体" w:hAnsi="黑体" w:eastAsia="黑体" w:cs="宋体"/>
          <w:color w:val="auto"/>
          <w:kern w:val="0"/>
          <w:sz w:val="28"/>
          <w:szCs w:val="28"/>
          <w:highlight w:val="none"/>
        </w:rPr>
        <w:t>一、项目基本情况</w:t>
      </w:r>
    </w:p>
    <w:p w14:paraId="29A8B607">
      <w:pPr>
        <w:shd w:val="clear"/>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WHZCZB2026-042</w:t>
      </w:r>
    </w:p>
    <w:p w14:paraId="05DA236C">
      <w:pPr>
        <w:shd w:val="clear"/>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粮食输送设备采购项目</w:t>
      </w:r>
    </w:p>
    <w:p w14:paraId="11E76F0E">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采购项目分包情况：</w:t>
      </w:r>
    </w:p>
    <w:tbl>
      <w:tblPr>
        <w:tblStyle w:val="3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2686"/>
        <w:gridCol w:w="719"/>
        <w:gridCol w:w="1694"/>
        <w:gridCol w:w="1740"/>
        <w:gridCol w:w="1186"/>
        <w:gridCol w:w="1182"/>
      </w:tblGrid>
      <w:tr w14:paraId="20B8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right"/>
        </w:trPr>
        <w:tc>
          <w:tcPr>
            <w:tcW w:w="376" w:type="pct"/>
            <w:tcBorders>
              <w:bottom w:val="single" w:color="auto" w:sz="4" w:space="0"/>
            </w:tcBorders>
            <w:noWrap w:val="0"/>
            <w:vAlign w:val="center"/>
          </w:tcPr>
          <w:p w14:paraId="714FABC5">
            <w:pPr>
              <w:widowControl/>
              <w:shd w:val="clear"/>
              <w:adjustRightInd w:val="0"/>
              <w:spacing w:line="400" w:lineRule="exact"/>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标包</w:t>
            </w:r>
          </w:p>
        </w:tc>
        <w:tc>
          <w:tcPr>
            <w:tcW w:w="1348" w:type="pct"/>
            <w:noWrap w:val="0"/>
            <w:vAlign w:val="center"/>
          </w:tcPr>
          <w:p w14:paraId="5C75BB03">
            <w:pPr>
              <w:widowControl/>
              <w:shd w:val="clear"/>
              <w:adjustRightInd w:val="0"/>
              <w:spacing w:line="400" w:lineRule="exact"/>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项目名称</w:t>
            </w:r>
          </w:p>
        </w:tc>
        <w:tc>
          <w:tcPr>
            <w:tcW w:w="361" w:type="pct"/>
            <w:noWrap w:val="0"/>
            <w:vAlign w:val="center"/>
          </w:tcPr>
          <w:p w14:paraId="724962FA">
            <w:pPr>
              <w:widowControl/>
              <w:shd w:val="clear"/>
              <w:adjustRightInd w:val="0"/>
              <w:spacing w:line="400" w:lineRule="exact"/>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数量</w:t>
            </w:r>
          </w:p>
        </w:tc>
        <w:tc>
          <w:tcPr>
            <w:tcW w:w="850" w:type="pct"/>
            <w:tcBorders>
              <w:right w:val="single" w:color="auto" w:sz="4" w:space="0"/>
            </w:tcBorders>
            <w:noWrap w:val="0"/>
            <w:vAlign w:val="center"/>
          </w:tcPr>
          <w:p w14:paraId="249D2E63">
            <w:pPr>
              <w:widowControl/>
              <w:shd w:val="clear"/>
              <w:adjustRightInd w:val="0"/>
              <w:spacing w:line="400" w:lineRule="exact"/>
              <w:jc w:val="center"/>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预算金额（元）</w:t>
            </w:r>
          </w:p>
        </w:tc>
        <w:tc>
          <w:tcPr>
            <w:tcW w:w="873" w:type="pct"/>
            <w:tcBorders>
              <w:right w:val="single" w:color="auto" w:sz="4" w:space="0"/>
            </w:tcBorders>
            <w:noWrap w:val="0"/>
            <w:vAlign w:val="center"/>
          </w:tcPr>
          <w:p w14:paraId="7F7CDA27">
            <w:pPr>
              <w:widowControl/>
              <w:shd w:val="clear"/>
              <w:adjustRightInd w:val="0"/>
              <w:spacing w:line="400" w:lineRule="exact"/>
              <w:jc w:val="center"/>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最高限价（元）</w:t>
            </w:r>
          </w:p>
        </w:tc>
        <w:tc>
          <w:tcPr>
            <w:tcW w:w="595" w:type="pct"/>
            <w:tcBorders>
              <w:right w:val="single" w:color="auto" w:sz="4" w:space="0"/>
            </w:tcBorders>
            <w:noWrap w:val="0"/>
            <w:vAlign w:val="center"/>
          </w:tcPr>
          <w:p w14:paraId="3C592FC7">
            <w:pPr>
              <w:widowControl/>
              <w:shd w:val="clear"/>
              <w:adjustRightInd w:val="0"/>
              <w:spacing w:line="400" w:lineRule="exact"/>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采购需求</w:t>
            </w:r>
          </w:p>
        </w:tc>
        <w:tc>
          <w:tcPr>
            <w:tcW w:w="593" w:type="pct"/>
            <w:tcBorders>
              <w:right w:val="single" w:color="auto" w:sz="4" w:space="0"/>
            </w:tcBorders>
            <w:noWrap w:val="0"/>
            <w:vAlign w:val="center"/>
          </w:tcPr>
          <w:p w14:paraId="08281416">
            <w:pPr>
              <w:widowControl/>
              <w:shd w:val="clear"/>
              <w:adjustRightInd w:val="0"/>
              <w:spacing w:line="400" w:lineRule="exact"/>
              <w:jc w:val="center"/>
              <w:rPr>
                <w:rFonts w:hint="default" w:ascii="仿宋" w:hAnsi="仿宋" w:eastAsia="仿宋" w:cs="仿宋"/>
                <w:b/>
                <w:color w:val="auto"/>
                <w:kern w:val="0"/>
                <w:sz w:val="24"/>
                <w:szCs w:val="24"/>
                <w:highlight w:val="none"/>
                <w:lang w:val="en-US"/>
              </w:rPr>
            </w:pPr>
            <w:r>
              <w:rPr>
                <w:rFonts w:hint="eastAsia" w:ascii="仿宋" w:hAnsi="仿宋" w:eastAsia="仿宋" w:cs="仿宋"/>
                <w:b/>
                <w:color w:val="auto"/>
                <w:kern w:val="0"/>
                <w:sz w:val="24"/>
                <w:szCs w:val="24"/>
                <w:highlight w:val="none"/>
                <w:lang w:val="en-US" w:eastAsia="zh-CN"/>
              </w:rPr>
              <w:t>合同履行期限</w:t>
            </w:r>
          </w:p>
        </w:tc>
      </w:tr>
      <w:tr w14:paraId="47F5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right"/>
        </w:trPr>
        <w:tc>
          <w:tcPr>
            <w:tcW w:w="376" w:type="pct"/>
            <w:tcBorders>
              <w:top w:val="single" w:color="auto" w:sz="4" w:space="0"/>
              <w:bottom w:val="single" w:color="auto" w:sz="4" w:space="0"/>
            </w:tcBorders>
            <w:noWrap w:val="0"/>
            <w:vAlign w:val="center"/>
          </w:tcPr>
          <w:p w14:paraId="5990433A">
            <w:pPr>
              <w:widowControl/>
              <w:shd w:val="clear"/>
              <w:adjustRightInd w:val="0"/>
              <w:spacing w:line="5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001</w:t>
            </w:r>
          </w:p>
        </w:tc>
        <w:tc>
          <w:tcPr>
            <w:tcW w:w="1348" w:type="pct"/>
            <w:noWrap w:val="0"/>
            <w:vAlign w:val="center"/>
          </w:tcPr>
          <w:p w14:paraId="17027AB3">
            <w:pPr>
              <w:widowControl/>
              <w:shd w:val="clear"/>
              <w:adjustRightInd w:val="0"/>
              <w:spacing w:line="560" w:lineRule="exact"/>
              <w:jc w:val="center"/>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粮食输送设备采购项目</w:t>
            </w:r>
          </w:p>
        </w:tc>
        <w:tc>
          <w:tcPr>
            <w:tcW w:w="361" w:type="pct"/>
            <w:noWrap w:val="0"/>
            <w:vAlign w:val="center"/>
          </w:tcPr>
          <w:p w14:paraId="219DFDB0">
            <w:pPr>
              <w:widowControl/>
              <w:shd w:val="clear"/>
              <w:adjustRightInd w:val="0"/>
              <w:spacing w:line="560" w:lineRule="exact"/>
              <w:jc w:val="center"/>
              <w:rPr>
                <w:rFonts w:hint="default" w:ascii="仿宋" w:hAnsi="仿宋" w:eastAsia="仿宋" w:cs="仿宋"/>
                <w:color w:val="auto"/>
                <w:spacing w:val="8"/>
                <w:kern w:val="0"/>
                <w:sz w:val="24"/>
                <w:szCs w:val="24"/>
                <w:highlight w:val="none"/>
                <w:lang w:val="en-US" w:eastAsia="zh-CN"/>
              </w:rPr>
            </w:pPr>
            <w:r>
              <w:rPr>
                <w:rFonts w:hint="eastAsia" w:ascii="仿宋" w:hAnsi="仿宋" w:eastAsia="仿宋" w:cs="仿宋"/>
                <w:color w:val="auto"/>
                <w:spacing w:val="8"/>
                <w:kern w:val="0"/>
                <w:sz w:val="24"/>
                <w:szCs w:val="24"/>
                <w:highlight w:val="none"/>
                <w:lang w:val="en-US" w:eastAsia="zh-CN"/>
              </w:rPr>
              <w:t>1宗</w:t>
            </w:r>
          </w:p>
        </w:tc>
        <w:tc>
          <w:tcPr>
            <w:tcW w:w="850" w:type="pct"/>
            <w:tcBorders>
              <w:right w:val="single" w:color="auto" w:sz="4" w:space="0"/>
            </w:tcBorders>
            <w:noWrap w:val="0"/>
            <w:vAlign w:val="center"/>
          </w:tcPr>
          <w:p w14:paraId="23E84254">
            <w:pPr>
              <w:widowControl/>
              <w:shd w:val="clear"/>
              <w:adjustRightInd w:val="0"/>
              <w:spacing w:line="5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159600.00</w:t>
            </w:r>
          </w:p>
        </w:tc>
        <w:tc>
          <w:tcPr>
            <w:tcW w:w="873" w:type="pct"/>
            <w:tcBorders>
              <w:right w:val="single" w:color="auto" w:sz="4" w:space="0"/>
            </w:tcBorders>
            <w:noWrap w:val="0"/>
            <w:vAlign w:val="center"/>
          </w:tcPr>
          <w:p w14:paraId="3ECEF924">
            <w:pPr>
              <w:widowControl/>
              <w:shd w:val="clear"/>
              <w:adjustRightInd w:val="0"/>
              <w:spacing w:line="560" w:lineRule="exact"/>
              <w:jc w:val="center"/>
              <w:rPr>
                <w:rFonts w:hint="default"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159600.00</w:t>
            </w:r>
          </w:p>
        </w:tc>
        <w:tc>
          <w:tcPr>
            <w:tcW w:w="595" w:type="pct"/>
            <w:tcBorders>
              <w:right w:val="single" w:color="auto" w:sz="4" w:space="0"/>
            </w:tcBorders>
            <w:noWrap w:val="0"/>
            <w:vAlign w:val="center"/>
          </w:tcPr>
          <w:p w14:paraId="083326BF">
            <w:pPr>
              <w:widowControl/>
              <w:shd w:val="clear"/>
              <w:adjustRightInd w:val="0"/>
              <w:spacing w:line="5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c>
          <w:tcPr>
            <w:tcW w:w="593" w:type="pct"/>
            <w:tcBorders>
              <w:right w:val="single" w:color="auto" w:sz="4" w:space="0"/>
            </w:tcBorders>
            <w:noWrap w:val="0"/>
            <w:vAlign w:val="center"/>
          </w:tcPr>
          <w:p w14:paraId="2B4BA94A">
            <w:pPr>
              <w:widowControl/>
              <w:shd w:val="clear"/>
              <w:adjustRightInd w:val="0"/>
              <w:spacing w:line="5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r>
    </w:tbl>
    <w:p w14:paraId="1624CFCA">
      <w:pPr>
        <w:pStyle w:val="26"/>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225" w:afterAutospacing="0" w:line="360" w:lineRule="atLeast"/>
        <w:ind w:left="0" w:right="0" w:firstLine="42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本项目不接受联合体投标。</w:t>
      </w:r>
    </w:p>
    <w:p w14:paraId="05297E9F">
      <w:pPr>
        <w:shd w:val="clear"/>
        <w:spacing w:line="560" w:lineRule="exact"/>
        <w:ind w:firstLine="560" w:firstLineChars="200"/>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二、</w:t>
      </w:r>
      <w:r>
        <w:rPr>
          <w:rFonts w:hint="eastAsia" w:ascii="黑体" w:hAnsi="黑体" w:eastAsia="黑体" w:cs="宋体"/>
          <w:color w:val="auto"/>
          <w:kern w:val="0"/>
          <w:sz w:val="28"/>
          <w:szCs w:val="28"/>
          <w:highlight w:val="none"/>
          <w:lang w:val="en-US" w:eastAsia="zh-CN"/>
        </w:rPr>
        <w:t>投标人</w:t>
      </w:r>
      <w:r>
        <w:rPr>
          <w:rFonts w:hint="eastAsia" w:ascii="黑体" w:hAnsi="黑体" w:eastAsia="黑体" w:cs="宋体"/>
          <w:color w:val="auto"/>
          <w:kern w:val="0"/>
          <w:sz w:val="28"/>
          <w:szCs w:val="28"/>
          <w:highlight w:val="none"/>
        </w:rPr>
        <w:t>的资格要求</w:t>
      </w:r>
    </w:p>
    <w:p w14:paraId="032A1032">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具有独立承担民事责任的能力</w:t>
      </w:r>
      <w:r>
        <w:rPr>
          <w:rFonts w:hint="eastAsia" w:ascii="仿宋" w:hAnsi="仿宋" w:eastAsia="仿宋" w:cs="仿宋"/>
          <w:color w:val="auto"/>
          <w:sz w:val="28"/>
          <w:szCs w:val="28"/>
          <w:highlight w:val="none"/>
        </w:rPr>
        <w:t>；</w:t>
      </w:r>
    </w:p>
    <w:p w14:paraId="51689D8C">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具有良好的商业信誉和健全的财务会计制度</w:t>
      </w:r>
      <w:r>
        <w:rPr>
          <w:rFonts w:hint="eastAsia" w:ascii="仿宋" w:hAnsi="仿宋" w:eastAsia="仿宋" w:cs="仿宋"/>
          <w:color w:val="auto"/>
          <w:sz w:val="28"/>
          <w:szCs w:val="28"/>
          <w:highlight w:val="none"/>
        </w:rPr>
        <w:t>；</w:t>
      </w:r>
    </w:p>
    <w:p w14:paraId="5B809DE4">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具有履行合同所必需的设备和专业技术能力</w:t>
      </w:r>
      <w:r>
        <w:rPr>
          <w:rFonts w:hint="eastAsia" w:ascii="仿宋" w:hAnsi="仿宋" w:eastAsia="仿宋" w:cs="仿宋"/>
          <w:color w:val="auto"/>
          <w:sz w:val="28"/>
          <w:szCs w:val="28"/>
          <w:highlight w:val="none"/>
        </w:rPr>
        <w:t>；</w:t>
      </w:r>
    </w:p>
    <w:p w14:paraId="56824F4C">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具有依法缴纳税收和社会保障资金的良好记录</w:t>
      </w:r>
      <w:r>
        <w:rPr>
          <w:rFonts w:hint="eastAsia" w:ascii="仿宋" w:hAnsi="仿宋" w:eastAsia="仿宋" w:cs="仿宋"/>
          <w:color w:val="auto"/>
          <w:sz w:val="28"/>
          <w:szCs w:val="28"/>
          <w:highlight w:val="none"/>
        </w:rPr>
        <w:t>；</w:t>
      </w:r>
    </w:p>
    <w:p w14:paraId="5FE7C24E">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参加本次采购活动前三年内，在经营活动中没有重大违法记录</w:t>
      </w:r>
      <w:r>
        <w:rPr>
          <w:rFonts w:hint="eastAsia" w:ascii="仿宋" w:hAnsi="仿宋" w:eastAsia="仿宋" w:cs="仿宋"/>
          <w:color w:val="auto"/>
          <w:sz w:val="28"/>
          <w:szCs w:val="28"/>
          <w:highlight w:val="none"/>
        </w:rPr>
        <w:t>；</w:t>
      </w:r>
    </w:p>
    <w:p w14:paraId="7793F4A7">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w:t>
      </w:r>
      <w:r>
        <w:rPr>
          <w:rFonts w:hint="eastAsia" w:ascii="仿宋" w:hAnsi="仿宋" w:eastAsia="仿宋" w:cs="仿宋"/>
          <w:color w:val="auto"/>
          <w:sz w:val="28"/>
          <w:szCs w:val="28"/>
          <w:highlight w:val="none"/>
          <w:lang w:val="en-US" w:eastAsia="zh-CN"/>
        </w:rPr>
        <w:t>及其</w:t>
      </w:r>
      <w:r>
        <w:rPr>
          <w:rFonts w:hint="eastAsia" w:ascii="仿宋" w:hAnsi="仿宋" w:eastAsia="仿宋" w:cs="仿宋"/>
          <w:color w:val="auto"/>
          <w:sz w:val="28"/>
          <w:szCs w:val="28"/>
          <w:highlight w:val="none"/>
        </w:rPr>
        <w:t>法定代表人、被授权人</w:t>
      </w:r>
      <w:r>
        <w:rPr>
          <w:rFonts w:hint="eastAsia" w:ascii="仿宋" w:hAnsi="仿宋" w:eastAsia="仿宋" w:cs="仿宋"/>
          <w:color w:val="auto"/>
          <w:sz w:val="28"/>
          <w:szCs w:val="28"/>
          <w:highlight w:val="none"/>
          <w:lang w:eastAsia="zh-CN"/>
        </w:rPr>
        <w:t>未被最高人民法院列为失信被执行人</w:t>
      </w:r>
      <w:r>
        <w:rPr>
          <w:rFonts w:hint="eastAsia" w:ascii="仿宋" w:hAnsi="仿宋" w:eastAsia="仿宋" w:cs="仿宋"/>
          <w:color w:val="auto"/>
          <w:sz w:val="28"/>
          <w:szCs w:val="28"/>
          <w:highlight w:val="none"/>
        </w:rPr>
        <w:t>；</w:t>
      </w:r>
    </w:p>
    <w:p w14:paraId="79D6CC75">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投标人近一年在“信用中国”或“信用中国（山东）”无严重失信记录</w:t>
      </w:r>
      <w:r>
        <w:rPr>
          <w:rFonts w:hint="eastAsia" w:ascii="仿宋" w:hAnsi="仿宋" w:eastAsia="仿宋" w:cs="仿宋"/>
          <w:color w:val="auto"/>
          <w:sz w:val="28"/>
          <w:szCs w:val="28"/>
          <w:highlight w:val="none"/>
        </w:rPr>
        <w:t>；</w:t>
      </w:r>
    </w:p>
    <w:p w14:paraId="10C4C2C0">
      <w:pPr>
        <w:shd w:val="clear"/>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法律、行政法规及招标文件规定的其他要求。</w:t>
      </w:r>
    </w:p>
    <w:p w14:paraId="41A0075D">
      <w:pPr>
        <w:shd w:val="clear"/>
        <w:spacing w:line="560" w:lineRule="exact"/>
        <w:ind w:firstLine="560" w:firstLineChars="200"/>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三、获取招标文件时间及地点</w:t>
      </w:r>
    </w:p>
    <w:p w14:paraId="30BC5490">
      <w:pPr>
        <w:shd w:val="clear"/>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1.获取时间：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分（北京时间）</w:t>
      </w:r>
      <w:r>
        <w:rPr>
          <w:rFonts w:hint="eastAsia" w:ascii="仿宋" w:hAnsi="仿宋" w:eastAsia="仿宋" w:cs="仿宋"/>
          <w:color w:val="auto"/>
          <w:sz w:val="28"/>
          <w:szCs w:val="28"/>
          <w:highlight w:val="none"/>
          <w:lang w:eastAsia="zh-CN"/>
        </w:rPr>
        <w:t>。</w:t>
      </w:r>
    </w:p>
    <w:p w14:paraId="1227BE4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获取地点：登录“威海市公共资源交易网”首页右侧“交易服务一网通办-（新版）一网通办系统”进行“平台切换”，点击“国企采购”进入国企阳光采购平台获取文件（网址：http://ggzyjy.weihai.cn/）。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4AFB679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6BA7D655">
      <w:pPr>
        <w:shd w:val="clear"/>
        <w:spacing w:line="560" w:lineRule="exact"/>
        <w:ind w:firstLine="560" w:firstLineChars="200"/>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四、投标文件提交</w:t>
      </w:r>
    </w:p>
    <w:p w14:paraId="7506944A">
      <w:pPr>
        <w:shd w:val="clear"/>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19</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3D13B99C">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地点：登录“威海市公共资源交易网”首页右侧“交易服务一网通办-（新版）一网通办系统”进行“平台切换”，点击“国企采购”进入国企阳光采购平台进行提交。已在国企阳光采购平台获取文件的投标人在规定时间内提交电子投标文件。</w:t>
      </w:r>
    </w:p>
    <w:p w14:paraId="44702422">
      <w:pPr>
        <w:shd w:val="clear"/>
        <w:spacing w:line="560" w:lineRule="exact"/>
        <w:ind w:firstLine="560" w:firstLineChars="200"/>
        <w:rPr>
          <w:rFonts w:hint="eastAsia" w:ascii="黑体" w:hAnsi="黑体" w:eastAsia="黑体" w:cs="宋体"/>
          <w:color w:val="auto"/>
          <w:kern w:val="0"/>
          <w:sz w:val="28"/>
          <w:szCs w:val="28"/>
          <w:highlight w:val="none"/>
          <w:lang w:eastAsia="zh-CN"/>
        </w:rPr>
      </w:pPr>
      <w:r>
        <w:rPr>
          <w:rFonts w:hint="eastAsia" w:ascii="黑体" w:hAnsi="黑体" w:eastAsia="黑体" w:cs="宋体"/>
          <w:color w:val="auto"/>
          <w:kern w:val="0"/>
          <w:sz w:val="28"/>
          <w:szCs w:val="28"/>
          <w:highlight w:val="none"/>
        </w:rPr>
        <w:t>五、开</w:t>
      </w:r>
      <w:r>
        <w:rPr>
          <w:rFonts w:hint="eastAsia" w:ascii="黑体" w:hAnsi="黑体" w:eastAsia="黑体" w:cs="宋体"/>
          <w:color w:val="auto"/>
          <w:kern w:val="0"/>
          <w:sz w:val="28"/>
          <w:szCs w:val="28"/>
          <w:highlight w:val="none"/>
          <w:lang w:val="en-US" w:eastAsia="zh-CN"/>
        </w:rPr>
        <w:t>标</w:t>
      </w:r>
    </w:p>
    <w:p w14:paraId="0832886A">
      <w:pPr>
        <w:shd w:val="clear"/>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2B01B05A">
      <w:pPr>
        <w:shd w:val="clear"/>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交易</w:t>
      </w:r>
      <w:r>
        <w:rPr>
          <w:rFonts w:hint="eastAsia" w:ascii="仿宋" w:hAnsi="仿宋" w:eastAsia="仿宋" w:cs="仿宋"/>
          <w:color w:val="auto"/>
          <w:sz w:val="28"/>
          <w:szCs w:val="28"/>
          <w:highlight w:val="none"/>
          <w:lang w:val="en-US" w:eastAsia="zh-CN"/>
        </w:rPr>
        <w:t>六</w:t>
      </w:r>
      <w:bookmarkStart w:id="18" w:name="_GoBack"/>
      <w:bookmarkEnd w:id="18"/>
      <w:r>
        <w:rPr>
          <w:rFonts w:hint="eastAsia" w:ascii="仿宋" w:hAnsi="仿宋" w:eastAsia="仿宋" w:cs="仿宋"/>
          <w:color w:val="auto"/>
          <w:sz w:val="28"/>
          <w:szCs w:val="28"/>
          <w:highlight w:val="none"/>
          <w:lang w:eastAsia="zh-CN"/>
        </w:rPr>
        <w:t>厅（威海市环翠区塔山中路317号威海市政务服务中心四楼）。</w:t>
      </w:r>
    </w:p>
    <w:p w14:paraId="4E9C12EF">
      <w:pPr>
        <w:shd w:val="clear"/>
        <w:spacing w:line="560" w:lineRule="exact"/>
        <w:ind w:firstLine="560" w:firstLineChars="200"/>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六、其他补充事宜</w:t>
      </w:r>
    </w:p>
    <w:p w14:paraId="65F5848E">
      <w:pPr>
        <w:shd w:val="clear"/>
        <w:spacing w:line="560" w:lineRule="exact"/>
        <w:ind w:firstLine="562" w:firstLineChars="201"/>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实行全流程电子化，不接受投标人到现场参加开标活动，投标人提前熟悉交易系统（新版威海市国有企业阳光采购服务平台供应商用户手册地址：https://ggzyjy.weihai.cn/bszn/005005/20260109/eb4ba418-4b35-4f05-aa69-44fd7d8a7ffb.html），通过交易系统线上参加开标活动。投标人应保持通讯畅通并提前在个人电脑上进行测试确保音频、视频功能、电子签章等功能可正常使用，否则一切后果由投标人自行承担。</w:t>
      </w:r>
    </w:p>
    <w:p w14:paraId="21B45EAC">
      <w:pPr>
        <w:shd w:val="clear"/>
        <w:spacing w:line="560" w:lineRule="exact"/>
        <w:ind w:firstLine="560" w:firstLineChars="200"/>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七、对本次招标提出询问</w:t>
      </w:r>
      <w:r>
        <w:rPr>
          <w:rFonts w:hint="eastAsia" w:ascii="黑体" w:hAnsi="黑体" w:eastAsia="黑体" w:cs="宋体"/>
          <w:color w:val="auto"/>
          <w:kern w:val="0"/>
          <w:sz w:val="28"/>
          <w:szCs w:val="28"/>
          <w:highlight w:val="none"/>
          <w:lang w:eastAsia="zh-CN"/>
        </w:rPr>
        <w:t>，</w:t>
      </w:r>
      <w:r>
        <w:rPr>
          <w:rFonts w:hint="eastAsia" w:ascii="黑体" w:hAnsi="黑体" w:eastAsia="黑体" w:cs="宋体"/>
          <w:color w:val="auto"/>
          <w:kern w:val="0"/>
          <w:sz w:val="28"/>
          <w:szCs w:val="28"/>
          <w:highlight w:val="none"/>
        </w:rPr>
        <w:t>请按以下方式联系。</w:t>
      </w:r>
    </w:p>
    <w:p w14:paraId="72529589">
      <w:pPr>
        <w:shd w:val="clear"/>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4CEC420A">
      <w:pPr>
        <w:shd w:val="clear"/>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称：威海市国家粮食储备库有限公司</w:t>
      </w:r>
    </w:p>
    <w:p w14:paraId="209B0C5F">
      <w:pPr>
        <w:shd w:val="clear"/>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址：山东省威海市临港经济技术开发区汪疃镇威浩路3号</w:t>
      </w:r>
    </w:p>
    <w:p w14:paraId="3F97472E">
      <w:pPr>
        <w:shd w:val="clear"/>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联系人：陶俊友</w:t>
      </w:r>
    </w:p>
    <w:p w14:paraId="04D61929">
      <w:pPr>
        <w:shd w:val="clear"/>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联系方式：0631-8565578</w:t>
      </w:r>
    </w:p>
    <w:p w14:paraId="598AF54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0D25BFC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称：山东志诚工程咨询管理有限公司</w:t>
      </w:r>
    </w:p>
    <w:p w14:paraId="314345D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址：威海经济技术开发区青岛中路-77A号长峰商业广场1211室</w:t>
      </w:r>
    </w:p>
    <w:p w14:paraId="0AE69F9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联系方式：0631-5188996</w:t>
      </w:r>
    </w:p>
    <w:p w14:paraId="0B7F08F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7B5BFB3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项目联系人：张佳惠 </w:t>
      </w:r>
    </w:p>
    <w:p w14:paraId="24EBD2E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电话：0631-5188996</w:t>
      </w:r>
    </w:p>
    <w:p w14:paraId="30ED2710">
      <w:pPr>
        <w:shd w:val="clear"/>
        <w:spacing w:line="560" w:lineRule="exact"/>
        <w:ind w:firstLine="560" w:firstLineChars="200"/>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八、发布公告的媒介</w:t>
      </w:r>
    </w:p>
    <w:p w14:paraId="1DA8C1D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本次公告在中国招标投标公共服务平台（www.cebpubservice.com）、威海市公共资源交易网（http://ggzyjy.weihai.cn/）同时发布，其它媒介转发无效。</w:t>
      </w:r>
    </w:p>
    <w:p w14:paraId="66471B0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p>
    <w:p w14:paraId="488DB7D8">
      <w:pPr>
        <w:shd w:val="clear"/>
        <w:spacing w:line="560" w:lineRule="exact"/>
        <w:ind w:firstLine="562" w:firstLineChars="201"/>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山东志诚工程咨询管理有限公司</w:t>
      </w:r>
    </w:p>
    <w:p w14:paraId="1CE64ED4">
      <w:pPr>
        <w:shd w:val="clear"/>
        <w:spacing w:line="560" w:lineRule="exact"/>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日</w:t>
      </w:r>
    </w:p>
    <w:p w14:paraId="2F962732">
      <w:pPr>
        <w:shd w:val="clear"/>
        <w:spacing w:line="560" w:lineRule="exact"/>
        <w:ind w:firstLine="562" w:firstLineChars="201"/>
        <w:rPr>
          <w:rFonts w:hint="eastAsia" w:ascii="仿宋" w:hAnsi="仿宋" w:eastAsia="仿宋" w:cs="仿宋"/>
          <w:color w:val="auto"/>
          <w:sz w:val="28"/>
          <w:szCs w:val="28"/>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0CF519C3">
      <w:pPr>
        <w:pStyle w:val="27"/>
        <w:numPr>
          <w:ilvl w:val="0"/>
          <w:numId w:val="0"/>
        </w:numPr>
        <w:shd w:val="clear"/>
        <w:spacing w:before="100" w:beforeAutospacing="1" w:after="100" w:afterAutospacing="1" w:line="415" w:lineRule="auto"/>
        <w:ind w:left="1440" w:leftChars="0" w:hanging="1440" w:firstLineChars="0"/>
        <w:rPr>
          <w:rFonts w:hint="eastAsia" w:ascii="楷体" w:hAnsi="楷体" w:eastAsia="楷体" w:cs="楷体"/>
          <w:b/>
          <w:bCs/>
          <w:color w:val="auto"/>
          <w:kern w:val="2"/>
          <w:sz w:val="40"/>
          <w:szCs w:val="44"/>
          <w:highlight w:val="none"/>
          <w:lang w:val="en-US" w:eastAsia="zh-CN" w:bidi="ar-SA"/>
        </w:rPr>
        <w:sectPr>
          <w:pgSz w:w="11906" w:h="16838"/>
          <w:pgMar w:top="1440" w:right="1083" w:bottom="1440" w:left="1083" w:header="851" w:footer="992" w:gutter="0"/>
          <w:pgNumType w:fmt="decimal"/>
          <w:cols w:space="720" w:num="1"/>
          <w:titlePg/>
          <w:rtlGutter w:val="0"/>
          <w:docGrid w:type="lines" w:linePitch="312" w:charSpace="0"/>
        </w:sectPr>
      </w:pPr>
      <w:r>
        <w:rPr>
          <w:rFonts w:hint="eastAsia" w:ascii="楷体" w:hAnsi="楷体" w:eastAsia="楷体" w:cs="楷体"/>
          <w:b/>
          <w:bCs/>
          <w:color w:val="auto"/>
          <w:kern w:val="2"/>
          <w:sz w:val="44"/>
          <w:szCs w:val="44"/>
          <w:highlight w:val="none"/>
          <w:lang w:val="en-US" w:eastAsia="zh-CN" w:bidi="ar-SA"/>
        </w:rPr>
        <w:t>第二章  投标须知</w:t>
      </w:r>
    </w:p>
    <w:p w14:paraId="2ADD97F9">
      <w:pPr>
        <w:shd w:val="clear"/>
        <w:spacing w:line="560" w:lineRule="exact"/>
        <w:ind w:firstLine="643" w:firstLineChars="201"/>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投标须知前附表</w:t>
      </w:r>
    </w:p>
    <w:p w14:paraId="283F712E">
      <w:pPr>
        <w:shd w:val="clear"/>
        <w:spacing w:line="500" w:lineRule="exact"/>
        <w:ind w:firstLine="643" w:firstLineChars="201"/>
        <w:jc w:val="center"/>
        <w:rPr>
          <w:rFonts w:ascii="宋体" w:hAnsi="宋体"/>
          <w:color w:val="auto"/>
          <w:sz w:val="32"/>
          <w:szCs w:val="32"/>
          <w:highlight w:val="none"/>
        </w:rPr>
      </w:pPr>
    </w:p>
    <w:tbl>
      <w:tblPr>
        <w:tblStyle w:val="30"/>
        <w:tblW w:w="93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309"/>
      </w:tblGrid>
      <w:tr w14:paraId="128627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0FD1841F">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DD99619">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309" w:type="dxa"/>
            <w:tcBorders>
              <w:top w:val="single" w:color="auto" w:sz="4" w:space="0"/>
              <w:left w:val="single" w:color="auto" w:sz="4" w:space="0"/>
              <w:bottom w:val="single" w:color="auto" w:sz="4" w:space="0"/>
            </w:tcBorders>
            <w:noWrap w:val="0"/>
            <w:vAlign w:val="center"/>
          </w:tcPr>
          <w:p w14:paraId="1736708C">
            <w:pPr>
              <w:shd w:val="clear"/>
              <w:snapToGrid w:val="0"/>
              <w:spacing w:line="560" w:lineRule="exact"/>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37DA4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62FCA57D">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C6AE25F">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309" w:type="dxa"/>
            <w:tcBorders>
              <w:top w:val="single" w:color="auto" w:sz="4" w:space="0"/>
              <w:left w:val="single" w:color="auto" w:sz="4" w:space="0"/>
              <w:bottom w:val="single" w:color="auto" w:sz="4" w:space="0"/>
            </w:tcBorders>
            <w:noWrap w:val="0"/>
            <w:vAlign w:val="top"/>
          </w:tcPr>
          <w:p w14:paraId="7B23E253">
            <w:pPr>
              <w:shd w:val="clear"/>
              <w:snapToGrid w:val="0"/>
              <w:spacing w:line="560" w:lineRule="exact"/>
              <w:rPr>
                <w:rFonts w:hint="eastAsia" w:ascii="仿宋" w:hAnsi="仿宋" w:eastAsia="仿宋" w:cs="仿宋"/>
                <w:b/>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粮食输送设备采购项目</w:t>
            </w:r>
          </w:p>
        </w:tc>
      </w:tr>
      <w:tr w14:paraId="15BC2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3F7C10A2">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F9195DB">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6309" w:type="dxa"/>
            <w:tcBorders>
              <w:top w:val="single" w:color="auto" w:sz="4" w:space="0"/>
              <w:left w:val="single" w:color="auto" w:sz="4" w:space="0"/>
              <w:bottom w:val="single" w:color="auto" w:sz="4" w:space="0"/>
            </w:tcBorders>
            <w:noWrap w:val="0"/>
            <w:vAlign w:val="center"/>
          </w:tcPr>
          <w:p w14:paraId="48926F26">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WHZCZB2026-042</w:t>
            </w:r>
          </w:p>
        </w:tc>
      </w:tr>
      <w:tr w14:paraId="57E169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026AAF32">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2159597">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w:t>
            </w:r>
          </w:p>
        </w:tc>
        <w:tc>
          <w:tcPr>
            <w:tcW w:w="6309" w:type="dxa"/>
            <w:tcBorders>
              <w:top w:val="single" w:color="auto" w:sz="4" w:space="0"/>
              <w:left w:val="single" w:color="auto" w:sz="4" w:space="0"/>
              <w:bottom w:val="single" w:color="auto" w:sz="4" w:space="0"/>
            </w:tcBorders>
            <w:noWrap w:val="0"/>
            <w:vAlign w:val="center"/>
          </w:tcPr>
          <w:p w14:paraId="4AD4AA9D">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威海市国家粮食储备库有限公司</w:t>
            </w:r>
          </w:p>
          <w:p w14:paraId="22AC9926">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z w:val="28"/>
                <w:szCs w:val="28"/>
                <w:highlight w:val="none"/>
                <w:lang w:eastAsia="zh-CN"/>
              </w:rPr>
              <w:t>山东省威海市临港经济技术开发区汪疃镇威浩路3号</w:t>
            </w:r>
          </w:p>
          <w:p w14:paraId="3D90C7CB">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陶俊友</w:t>
            </w:r>
          </w:p>
          <w:p w14:paraId="4E66046B">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电话</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0631-8565578</w:t>
            </w:r>
          </w:p>
        </w:tc>
      </w:tr>
      <w:tr w14:paraId="0814F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1E89D963">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F2204E0">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采购代理机构</w:t>
            </w:r>
          </w:p>
        </w:tc>
        <w:tc>
          <w:tcPr>
            <w:tcW w:w="6309" w:type="dxa"/>
            <w:tcBorders>
              <w:top w:val="single" w:color="auto" w:sz="4" w:space="0"/>
              <w:left w:val="single" w:color="auto" w:sz="4" w:space="0"/>
              <w:bottom w:val="single" w:color="auto" w:sz="4" w:space="0"/>
            </w:tcBorders>
            <w:noWrap w:val="0"/>
            <w:vAlign w:val="center"/>
          </w:tcPr>
          <w:p w14:paraId="2F5208F2">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山东志诚工程咨询管理有限公司</w:t>
            </w:r>
          </w:p>
          <w:p w14:paraId="1C53F2C4">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pacing w:val="8"/>
                <w:kern w:val="0"/>
                <w:sz w:val="28"/>
                <w:szCs w:val="28"/>
                <w:highlight w:val="none"/>
                <w:lang w:eastAsia="zh-CN"/>
              </w:rPr>
              <w:t>威海经济技术开发区青岛中路-77A号长峰商业广场1211室</w:t>
            </w:r>
          </w:p>
          <w:p w14:paraId="308B75A2">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张佳惠</w:t>
            </w:r>
          </w:p>
          <w:p w14:paraId="6EC1094A">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74ECF4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51054D36">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EE691C3">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5552865F">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309" w:type="dxa"/>
            <w:tcBorders>
              <w:top w:val="single" w:color="auto" w:sz="4" w:space="0"/>
              <w:left w:val="single" w:color="auto" w:sz="4" w:space="0"/>
              <w:bottom w:val="single" w:color="auto" w:sz="4" w:space="0"/>
            </w:tcBorders>
            <w:noWrap w:val="0"/>
            <w:vAlign w:val="center"/>
          </w:tcPr>
          <w:p w14:paraId="390EE3DD">
            <w:pPr>
              <w:shd w:val="clea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首页右侧“交易服务一网通办-（新版）一网通办系统”进行注册，取得用户名和密码（已经完成注册无须重复注册）；首次注册投标人应及时办理安全证书（CA锁）及电子签章。本项目必须网上递交投标文件，参与本项目投标人应利用办理好的CA锁登录国企阳光采购平台进行招标文件的获取、文件下载和网上递交投标文件，且安全证书（CA锁）在有效期内。</w:t>
            </w:r>
          </w:p>
          <w:p w14:paraId="78BD8969">
            <w:pPr>
              <w:shd w:val="clea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登录“威海市公共资源交易网”首页右侧“交易服务一网通办-（新版）一网通办系统”进行“平台切换”，点击“国企采购”进入国企阳光采购平台，如跳转国企阳光采购平台时，提示用户不存在，可拨打技术支持电话（17863029936）咨询。</w:t>
            </w:r>
          </w:p>
          <w:p w14:paraId="09425A96">
            <w:pPr>
              <w:shd w:val="clear"/>
              <w:spacing w:line="560" w:lineRule="exact"/>
              <w:rPr>
                <w:rFonts w:hint="eastAsia" w:ascii="仿宋" w:hAnsi="仿宋" w:eastAsia="仿宋" w:cs="仿宋"/>
                <w:color w:val="auto"/>
                <w:spacing w:val="8"/>
                <w:kern w:val="0"/>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3AF35BE">
            <w:pPr>
              <w:shd w:val="clear"/>
              <w:spacing w:line="560" w:lineRule="exact"/>
              <w:rPr>
                <w:rFonts w:hint="eastAsia" w:ascii="仿宋" w:hAnsi="仿宋" w:eastAsia="仿宋" w:cs="仿宋"/>
                <w:b/>
                <w:bCs/>
                <w:color w:val="auto"/>
                <w:spacing w:val="8"/>
                <w:kern w:val="0"/>
                <w:sz w:val="28"/>
                <w:szCs w:val="28"/>
                <w:highlight w:val="none"/>
              </w:rPr>
            </w:pPr>
            <w:r>
              <w:rPr>
                <w:rFonts w:hint="eastAsia" w:ascii="仿宋" w:hAnsi="仿宋" w:eastAsia="仿宋" w:cs="仿宋"/>
                <w:b/>
                <w:bCs/>
                <w:color w:val="auto"/>
                <w:spacing w:val="8"/>
                <w:kern w:val="0"/>
                <w:sz w:val="28"/>
                <w:szCs w:val="28"/>
                <w:highlight w:val="none"/>
              </w:rPr>
              <w:t>注系统自动识别：不同投标人使用同一个投标单位或者同一个自然人的IP地址、设备下载招标文件或者制作、上传投标文件的</w:t>
            </w:r>
            <w:r>
              <w:rPr>
                <w:rFonts w:hint="eastAsia" w:ascii="仿宋" w:hAnsi="仿宋" w:eastAsia="仿宋" w:cs="仿宋"/>
                <w:b/>
                <w:bCs/>
                <w:color w:val="auto"/>
                <w:spacing w:val="8"/>
                <w:kern w:val="0"/>
                <w:sz w:val="28"/>
                <w:szCs w:val="28"/>
                <w:highlight w:val="none"/>
                <w:lang w:eastAsia="zh-CN"/>
              </w:rPr>
              <w:t>，</w:t>
            </w:r>
            <w:r>
              <w:rPr>
                <w:rFonts w:hint="eastAsia" w:ascii="仿宋" w:hAnsi="仿宋" w:eastAsia="仿宋" w:cs="仿宋"/>
                <w:b/>
                <w:bCs/>
                <w:color w:val="auto"/>
                <w:spacing w:val="8"/>
                <w:kern w:val="0"/>
                <w:sz w:val="28"/>
                <w:szCs w:val="28"/>
                <w:highlight w:val="none"/>
              </w:rPr>
              <w:t>将做无效响应。</w:t>
            </w:r>
          </w:p>
          <w:p w14:paraId="3618EAF0">
            <w:pPr>
              <w:shd w:val="clear"/>
              <w:spacing w:line="56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spacing w:val="8"/>
                <w:kern w:val="0"/>
                <w:sz w:val="28"/>
                <w:szCs w:val="28"/>
                <w:highlight w:val="none"/>
              </w:rPr>
              <w:t>参加同一项目的不同投标人电子投标文件的文件上传机器码（MAC地址）一致或使用的电子密钥相同的</w:t>
            </w:r>
            <w:r>
              <w:rPr>
                <w:rFonts w:hint="eastAsia" w:ascii="仿宋" w:hAnsi="仿宋" w:eastAsia="仿宋" w:cs="仿宋"/>
                <w:b/>
                <w:bCs/>
                <w:color w:val="auto"/>
                <w:spacing w:val="8"/>
                <w:kern w:val="0"/>
                <w:sz w:val="28"/>
                <w:szCs w:val="28"/>
                <w:highlight w:val="none"/>
                <w:lang w:eastAsia="zh-CN"/>
              </w:rPr>
              <w:t>，</w:t>
            </w:r>
            <w:r>
              <w:rPr>
                <w:rFonts w:hint="eastAsia" w:ascii="仿宋" w:hAnsi="仿宋" w:eastAsia="仿宋" w:cs="仿宋"/>
                <w:b/>
                <w:bCs/>
                <w:color w:val="auto"/>
                <w:spacing w:val="8"/>
                <w:kern w:val="0"/>
                <w:sz w:val="28"/>
                <w:szCs w:val="28"/>
                <w:highlight w:val="none"/>
              </w:rPr>
              <w:t>将做无效响应。</w:t>
            </w:r>
          </w:p>
          <w:p w14:paraId="7D62E99E">
            <w:pPr>
              <w:shd w:val="clear"/>
              <w:snapToGrid w:val="0"/>
              <w:spacing w:line="560" w:lineRule="exact"/>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14:paraId="7C305495">
            <w:pPr>
              <w:shd w:val="clear"/>
              <w:snapToGrid w:val="0"/>
              <w:spacing w:line="560" w:lineRule="exact"/>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投标人提交的电子投标文件应按照本招标文件《第五章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》进行编制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格式）必须从本项目的招标文件压缩包内的对应包段目录下获取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且必须在原文件上严格按照其中要求填写。因投标人自身原因导致电子投标文件编制不规范使投标文件内容无法导入系统的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该投标文件将被视为无效投标文件。</w:t>
            </w:r>
          </w:p>
          <w:p w14:paraId="0E52BCDC">
            <w:pPr>
              <w:shd w:val="clear"/>
              <w:snapToGrid w:val="0"/>
              <w:spacing w:line="560" w:lineRule="exact"/>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电子投标文件必需有电子签章方为合法的投标文件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未对电子投标文件进行电子签章的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将作为无效投标处理。电子投标文件的电子签章要求：在生成电子投标文件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都必须对电子投标文件进行电子签章；签章时需要将电子签章签署到相应的位置中。</w:t>
            </w:r>
          </w:p>
          <w:p w14:paraId="18F254DA">
            <w:pPr>
              <w:shd w:val="clear"/>
              <w:snapToGrid w:val="0"/>
              <w:spacing w:line="560" w:lineRule="exact"/>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投标人投标文件中的相关扫描件应保证清晰度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无法辨认的评审时受到影响的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由投标人承担相应责任。</w:t>
            </w:r>
          </w:p>
          <w:p w14:paraId="11162F27">
            <w:pPr>
              <w:shd w:val="clear"/>
              <w:snapToGrid w:val="0"/>
              <w:spacing w:line="560" w:lineRule="exact"/>
              <w:ind w:right="-105" w:rightChars="-5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除网上递交电子投标文件外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如有要求递交相关资质证明文件原件的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还须按其要求独立密封递交（被授权人身份证原件除外）</w:t>
            </w:r>
            <w:r>
              <w:rPr>
                <w:rFonts w:hint="eastAsia" w:ascii="仿宋" w:hAnsi="仿宋" w:eastAsia="仿宋" w:cs="仿宋"/>
                <w:color w:val="auto"/>
                <w:sz w:val="28"/>
                <w:szCs w:val="28"/>
                <w:highlight w:val="none"/>
                <w:lang w:eastAsia="zh-CN"/>
              </w:rPr>
              <w:t>。</w:t>
            </w:r>
          </w:p>
          <w:p w14:paraId="7D6942B4">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投标人应充分考虑到网上递交投标文件会发生的故障和风险。对发生的任何故障和风险造成投标人报价内容不一致或利益受损或投标失败的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不承担任何责任。</w:t>
            </w:r>
          </w:p>
        </w:tc>
      </w:tr>
      <w:tr w14:paraId="518A86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4EEC1063">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A215673">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309" w:type="dxa"/>
            <w:tcBorders>
              <w:top w:val="single" w:color="auto" w:sz="4" w:space="0"/>
              <w:left w:val="single" w:color="auto" w:sz="4" w:space="0"/>
              <w:bottom w:val="single" w:color="auto" w:sz="4" w:space="0"/>
            </w:tcBorders>
            <w:noWrap w:val="0"/>
            <w:vAlign w:val="center"/>
          </w:tcPr>
          <w:p w14:paraId="7A6299BB">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08CFB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2E081F1F">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E4E2E26">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309" w:type="dxa"/>
            <w:tcBorders>
              <w:top w:val="single" w:color="auto" w:sz="4" w:space="0"/>
              <w:left w:val="single" w:color="auto" w:sz="4" w:space="0"/>
              <w:bottom w:val="single" w:color="auto" w:sz="4" w:space="0"/>
            </w:tcBorders>
            <w:noWrap w:val="0"/>
            <w:vAlign w:val="center"/>
          </w:tcPr>
          <w:p w14:paraId="0B558CFE">
            <w:pPr>
              <w:shd w:val="clear"/>
              <w:spacing w:line="5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网上按时递交电子投标文件1份以及纸质投标文件</w:t>
            </w:r>
            <w:r>
              <w:rPr>
                <w:rFonts w:hint="eastAsia" w:ascii="仿宋" w:hAnsi="仿宋" w:eastAsia="仿宋" w:cs="仿宋"/>
                <w:color w:val="auto"/>
                <w:sz w:val="28"/>
                <w:szCs w:val="28"/>
                <w:highlight w:val="none"/>
                <w:lang w:val="en-US" w:eastAsia="zh-CN"/>
              </w:rPr>
              <w:t>1份</w:t>
            </w:r>
          </w:p>
        </w:tc>
      </w:tr>
      <w:tr w14:paraId="18DE8E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58318C21">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B1CD765">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309" w:type="dxa"/>
            <w:tcBorders>
              <w:top w:val="single" w:color="auto" w:sz="4" w:space="0"/>
              <w:left w:val="single" w:color="auto" w:sz="4" w:space="0"/>
              <w:bottom w:val="single" w:color="auto" w:sz="4" w:space="0"/>
            </w:tcBorders>
            <w:noWrap w:val="0"/>
            <w:vAlign w:val="center"/>
          </w:tcPr>
          <w:p w14:paraId="75FF4144">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1904EC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27163E18">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4A4E91A">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309" w:type="dxa"/>
            <w:tcBorders>
              <w:top w:val="single" w:color="auto" w:sz="4" w:space="0"/>
              <w:left w:val="single" w:color="auto" w:sz="4" w:space="0"/>
              <w:bottom w:val="single" w:color="auto" w:sz="4" w:space="0"/>
            </w:tcBorders>
            <w:noWrap w:val="0"/>
            <w:vAlign w:val="center"/>
          </w:tcPr>
          <w:p w14:paraId="67D1718B">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1005DB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39BBB621">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1CFD736">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6309" w:type="dxa"/>
            <w:tcBorders>
              <w:top w:val="single" w:color="auto" w:sz="4" w:space="0"/>
              <w:left w:val="single" w:color="auto" w:sz="4" w:space="0"/>
              <w:bottom w:val="single" w:color="auto" w:sz="4" w:space="0"/>
            </w:tcBorders>
            <w:noWrap w:val="0"/>
            <w:vAlign w:val="center"/>
          </w:tcPr>
          <w:p w14:paraId="73E5E08C">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7DA6A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04E84D74">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F80AD7D">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309" w:type="dxa"/>
            <w:tcBorders>
              <w:top w:val="single" w:color="auto" w:sz="4" w:space="0"/>
              <w:left w:val="single" w:color="auto" w:sz="4" w:space="0"/>
              <w:bottom w:val="single" w:color="auto" w:sz="4" w:space="0"/>
            </w:tcBorders>
            <w:noWrap w:val="0"/>
            <w:vAlign w:val="center"/>
          </w:tcPr>
          <w:p w14:paraId="02FC7086">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开标之日起90日</w:t>
            </w:r>
          </w:p>
        </w:tc>
      </w:tr>
      <w:tr w14:paraId="13DBE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0CA145F1">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FB88FAB">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6309" w:type="dxa"/>
            <w:tcBorders>
              <w:top w:val="single" w:color="auto" w:sz="4" w:space="0"/>
              <w:left w:val="single" w:color="auto" w:sz="4" w:space="0"/>
              <w:bottom w:val="single" w:color="auto" w:sz="4" w:space="0"/>
            </w:tcBorders>
            <w:noWrap w:val="0"/>
            <w:vAlign w:val="center"/>
          </w:tcPr>
          <w:p w14:paraId="31362A35">
            <w:pPr>
              <w:shd w:val="clear"/>
              <w:snapToGrid w:val="0"/>
              <w:spacing w:line="560" w:lineRule="exact"/>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电子投标文件递交时间：</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月</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日</w:t>
            </w:r>
            <w:r>
              <w:rPr>
                <w:rFonts w:hint="eastAsia" w:ascii="仿宋" w:hAnsi="仿宋" w:eastAsia="仿宋" w:cs="仿宋"/>
                <w:color w:val="auto"/>
                <w:spacing w:val="8"/>
                <w:kern w:val="0"/>
                <w:sz w:val="28"/>
                <w:szCs w:val="28"/>
                <w:highlight w:val="none"/>
                <w:lang w:val="en-US" w:eastAsia="zh-CN"/>
              </w:rPr>
              <w:t>19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lang w:eastAsia="zh-CN"/>
              </w:rPr>
              <w:t>日</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lang w:eastAsia="zh-CN"/>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lang w:eastAsia="zh-CN"/>
              </w:rPr>
              <w:t>分</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具体显示时间为准）</w:t>
            </w:r>
            <w:r>
              <w:rPr>
                <w:rFonts w:hint="eastAsia" w:ascii="仿宋" w:hAnsi="仿宋" w:eastAsia="仿宋" w:cs="仿宋"/>
                <w:color w:val="auto"/>
                <w:sz w:val="28"/>
                <w:szCs w:val="28"/>
                <w:highlight w:val="none"/>
                <w:lang w:eastAsia="zh-CN"/>
              </w:rPr>
              <w:t>。</w:t>
            </w:r>
          </w:p>
          <w:p w14:paraId="2DFAB753">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纸质投标文件递交：</w:t>
            </w:r>
          </w:p>
          <w:p w14:paraId="72857381">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2.1投标人以邮寄的方式进行递交（收件人：</w:t>
            </w:r>
            <w:r>
              <w:rPr>
                <w:rFonts w:hint="eastAsia" w:ascii="仿宋" w:hAnsi="仿宋" w:eastAsia="仿宋" w:cs="仿宋"/>
                <w:color w:val="auto"/>
                <w:sz w:val="28"/>
                <w:szCs w:val="28"/>
                <w:highlight w:val="none"/>
                <w:lang w:eastAsia="zh-CN"/>
              </w:rPr>
              <w:t>张佳惠，</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0631-5188996，</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威海经济技术开发区青岛中路-77A号长峰商业广场1211室，山东志诚工程咨询管理有限公司</w:t>
            </w:r>
            <w:r>
              <w:rPr>
                <w:rFonts w:hint="eastAsia" w:ascii="仿宋" w:hAnsi="仿宋" w:eastAsia="仿宋" w:cs="仿宋"/>
                <w:color w:val="auto"/>
                <w:sz w:val="28"/>
                <w:szCs w:val="28"/>
                <w:highlight w:val="none"/>
              </w:rPr>
              <w:t>）。基于项目资料归档的要求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最迟邮寄到达时间为开标后三个工作日内。</w:t>
            </w:r>
          </w:p>
          <w:p w14:paraId="6F3AB719">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2.2纸质投标文件（第一册、第二册装订成一册）共</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将纸质投标文件密封在密封袋中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并在封口处粘贴封条。</w:t>
            </w:r>
          </w:p>
          <w:p w14:paraId="57745C1A">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2.3封套内容：</w:t>
            </w:r>
          </w:p>
          <w:p w14:paraId="0AA9678B">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(1)代理机构：</w:t>
            </w:r>
            <w:r>
              <w:rPr>
                <w:rFonts w:hint="eastAsia" w:ascii="仿宋" w:hAnsi="仿宋" w:eastAsia="仿宋" w:cs="仿宋"/>
                <w:color w:val="auto"/>
                <w:sz w:val="28"/>
                <w:szCs w:val="28"/>
                <w:highlight w:val="none"/>
                <w:lang w:eastAsia="zh-CN"/>
              </w:rPr>
              <w:t>山东志诚工程咨询管理有限公司</w:t>
            </w:r>
          </w:p>
          <w:p w14:paraId="68759A75">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(2)项目名称：</w:t>
            </w:r>
            <w:r>
              <w:rPr>
                <w:rFonts w:hint="eastAsia" w:ascii="仿宋" w:hAnsi="仿宋" w:eastAsia="仿宋" w:cs="仿宋"/>
                <w:color w:val="auto"/>
                <w:sz w:val="28"/>
                <w:szCs w:val="28"/>
                <w:highlight w:val="none"/>
                <w:lang w:eastAsia="zh-CN"/>
              </w:rPr>
              <w:t>粮食输送设备采购项目</w:t>
            </w:r>
          </w:p>
          <w:p w14:paraId="51447AB7">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(3)项目编号：</w:t>
            </w:r>
            <w:r>
              <w:rPr>
                <w:rFonts w:hint="eastAsia" w:ascii="仿宋" w:hAnsi="仿宋" w:eastAsia="仿宋" w:cs="仿宋"/>
                <w:color w:val="auto"/>
                <w:sz w:val="28"/>
                <w:szCs w:val="28"/>
                <w:highlight w:val="none"/>
                <w:lang w:eastAsia="zh-CN"/>
              </w:rPr>
              <w:t>WHZCZB2026-042</w:t>
            </w:r>
          </w:p>
          <w:p w14:paraId="1F30EABC">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(4)投标单位：XXXXXX</w:t>
            </w:r>
          </w:p>
          <w:p w14:paraId="511875E1">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(5)注明“开标时才能启封”字样。</w:t>
            </w:r>
          </w:p>
        </w:tc>
      </w:tr>
      <w:tr w14:paraId="624F29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4CFF26AE">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FC4982F">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309" w:type="dxa"/>
            <w:tcBorders>
              <w:top w:val="single" w:color="auto" w:sz="4" w:space="0"/>
              <w:left w:val="single" w:color="auto" w:sz="4" w:space="0"/>
              <w:bottom w:val="single" w:color="auto" w:sz="4" w:space="0"/>
            </w:tcBorders>
            <w:noWrap w:val="0"/>
            <w:vAlign w:val="center"/>
          </w:tcPr>
          <w:p w14:paraId="337C038F">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p>
        </w:tc>
      </w:tr>
      <w:tr w14:paraId="606A68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459167A6">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CFFB9C4">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309" w:type="dxa"/>
            <w:tcBorders>
              <w:top w:val="single" w:color="auto" w:sz="4" w:space="0"/>
              <w:left w:val="single" w:color="auto" w:sz="4" w:space="0"/>
              <w:bottom w:val="single" w:color="auto" w:sz="4" w:space="0"/>
            </w:tcBorders>
            <w:noWrap w:val="0"/>
            <w:vAlign w:val="center"/>
          </w:tcPr>
          <w:p w14:paraId="3ECDDB40">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lang w:eastAsia="zh-CN"/>
              </w:rPr>
              <w:t>厅（威海市环翠区塔山中路317号威海市政务服务中心四楼）</w:t>
            </w:r>
          </w:p>
        </w:tc>
      </w:tr>
      <w:tr w14:paraId="48ED96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6A84036C">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2F326DA">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309" w:type="dxa"/>
            <w:tcBorders>
              <w:top w:val="single" w:color="auto" w:sz="4" w:space="0"/>
              <w:left w:val="single" w:color="auto" w:sz="4" w:space="0"/>
              <w:bottom w:val="single" w:color="auto" w:sz="4" w:space="0"/>
            </w:tcBorders>
            <w:noWrap w:val="0"/>
            <w:vAlign w:val="center"/>
          </w:tcPr>
          <w:p w14:paraId="47A8D0D7">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通过交易系统线上参加开标活动。开评标期间需实时关注交易系统相关通知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且被授权人的联络方式应保持畅通。</w:t>
            </w:r>
          </w:p>
        </w:tc>
      </w:tr>
      <w:tr w14:paraId="248A7A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22F4D4B9">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C356CB5">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309" w:type="dxa"/>
            <w:tcBorders>
              <w:top w:val="single" w:color="auto" w:sz="4" w:space="0"/>
              <w:left w:val="single" w:color="auto" w:sz="4" w:space="0"/>
              <w:bottom w:val="single" w:color="auto" w:sz="4" w:space="0"/>
            </w:tcBorders>
            <w:noWrap w:val="0"/>
            <w:vAlign w:val="center"/>
          </w:tcPr>
          <w:p w14:paraId="6F945E84">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签到时间：开标时间前完成</w:t>
            </w:r>
          </w:p>
          <w:p w14:paraId="6A1E6291">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473765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07F2538E">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CBB9D5A">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309" w:type="dxa"/>
            <w:tcBorders>
              <w:top w:val="single" w:color="auto" w:sz="4" w:space="0"/>
              <w:left w:val="single" w:color="auto" w:sz="4" w:space="0"/>
              <w:bottom w:val="single" w:color="auto" w:sz="4" w:space="0"/>
            </w:tcBorders>
            <w:noWrap w:val="0"/>
            <w:vAlign w:val="center"/>
          </w:tcPr>
          <w:p w14:paraId="4BF700A4">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F4E0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1CF68A53">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058B0CD">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309" w:type="dxa"/>
            <w:tcBorders>
              <w:top w:val="single" w:color="auto" w:sz="4" w:space="0"/>
              <w:left w:val="single" w:color="auto" w:sz="4" w:space="0"/>
              <w:bottom w:val="single" w:color="auto" w:sz="4" w:space="0"/>
            </w:tcBorders>
            <w:noWrap w:val="0"/>
            <w:vAlign w:val="center"/>
          </w:tcPr>
          <w:p w14:paraId="1426DCA0">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5DA1B6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0A980788">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C645D77">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309" w:type="dxa"/>
            <w:tcBorders>
              <w:top w:val="single" w:color="auto" w:sz="4" w:space="0"/>
              <w:left w:val="single" w:color="auto" w:sz="4" w:space="0"/>
              <w:bottom w:val="single" w:color="auto" w:sz="4" w:space="0"/>
            </w:tcBorders>
            <w:noWrap w:val="0"/>
            <w:vAlign w:val="center"/>
          </w:tcPr>
          <w:p w14:paraId="1C093EE9">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D57B7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71EA53DE">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CB45CDF">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309" w:type="dxa"/>
            <w:tcBorders>
              <w:top w:val="single" w:color="auto" w:sz="4" w:space="0"/>
              <w:left w:val="single" w:color="auto" w:sz="4" w:space="0"/>
              <w:bottom w:val="single" w:color="auto" w:sz="4" w:space="0"/>
            </w:tcBorders>
            <w:noWrap w:val="0"/>
            <w:vAlign w:val="center"/>
          </w:tcPr>
          <w:p w14:paraId="087C4034">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5270A6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52DEB08C">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4CB47CB">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309" w:type="dxa"/>
            <w:tcBorders>
              <w:top w:val="single" w:color="auto" w:sz="4" w:space="0"/>
              <w:left w:val="single" w:color="auto" w:sz="4" w:space="0"/>
              <w:bottom w:val="single" w:color="auto" w:sz="4" w:space="0"/>
            </w:tcBorders>
            <w:noWrap w:val="0"/>
            <w:vAlign w:val="center"/>
          </w:tcPr>
          <w:p w14:paraId="54C3FF03">
            <w:pPr>
              <w:shd w:val="clear"/>
              <w:snapToGrid w:val="0"/>
              <w:spacing w:line="56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57F672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5798D860">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1F7FE0A">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309" w:type="dxa"/>
            <w:tcBorders>
              <w:top w:val="single" w:color="auto" w:sz="4" w:space="0"/>
              <w:left w:val="single" w:color="auto" w:sz="4" w:space="0"/>
              <w:bottom w:val="single" w:color="auto" w:sz="4" w:space="0"/>
            </w:tcBorders>
            <w:noWrap w:val="0"/>
            <w:vAlign w:val="center"/>
          </w:tcPr>
          <w:p w14:paraId="045660C2">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供货安装调试完毕且经甲方验收合格后付合同价款的95%，余款留作质保金，自货物质保期届满且无质量问题后30日内无息返还。乙方应在甲方支付对应款项前，向甲方开具符合国家规定的、对应金额的增值税专用发票，乙方未按本约定开具发票的，甲方有权迟延支付款项，不承担违约责任。乙方必须在规定的时间内提供本单位的税务发票</w:t>
            </w:r>
            <w:r>
              <w:rPr>
                <w:rFonts w:hint="eastAsia" w:ascii="仿宋" w:hAnsi="仿宋" w:eastAsia="仿宋" w:cs="仿宋"/>
                <w:color w:val="auto"/>
                <w:sz w:val="28"/>
                <w:szCs w:val="28"/>
                <w:highlight w:val="none"/>
              </w:rPr>
              <w:t>。</w:t>
            </w:r>
          </w:p>
        </w:tc>
      </w:tr>
      <w:tr w14:paraId="728469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3847BAAA">
            <w:pPr>
              <w:shd w:val="clear"/>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55BAEF3">
            <w:pPr>
              <w:shd w:val="clear"/>
              <w:snapToGrid w:val="0"/>
              <w:spacing w:line="560" w:lineRule="exact"/>
              <w:jc w:val="center"/>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供货安装调试完毕时间</w:t>
            </w:r>
          </w:p>
        </w:tc>
        <w:tc>
          <w:tcPr>
            <w:tcW w:w="6309" w:type="dxa"/>
            <w:tcBorders>
              <w:top w:val="single" w:color="auto" w:sz="4" w:space="0"/>
              <w:left w:val="single" w:color="auto" w:sz="4" w:space="0"/>
              <w:bottom w:val="single" w:color="auto" w:sz="4" w:space="0"/>
            </w:tcBorders>
            <w:noWrap w:val="0"/>
            <w:vAlign w:val="center"/>
          </w:tcPr>
          <w:p w14:paraId="32B945A8">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自合同签订生效之日起15个工作日内供货安装调试完毕。</w:t>
            </w:r>
          </w:p>
        </w:tc>
      </w:tr>
      <w:tr w14:paraId="6DF578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0"/>
            <w:vAlign w:val="center"/>
          </w:tcPr>
          <w:p w14:paraId="4AC9D296">
            <w:pPr>
              <w:shd w:val="clear"/>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CB9E8AF">
            <w:pPr>
              <w:shd w:val="clear"/>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质保期</w:t>
            </w:r>
          </w:p>
        </w:tc>
        <w:tc>
          <w:tcPr>
            <w:tcW w:w="6309" w:type="dxa"/>
            <w:tcBorders>
              <w:top w:val="single" w:color="auto" w:sz="4" w:space="0"/>
              <w:left w:val="single" w:color="auto" w:sz="4" w:space="0"/>
              <w:bottom w:val="single" w:color="auto" w:sz="4" w:space="0"/>
            </w:tcBorders>
            <w:noWrap w:val="0"/>
            <w:vAlign w:val="center"/>
          </w:tcPr>
          <w:p w14:paraId="1D5D9CFC">
            <w:pPr>
              <w:shd w:val="clear"/>
              <w:snapToGrid w:val="0"/>
              <w:spacing w:line="56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自验收合格并签署《质量验收报告》之日起1年。</w:t>
            </w:r>
          </w:p>
        </w:tc>
      </w:tr>
      <w:tr w14:paraId="78B143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0"/>
            <w:vAlign w:val="center"/>
          </w:tcPr>
          <w:p w14:paraId="7D991DDE">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8830635">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w:t>
            </w:r>
          </w:p>
        </w:tc>
        <w:tc>
          <w:tcPr>
            <w:tcW w:w="6309" w:type="dxa"/>
            <w:tcBorders>
              <w:top w:val="single" w:color="auto" w:sz="4" w:space="0"/>
              <w:left w:val="single" w:color="auto" w:sz="4" w:space="0"/>
              <w:bottom w:val="single" w:color="auto" w:sz="4" w:space="0"/>
            </w:tcBorders>
            <w:noWrap w:val="0"/>
            <w:vAlign w:val="center"/>
          </w:tcPr>
          <w:p w14:paraId="33A73AA9">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自筹</w:t>
            </w:r>
            <w:r>
              <w:rPr>
                <w:rFonts w:hint="eastAsia" w:ascii="仿宋" w:hAnsi="仿宋" w:eastAsia="仿宋" w:cs="仿宋"/>
                <w:color w:val="auto"/>
                <w:sz w:val="28"/>
                <w:szCs w:val="28"/>
                <w:highlight w:val="none"/>
              </w:rPr>
              <w:t>资金</w:t>
            </w:r>
          </w:p>
        </w:tc>
      </w:tr>
      <w:tr w14:paraId="2B84D0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0"/>
            <w:vAlign w:val="center"/>
          </w:tcPr>
          <w:p w14:paraId="000B231F">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D76E33A">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309" w:type="dxa"/>
            <w:tcBorders>
              <w:top w:val="single" w:color="auto" w:sz="4" w:space="0"/>
              <w:left w:val="single" w:color="auto" w:sz="4" w:space="0"/>
              <w:bottom w:val="single" w:color="auto" w:sz="4" w:space="0"/>
            </w:tcBorders>
            <w:noWrap w:val="0"/>
            <w:vAlign w:val="center"/>
          </w:tcPr>
          <w:p w14:paraId="12FFB48C">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6DB0AF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240B7F51">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4F7C534">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309" w:type="dxa"/>
            <w:tcBorders>
              <w:top w:val="single" w:color="auto" w:sz="4" w:space="0"/>
              <w:left w:val="single" w:color="auto" w:sz="4" w:space="0"/>
              <w:bottom w:val="single" w:color="auto" w:sz="4" w:space="0"/>
            </w:tcBorders>
            <w:noWrap w:val="0"/>
            <w:vAlign w:val="center"/>
          </w:tcPr>
          <w:p w14:paraId="20B81173">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w:t>
            </w:r>
            <w:r>
              <w:rPr>
                <w:rFonts w:hint="eastAsia" w:ascii="仿宋" w:hAnsi="仿宋" w:eastAsia="仿宋" w:cs="仿宋"/>
                <w:b/>
                <w:bCs/>
                <w:color w:val="auto"/>
                <w:sz w:val="28"/>
                <w:szCs w:val="28"/>
                <w:highlight w:val="none"/>
                <w:lang w:val="en-US" w:eastAsia="zh-CN"/>
              </w:rPr>
              <w:t>货物</w:t>
            </w:r>
            <w:r>
              <w:rPr>
                <w:rFonts w:hint="eastAsia" w:ascii="仿宋" w:hAnsi="仿宋" w:eastAsia="仿宋" w:cs="仿宋"/>
                <w:b/>
                <w:bCs/>
                <w:color w:val="auto"/>
                <w:sz w:val="28"/>
                <w:szCs w:val="28"/>
                <w:highlight w:val="none"/>
                <w:lang w:eastAsia="zh-CN"/>
              </w:rPr>
              <w:t>类</w:t>
            </w:r>
            <w:r>
              <w:rPr>
                <w:rFonts w:hint="eastAsia" w:ascii="仿宋" w:hAnsi="仿宋" w:eastAsia="仿宋" w:cs="仿宋"/>
                <w:color w:val="auto"/>
                <w:sz w:val="28"/>
                <w:szCs w:val="28"/>
                <w:highlight w:val="none"/>
              </w:rPr>
              <w:t>以公开招标方式实施采购</w:t>
            </w:r>
          </w:p>
        </w:tc>
      </w:tr>
      <w:tr w14:paraId="4A774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102AFE0E">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9500992">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309" w:type="dxa"/>
            <w:tcBorders>
              <w:top w:val="single" w:color="auto" w:sz="4" w:space="0"/>
              <w:left w:val="single" w:color="auto" w:sz="4" w:space="0"/>
              <w:bottom w:val="single" w:color="auto" w:sz="4" w:space="0"/>
            </w:tcBorders>
            <w:noWrap w:val="0"/>
            <w:vAlign w:val="center"/>
          </w:tcPr>
          <w:p w14:paraId="4AE89DCB">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本项目代理服务费参照原国家发展计划委员会规定标准（《招标代理服务收费管理暂行办法》计价格［2002］1980号）的60%收取，单个项目低于2000元，按2000元收取</w:t>
            </w:r>
            <w:r>
              <w:rPr>
                <w:rFonts w:hint="eastAsia" w:ascii="仿宋" w:hAnsi="仿宋" w:eastAsia="仿宋" w:cs="仿宋"/>
                <w:color w:val="auto"/>
                <w:sz w:val="28"/>
                <w:szCs w:val="28"/>
                <w:highlight w:val="none"/>
              </w:rPr>
              <w:t>。</w:t>
            </w:r>
          </w:p>
          <w:p w14:paraId="1DB05BD3">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交费时间及交费方式：中标单位在收到中标通知书</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rPr>
              <w:t>以电汇或现金形式缴纳。</w:t>
            </w:r>
          </w:p>
          <w:p w14:paraId="68E7CDAD">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开户名称：山东志诚工程咨询管理有限公司威海分公司</w:t>
            </w:r>
          </w:p>
          <w:p w14:paraId="1D0FC52C">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开户银行：中国建设银行荣成支行</w:t>
            </w:r>
          </w:p>
          <w:p w14:paraId="6551E394">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银行账号：37001706608050154211</w:t>
            </w:r>
          </w:p>
          <w:p w14:paraId="013528C7">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（备注：项目编号+服务费）</w:t>
            </w:r>
          </w:p>
          <w:p w14:paraId="3ED47308">
            <w:pPr>
              <w:shd w:val="clear"/>
              <w:snapToGrid w:val="0"/>
              <w:spacing w:line="5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6C6D20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BE54AA3">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F25599B">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w:t>
            </w:r>
          </w:p>
        </w:tc>
        <w:tc>
          <w:tcPr>
            <w:tcW w:w="6309" w:type="dxa"/>
            <w:tcBorders>
              <w:top w:val="single" w:color="auto" w:sz="4" w:space="0"/>
              <w:left w:val="single" w:color="auto" w:sz="4" w:space="0"/>
              <w:bottom w:val="single" w:color="auto" w:sz="4" w:space="0"/>
            </w:tcBorders>
            <w:noWrap w:val="0"/>
            <w:vAlign w:val="center"/>
          </w:tcPr>
          <w:p w14:paraId="1BAC2ABD">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评审劳务费由中标单位在收到中标通知书前以现金形式缴纳。</w:t>
            </w:r>
          </w:p>
        </w:tc>
      </w:tr>
      <w:tr w14:paraId="7779E3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467FD27">
            <w:pPr>
              <w:shd w:val="clear"/>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D51C38E">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309" w:type="dxa"/>
            <w:tcBorders>
              <w:top w:val="single" w:color="auto" w:sz="4" w:space="0"/>
              <w:left w:val="single" w:color="auto" w:sz="4" w:space="0"/>
              <w:bottom w:val="single" w:color="auto" w:sz="4" w:space="0"/>
            </w:tcBorders>
            <w:noWrap w:val="0"/>
            <w:vAlign w:val="center"/>
          </w:tcPr>
          <w:p w14:paraId="62BD39B7">
            <w:pPr>
              <w:shd w:val="clear"/>
              <w:snapToGrid w:val="0"/>
              <w:spacing w:line="56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17AC1D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6BE72F4">
            <w:pPr>
              <w:shd w:val="clear"/>
              <w:snapToGrid w:val="0"/>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6344346">
            <w:pPr>
              <w:shd w:val="clear"/>
              <w:snapToGrid w:val="0"/>
              <w:spacing w:line="560" w:lineRule="exact"/>
              <w:jc w:val="center"/>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失信被执行人查询路径</w:t>
            </w:r>
          </w:p>
        </w:tc>
        <w:tc>
          <w:tcPr>
            <w:tcW w:w="6309" w:type="dxa"/>
            <w:tcBorders>
              <w:top w:val="single" w:color="auto" w:sz="4" w:space="0"/>
              <w:left w:val="single" w:color="auto" w:sz="4" w:space="0"/>
              <w:bottom w:val="single" w:color="auto" w:sz="4" w:space="0"/>
            </w:tcBorders>
            <w:noWrap w:val="0"/>
            <w:vAlign w:val="center"/>
          </w:tcPr>
          <w:p w14:paraId="55187A2E">
            <w:pPr>
              <w:shd w:val="clear"/>
              <w:snapToGrid w:val="0"/>
              <w:spacing w:line="560" w:lineRule="exact"/>
              <w:jc w:val="left"/>
              <w:rPr>
                <w:rFonts w:hint="default"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有反馈结果后，保存。</w:t>
            </w:r>
          </w:p>
          <w:p w14:paraId="5ECF1912">
            <w:pPr>
              <w:shd w:val="clear"/>
              <w:snapToGrid w:val="0"/>
              <w:spacing w:line="560" w:lineRule="exact"/>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有反馈结果后，保存。</w:t>
            </w:r>
          </w:p>
          <w:p w14:paraId="10130896">
            <w:pPr>
              <w:shd w:val="clear"/>
              <w:snapToGrid w:val="0"/>
              <w:spacing w:line="560" w:lineRule="exact"/>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注：以上2个查询路径任选其一即可。</w:t>
            </w:r>
          </w:p>
        </w:tc>
      </w:tr>
      <w:tr w14:paraId="524447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B64F361">
            <w:pPr>
              <w:shd w:val="clear"/>
              <w:snapToGrid w:val="0"/>
              <w:spacing w:line="5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0A3B68E">
            <w:pPr>
              <w:shd w:val="clear"/>
              <w:snapToGrid w:val="0"/>
              <w:spacing w:line="560" w:lineRule="exact"/>
              <w:jc w:val="center"/>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信用报告查询路径</w:t>
            </w:r>
          </w:p>
        </w:tc>
        <w:tc>
          <w:tcPr>
            <w:tcW w:w="6309" w:type="dxa"/>
            <w:tcBorders>
              <w:top w:val="single" w:color="auto" w:sz="4" w:space="0"/>
              <w:left w:val="single" w:color="auto" w:sz="4" w:space="0"/>
              <w:bottom w:val="single" w:color="auto" w:sz="4" w:space="0"/>
            </w:tcBorders>
            <w:noWrap w:val="0"/>
            <w:vAlign w:val="center"/>
          </w:tcPr>
          <w:p w14:paraId="64E1A13F">
            <w:pPr>
              <w:shd w:val="clear"/>
              <w:snapToGrid w:val="0"/>
              <w:spacing w:line="560" w:lineRule="exact"/>
              <w:jc w:val="left"/>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1.信用中国（www.creditchina.gov.cn）：进入信用中国首页→右上方“信用信息”查询框内输入企业名称/统一社会信用代码等信息搜索→点击要查询的企业→下载信用信息报告。</w:t>
            </w:r>
          </w:p>
          <w:p w14:paraId="27E4457B">
            <w:pPr>
              <w:shd w:val="clear"/>
              <w:snapToGrid w:val="0"/>
              <w:spacing w:line="560" w:lineRule="exact"/>
              <w:jc w:val="left"/>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2.信用中国（山东）（credit.shandong.gov.cn）：进入信用中国（山东）首页→上方“信用中国信息查询”查询框内输入企业名称/统一社会信用代码等信息查询→点击要查询的企业→下载信用信息报告。</w:t>
            </w:r>
          </w:p>
          <w:p w14:paraId="7BB458A0">
            <w:pPr>
              <w:shd w:val="clear"/>
              <w:snapToGrid w:val="0"/>
              <w:spacing w:line="560" w:lineRule="exact"/>
              <w:jc w:val="left"/>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lang w:val="en-US" w:eastAsia="zh-CN"/>
              </w:rPr>
              <w:t>注：以上2个查询路径任选其一即可。</w:t>
            </w:r>
          </w:p>
        </w:tc>
      </w:tr>
    </w:tbl>
    <w:p w14:paraId="0E6AF5B1">
      <w:pPr>
        <w:shd w:val="clear"/>
        <w:spacing w:line="560" w:lineRule="exact"/>
        <w:ind w:firstLine="643" w:firstLineChars="201"/>
        <w:jc w:val="center"/>
        <w:rPr>
          <w:rFonts w:eastAsia="黑体"/>
          <w:color w:val="auto"/>
          <w:sz w:val="32"/>
          <w:szCs w:val="32"/>
          <w:highlight w:val="none"/>
        </w:rPr>
      </w:pPr>
    </w:p>
    <w:p w14:paraId="2C52D906">
      <w:pPr>
        <w:shd w:val="clear"/>
        <w:spacing w:line="560" w:lineRule="exact"/>
        <w:ind w:firstLine="643" w:firstLineChars="201"/>
        <w:jc w:val="center"/>
        <w:rPr>
          <w:rFonts w:eastAsia="黑体"/>
          <w:color w:val="auto"/>
          <w:sz w:val="32"/>
          <w:szCs w:val="32"/>
          <w:highlight w:val="none"/>
        </w:rPr>
      </w:pPr>
      <w:r>
        <w:rPr>
          <w:rFonts w:hint="eastAsia" w:eastAsia="黑体"/>
          <w:color w:val="auto"/>
          <w:sz w:val="32"/>
          <w:szCs w:val="32"/>
          <w:highlight w:val="none"/>
        </w:rPr>
        <w:t>《实质性条款一览表》</w:t>
      </w:r>
    </w:p>
    <w:p w14:paraId="75BBD236">
      <w:pPr>
        <w:shd w:val="clear"/>
        <w:snapToGrid w:val="0"/>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否则投标将被否决。</w:t>
      </w:r>
    </w:p>
    <w:tbl>
      <w:tblPr>
        <w:tblStyle w:val="30"/>
        <w:tblW w:w="93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4"/>
        <w:gridCol w:w="2026"/>
        <w:gridCol w:w="6465"/>
      </w:tblGrid>
      <w:tr w14:paraId="7E9DF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4" w:type="dxa"/>
            <w:tcBorders>
              <w:top w:val="single" w:color="auto" w:sz="4" w:space="0"/>
              <w:bottom w:val="single" w:color="auto" w:sz="4" w:space="0"/>
              <w:right w:val="single" w:color="auto" w:sz="4" w:space="0"/>
            </w:tcBorders>
            <w:noWrap w:val="0"/>
            <w:vAlign w:val="center"/>
          </w:tcPr>
          <w:p w14:paraId="16A5B312">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26" w:type="dxa"/>
            <w:tcBorders>
              <w:top w:val="single" w:color="auto" w:sz="4" w:space="0"/>
              <w:left w:val="single" w:color="auto" w:sz="4" w:space="0"/>
              <w:bottom w:val="single" w:color="auto" w:sz="4" w:space="0"/>
              <w:right w:val="single" w:color="auto" w:sz="4" w:space="0"/>
            </w:tcBorders>
            <w:noWrap w:val="0"/>
            <w:vAlign w:val="center"/>
          </w:tcPr>
          <w:p w14:paraId="58BBAF33">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65" w:type="dxa"/>
            <w:tcBorders>
              <w:top w:val="single" w:color="auto" w:sz="4" w:space="0"/>
              <w:left w:val="single" w:color="auto" w:sz="4" w:space="0"/>
              <w:bottom w:val="single" w:color="auto" w:sz="4" w:space="0"/>
            </w:tcBorders>
            <w:noWrap w:val="0"/>
            <w:vAlign w:val="center"/>
          </w:tcPr>
          <w:p w14:paraId="2C4CB41C">
            <w:pPr>
              <w:shd w:val="clear"/>
              <w:snapToGrid w:val="0"/>
              <w:spacing w:line="560" w:lineRule="exact"/>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11FF6E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4" w:type="dxa"/>
            <w:tcBorders>
              <w:top w:val="single" w:color="auto" w:sz="4" w:space="0"/>
              <w:bottom w:val="single" w:color="auto" w:sz="4" w:space="0"/>
              <w:right w:val="single" w:color="auto" w:sz="4" w:space="0"/>
            </w:tcBorders>
            <w:noWrap w:val="0"/>
            <w:vAlign w:val="center"/>
          </w:tcPr>
          <w:p w14:paraId="0C814373">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026" w:type="dxa"/>
            <w:tcBorders>
              <w:top w:val="single" w:color="auto" w:sz="4" w:space="0"/>
              <w:left w:val="single" w:color="auto" w:sz="4" w:space="0"/>
              <w:bottom w:val="single" w:color="auto" w:sz="4" w:space="0"/>
              <w:right w:val="single" w:color="auto" w:sz="4" w:space="0"/>
            </w:tcBorders>
            <w:noWrap w:val="0"/>
            <w:vAlign w:val="center"/>
          </w:tcPr>
          <w:p w14:paraId="68CA2AF1">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465" w:type="dxa"/>
            <w:tcBorders>
              <w:top w:val="single" w:color="auto" w:sz="4" w:space="0"/>
              <w:left w:val="single" w:color="auto" w:sz="4" w:space="0"/>
              <w:bottom w:val="single" w:color="auto" w:sz="4" w:space="0"/>
            </w:tcBorders>
            <w:noWrap w:val="0"/>
            <w:vAlign w:val="top"/>
          </w:tcPr>
          <w:p w14:paraId="4F8B6CB5">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有效的营业执照扫描件或其他能证明具有独立承担民事责任的能力的证明材料扫描件</w:t>
            </w:r>
            <w:r>
              <w:rPr>
                <w:rFonts w:hint="eastAsia" w:ascii="仿宋" w:hAnsi="仿宋" w:eastAsia="仿宋" w:cs="仿宋"/>
                <w:color w:val="auto"/>
                <w:spacing w:val="8"/>
                <w:kern w:val="0"/>
                <w:sz w:val="28"/>
                <w:szCs w:val="28"/>
                <w:highlight w:val="none"/>
              </w:rPr>
              <w:t>；</w:t>
            </w:r>
          </w:p>
          <w:p w14:paraId="53705A6D">
            <w:pPr>
              <w:widowControl/>
              <w:shd w:val="clear"/>
              <w:adjustRightInd w:val="0"/>
              <w:spacing w:line="520" w:lineRule="exact"/>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2.法定代表人/负责人身份证明书（固定格式）</w:t>
            </w:r>
            <w:r>
              <w:rPr>
                <w:rFonts w:hint="eastAsia" w:ascii="仿宋" w:hAnsi="仿宋" w:eastAsia="仿宋" w:cs="仿宋"/>
                <w:color w:val="auto"/>
                <w:spacing w:val="8"/>
                <w:kern w:val="0"/>
                <w:sz w:val="28"/>
                <w:szCs w:val="28"/>
                <w:highlight w:val="none"/>
                <w:lang w:eastAsia="zh-CN"/>
              </w:rPr>
              <w:t>；</w:t>
            </w:r>
          </w:p>
          <w:p w14:paraId="210562BD">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法人授权委托书</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、被授权人身份证扫描件；若投标单位代表为企业法定代表人/单位负责人的</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则只需提供企业法定代表人/单位负责人身份证扫描件</w:t>
            </w:r>
            <w:r>
              <w:rPr>
                <w:rFonts w:hint="eastAsia" w:ascii="仿宋" w:hAnsi="仿宋" w:eastAsia="仿宋" w:cs="仿宋"/>
                <w:color w:val="auto"/>
                <w:spacing w:val="8"/>
                <w:kern w:val="0"/>
                <w:sz w:val="28"/>
                <w:szCs w:val="28"/>
                <w:highlight w:val="none"/>
                <w:lang w:eastAsia="zh-CN"/>
              </w:rPr>
              <w:t>（加盖投标单位公章）</w:t>
            </w:r>
            <w:r>
              <w:rPr>
                <w:rFonts w:hint="eastAsia" w:ascii="仿宋" w:hAnsi="仿宋" w:eastAsia="仿宋" w:cs="仿宋"/>
                <w:color w:val="auto"/>
                <w:spacing w:val="8"/>
                <w:kern w:val="0"/>
                <w:sz w:val="28"/>
                <w:szCs w:val="28"/>
                <w:highlight w:val="none"/>
              </w:rPr>
              <w:t>；</w:t>
            </w:r>
          </w:p>
          <w:p w14:paraId="6B34D9DA">
            <w:pPr>
              <w:widowControl/>
              <w:shd w:val="clear"/>
              <w:adjustRightInd w:val="0"/>
              <w:spacing w:line="520" w:lineRule="exact"/>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.投标人具有良好的商业信誉和健全的财务会计制度</w:t>
            </w:r>
            <w:r>
              <w:rPr>
                <w:rFonts w:hint="eastAsia" w:ascii="仿宋" w:hAnsi="仿宋" w:eastAsia="仿宋" w:cs="仿宋"/>
                <w:color w:val="auto"/>
                <w:spacing w:val="8"/>
                <w:kern w:val="0"/>
                <w:sz w:val="28"/>
                <w:szCs w:val="28"/>
                <w:highlight w:val="none"/>
                <w:lang w:val="en-US" w:eastAsia="zh-CN"/>
              </w:rPr>
              <w:t>声明（固定格式）；</w:t>
            </w:r>
          </w:p>
          <w:p w14:paraId="37677854">
            <w:pPr>
              <w:widowControl/>
              <w:shd w:val="clear"/>
              <w:adjustRightInd w:val="0"/>
              <w:spacing w:line="520" w:lineRule="exact"/>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5.投标人具有履行合同所必需的设备和专业技术能力声明（固定格式）；</w:t>
            </w:r>
          </w:p>
          <w:p w14:paraId="48E8B90F">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6.投标人的依法缴纳税收和社会保障资金的</w:t>
            </w:r>
            <w:r>
              <w:rPr>
                <w:rFonts w:hint="eastAsia" w:ascii="仿宋" w:hAnsi="仿宋" w:eastAsia="仿宋" w:cs="仿宋"/>
                <w:color w:val="auto"/>
                <w:spacing w:val="8"/>
                <w:kern w:val="0"/>
                <w:sz w:val="28"/>
                <w:szCs w:val="28"/>
                <w:highlight w:val="none"/>
              </w:rPr>
              <w:t>声明（固定格式）及</w:t>
            </w:r>
            <w:r>
              <w:rPr>
                <w:rFonts w:hint="eastAsia" w:ascii="仿宋" w:hAnsi="仿宋" w:eastAsia="仿宋" w:cs="仿宋"/>
                <w:color w:val="auto"/>
                <w:spacing w:val="8"/>
                <w:kern w:val="0"/>
                <w:sz w:val="28"/>
                <w:szCs w:val="28"/>
                <w:highlight w:val="none"/>
                <w:lang w:eastAsia="zh-CN"/>
              </w:rPr>
              <w:t>开标前6个月内任意月份的依法缴纳税收</w:t>
            </w:r>
            <w:r>
              <w:rPr>
                <w:rFonts w:hint="eastAsia" w:ascii="仿宋" w:hAnsi="仿宋" w:eastAsia="仿宋" w:cs="仿宋"/>
                <w:color w:val="auto"/>
                <w:spacing w:val="8"/>
                <w:kern w:val="0"/>
                <w:sz w:val="28"/>
                <w:szCs w:val="28"/>
                <w:highlight w:val="none"/>
              </w:rPr>
              <w:t>和社会保障资金的证明材料</w:t>
            </w:r>
            <w:r>
              <w:rPr>
                <w:rFonts w:hint="eastAsia" w:ascii="仿宋" w:hAnsi="仿宋" w:eastAsia="仿宋" w:cs="仿宋"/>
                <w:color w:val="auto"/>
                <w:spacing w:val="8"/>
                <w:kern w:val="0"/>
                <w:sz w:val="28"/>
                <w:szCs w:val="28"/>
                <w:highlight w:val="none"/>
                <w:lang w:eastAsia="zh-CN"/>
              </w:rPr>
              <w:t>；</w:t>
            </w:r>
          </w:p>
          <w:p w14:paraId="40654363">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.投标人无重大违法记录声明</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w:t>
            </w:r>
          </w:p>
          <w:p w14:paraId="142BF74C">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.投标人及其法定代表人、被授权人未被最高人民法院列为失信被执行人</w:t>
            </w:r>
            <w:r>
              <w:rPr>
                <w:rFonts w:hint="eastAsia" w:ascii="仿宋" w:hAnsi="仿宋" w:eastAsia="仿宋" w:cs="仿宋"/>
                <w:color w:val="auto"/>
                <w:spacing w:val="8"/>
                <w:kern w:val="0"/>
                <w:sz w:val="28"/>
                <w:szCs w:val="28"/>
                <w:highlight w:val="none"/>
                <w:lang w:val="en-US" w:eastAsia="zh-CN"/>
              </w:rPr>
              <w:t>网站查询结果截图</w:t>
            </w:r>
            <w:r>
              <w:rPr>
                <w:rFonts w:hint="eastAsia" w:ascii="仿宋" w:hAnsi="仿宋" w:eastAsia="仿宋" w:cs="仿宋"/>
                <w:color w:val="auto"/>
                <w:spacing w:val="8"/>
                <w:kern w:val="0"/>
                <w:sz w:val="28"/>
                <w:szCs w:val="28"/>
                <w:highlight w:val="none"/>
                <w:lang w:eastAsia="zh-CN"/>
              </w:rPr>
              <w:t>（省份为全部，</w:t>
            </w:r>
            <w:r>
              <w:rPr>
                <w:rFonts w:hint="eastAsia" w:ascii="仿宋" w:hAnsi="仿宋" w:eastAsia="仿宋" w:cs="仿宋"/>
                <w:color w:val="auto"/>
                <w:spacing w:val="8"/>
                <w:kern w:val="0"/>
                <w:sz w:val="28"/>
                <w:szCs w:val="28"/>
                <w:highlight w:val="none"/>
                <w:lang w:val="en-US" w:eastAsia="zh-CN"/>
              </w:rPr>
              <w:t>查询网址：https://zxgk.court.gov.cn/shixin/</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w:t>
            </w:r>
          </w:p>
          <w:p w14:paraId="215AA895">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eastAsia="zh-CN"/>
              </w:rPr>
              <w:t>投标人近一年在“信用中国”或“信用中国（山东）”无严重失信记录，附通过网站查询的信用报告（查询网址：www.creditchina.gov.cn或credit.shandong.gov.cn）</w:t>
            </w:r>
            <w:r>
              <w:rPr>
                <w:rFonts w:hint="eastAsia" w:ascii="仿宋" w:hAnsi="仿宋" w:eastAsia="仿宋" w:cs="仿宋"/>
                <w:color w:val="auto"/>
                <w:spacing w:val="8"/>
                <w:kern w:val="0"/>
                <w:sz w:val="28"/>
                <w:szCs w:val="28"/>
                <w:highlight w:val="none"/>
              </w:rPr>
              <w:t>；</w:t>
            </w:r>
          </w:p>
          <w:p w14:paraId="68241399">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.本项目不接受联合体投标；</w:t>
            </w:r>
          </w:p>
          <w:p w14:paraId="3F562304">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1</w:t>
            </w:r>
            <w:r>
              <w:rPr>
                <w:rFonts w:hint="eastAsia" w:ascii="仿宋" w:hAnsi="仿宋" w:eastAsia="仿宋" w:cs="仿宋"/>
                <w:color w:val="auto"/>
                <w:spacing w:val="8"/>
                <w:kern w:val="0"/>
                <w:sz w:val="28"/>
                <w:szCs w:val="28"/>
                <w:highlight w:val="none"/>
              </w:rPr>
              <w:t>.不存在招标文件24.1条规定的资格审查不通过的情形。</w:t>
            </w:r>
          </w:p>
        </w:tc>
      </w:tr>
      <w:tr w14:paraId="029066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854" w:type="dxa"/>
            <w:tcBorders>
              <w:top w:val="single" w:color="auto" w:sz="4" w:space="0"/>
              <w:bottom w:val="single" w:color="auto" w:sz="4" w:space="0"/>
              <w:right w:val="single" w:color="auto" w:sz="4" w:space="0"/>
            </w:tcBorders>
            <w:noWrap w:val="0"/>
            <w:vAlign w:val="center"/>
          </w:tcPr>
          <w:p w14:paraId="767D3D17">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26" w:type="dxa"/>
            <w:tcBorders>
              <w:top w:val="single" w:color="auto" w:sz="4" w:space="0"/>
              <w:left w:val="single" w:color="auto" w:sz="4" w:space="0"/>
              <w:bottom w:val="single" w:color="auto" w:sz="4" w:space="0"/>
              <w:right w:val="single" w:color="auto" w:sz="4" w:space="0"/>
            </w:tcBorders>
            <w:noWrap w:val="0"/>
            <w:vAlign w:val="center"/>
          </w:tcPr>
          <w:p w14:paraId="4158CF04">
            <w:pPr>
              <w:shd w:val="clea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465" w:type="dxa"/>
            <w:tcBorders>
              <w:top w:val="single" w:color="auto" w:sz="4" w:space="0"/>
              <w:left w:val="single" w:color="auto" w:sz="4" w:space="0"/>
              <w:bottom w:val="single" w:color="auto" w:sz="4" w:space="0"/>
            </w:tcBorders>
            <w:noWrap w:val="0"/>
            <w:vAlign w:val="center"/>
          </w:tcPr>
          <w:p w14:paraId="082E8903">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1.投标文件按规定签署及盖章；</w:t>
            </w:r>
          </w:p>
          <w:p w14:paraId="284F7031">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2.投标报价</w:t>
            </w:r>
            <w:r>
              <w:rPr>
                <w:rFonts w:hint="eastAsia" w:ascii="仿宋" w:hAnsi="仿宋" w:eastAsia="仿宋" w:cs="仿宋"/>
                <w:color w:val="auto"/>
                <w:spacing w:val="8"/>
                <w:kern w:val="0"/>
                <w:sz w:val="28"/>
                <w:szCs w:val="28"/>
                <w:highlight w:val="none"/>
                <w:lang w:val="en-US" w:eastAsia="zh-CN"/>
              </w:rPr>
              <w:t>低于（或等于）最高限价</w:t>
            </w:r>
            <w:r>
              <w:rPr>
                <w:rFonts w:hint="eastAsia" w:ascii="仿宋" w:hAnsi="仿宋" w:eastAsia="仿宋" w:cs="仿宋"/>
                <w:color w:val="auto"/>
                <w:spacing w:val="8"/>
                <w:kern w:val="0"/>
                <w:sz w:val="28"/>
                <w:szCs w:val="28"/>
                <w:highlight w:val="none"/>
              </w:rPr>
              <w:t>；</w:t>
            </w:r>
          </w:p>
          <w:p w14:paraId="4A0639C6">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3.投标有效期、供货安装调试完毕时间、质保期、</w:t>
            </w:r>
            <w:r>
              <w:rPr>
                <w:rFonts w:hint="eastAsia" w:ascii="仿宋" w:hAnsi="仿宋" w:eastAsia="仿宋" w:cs="仿宋"/>
                <w:color w:val="auto"/>
                <w:spacing w:val="8"/>
                <w:kern w:val="0"/>
                <w:sz w:val="28"/>
                <w:szCs w:val="28"/>
                <w:highlight w:val="none"/>
                <w:lang w:val="en-US" w:eastAsia="zh-CN"/>
              </w:rPr>
              <w:t>付款方式</w:t>
            </w:r>
            <w:r>
              <w:rPr>
                <w:rFonts w:hint="eastAsia" w:ascii="仿宋" w:hAnsi="仿宋" w:eastAsia="仿宋" w:cs="仿宋"/>
                <w:color w:val="auto"/>
                <w:spacing w:val="8"/>
                <w:kern w:val="0"/>
                <w:sz w:val="28"/>
                <w:szCs w:val="28"/>
                <w:highlight w:val="none"/>
              </w:rPr>
              <w:t>满足招标文件要求；</w:t>
            </w:r>
          </w:p>
          <w:p w14:paraId="4FF13458">
            <w:pPr>
              <w:widowControl/>
              <w:shd w:val="clear"/>
              <w:adjustRightInd w:val="0"/>
              <w:spacing w:line="520" w:lineRule="exact"/>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4.参加同一</w:t>
            </w:r>
            <w:r>
              <w:rPr>
                <w:rFonts w:hint="eastAsia" w:ascii="仿宋" w:hAnsi="仿宋" w:eastAsia="仿宋" w:cs="仿宋"/>
                <w:color w:val="auto"/>
                <w:spacing w:val="8"/>
                <w:kern w:val="0"/>
                <w:sz w:val="28"/>
                <w:szCs w:val="28"/>
                <w:highlight w:val="none"/>
                <w:lang w:val="en-US" w:eastAsia="zh-CN"/>
              </w:rPr>
              <w:t>包段</w:t>
            </w:r>
            <w:r>
              <w:rPr>
                <w:rFonts w:hint="eastAsia" w:ascii="仿宋" w:hAnsi="仿宋" w:eastAsia="仿宋" w:cs="仿宋"/>
                <w:color w:val="auto"/>
                <w:spacing w:val="8"/>
                <w:kern w:val="0"/>
                <w:sz w:val="28"/>
                <w:szCs w:val="28"/>
                <w:highlight w:val="none"/>
              </w:rPr>
              <w:t>的不同</w:t>
            </w:r>
            <w:r>
              <w:rPr>
                <w:rFonts w:hint="eastAsia" w:ascii="仿宋" w:hAnsi="仿宋" w:eastAsia="仿宋" w:cs="仿宋"/>
                <w:color w:val="auto"/>
                <w:spacing w:val="8"/>
                <w:kern w:val="0"/>
                <w:sz w:val="28"/>
                <w:szCs w:val="28"/>
                <w:highlight w:val="none"/>
                <w:lang w:val="en-US" w:eastAsia="zh-CN"/>
              </w:rPr>
              <w:t>投标人</w:t>
            </w:r>
            <w:r>
              <w:rPr>
                <w:rFonts w:hint="eastAsia" w:ascii="仿宋" w:hAnsi="仿宋" w:eastAsia="仿宋" w:cs="仿宋"/>
                <w:color w:val="auto"/>
                <w:spacing w:val="8"/>
                <w:kern w:val="0"/>
                <w:sz w:val="28"/>
                <w:szCs w:val="28"/>
                <w:highlight w:val="none"/>
              </w:rPr>
              <w:t>电子投标文件的MAC地址一致或使用的电子密钥相同的，将做无效</w:t>
            </w:r>
            <w:r>
              <w:rPr>
                <w:rFonts w:hint="eastAsia" w:ascii="仿宋" w:hAnsi="仿宋" w:eastAsia="仿宋" w:cs="仿宋"/>
                <w:color w:val="auto"/>
                <w:spacing w:val="8"/>
                <w:kern w:val="0"/>
                <w:sz w:val="28"/>
                <w:szCs w:val="28"/>
                <w:highlight w:val="none"/>
                <w:lang w:val="en-US" w:eastAsia="zh-CN"/>
              </w:rPr>
              <w:t>投标</w:t>
            </w:r>
            <w:r>
              <w:rPr>
                <w:rFonts w:hint="eastAsia" w:ascii="仿宋" w:hAnsi="仿宋" w:eastAsia="仿宋" w:cs="仿宋"/>
                <w:color w:val="auto"/>
                <w:spacing w:val="8"/>
                <w:kern w:val="0"/>
                <w:sz w:val="28"/>
                <w:szCs w:val="28"/>
                <w:highlight w:val="none"/>
              </w:rPr>
              <w:t>；</w:t>
            </w:r>
          </w:p>
          <w:p w14:paraId="03FF3895">
            <w:pPr>
              <w:widowControl/>
              <w:shd w:val="clear"/>
              <w:adjustRightInd w:val="0"/>
              <w:spacing w:line="520" w:lineRule="exact"/>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5.不</w:t>
            </w:r>
            <w:r>
              <w:rPr>
                <w:rFonts w:hint="eastAsia" w:ascii="仿宋" w:hAnsi="仿宋" w:eastAsia="仿宋" w:cs="仿宋"/>
                <w:color w:val="auto"/>
                <w:spacing w:val="8"/>
                <w:kern w:val="0"/>
                <w:sz w:val="28"/>
                <w:szCs w:val="28"/>
                <w:highlight w:val="none"/>
              </w:rPr>
              <w:t>存在招标文件24.3条的关于投标人串通投标的情形及其他投标无效的情形</w:t>
            </w:r>
            <w:r>
              <w:rPr>
                <w:rFonts w:hint="eastAsia" w:ascii="仿宋" w:hAnsi="仿宋" w:eastAsia="仿宋" w:cs="仿宋"/>
                <w:color w:val="auto"/>
                <w:spacing w:val="8"/>
                <w:kern w:val="0"/>
                <w:sz w:val="28"/>
                <w:szCs w:val="28"/>
                <w:highlight w:val="none"/>
                <w:lang w:eastAsia="zh-CN"/>
              </w:rPr>
              <w:t>；</w:t>
            </w:r>
          </w:p>
          <w:p w14:paraId="3A3C0B06">
            <w:pPr>
              <w:widowControl/>
              <w:shd w:val="clear"/>
              <w:adjustRightInd w:val="0"/>
              <w:spacing w:line="520" w:lineRule="exact"/>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.评标委员会认为</w:t>
            </w:r>
            <w:r>
              <w:rPr>
                <w:rFonts w:hint="eastAsia" w:ascii="仿宋" w:hAnsi="仿宋" w:eastAsia="仿宋" w:cs="仿宋"/>
                <w:color w:val="auto"/>
                <w:spacing w:val="8"/>
                <w:kern w:val="0"/>
                <w:sz w:val="28"/>
                <w:szCs w:val="28"/>
                <w:highlight w:val="none"/>
                <w:lang w:val="en-US" w:eastAsia="zh-CN"/>
              </w:rPr>
              <w:t>不存在违反</w:t>
            </w:r>
            <w:r>
              <w:rPr>
                <w:rFonts w:hint="eastAsia" w:ascii="仿宋" w:hAnsi="仿宋" w:eastAsia="仿宋" w:cs="仿宋"/>
                <w:color w:val="auto"/>
                <w:spacing w:val="8"/>
                <w:kern w:val="0"/>
                <w:sz w:val="28"/>
                <w:szCs w:val="28"/>
                <w:highlight w:val="none"/>
              </w:rPr>
              <w:t>招标文件其他实质性要求或法律法规规定的其他情形</w:t>
            </w:r>
            <w:r>
              <w:rPr>
                <w:rFonts w:hint="eastAsia" w:ascii="仿宋" w:hAnsi="仿宋" w:eastAsia="仿宋" w:cs="仿宋"/>
                <w:color w:val="auto"/>
                <w:spacing w:val="8"/>
                <w:kern w:val="0"/>
                <w:sz w:val="28"/>
                <w:szCs w:val="28"/>
                <w:highlight w:val="none"/>
                <w:lang w:eastAsia="zh-CN"/>
              </w:rPr>
              <w:t>。</w:t>
            </w:r>
          </w:p>
        </w:tc>
      </w:tr>
    </w:tbl>
    <w:p w14:paraId="5FA90A3A">
      <w:pPr>
        <w:widowControl/>
        <w:shd w:val="clear"/>
        <w:spacing w:line="360" w:lineRule="auto"/>
        <w:rPr>
          <w:rFonts w:ascii="宋体" w:hAnsi="宋体"/>
          <w:color w:val="auto"/>
          <w:sz w:val="24"/>
          <w:szCs w:val="21"/>
          <w:highlight w:val="none"/>
        </w:rPr>
        <w:sectPr>
          <w:pgSz w:w="11906" w:h="16838"/>
          <w:pgMar w:top="1440" w:right="1083" w:bottom="1440" w:left="1083" w:header="851" w:footer="992" w:gutter="0"/>
          <w:pgNumType w:fmt="decimal"/>
          <w:cols w:space="720" w:num="1"/>
          <w:titlePg/>
          <w:rtlGutter w:val="0"/>
          <w:docGrid w:type="lines" w:linePitch="312" w:charSpace="0"/>
        </w:sectPr>
      </w:pPr>
    </w:p>
    <w:bookmarkEnd w:id="0"/>
    <w:bookmarkEnd w:id="1"/>
    <w:bookmarkEnd w:id="2"/>
    <w:bookmarkEnd w:id="3"/>
    <w:p w14:paraId="41BFC55A">
      <w:pPr>
        <w:pStyle w:val="4"/>
        <w:shd w:val="clear"/>
        <w:tabs>
          <w:tab w:val="left" w:pos="426"/>
        </w:tabs>
        <w:spacing w:before="0" w:after="0" w:line="560" w:lineRule="exact"/>
        <w:rPr>
          <w:rFonts w:ascii="黑体" w:hAnsi="黑体" w:eastAsia="黑体"/>
          <w:b w:val="0"/>
          <w:color w:val="auto"/>
          <w:highlight w:val="none"/>
        </w:rPr>
      </w:pPr>
      <w:r>
        <w:rPr>
          <w:rFonts w:hint="eastAsia" w:ascii="黑体" w:hAnsi="黑体" w:eastAsia="黑体"/>
          <w:b w:val="0"/>
          <w:color w:val="auto"/>
          <w:highlight w:val="none"/>
        </w:rPr>
        <w:t>一、说明</w:t>
      </w:r>
    </w:p>
    <w:p w14:paraId="5117B38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山东省省属企业阳光采购监督暂行办法》等法律法规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参照《国有企业采购操作规范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国有企业采购管理规范》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50A16DEA">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1.适用范围</w:t>
      </w:r>
    </w:p>
    <w:p w14:paraId="2021241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AF1CA3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1.2本招标文件的解释权属于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以书面解释为准。</w:t>
      </w:r>
    </w:p>
    <w:p w14:paraId="2E7B63E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1.3招标文件未做须知明示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而又有相关法律、法规规定的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从其规定。</w:t>
      </w:r>
    </w:p>
    <w:p w14:paraId="6DA1793C">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2.相关要求</w:t>
      </w:r>
    </w:p>
    <w:p w14:paraId="7EE4132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均无义务和责任承担这些费用。</w:t>
      </w:r>
    </w:p>
    <w:p w14:paraId="199D2DA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2.2本项目若涉及采购货物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则合格的货物及相应服务应满足以下要求：</w:t>
      </w:r>
    </w:p>
    <w:p w14:paraId="7AD2D75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2.2.1必须是全新、未使用过的原装合格正品（包括零部件）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如安装或配置了软件的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须为正版软件。</w:t>
      </w:r>
    </w:p>
    <w:p w14:paraId="123C19F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2.2.2国产货物及其有关服务必须符合中华人民共和国的设计和制造生产标准或行业标准。招标公告有其他要求的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310F842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并通过中华人民共和国商检部门检验。采购公告有其他要求的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54018A9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2.2.4投标人应保证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其所提供的货物在提供给采购单位前具有完全的所有权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采购单位在中华人民共和国使用该货物或货物的任何一部分时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投标人应承担全部责任。</w:t>
      </w:r>
    </w:p>
    <w:p w14:paraId="5C2653E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投标人应登录“威海市公共资源交易网”首页右侧“交易服务一网通办-（新版）一网通办系统”进行“平台切换”，点击“国企采购”进入国企阳光采购平台获取招标文件，并通过国企阳光采购平台网上上传电子投标文件，未通过国企阳光采购平台上传电子投标文件的，为无效投标。</w:t>
      </w:r>
    </w:p>
    <w:p w14:paraId="7B294BAC">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二、招标文件</w:t>
      </w:r>
    </w:p>
    <w:p w14:paraId="43085D8C">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3.招标文件的构成</w:t>
      </w:r>
    </w:p>
    <w:p w14:paraId="59BA3E1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采用压缩包电子版文件格式提供。</w:t>
      </w:r>
    </w:p>
    <w:p w14:paraId="3424B41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2F06F9F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749623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48273A5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1DA768B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78493A7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投标文件格式</w:t>
      </w:r>
    </w:p>
    <w:p w14:paraId="29CFE5D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6B1A325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（7）在采购过程中由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发出的修正和补充文件等</w:t>
      </w:r>
      <w:r>
        <w:rPr>
          <w:rFonts w:hint="eastAsia" w:ascii="仿宋" w:hAnsi="仿宋" w:eastAsia="仿宋" w:cs="仿宋"/>
          <w:color w:val="auto"/>
          <w:sz w:val="28"/>
          <w:szCs w:val="28"/>
          <w:highlight w:val="none"/>
          <w:lang w:eastAsia="zh-CN"/>
        </w:rPr>
        <w:t>（如有）</w:t>
      </w:r>
    </w:p>
    <w:p w14:paraId="27F2D91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格式）由下列文件组成：</w:t>
      </w:r>
    </w:p>
    <w:p w14:paraId="2674980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71DEBD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163C8F7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（3）需求响应表</w:t>
      </w:r>
      <w:r>
        <w:rPr>
          <w:rFonts w:hint="eastAsia" w:ascii="仿宋" w:hAnsi="仿宋" w:eastAsia="仿宋" w:cs="仿宋"/>
          <w:color w:val="auto"/>
          <w:sz w:val="28"/>
          <w:szCs w:val="28"/>
          <w:highlight w:val="none"/>
          <w:lang w:eastAsia="zh-CN"/>
        </w:rPr>
        <w:t>（如有）</w:t>
      </w:r>
    </w:p>
    <w:p w14:paraId="28A9265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6D6BB52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（5）评分对照表</w:t>
      </w:r>
      <w:r>
        <w:rPr>
          <w:rFonts w:hint="eastAsia" w:ascii="仿宋" w:hAnsi="仿宋" w:eastAsia="仿宋" w:cs="仿宋"/>
          <w:color w:val="auto"/>
          <w:sz w:val="28"/>
          <w:szCs w:val="28"/>
          <w:highlight w:val="none"/>
          <w:lang w:eastAsia="zh-CN"/>
        </w:rPr>
        <w:t>（如有）</w:t>
      </w:r>
    </w:p>
    <w:p w14:paraId="6B01B10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如果投标人没有按照招标文件要求提交全部资料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或者投标人没有对招标文件在各方面都做出实质性响应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其风险应由投标人自行承担并根据有关政策和条款规定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其投标有可能被拒绝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或者被认定为无效投标。</w:t>
      </w:r>
    </w:p>
    <w:p w14:paraId="60420E86">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4.招标文件的澄清</w:t>
      </w:r>
    </w:p>
    <w:p w14:paraId="68D9982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对招标文件若有任何疑问或要求澄清招标文件的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应在投标截止前2日内按“投标须知前附表”第四项向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提出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将协助</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组织所有</w:t>
      </w:r>
      <w:r>
        <w:rPr>
          <w:rFonts w:hint="eastAsia" w:ascii="仿宋" w:hAnsi="仿宋" w:eastAsia="仿宋" w:cs="仿宋"/>
          <w:color w:val="auto"/>
          <w:sz w:val="28"/>
          <w:szCs w:val="28"/>
          <w:highlight w:val="none"/>
          <w:lang w:val="en-US" w:eastAsia="zh-CN"/>
        </w:rPr>
        <w:t>获取</w:t>
      </w:r>
      <w:r>
        <w:rPr>
          <w:rFonts w:hint="eastAsia" w:ascii="仿宋" w:hAnsi="仿宋" w:eastAsia="仿宋" w:cs="仿宋"/>
          <w:color w:val="auto"/>
          <w:sz w:val="28"/>
          <w:szCs w:val="28"/>
          <w:highlight w:val="none"/>
        </w:rPr>
        <w:t>招标文件的潜在投标人举行答疑会</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根据需要主动对招标文件进行必要的澄清或根据投标人的要求对招标文件做出澄清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都将以原网站公开发布形式（包括电子交易系统推送）答复或发送给所有投标人。澄清文件作为招标文件的组成部分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对投标人起约束作用。</w:t>
      </w:r>
    </w:p>
    <w:p w14:paraId="446DDA5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w:t>
      </w:r>
      <w:r>
        <w:rPr>
          <w:rFonts w:hint="eastAsia" w:ascii="仿宋" w:hAnsi="仿宋" w:eastAsia="仿宋" w:cs="仿宋"/>
          <w:color w:val="auto"/>
          <w:sz w:val="28"/>
          <w:szCs w:val="28"/>
          <w:highlight w:val="none"/>
          <w:lang w:val="en-US" w:eastAsia="zh-CN"/>
        </w:rPr>
        <w:t>要求</w:t>
      </w:r>
      <w:r>
        <w:rPr>
          <w:rFonts w:hint="eastAsia" w:ascii="仿宋" w:hAnsi="仿宋" w:eastAsia="仿宋" w:cs="仿宋"/>
          <w:color w:val="auto"/>
          <w:sz w:val="28"/>
          <w:szCs w:val="28"/>
          <w:highlight w:val="none"/>
        </w:rPr>
        <w:t>澄清或提出疑问的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将视其为接受招标文件的所有条款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对招标文件没有异议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此后也不再受理对招标文件的相关质疑。</w:t>
      </w:r>
    </w:p>
    <w:p w14:paraId="63988574">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5.招标文件的修改</w:t>
      </w:r>
    </w:p>
    <w:p w14:paraId="47308D9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无论出于何种原因</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可主动或在解答投标人提出的疑问时对招标文件进行修改。</w:t>
      </w:r>
    </w:p>
    <w:p w14:paraId="41B417F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将会通过原发布媒介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以更正公告形式（电子交易系统发送更正提醒通知）一并告知所有潜在投标人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并对潜在投标人具有约束力。潜在投标人在收到上述通知后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应立即以书面形式向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如在24小时内无书面回函则视为同意修改内容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并有义务履行相应的义务。</w:t>
      </w:r>
    </w:p>
    <w:p w14:paraId="1E57BD3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将在投标截止时间2日前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通过原发布媒介发布公告的形式（电子交易系统内发送更正提醒通知）通知所有获取招标文件的潜在投标人（招标文件变更的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投标人必须从电子交易系统中重新下载招标文件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并在新下载文件的基础上编制投标文件）；不足2日的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将顺延提交投标文件的截止时间。</w:t>
      </w:r>
    </w:p>
    <w:p w14:paraId="218E1F48">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三、投标文件的编制</w:t>
      </w:r>
    </w:p>
    <w:p w14:paraId="3CCC51B1">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6.投标文件编制要求</w:t>
      </w:r>
    </w:p>
    <w:p w14:paraId="13F236F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投标人应将其译成中文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如未翻译该文件为无效文件。</w:t>
      </w:r>
    </w:p>
    <w:p w14:paraId="3A25ED3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1026D09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并接受</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对其中任何资料进一步核实的要求。如果因为投标文件填报的内容不详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或没有提供招标文件中所要求的全部资料及数据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或提供虚假文件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由此造成的后果由投标人自负。</w:t>
      </w:r>
    </w:p>
    <w:p w14:paraId="0FD85EB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6.4投标人应按招标文件中提供的投标文件格式（详见第五章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）按包段编写投标文件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并使用A4规格编制。投标文件应编写目录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具有结构清晰的文档结构图（打开word视图中的“文档结构图”后能看到详细章节）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页码连续。</w:t>
      </w:r>
    </w:p>
    <w:p w14:paraId="0120390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经扫描后粘贴到投标文件的相关页上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确保清晰度可辨认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评审时由于无法辨认所产生的后果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75711210">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6.6投标人应自行确保本文件的内容已充分覆盖了数据文件中《评审对照表》和《评分对照表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》中的各项要求</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并准确将对应的起止页码填写到数据文件《评审对照表</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》表格中每项后的起始页码和终止页码栏位上。对于不涉及或无法填写的评审项（评分项）（例如：报价）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可在页码索引处填写1。</w:t>
      </w:r>
    </w:p>
    <w:p w14:paraId="55D3374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系统对所投递的电子文件有大小的限制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投标人应尽可能降低本文件的大小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小尺寸投标文件将使递交更快捷、减少差错发生几率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避免投标截止时间前未能完整上传文件。</w:t>
      </w:r>
    </w:p>
    <w:p w14:paraId="555DFFF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任何人的口头协议不影响投标文件的任何条款和内容。</w:t>
      </w:r>
    </w:p>
    <w:p w14:paraId="15E9765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均无义务向投标人解释其中标或未中标的原因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且无论投标人是否中标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投标人所递交的投标文件均不予退还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不提供副本拷贝。</w:t>
      </w:r>
    </w:p>
    <w:p w14:paraId="6A459E5A">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7.数据文件编制要求</w:t>
      </w:r>
    </w:p>
    <w:p w14:paraId="231D5DB1">
      <w:pPr>
        <w:shd w:val="clear"/>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必须在原文件上严格按照其中要求填写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其内部已约定好固定格式和相关内容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且带有特定的唯一性数字指纹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对采用非该文件基础上编制或对该文件进行任何工作表、表格行、表格列的增减、对工作表先后顺序的变动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都会破坏本文件中的数字指纹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0B66710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完整、准确地填写《封面》《投标报价表（含明细）》《需求响应表</w:t>
      </w:r>
      <w:r>
        <w:rPr>
          <w:rFonts w:hint="eastAsia" w:ascii="仿宋" w:hAnsi="仿宋" w:eastAsia="仿宋" w:cs="仿宋"/>
          <w:color w:val="auto"/>
          <w:sz w:val="28"/>
          <w:szCs w:val="28"/>
          <w:highlight w:val="none"/>
          <w:lang w:eastAsia="zh-CN"/>
        </w:rPr>
        <w:t>（如有）</w:t>
      </w:r>
      <w:r>
        <w:rPr>
          <w:rFonts w:hint="eastAsia" w:ascii="仿宋" w:hAnsi="仿宋" w:eastAsia="仿宋" w:cs="仿宋"/>
          <w:color w:val="auto"/>
          <w:sz w:val="28"/>
          <w:szCs w:val="28"/>
          <w:highlight w:val="none"/>
        </w:rPr>
        <w:t>》《评审对照表》《评分对照表</w:t>
      </w:r>
      <w:r>
        <w:rPr>
          <w:rFonts w:hint="eastAsia" w:ascii="仿宋" w:hAnsi="仿宋" w:eastAsia="仿宋" w:cs="仿宋"/>
          <w:color w:val="auto"/>
          <w:sz w:val="28"/>
          <w:szCs w:val="28"/>
          <w:highlight w:val="none"/>
          <w:lang w:eastAsia="zh-CN"/>
        </w:rPr>
        <w:t>（如有）</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任何的漏表、漏项及信息不完整、填写数据不规范或不正确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1629979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应按照上述2项的要求进行认真检查、确认。因投标人自身原因所导致其投标失败的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须自行承担相关责任。</w:t>
      </w:r>
    </w:p>
    <w:p w14:paraId="3A260694">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8.文件构成</w:t>
      </w:r>
    </w:p>
    <w:p w14:paraId="723B70C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每个包段的投标文件分两册必须包括：投标文件（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以上内容缺一不可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1F406DF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格式）（第一册）应包括但不少于下列内容：</w:t>
      </w:r>
    </w:p>
    <w:p w14:paraId="01FF0C9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（1）投标文件封面</w:t>
      </w:r>
      <w:r>
        <w:rPr>
          <w:rFonts w:hint="eastAsia" w:ascii="仿宋" w:hAnsi="仿宋" w:eastAsia="仿宋" w:cs="仿宋"/>
          <w:color w:val="auto"/>
          <w:sz w:val="28"/>
          <w:szCs w:val="28"/>
          <w:highlight w:val="none"/>
          <w:lang w:eastAsia="zh-CN"/>
        </w:rPr>
        <w:t>（格式见本文件第五章）</w:t>
      </w:r>
    </w:p>
    <w:p w14:paraId="48FB250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0B6FE0C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（3）投标承诺函</w:t>
      </w:r>
      <w:r>
        <w:rPr>
          <w:rFonts w:hint="eastAsia" w:ascii="仿宋" w:hAnsi="仿宋" w:eastAsia="仿宋" w:cs="仿宋"/>
          <w:color w:val="auto"/>
          <w:sz w:val="28"/>
          <w:szCs w:val="28"/>
          <w:highlight w:val="none"/>
          <w:lang w:eastAsia="zh-CN"/>
        </w:rPr>
        <w:t>（格式见本文件第五章）</w:t>
      </w:r>
    </w:p>
    <w:p w14:paraId="04882E2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）报价内的备品备件、易损件及专用工具清单</w:t>
      </w:r>
      <w:r>
        <w:rPr>
          <w:rFonts w:hint="eastAsia" w:ascii="仿宋" w:hAnsi="仿宋" w:eastAsia="仿宋" w:cs="仿宋"/>
          <w:color w:val="auto"/>
          <w:sz w:val="28"/>
          <w:szCs w:val="28"/>
          <w:highlight w:val="none"/>
          <w:lang w:eastAsia="zh-CN"/>
        </w:rPr>
        <w:t>（格式见本文件第五章）</w:t>
      </w:r>
    </w:p>
    <w:p w14:paraId="12E5888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质保期后能供应的备品备件价格明细表</w:t>
      </w:r>
      <w:r>
        <w:rPr>
          <w:rFonts w:hint="eastAsia" w:ascii="仿宋" w:hAnsi="仿宋" w:eastAsia="仿宋" w:cs="仿宋"/>
          <w:color w:val="auto"/>
          <w:sz w:val="28"/>
          <w:szCs w:val="28"/>
          <w:highlight w:val="none"/>
          <w:lang w:eastAsia="zh-CN"/>
        </w:rPr>
        <w:t>（格式见本文件第五章）</w:t>
      </w:r>
    </w:p>
    <w:p w14:paraId="4130395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投标人资格证明文件</w:t>
      </w:r>
    </w:p>
    <w:p w14:paraId="480823C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有效的营业执照扫描件或其他能证明具有独立承担民事责任的能力的证明材料扫描件</w:t>
      </w:r>
      <w:r>
        <w:rPr>
          <w:rFonts w:hint="eastAsia" w:ascii="仿宋" w:hAnsi="仿宋" w:eastAsia="仿宋" w:cs="仿宋"/>
          <w:color w:val="auto"/>
          <w:sz w:val="28"/>
          <w:szCs w:val="28"/>
          <w:highlight w:val="none"/>
        </w:rPr>
        <w:t>；</w:t>
      </w:r>
    </w:p>
    <w:p w14:paraId="142BBF6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②法定代表人/负责人身份证明书（格式见本文件第五章）</w:t>
      </w:r>
      <w:r>
        <w:rPr>
          <w:rFonts w:hint="eastAsia" w:ascii="仿宋" w:hAnsi="仿宋" w:eastAsia="仿宋" w:cs="仿宋"/>
          <w:color w:val="auto"/>
          <w:sz w:val="28"/>
          <w:szCs w:val="28"/>
          <w:highlight w:val="none"/>
          <w:lang w:eastAsia="zh-CN"/>
        </w:rPr>
        <w:t>；</w:t>
      </w:r>
    </w:p>
    <w:p w14:paraId="0105DCF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③法人授权委托书</w:t>
      </w:r>
      <w:r>
        <w:rPr>
          <w:rFonts w:hint="eastAsia" w:ascii="仿宋" w:hAnsi="仿宋" w:eastAsia="仿宋" w:cs="仿宋"/>
          <w:color w:val="auto"/>
          <w:sz w:val="28"/>
          <w:szCs w:val="28"/>
          <w:highlight w:val="none"/>
          <w:lang w:eastAsia="zh-CN"/>
        </w:rPr>
        <w:t>（格式见本文件第五章）、被授权人身份证扫描件</w:t>
      </w:r>
      <w:r>
        <w:rPr>
          <w:rFonts w:hint="eastAsia" w:ascii="仿宋" w:hAnsi="仿宋" w:eastAsia="仿宋" w:cs="仿宋"/>
          <w:color w:val="auto"/>
          <w:sz w:val="28"/>
          <w:szCs w:val="28"/>
          <w:highlight w:val="none"/>
        </w:rPr>
        <w:t>；</w:t>
      </w:r>
    </w:p>
    <w:p w14:paraId="0591185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若投标单位代表为企业法定代表人/单位负责人的，则只需提供企业法定代表人/单位负责人身份证扫描件（加盖投标单位公章）；</w:t>
      </w:r>
    </w:p>
    <w:p w14:paraId="2169C72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④投标人具有良好的商业信誉和健全的财务会计制度声明（格式见本文件第五章）；</w:t>
      </w:r>
    </w:p>
    <w:p w14:paraId="10CBE9C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⑤投标人具有履行合同所必需的设备和专业技术能力声明（格式见本文件第五章）；</w:t>
      </w:r>
    </w:p>
    <w:p w14:paraId="0E18D22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⑥</w:t>
      </w:r>
      <w:r>
        <w:rPr>
          <w:rFonts w:hint="eastAsia" w:ascii="仿宋" w:hAnsi="仿宋" w:eastAsia="仿宋" w:cs="仿宋"/>
          <w:color w:val="auto"/>
          <w:sz w:val="28"/>
          <w:szCs w:val="28"/>
          <w:highlight w:val="none"/>
          <w:lang w:eastAsia="zh-CN"/>
        </w:rPr>
        <w:t>投标人的依法缴纳税收和社会保障资金的声明（格式见本文件第五章）</w:t>
      </w:r>
      <w:r>
        <w:rPr>
          <w:rFonts w:hint="eastAsia" w:ascii="仿宋" w:hAnsi="仿宋" w:eastAsia="仿宋" w:cs="仿宋"/>
          <w:color w:val="auto"/>
          <w:sz w:val="28"/>
          <w:szCs w:val="28"/>
          <w:highlight w:val="none"/>
        </w:rPr>
        <w:t>及开标前6个月内任意月份的依法缴纳税收和社会保障资金的证明材料；</w:t>
      </w:r>
    </w:p>
    <w:p w14:paraId="68E3E8B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⑦投标人无重大违法记录声明</w:t>
      </w:r>
      <w:r>
        <w:rPr>
          <w:rFonts w:hint="eastAsia" w:ascii="仿宋" w:hAnsi="仿宋" w:eastAsia="仿宋" w:cs="仿宋"/>
          <w:color w:val="auto"/>
          <w:sz w:val="28"/>
          <w:szCs w:val="28"/>
          <w:highlight w:val="none"/>
          <w:lang w:eastAsia="zh-CN"/>
        </w:rPr>
        <w:t>（格式见本文件第五章）</w:t>
      </w:r>
      <w:r>
        <w:rPr>
          <w:rFonts w:hint="eastAsia" w:ascii="仿宋" w:hAnsi="仿宋" w:eastAsia="仿宋" w:cs="仿宋"/>
          <w:color w:val="auto"/>
          <w:sz w:val="28"/>
          <w:szCs w:val="28"/>
          <w:highlight w:val="none"/>
        </w:rPr>
        <w:t>；</w:t>
      </w:r>
    </w:p>
    <w:p w14:paraId="4EB1428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⑧投标人及其法定代表人、被授权人未被最高人民法院列为失信被执行人网站查询结果截图（省份为全部，查询网址：https://zxgk.court.gov.cn/shixin/）；</w:t>
      </w:r>
    </w:p>
    <w:p w14:paraId="3B7454C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⑨</w:t>
      </w:r>
      <w:r>
        <w:rPr>
          <w:rFonts w:hint="eastAsia" w:ascii="仿宋" w:hAnsi="仿宋" w:eastAsia="仿宋" w:cs="仿宋"/>
          <w:color w:val="auto"/>
          <w:sz w:val="28"/>
          <w:szCs w:val="28"/>
          <w:highlight w:val="none"/>
          <w:lang w:eastAsia="zh-CN"/>
        </w:rPr>
        <w:t>投标人近一年在“信用中国”或“信用中国（山东）”无严重失信记录，附通过网站查询的信用报告（查询网址：www.creditchina.gov.cn或credit.shandong.gov.cn）</w:t>
      </w:r>
      <w:r>
        <w:rPr>
          <w:rFonts w:hint="eastAsia" w:ascii="仿宋" w:hAnsi="仿宋" w:eastAsia="仿宋" w:cs="仿宋"/>
          <w:color w:val="auto"/>
          <w:sz w:val="28"/>
          <w:szCs w:val="28"/>
          <w:highlight w:val="none"/>
        </w:rPr>
        <w:t>；</w:t>
      </w:r>
    </w:p>
    <w:p w14:paraId="22CE9EE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⑩投标人认为需要提供的其他资质资格证明文件。</w:t>
      </w:r>
    </w:p>
    <w:p w14:paraId="79FB83A0">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17A3CDE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）符合性审查表</w:t>
      </w:r>
      <w:r>
        <w:rPr>
          <w:rFonts w:hint="eastAsia" w:ascii="仿宋" w:hAnsi="仿宋" w:eastAsia="仿宋" w:cs="仿宋"/>
          <w:color w:val="auto"/>
          <w:sz w:val="28"/>
          <w:szCs w:val="28"/>
          <w:highlight w:val="none"/>
          <w:lang w:eastAsia="zh-CN"/>
        </w:rPr>
        <w:t>（格式见本文件第五章）</w:t>
      </w:r>
    </w:p>
    <w:p w14:paraId="197505D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）投标人基本情况</w:t>
      </w:r>
      <w:r>
        <w:rPr>
          <w:rFonts w:hint="eastAsia" w:ascii="仿宋" w:hAnsi="仿宋" w:eastAsia="仿宋" w:cs="仿宋"/>
          <w:color w:val="auto"/>
          <w:sz w:val="28"/>
          <w:szCs w:val="28"/>
          <w:highlight w:val="none"/>
          <w:lang w:val="en-US" w:eastAsia="zh-CN"/>
        </w:rPr>
        <w:t>表</w:t>
      </w:r>
      <w:r>
        <w:rPr>
          <w:rFonts w:hint="eastAsia" w:ascii="仿宋" w:hAnsi="仿宋" w:eastAsia="仿宋" w:cs="仿宋"/>
          <w:color w:val="auto"/>
          <w:sz w:val="28"/>
          <w:szCs w:val="28"/>
          <w:highlight w:val="none"/>
          <w:lang w:eastAsia="zh-CN"/>
        </w:rPr>
        <w:t>（格式见本文件第五章）</w:t>
      </w:r>
    </w:p>
    <w:p w14:paraId="4EDE32B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技术文件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包括但不限于以下内容：</w:t>
      </w:r>
    </w:p>
    <w:p w14:paraId="35BEF0F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①所报产品的主要技术数据和性能的详细描述、产品组成说明</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rPr>
        <w:t>；（包括品牌、型号、制造商、产地等）；</w:t>
      </w:r>
    </w:p>
    <w:p w14:paraId="18C5568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②</w:t>
      </w:r>
      <w:r>
        <w:rPr>
          <w:rFonts w:hint="eastAsia" w:ascii="仿宋" w:hAnsi="仿宋" w:eastAsia="仿宋" w:cs="仿宋"/>
          <w:color w:val="auto"/>
          <w:sz w:val="28"/>
          <w:szCs w:val="28"/>
          <w:highlight w:val="none"/>
        </w:rPr>
        <w:t>所报产品的彩页</w:t>
      </w:r>
      <w:r>
        <w:rPr>
          <w:rFonts w:hint="eastAsia" w:ascii="仿宋" w:hAnsi="仿宋" w:eastAsia="仿宋" w:cs="仿宋"/>
          <w:color w:val="auto"/>
          <w:sz w:val="28"/>
          <w:szCs w:val="28"/>
          <w:highlight w:val="none"/>
          <w:lang w:val="en-US" w:eastAsia="zh-CN"/>
        </w:rPr>
        <w:t>或图片</w:t>
      </w:r>
      <w:r>
        <w:rPr>
          <w:rFonts w:hint="eastAsia" w:ascii="仿宋" w:hAnsi="仿宋" w:eastAsia="仿宋" w:cs="仿宋"/>
          <w:color w:val="auto"/>
          <w:sz w:val="28"/>
          <w:szCs w:val="28"/>
          <w:highlight w:val="none"/>
          <w:lang w:eastAsia="zh-CN"/>
        </w:rPr>
        <w:t>（如有）</w:t>
      </w:r>
      <w:r>
        <w:rPr>
          <w:rFonts w:hint="eastAsia" w:ascii="仿宋" w:hAnsi="仿宋" w:eastAsia="仿宋" w:cs="仿宋"/>
          <w:color w:val="auto"/>
          <w:sz w:val="28"/>
          <w:szCs w:val="28"/>
          <w:highlight w:val="none"/>
        </w:rPr>
        <w:t>；</w:t>
      </w:r>
    </w:p>
    <w:p w14:paraId="7679831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③</w:t>
      </w:r>
      <w:r>
        <w:rPr>
          <w:rFonts w:hint="eastAsia" w:ascii="仿宋" w:hAnsi="仿宋" w:eastAsia="仿宋" w:cs="仿宋"/>
          <w:color w:val="auto"/>
          <w:sz w:val="28"/>
          <w:szCs w:val="28"/>
          <w:highlight w:val="none"/>
        </w:rPr>
        <w:t>所报产品的制造、安装、验收标准；</w:t>
      </w:r>
    </w:p>
    <w:p w14:paraId="707F5A1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④实施方案；</w:t>
      </w:r>
    </w:p>
    <w:p w14:paraId="4A790E7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⑤培训方案；</w:t>
      </w:r>
    </w:p>
    <w:p w14:paraId="17E1914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⑥售后服务内容及承诺（其中，售后服务承诺至少包含响应时间、到达现场时间、完成修复时间、不能修复的保证措施、质保期内措施、质保期外措施）；</w:t>
      </w:r>
    </w:p>
    <w:p w14:paraId="0FD7998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⑦</w:t>
      </w:r>
      <w:r>
        <w:rPr>
          <w:rFonts w:hint="eastAsia" w:ascii="仿宋" w:hAnsi="仿宋" w:eastAsia="仿宋" w:cs="仿宋"/>
          <w:color w:val="auto"/>
          <w:sz w:val="28"/>
          <w:szCs w:val="28"/>
          <w:highlight w:val="none"/>
        </w:rPr>
        <w:t>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0D0DEAB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）投标偏离表</w:t>
      </w:r>
      <w:r>
        <w:rPr>
          <w:rFonts w:hint="eastAsia" w:ascii="仿宋" w:hAnsi="仿宋" w:eastAsia="仿宋" w:cs="仿宋"/>
          <w:color w:val="auto"/>
          <w:sz w:val="28"/>
          <w:szCs w:val="28"/>
          <w:highlight w:val="none"/>
          <w:lang w:eastAsia="zh-CN"/>
        </w:rPr>
        <w:t>（格式见本文件第五章）</w:t>
      </w:r>
    </w:p>
    <w:p w14:paraId="3572E1B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p>
    <w:p w14:paraId="79C154E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并严格按照要求填写。填写完成后在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中上传该数据文件（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系统将自动转换为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再加盖投标人电子印章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未按要求填写或盖章为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格式）包含下列内容：</w:t>
      </w:r>
    </w:p>
    <w:p w14:paraId="74150FE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005EEC5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DD259C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（3）需求响应表</w:t>
      </w:r>
      <w:r>
        <w:rPr>
          <w:rFonts w:hint="eastAsia" w:ascii="仿宋" w:hAnsi="仿宋" w:eastAsia="仿宋" w:cs="仿宋"/>
          <w:color w:val="auto"/>
          <w:sz w:val="28"/>
          <w:szCs w:val="28"/>
          <w:highlight w:val="none"/>
          <w:lang w:eastAsia="zh-CN"/>
        </w:rPr>
        <w:t>（如有）</w:t>
      </w:r>
    </w:p>
    <w:p w14:paraId="17AFB97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4B8108D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（5）评分对照表</w:t>
      </w:r>
      <w:r>
        <w:rPr>
          <w:rFonts w:hint="eastAsia" w:ascii="仿宋" w:hAnsi="仿宋" w:eastAsia="仿宋" w:cs="仿宋"/>
          <w:color w:val="auto"/>
          <w:sz w:val="28"/>
          <w:szCs w:val="28"/>
          <w:highlight w:val="none"/>
          <w:lang w:eastAsia="zh-CN"/>
        </w:rPr>
        <w:t>（如有）</w:t>
      </w:r>
    </w:p>
    <w:p w14:paraId="1065B21F">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9.投标报价</w:t>
      </w:r>
    </w:p>
    <w:p w14:paraId="2A4C5F3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9.1投标人所提供的（产品）货物或服务或工程均以人民币报价，精确到小数点后两位。</w:t>
      </w:r>
    </w:p>
    <w:p w14:paraId="062F0A6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w:t>
      </w:r>
    </w:p>
    <w:p w14:paraId="7669E99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并加盖电子公章。</w:t>
      </w:r>
    </w:p>
    <w:p w14:paraId="5A9B46F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4EBF5A0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71F0486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（2）投标人应对本次招标的全部或部分内容以包为单位进行报价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包内缺项报价投标无效。如因投标人自身的原因报价失误而造成的损失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02B7A26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报价明细表中“*”是必填项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任何必填项为空时都可能导致本次投标无效。</w:t>
      </w:r>
    </w:p>
    <w:p w14:paraId="5CE545C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（4）《投标报价表（含明细）》中“报价产品的型号”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型号填写的一般规则为：品牌+产品型号。</w:t>
      </w:r>
    </w:p>
    <w:p w14:paraId="0042E69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无需手工录入。</w:t>
      </w:r>
    </w:p>
    <w:p w14:paraId="3005B8E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3A05767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有“*”的列是必输项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任何必输项为空都可能导致您的本次投标无效；</w:t>
      </w:r>
    </w:p>
    <w:p w14:paraId="6293E0E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应采用选择性粘贴</w:t>
      </w:r>
      <w:r>
        <w:rPr>
          <w:rFonts w:hint="eastAsia" w:ascii="仿宋" w:hAnsi="仿宋" w:eastAsia="仿宋" w:cs="仿宋"/>
          <w:color w:val="auto"/>
          <w:sz w:val="28"/>
          <w:szCs w:val="28"/>
          <w:highlight w:val="none"/>
          <w:lang w:eastAsia="zh-CN"/>
        </w:rPr>
        <w:t>（只粘贴文本），</w:t>
      </w:r>
      <w:r>
        <w:rPr>
          <w:rFonts w:hint="eastAsia" w:ascii="仿宋" w:hAnsi="仿宋" w:eastAsia="仿宋" w:cs="仿宋"/>
          <w:color w:val="auto"/>
          <w:sz w:val="28"/>
          <w:szCs w:val="28"/>
          <w:highlight w:val="none"/>
        </w:rPr>
        <w:t>否则单元格填写无效或被锁死；</w:t>
      </w:r>
    </w:p>
    <w:p w14:paraId="4056DE9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请点击编辑栏进行查看；</w:t>
      </w:r>
    </w:p>
    <w:p w14:paraId="1E31425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的招标需求的逐一说明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如实填写。“响应需求”中需详细列明所报产品</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的明细；若与投标文件中提供的产品检测报告</w:t>
      </w:r>
      <w:r>
        <w:rPr>
          <w:rFonts w:hint="eastAsia" w:ascii="仿宋" w:hAnsi="仿宋" w:eastAsia="仿宋" w:cs="仿宋"/>
          <w:color w:val="auto"/>
          <w:sz w:val="28"/>
          <w:szCs w:val="28"/>
          <w:highlight w:val="none"/>
          <w:lang w:eastAsia="zh-CN"/>
        </w:rPr>
        <w:t>（如有）</w:t>
      </w:r>
      <w:r>
        <w:rPr>
          <w:rFonts w:hint="eastAsia" w:ascii="仿宋" w:hAnsi="仿宋" w:eastAsia="仿宋" w:cs="仿宋"/>
          <w:color w:val="auto"/>
          <w:sz w:val="28"/>
          <w:szCs w:val="28"/>
          <w:highlight w:val="none"/>
        </w:rPr>
        <w:t>、生产厂家出具的产品彩页等证明材料的实质性响应情况不一致</w:t>
      </w:r>
      <w:r>
        <w:rPr>
          <w:rFonts w:hint="eastAsia" w:ascii="仿宋" w:hAnsi="仿宋" w:eastAsia="仿宋" w:cs="仿宋"/>
          <w:color w:val="auto"/>
          <w:sz w:val="28"/>
          <w:szCs w:val="28"/>
          <w:highlight w:val="none"/>
          <w:lang w:eastAsia="zh-CN"/>
        </w:rPr>
        <w:t>（如有），</w:t>
      </w:r>
      <w:r>
        <w:rPr>
          <w:rFonts w:hint="eastAsia" w:ascii="仿宋" w:hAnsi="仿宋" w:eastAsia="仿宋" w:cs="仿宋"/>
          <w:color w:val="auto"/>
          <w:sz w:val="28"/>
          <w:szCs w:val="28"/>
          <w:highlight w:val="none"/>
        </w:rPr>
        <w:t>由投标人自行承担不利后果，包括但不限于投标无效，相应评审因素对应的分值为0分。</w:t>
      </w:r>
    </w:p>
    <w:p w14:paraId="4179FB9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758C14C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必须在原表上填写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280CF63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6C533B29">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10.联合体投标</w:t>
      </w:r>
    </w:p>
    <w:p w14:paraId="166A101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两个以上的自然人、法人或者其他组织可以组成一个联合体，以一个投标人的身份共同参加采购活动。</w:t>
      </w:r>
    </w:p>
    <w:p w14:paraId="5979E46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采购活动的，参加联合体的投标人均应当满足采购公告及采购文件的资质要求，并应当向采购人提交联合体协议，载明联合体各方承担的工作和义务。联合体各方应当共同与采购人签订采购合同，就采购合同约定的事项对采购人承担连带责任。</w:t>
      </w:r>
    </w:p>
    <w:p w14:paraId="35FA3E2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2C47B20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10.3联合体的各方应当共同推荐一名联合体投标授权代表方，由联合体各方提交一份授权书，证明其有资格代表联合体各方签署投标文件，该授权书作为投标文件的组成部分一并提交给采购代理机构。</w:t>
      </w:r>
    </w:p>
    <w:p w14:paraId="00C8F66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1C7F60F9">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57B515BE">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11.关于分包</w:t>
      </w:r>
    </w:p>
    <w:p w14:paraId="527222D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3C73053A">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12.现场踏勘</w:t>
      </w:r>
    </w:p>
    <w:p w14:paraId="1ED7450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将组织投标人对项目现场及周围环境进行踏勘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以便投标人获取有关编制投标文件和签署合同所需的所有资料。踏勘现场所发生的费用由投标人自己承担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投标人应按</w:t>
      </w:r>
      <w:r>
        <w:rPr>
          <w:rFonts w:hint="eastAsia" w:ascii="仿宋" w:hAnsi="仿宋" w:eastAsia="仿宋" w:cs="仿宋"/>
          <w:color w:val="auto"/>
          <w:sz w:val="28"/>
          <w:szCs w:val="28"/>
          <w:highlight w:val="none"/>
          <w:lang w:val="en-US" w:eastAsia="zh-CN"/>
        </w:rPr>
        <w:t>投标须知前附表</w:t>
      </w:r>
      <w:r>
        <w:rPr>
          <w:rFonts w:hint="eastAsia" w:ascii="仿宋" w:hAnsi="仿宋" w:eastAsia="仿宋" w:cs="仿宋"/>
          <w:color w:val="auto"/>
          <w:sz w:val="28"/>
          <w:szCs w:val="28"/>
          <w:highlight w:val="none"/>
        </w:rPr>
        <w:t>所约定的时间、地点踏勘现场。</w:t>
      </w:r>
    </w:p>
    <w:p w14:paraId="7C79014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的允许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可以踏勘目的进入采购单位的项目现场。若本项目招标文件要求投标人于统一时间地点踏勘现场的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投标人应当按时前往。</w:t>
      </w:r>
    </w:p>
    <w:p w14:paraId="7B48B2D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的原因外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投标人自行负责在踏勘现场中所发生的人员伤亡和财产损失。</w:t>
      </w:r>
    </w:p>
    <w:p w14:paraId="24C9D94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75B500A">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507E0487">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13.投标的有效期</w:t>
      </w:r>
    </w:p>
    <w:p w14:paraId="56EE83F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投标有效期为90天。投标有效期短于90天的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其投标为无效投标。</w:t>
      </w:r>
    </w:p>
    <w:p w14:paraId="30D21F6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在投标有效期满之前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可以要求投标人延长投标有效期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投标人可以书面形式拒绝或接受上述要求。同意延长投标有效期的投标人不得修改投标文件的实质性内容。</w:t>
      </w:r>
    </w:p>
    <w:p w14:paraId="04F0E606">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14.投标保证金</w:t>
      </w:r>
    </w:p>
    <w:p w14:paraId="73DEC05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本项目投标保证金收取情况见《投标须知前附表》。</w:t>
      </w:r>
    </w:p>
    <w:p w14:paraId="3443A63D">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15.履约保证金的交纳与返还</w:t>
      </w:r>
    </w:p>
    <w:p w14:paraId="32D3975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本项目履约保证金收取情况见《投标须知前附表》。</w:t>
      </w:r>
    </w:p>
    <w:p w14:paraId="7B0773D7">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16.投标文件的数量和签署</w:t>
      </w:r>
    </w:p>
    <w:p w14:paraId="2F71E56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格式）（第一册）1份</w:t>
      </w:r>
    </w:p>
    <w:p w14:paraId="39908B9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电子印章与实物印章具有同等法律效力。</w:t>
      </w:r>
    </w:p>
    <w:p w14:paraId="4E9306A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最后通过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格式（或者其他</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转换工具）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之后通过签章功能在</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文件上逐页加盖电子印章并保存到本地计算机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加盖了电子印章的</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文件即为最终的投标文件。</w:t>
      </w:r>
    </w:p>
    <w:p w14:paraId="414FCB3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14:paraId="04B15F5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被授权人又无电子章的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在word编制时可将被授权人手写签字扫描后的图片粘贴到投标文件中对应位置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并加盖单位电子公章。</w:t>
      </w:r>
    </w:p>
    <w:p w14:paraId="55928E6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74BC5FD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16.1.6采用扫描粘贴投标人公章或法定代表人人名章的为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313395B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格式）（第二册）1份</w:t>
      </w:r>
    </w:p>
    <w:p w14:paraId="29262F2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通过国企阳光采购平台上传数据文件（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加盖电子印章后保存到本地计算机。加盖了电子印章的文件即为最终的数据文件（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格式）用于投标。</w:t>
      </w:r>
    </w:p>
    <w:p w14:paraId="431E36D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14:paraId="1EEE3F1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00ACBECC">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四、投标文件的递交</w:t>
      </w:r>
    </w:p>
    <w:p w14:paraId="30B27ACF">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17.投标文件的密封和标记</w:t>
      </w:r>
    </w:p>
    <w:p w14:paraId="7546A75B">
      <w:pPr>
        <w:shd w:val="clear"/>
        <w:spacing w:line="560" w:lineRule="exact"/>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092C996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格式）须在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进行提交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提交前系统会自动在本地进行加密和数字签名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加密和电子签章后的文件除了会上传到系统中之外还会同步保存到本地计算机。</w:t>
      </w:r>
    </w:p>
    <w:p w14:paraId="488ABEC5">
      <w:pPr>
        <w:shd w:val="clear"/>
        <w:spacing w:line="560" w:lineRule="exact"/>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6A0EE2F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投标人应使用密封袋将资质证明文件原件密封（身份证原件除外）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加盖公章并标明投标人（单位）名称、项目名称、项目编号、所投包号以及“资质证明文件原件”字样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粘贴密封条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每一密封条注明“于*年*月*日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*之前不准启封”（</w:t>
      </w:r>
      <w:r>
        <w:rPr>
          <w:rFonts w:hint="eastAsia" w:ascii="仿宋" w:hAnsi="仿宋" w:eastAsia="仿宋" w:cs="仿宋"/>
          <w:b/>
          <w:bCs/>
          <w:color w:val="auto"/>
          <w:sz w:val="28"/>
          <w:szCs w:val="28"/>
          <w:highlight w:val="none"/>
        </w:rPr>
        <w:t>开标时间</w:t>
      </w:r>
      <w:r>
        <w:rPr>
          <w:rFonts w:hint="eastAsia" w:ascii="仿宋" w:hAnsi="仿宋" w:eastAsia="仿宋" w:cs="仿宋"/>
          <w:color w:val="auto"/>
          <w:sz w:val="28"/>
          <w:szCs w:val="28"/>
          <w:highlight w:val="none"/>
        </w:rPr>
        <w:t>）的字样。</w:t>
      </w:r>
    </w:p>
    <w:p w14:paraId="553F687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按照招标文件的要求送达指定地点。</w:t>
      </w:r>
    </w:p>
    <w:p w14:paraId="0688A7D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对误投或提前启封概不负责。</w:t>
      </w:r>
    </w:p>
    <w:p w14:paraId="27AF8CD7">
      <w:pPr>
        <w:shd w:val="clear"/>
        <w:spacing w:line="560" w:lineRule="exact"/>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2652720B">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17.3.1</w:t>
      </w:r>
      <w:r>
        <w:rPr>
          <w:rFonts w:hint="eastAsia" w:ascii="仿宋" w:hAnsi="仿宋" w:eastAsia="仿宋" w:cs="仿宋"/>
          <w:color w:val="auto"/>
          <w:sz w:val="28"/>
          <w:szCs w:val="28"/>
          <w:highlight w:val="none"/>
        </w:rPr>
        <w:t>投标人应在投标须知前附表规定的时间前在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上递交电子投标文件和数据文件。投标人应充分评估集中投标带来的网络影响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尽量避开投标高峰时间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错峰进行电子投标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系统以收到投标人发出的递交指令的时间作为其投标时间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如该时间超过投标截止时间</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rPr>
        <w:t>其投标将会被判定为无效</w:t>
      </w:r>
      <w:r>
        <w:rPr>
          <w:rFonts w:hint="eastAsia" w:ascii="仿宋" w:hAnsi="仿宋" w:eastAsia="仿宋" w:cs="仿宋"/>
          <w:color w:val="auto"/>
          <w:sz w:val="28"/>
          <w:szCs w:val="28"/>
          <w:highlight w:val="none"/>
        </w:rPr>
        <w:t>。</w:t>
      </w:r>
    </w:p>
    <w:p w14:paraId="4B9D1A44">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17.3.2投标人须牢记投标加密密码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该密码将用于开标时解密其电子投标文件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如忘记密码或输入错误密码超过5次</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其递交的电子投标文件将无法解密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导致无法提取数据和供他人阅读文件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致使其投标失败。</w:t>
      </w:r>
    </w:p>
    <w:p w14:paraId="7D6D92B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拒绝接收纸质投标文件。</w:t>
      </w:r>
    </w:p>
    <w:p w14:paraId="60ECFD6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17.3.4投标人应将网上递交的已盖章未加密的数据文件和投标文件谨慎保存以便启动应急开标程序时使用。</w:t>
      </w:r>
    </w:p>
    <w:p w14:paraId="25C8A538">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18.投标截止期</w:t>
      </w:r>
    </w:p>
    <w:p w14:paraId="1375CB6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本次招标的投标截止期见《投标须知前附表》。</w:t>
      </w:r>
    </w:p>
    <w:p w14:paraId="134EAF3C">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19.迟交的投标文件</w:t>
      </w:r>
    </w:p>
    <w:p w14:paraId="4E31643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bookmarkStart w:id="4" w:name="_Toc429313655"/>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无法接收投标截止期后递交的投标文件。</w:t>
      </w:r>
    </w:p>
    <w:p w14:paraId="69D99C6F">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20.</w:t>
      </w:r>
      <w:bookmarkEnd w:id="4"/>
      <w:r>
        <w:rPr>
          <w:rFonts w:hint="eastAsia" w:ascii="楷体" w:hAnsi="楷体" w:eastAsia="楷体" w:cs="楷体"/>
          <w:b/>
          <w:color w:val="auto"/>
          <w:sz w:val="28"/>
          <w:szCs w:val="28"/>
          <w:highlight w:val="none"/>
        </w:rPr>
        <w:t>演示/样品递交</w:t>
      </w:r>
    </w:p>
    <w:p w14:paraId="5A69555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可以要求投标人对其提供的信息化、自动化等相关类别服务进行演示。</w:t>
      </w:r>
    </w:p>
    <w:p w14:paraId="19D8CDF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20.2若项目涉及货物时</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可以要求投标人提供样品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样品作为投标文件的一部分。未中标的投标人提供的样品将于评审结束后退还。中标人的样品由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保留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作为验收的依据。</w:t>
      </w:r>
    </w:p>
    <w:p w14:paraId="01692C08">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详见招标文件《投标须知前附表》的有关规定。</w:t>
      </w:r>
    </w:p>
    <w:p w14:paraId="644EBD37">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21.投标文件的修改和撤回</w:t>
      </w:r>
    </w:p>
    <w:p w14:paraId="7402B50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在投标截止期之后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投标人不得对其投标文件做任何修改。</w:t>
      </w:r>
    </w:p>
    <w:p w14:paraId="1F5637B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可以在投标截止期之前撤回其投标。</w:t>
      </w:r>
    </w:p>
    <w:p w14:paraId="3D6BA77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不得撤回投标文件。</w:t>
      </w:r>
    </w:p>
    <w:p w14:paraId="38FDBE8C">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五、开标与评审</w:t>
      </w:r>
    </w:p>
    <w:p w14:paraId="435555E0">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22.开标</w:t>
      </w:r>
    </w:p>
    <w:p w14:paraId="6CF1A40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投标人不足3家的不得开标。</w:t>
      </w:r>
    </w:p>
    <w:p w14:paraId="5257A80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在招标公告规定的时间和地点组织开标。到现场开标的投标人须携带CA锁和笔记本电脑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以便进行开标操作。不到现场开标的投标人需提前准备已配置好环境的电脑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在规定的时间进行远程开标的各项操作。</w:t>
      </w:r>
    </w:p>
    <w:p w14:paraId="2008ABC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22.3现场开标和远程开标的投标人代表应在签到表格相应位置上加盖CA锁中的法定代表人电子人名章或公章以证明其出席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在开标时间前未完成签到的将会被</w:t>
      </w:r>
      <w:r>
        <w:rPr>
          <w:rFonts w:hint="eastAsia" w:ascii="仿宋" w:hAnsi="仿宋" w:eastAsia="仿宋" w:cs="仿宋"/>
          <w:b/>
          <w:bCs/>
          <w:color w:val="auto"/>
          <w:sz w:val="28"/>
          <w:szCs w:val="28"/>
          <w:highlight w:val="none"/>
        </w:rPr>
        <w:t>视作</w:t>
      </w:r>
      <w:r>
        <w:rPr>
          <w:rFonts w:hint="eastAsia" w:ascii="仿宋" w:hAnsi="仿宋" w:eastAsia="仿宋" w:cs="仿宋"/>
          <w:color w:val="auto"/>
          <w:sz w:val="28"/>
          <w:szCs w:val="28"/>
          <w:highlight w:val="none"/>
        </w:rPr>
        <w:t>认同开标结果。</w:t>
      </w:r>
    </w:p>
    <w:p w14:paraId="01B069C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投标人输入密码错误（5次输入机会）、未能按时完成解密、其《数据文件》填写、盖章不规范等导致系统无法解析的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将会被视为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6118C24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最终形成开标一览表并由各投标人代表在表格相应位置上加盖CA锁中的法定代表人电子人名章或公章确认。</w:t>
      </w:r>
    </w:p>
    <w:p w14:paraId="4E59BCC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以及认为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相关工作人员有需要回避的情形的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应当场提出询问或者回避申请。</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对投标人代表提出的询问或者回避申请应当及时处理。</w:t>
      </w:r>
    </w:p>
    <w:p w14:paraId="01BE948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确保声音清楚、图像清晰、内容无遗漏。</w:t>
      </w:r>
    </w:p>
    <w:p w14:paraId="00F61B8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如遇特殊情况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服从威海市公共资源交易中心场地调配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并遵守相关规章制度。</w:t>
      </w:r>
    </w:p>
    <w:p w14:paraId="47189FB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按以下规定修正：</w:t>
      </w:r>
    </w:p>
    <w:p w14:paraId="0A49A63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以“投标（报价）一览表”的报价为准；</w:t>
      </w:r>
    </w:p>
    <w:p w14:paraId="3279460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以大写金额为准；</w:t>
      </w:r>
    </w:p>
    <w:p w14:paraId="514FB49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以投标（报价）一览表的总价为准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并修改单价。</w:t>
      </w:r>
    </w:p>
    <w:p w14:paraId="3C38182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以单价金额计算结果为准。</w:t>
      </w:r>
    </w:p>
    <w:p w14:paraId="6A0044B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按照前款规定的顺序修正。修正后的报价经投标人确认后产生约束力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投标人不确认的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7665CED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E52371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7457FD2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5BA2105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投标人开始输入解密密码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解密时间到或所有投标人均完成解密后工作人员启动停止解密指令。</w:t>
      </w:r>
    </w:p>
    <w:p w14:paraId="462250F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22.10.4唱标：停止解密后现场工作人员将根据电子交易平台自动提取各投标人数据文件中的相关数据进行公开唱标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唱标结束系统将自动生成开标一览表。投标人应及时关注开标过程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查看开标结果并在开标一览表上进行电子签署。若投标人在启动唱标后10分钟内不在开标一览表上签字确认，则视为投标人认可开标结果。</w:t>
      </w:r>
    </w:p>
    <w:p w14:paraId="1B9DC0E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0C43DDE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6B7F176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导致系统无法正常运行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或者无法保证开标过程的公平、公正和信息安全时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沟通后可启动应急开标程序。</w:t>
      </w:r>
    </w:p>
    <w:p w14:paraId="5FBFC81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无法访问或无法使用系统；</w:t>
      </w:r>
    </w:p>
    <w:p w14:paraId="25FC8A1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不能进行正常操作；</w:t>
      </w:r>
    </w:p>
    <w:p w14:paraId="0E7F372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有潜在的泄密危险；</w:t>
      </w:r>
    </w:p>
    <w:p w14:paraId="589E21C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2C79B5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2C70EC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76E6D3C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286AD0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等待系统恢复正常后再组织进行开标。</w:t>
      </w:r>
    </w:p>
    <w:p w14:paraId="54D5286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通过系统的备案功能进行文件上传备案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无效投标处理</w:t>
      </w:r>
      <w:r>
        <w:rPr>
          <w:rFonts w:hint="eastAsia" w:ascii="仿宋" w:hAnsi="仿宋" w:eastAsia="仿宋" w:cs="仿宋"/>
          <w:color w:val="auto"/>
          <w:sz w:val="28"/>
          <w:szCs w:val="28"/>
          <w:highlight w:val="none"/>
        </w:rPr>
        <w:t>。</w:t>
      </w:r>
    </w:p>
    <w:p w14:paraId="622D6F0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或代理机构的监督下可针对所有在平台中已投标的投标人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启用其电子邮件递交的投标文件进行开标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同时开标由线上转为线下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开标、评标均以电子邮件递交的投标文件为准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投标人必须在获取招标文件时留有本单位详细的邮箱和电话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处理。</w:t>
      </w:r>
    </w:p>
    <w:p w14:paraId="452FA1D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31E879C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whzczb@163.com</w:t>
      </w:r>
    </w:p>
    <w:p w14:paraId="22B86B8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407741E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70F1F6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1F0D4EB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如果不一致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系统后台会判定为无效投标文件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导致投标无效。</w:t>
      </w:r>
    </w:p>
    <w:p w14:paraId="6AEDA59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B37699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6F2F364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不接受、不处理任何通过电子邮件提交的投标文件）；</w:t>
      </w:r>
    </w:p>
    <w:p w14:paraId="0312A0E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工作人员开始下载投标文件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将投标报价形成开标报告并邮件回复各投标人；</w:t>
      </w:r>
    </w:p>
    <w:p w14:paraId="1923405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不及时回复的视为对开标报告的内容无异议。</w:t>
      </w:r>
    </w:p>
    <w:p w14:paraId="57B3758F">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23.评标委员会的组成和评标方法</w:t>
      </w:r>
    </w:p>
    <w:p w14:paraId="3E8A674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负责组织评标工作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具体评审事务由依法组建的评标委员会负责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评标委员会成员由</w:t>
      </w:r>
      <w:r>
        <w:rPr>
          <w:rFonts w:hint="eastAsia" w:ascii="仿宋" w:hAnsi="仿宋" w:eastAsia="仿宋" w:cs="仿宋"/>
          <w:color w:val="auto"/>
          <w:sz w:val="28"/>
          <w:szCs w:val="28"/>
          <w:highlight w:val="none"/>
          <w:lang w:val="en-US" w:eastAsia="zh-CN"/>
        </w:rPr>
        <w:t>采购人代表和</w:t>
      </w:r>
      <w:r>
        <w:rPr>
          <w:rFonts w:hint="eastAsia" w:ascii="仿宋" w:hAnsi="仿宋" w:eastAsia="仿宋" w:cs="仿宋"/>
          <w:color w:val="auto"/>
          <w:sz w:val="28"/>
          <w:szCs w:val="28"/>
          <w:highlight w:val="none"/>
        </w:rPr>
        <w:t>评审专家5人以上的单数组成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其中专家人数不得少于评标委员会成员总数的2/3。</w:t>
      </w:r>
    </w:p>
    <w:p w14:paraId="31C72D8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员及相关人员与投标人有利害关系的应当回避。曾参与招标</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征询意见或论证的专家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不得再作为评标专家参加评标。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不得以专家身份参与本项目的评标。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工作人员离职或退休不满三年的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不能作为专家参加评标工作。</w:t>
      </w:r>
    </w:p>
    <w:p w14:paraId="6C109C4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73A4176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评标委员会成员应当主动确认与投标人及其制造商是否有利害关系。如有利害关系应当主动回避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如无利害关系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应当在含有相关内容的《无利害关系声明》上签字；</w:t>
      </w:r>
    </w:p>
    <w:p w14:paraId="0F54F36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对投标文件的内容进行评审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并对评审结果承担责任；</w:t>
      </w:r>
    </w:p>
    <w:p w14:paraId="038549C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以及投标人的商业秘密进行保密；</w:t>
      </w:r>
    </w:p>
    <w:p w14:paraId="27BCE34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308FA7A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答复投标人质疑；</w:t>
      </w:r>
    </w:p>
    <w:p w14:paraId="136271F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反映评标工作中的问题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提出意见和建议。</w:t>
      </w:r>
    </w:p>
    <w:p w14:paraId="14E86A9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54B4077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视为同意评标结论。评标委员会应当对此做出书面说明并记录在案；</w:t>
      </w:r>
    </w:p>
    <w:p w14:paraId="217D05A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答复投标人的质疑；</w:t>
      </w:r>
    </w:p>
    <w:p w14:paraId="698896C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（3）必要时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向投标人解释评标结果；</w:t>
      </w:r>
    </w:p>
    <w:p w14:paraId="09898D7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（4）向主管部门或者有关部门报告非法干预评标工作的行为。</w:t>
      </w:r>
    </w:p>
    <w:p w14:paraId="4152902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23.5</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的职责：</w:t>
      </w:r>
    </w:p>
    <w:p w14:paraId="248FED2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w:t>
      </w:r>
      <w:r>
        <w:rPr>
          <w:rFonts w:hint="eastAsia" w:ascii="仿宋" w:hAnsi="仿宋" w:eastAsia="仿宋" w:cs="仿宋"/>
          <w:color w:val="auto"/>
          <w:sz w:val="28"/>
          <w:szCs w:val="28"/>
          <w:highlight w:val="none"/>
          <w:lang w:eastAsia="zh-CN"/>
        </w:rPr>
        <w:t>采购人代表授权委托书，</w:t>
      </w:r>
      <w:r>
        <w:rPr>
          <w:rFonts w:hint="eastAsia" w:ascii="仿宋" w:hAnsi="仿宋" w:eastAsia="仿宋" w:cs="仿宋"/>
          <w:color w:val="auto"/>
          <w:sz w:val="28"/>
          <w:szCs w:val="28"/>
          <w:highlight w:val="none"/>
        </w:rPr>
        <w:t>对评审专家在采购活动中的职责履行情况予以记录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并及时将有关违法违规行为向主管部门报告；</w:t>
      </w:r>
    </w:p>
    <w:p w14:paraId="012E19A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127D8B0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告知评审专家应当回避的情形；</w:t>
      </w:r>
    </w:p>
    <w:p w14:paraId="010B022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（4）评标期间采取必要的通讯管理措施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保证评标活动不受外界干扰；</w:t>
      </w:r>
    </w:p>
    <w:p w14:paraId="0831D3B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评标委员会的要求介绍采购相关政策法规、招标文件；</w:t>
      </w:r>
    </w:p>
    <w:p w14:paraId="5706A6F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（6）维护评标秩序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监督评标委员会依照招标文件规定的评标程序、方法和标准进行独立评审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及时制止和纠正</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代表、评审专家的倾向性言论或者违法违规行为；</w:t>
      </w:r>
    </w:p>
    <w:p w14:paraId="2CD71D6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（7）核对评标结果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存在分值汇总计算错误的、分项评分超出评分标准范围的、评标委员会成员对客观评审因素评分不一致的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经评标委员会认定评分畸高畸低的情形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要求评标小组复核或者书面说明理由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评标小组拒绝的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应予记录并向主管部门报告；</w:t>
      </w:r>
    </w:p>
    <w:p w14:paraId="29006D9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（8）评审工作完成后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按照规定向评审专家支付劳务报酬和异地评审差旅费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6F71570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（9）处理与评标有关的其他事项。</w:t>
      </w:r>
    </w:p>
    <w:p w14:paraId="544E447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可以在评标前说明项目背景和采购需求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说明内容不得含有歧视性、倾向性意见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不得超出招标文件所述范围。说明应当提交书面材料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208F03A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工作人员向评标委员会成员宣布评标纪律和工作规则。评标委员会成员签署《无利害关系声明表》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并遵照执行。</w:t>
      </w:r>
    </w:p>
    <w:p w14:paraId="136E06A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06C7944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06C4B42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463433F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4BE981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69521FD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40199E4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以及根据</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委托直接确定中标人；</w:t>
      </w:r>
    </w:p>
    <w:p w14:paraId="4F78383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或者有关部门报告评标中发现的违法行为。</w:t>
      </w:r>
    </w:p>
    <w:p w14:paraId="6F348EB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23.10评标中因评标委员会成员缺席、回避或者健康等特殊原因导致评标委员会组成不符合本办法规定的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应当依法补足后继续评标。被更换的评标委员会成员所作出的评标意见无效。</w:t>
      </w:r>
    </w:p>
    <w:p w14:paraId="1F1FF34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应当停止评标活动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封存所有投标文件和开标、评标资料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依法重新组建评标委员会进行评标。原评标委员会作出的评标意见无效。</w:t>
      </w:r>
    </w:p>
    <w:p w14:paraId="7DA1DC6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应当将变更、重新组建评标委员会的情况予以记录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1CFCF915">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24.投标文件的初审</w:t>
      </w:r>
    </w:p>
    <w:p w14:paraId="554AE1E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评标委员会对投标人的资格进行审查。合格投标人不足3家的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不得评标。在资格性检查时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6C95D05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1）单位负责人为同一人或者存在直接控股、管理关系的不同投标人的；</w:t>
      </w:r>
    </w:p>
    <w:p w14:paraId="1241F81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2）为采购项目提供整体设计、规范编制或者项目管理、监理、检测等服务的；</w:t>
      </w:r>
    </w:p>
    <w:p w14:paraId="5761F26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3）投标人和响应货物资格证明文件不满足招标文件要求和过期失效的。</w:t>
      </w:r>
    </w:p>
    <w:p w14:paraId="15D45D8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以确定其是否满足招标文件的实质性要求。评标委员会决定投标的响应性只根据投标文件本身的内容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而不依据外部的证据。在符合性检查时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如有不满足下列情况之一的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6003FD0C">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2A8F66C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视为投标人串通投标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3AF9DB8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50449C0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C42D20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47F11D3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6A4309B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5E8EA83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1E9EF45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（7）不同投标人的投标文件相互混装； </w:t>
      </w:r>
    </w:p>
    <w:p w14:paraId="383C6AE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BE577A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除采购任务取消情形外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按照以下方式处理：</w:t>
      </w:r>
    </w:p>
    <w:p w14:paraId="2176EDE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改正后依法重新招标；</w:t>
      </w:r>
    </w:p>
    <w:p w14:paraId="70844F9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需要采用其他招标方式招标的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应当依法报主管部门批准。</w:t>
      </w:r>
    </w:p>
    <w:p w14:paraId="2032AFCA">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25.投标文件的澄清</w:t>
      </w:r>
    </w:p>
    <w:p w14:paraId="3C4F1F2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对于投标文件中含义不明确、同类问题表述不一致或者有明显文字和计算错误的内容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评标委员会应当以书面形式要求投标人作出必要的澄清、说明或者补正。请投标人澄清其投标内容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投标人法定代表人或其授权人必须接受评标委员会的询标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未在规定的时间内澄清、说明或补正的，由投标人自行承担不利后果，包括但不限于投标无效，相应评审因素对应的分值为0分。</w:t>
      </w:r>
    </w:p>
    <w:p w14:paraId="12DD1E3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或者由法定代表人或其授权的代表签字。投标人的澄清、说明或者补正不得超出投标文件的范围或者改变投标文件的实质性内容。此书面文件是投标文件的组成部分。</w:t>
      </w:r>
    </w:p>
    <w:p w14:paraId="54AE5956">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26.投标文件的评价</w:t>
      </w:r>
    </w:p>
    <w:p w14:paraId="07AE944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26.1评审采用百分制。评标委员会各成员分别独立对实质上响应的投标人进行逐项评价打分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对评标委员会各成员每一因素的打分汇总后的得分为投标人的得分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汇总得分保留两位小数。</w:t>
      </w:r>
    </w:p>
    <w:p w14:paraId="245D593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0CCE554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价格分值由评审系统根据投标人上传的《投标（报价）一览表》中的投标报价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依据规定公式自动计算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其结果由评标委员会所有成员签字确认。</w:t>
      </w:r>
    </w:p>
    <w:p w14:paraId="2487605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代理机构工作人员负责复核、统计评标委员会成员的评审情况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发现评审意见有失公正时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提请该评标委员会成员修改评审意见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并形成书面意见备查。</w:t>
      </w:r>
    </w:p>
    <w:p w14:paraId="258C3A4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还将考虑以下因素：</w:t>
      </w:r>
    </w:p>
    <w:p w14:paraId="49A9BED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231F476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54CE2B1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有可能影响产品质量或者不能诚信履约的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应当要求其在评标现场合理的时间内提供书面说明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必要时提交相关证明材料；投标人不能证明其报价合理性的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评标委员会应当将其作为无效投标处理。</w:t>
      </w:r>
    </w:p>
    <w:p w14:paraId="0646604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或者招标文件内容违反国家有关强制性规定的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应当停止评标工作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沟通并作书面记录。</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应当修改招标文件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重新组织采购活动。</w:t>
      </w:r>
    </w:p>
    <w:p w14:paraId="774B190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不得恶意串通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不得妨碍其他投标人的竞争行为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不得损坏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或者其他投标人的合法权益。在评标过程中发现投标人有上述情形的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评标委员会应当认定其投标无效。</w:t>
      </w:r>
    </w:p>
    <w:p w14:paraId="242B1C6F">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27.废标条款</w:t>
      </w:r>
    </w:p>
    <w:p w14:paraId="1DDD8CE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应予废标：</w:t>
      </w:r>
    </w:p>
    <w:p w14:paraId="31BEFD3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05C1A5B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4E5CD39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（3）所有投标报价均超过招标文件中规定的预算金额</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287420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采购任务取消的。</w:t>
      </w:r>
    </w:p>
    <w:p w14:paraId="45F3A952">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六、定标</w:t>
      </w:r>
    </w:p>
    <w:p w14:paraId="0886AC68">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28.确定中标候选人</w:t>
      </w:r>
    </w:p>
    <w:p w14:paraId="3B2FD02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对投标文件进行评审。评标结束后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按综合得分由高到低</w:t>
      </w:r>
      <w:r>
        <w:rPr>
          <w:rFonts w:hint="eastAsia" w:ascii="仿宋" w:hAnsi="仿宋" w:eastAsia="仿宋" w:cs="仿宋"/>
          <w:color w:val="auto"/>
          <w:sz w:val="28"/>
          <w:szCs w:val="28"/>
          <w:highlight w:val="none"/>
        </w:rPr>
        <w:t>对投标人的评审名次进行排序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确定3名中标候选人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根据全体评标成员签字的原始评标记录和评标结果编写评标报告。</w:t>
      </w:r>
    </w:p>
    <w:p w14:paraId="72D6056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评标报告的主要内容包括：</w:t>
      </w:r>
    </w:p>
    <w:p w14:paraId="3F4D8A5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45123F6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D3DC30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29D40BE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无效投标人名单及原因；</w:t>
      </w:r>
    </w:p>
    <w:p w14:paraId="63A5836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确定的中标候选人名单或者经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委托直接确定的中标人；</w:t>
      </w:r>
    </w:p>
    <w:p w14:paraId="1E1A50B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包括评标过程中投标人根据评标委员会要求进行澄清、说明或者补正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评标委员会成员的更换等。</w:t>
      </w:r>
    </w:p>
    <w:p w14:paraId="6CFEE1DC">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29.确定中标人</w:t>
      </w:r>
    </w:p>
    <w:p w14:paraId="515F92D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可委托评标委员会直接定标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确定排名第一的投标人为中标人；也可以自主定标。自主定标的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应当在收到评审报告后3个工作日内确定中标人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逾期未确定中标人且不提出异议的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视为确定评审报告提出的排名第一的投标人为中标人。</w:t>
      </w:r>
    </w:p>
    <w:p w14:paraId="568B4178">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七、结果公示及公告</w:t>
      </w:r>
    </w:p>
    <w:p w14:paraId="10F0C029">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30.结果公示</w:t>
      </w:r>
    </w:p>
    <w:p w14:paraId="5220F34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自收到评标报告之日起2日内在原招标公告发布媒介公示中标候选人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公示期3日。由评标评审委员会直接定标的项目不需要公示中标候选人。</w:t>
      </w:r>
    </w:p>
    <w:p w14:paraId="76B16618">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31.结果公告</w:t>
      </w:r>
    </w:p>
    <w:p w14:paraId="7BF339B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应当自定标结束之日起3日内在原招标公告发布媒介发布中标公告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有效期</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w:t>
      </w:r>
    </w:p>
    <w:p w14:paraId="76CCD40A">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32.签发中标通知书</w:t>
      </w:r>
    </w:p>
    <w:p w14:paraId="7736F5D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和代理机构联合向中标人发出中标通知书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并同时将中标结果通知所有未中标的投标人。对未通过资格性、符合性审查的投标人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应当告知其未通过的原因；《中标通知书》是合同的组成部分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对中标人和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具有同等法律效力。《中标通知书》发出后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不得违法改变中标结果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中标人无正当理由不得放弃中标。</w:t>
      </w:r>
    </w:p>
    <w:p w14:paraId="3B38AEDC">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八、质疑</w:t>
      </w:r>
    </w:p>
    <w:p w14:paraId="27377F19">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33.质疑</w:t>
      </w:r>
    </w:p>
    <w:p w14:paraId="08B1A83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33.1依据《威海市市属国有企业阳光采购监督管理办法》规定，投标人认为招标文件、采购过程、中标结果使自己的权益受到损害的，应于10个工作日内以书面形式向采购人或采购代理机构提出质疑，采购人或采购代理机构应当在收到投标人的书面质疑后3个工作日内做出书面答复。</w:t>
      </w:r>
    </w:p>
    <w:p w14:paraId="6DFF468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33.2投标人应在法定质疑期内一次性提出针对同一采购程序环节的质疑。</w:t>
      </w:r>
    </w:p>
    <w:p w14:paraId="298502C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33.3采购人或采购代理机构答复的内容不得涉及商业秘密。</w:t>
      </w:r>
    </w:p>
    <w:p w14:paraId="7ACD3E3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33.4质疑采用实名制，为了使提出的质疑事项在规定时间内得到有效答复、处理，提交的质疑函应当包括下列内容：</w:t>
      </w:r>
    </w:p>
    <w:p w14:paraId="0D02D55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（1）投标人的姓名或者名称、地址（邮箱）、邮编、联系人及联系电话；</w:t>
      </w:r>
    </w:p>
    <w:p w14:paraId="4A3548A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（2）质疑项目的名称、编号；</w:t>
      </w:r>
    </w:p>
    <w:p w14:paraId="20BFBEF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（3）具体、明确的质疑事项和与质疑事项相关的请求；</w:t>
      </w:r>
    </w:p>
    <w:p w14:paraId="168AAD6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（4）事实依据；</w:t>
      </w:r>
    </w:p>
    <w:p w14:paraId="221FD3E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（5）必要的法律依据；</w:t>
      </w:r>
    </w:p>
    <w:p w14:paraId="4FFD68B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（6）提出质疑的日期。</w:t>
      </w:r>
    </w:p>
    <w:p w14:paraId="411D88B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6044DC0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33.5采购人或采购代理机构正式受理后方可生效。否则，为无效质疑。</w:t>
      </w:r>
    </w:p>
    <w:p w14:paraId="17DFC60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33.6有下列情况之一的质疑不予受理：</w:t>
      </w:r>
    </w:p>
    <w:p w14:paraId="35AFBC4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3B0A05C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（2）质疑函件无实质性内容或佐证文件资料，主观臆断及推理得出结论的质疑；</w:t>
      </w:r>
    </w:p>
    <w:p w14:paraId="0A09F37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（3）相应证明材料不真实或来源不合法的质疑；</w:t>
      </w:r>
    </w:p>
    <w:p w14:paraId="2BE0826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（4）未按规定时间或超过公示期限提出的质疑。</w:t>
      </w:r>
    </w:p>
    <w:p w14:paraId="164BF1F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33.7对捏造事实，提供虚假材料或者以非法手段取得证明材料进行恶意质疑的，一经查实，将列入平台黑名单。</w:t>
      </w:r>
    </w:p>
    <w:p w14:paraId="5DC19D8C">
      <w:pPr>
        <w:shd w:val="clear"/>
        <w:spacing w:line="560" w:lineRule="exact"/>
        <w:ind w:firstLine="565" w:firstLineChars="201"/>
        <w:rPr>
          <w:rFonts w:hint="eastAsia" w:ascii="楷体" w:hAnsi="楷体" w:eastAsia="楷体" w:cs="楷体"/>
          <w:b/>
          <w:color w:val="auto"/>
          <w:sz w:val="28"/>
          <w:szCs w:val="28"/>
          <w:highlight w:val="none"/>
          <w:lang w:eastAsia="zh-CN"/>
        </w:rPr>
      </w:pPr>
      <w:r>
        <w:rPr>
          <w:rFonts w:hint="eastAsia" w:ascii="楷体" w:hAnsi="楷体" w:eastAsia="楷体" w:cs="楷体"/>
          <w:b/>
          <w:color w:val="auto"/>
          <w:sz w:val="28"/>
          <w:szCs w:val="28"/>
          <w:highlight w:val="none"/>
          <w:lang w:eastAsia="zh-CN"/>
        </w:rPr>
        <w:t>34.仲裁或起诉</w:t>
      </w:r>
    </w:p>
    <w:p w14:paraId="2FB5703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061D2E41">
      <w:pPr>
        <w:pStyle w:val="4"/>
        <w:shd w:val="clear"/>
        <w:tabs>
          <w:tab w:val="left" w:pos="426"/>
        </w:tabs>
        <w:spacing w:before="0" w:after="0" w:line="560" w:lineRule="exact"/>
        <w:rPr>
          <w:rFonts w:hint="eastAsia" w:ascii="黑体" w:hAnsi="黑体" w:eastAsia="黑体"/>
          <w:b w:val="0"/>
          <w:color w:val="auto"/>
          <w:highlight w:val="none"/>
        </w:rPr>
      </w:pPr>
      <w:r>
        <w:rPr>
          <w:rFonts w:hint="eastAsia" w:ascii="黑体" w:hAnsi="黑体" w:eastAsia="黑体"/>
          <w:b w:val="0"/>
          <w:color w:val="auto"/>
          <w:highlight w:val="none"/>
        </w:rPr>
        <w:t>九、签订合同</w:t>
      </w:r>
    </w:p>
    <w:p w14:paraId="2B7190CA">
      <w:pPr>
        <w:shd w:val="clear"/>
        <w:spacing w:line="560" w:lineRule="exact"/>
        <w:ind w:firstLine="565" w:firstLineChars="201"/>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rPr>
        <w:t>3</w:t>
      </w:r>
      <w:r>
        <w:rPr>
          <w:rFonts w:hint="eastAsia" w:ascii="楷体" w:hAnsi="楷体" w:eastAsia="楷体" w:cs="楷体"/>
          <w:b/>
          <w:color w:val="auto"/>
          <w:sz w:val="28"/>
          <w:szCs w:val="28"/>
          <w:highlight w:val="none"/>
          <w:lang w:val="en-US" w:eastAsia="zh-CN"/>
        </w:rPr>
        <w:t>5</w:t>
      </w:r>
      <w:r>
        <w:rPr>
          <w:rFonts w:hint="eastAsia" w:ascii="楷体" w:hAnsi="楷体" w:eastAsia="楷体" w:cs="楷体"/>
          <w:b/>
          <w:color w:val="auto"/>
          <w:sz w:val="28"/>
          <w:szCs w:val="28"/>
          <w:highlight w:val="none"/>
        </w:rPr>
        <w:t>.合同的签订</w:t>
      </w:r>
    </w:p>
    <w:p w14:paraId="26EC2CF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按招标文件、中标人的投标文件签订采购合同。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应当自采购合同签订之日起5日内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将采购合同上传至</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同时在指定的媒介上公告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但采购合同中涉及国家秘密、商业秘密的内容除外。</w:t>
      </w:r>
    </w:p>
    <w:p w14:paraId="780BBCC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应当按照招标文件和中标人投标文件的规定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与中标人签订书面合同。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与中标人所签订的合同不得对招标文件和中标人的投标文件作实质性修改。</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不得向中标人提出任何不合理的要求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作为签订合同的条件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不得与中标人私下订立背离合同实质性内容的协议。合同原则以第六章</w:t>
      </w:r>
      <w:r>
        <w:rPr>
          <w:rFonts w:hint="eastAsia" w:ascii="仿宋" w:hAnsi="仿宋" w:eastAsia="仿宋" w:cs="仿宋"/>
          <w:color w:val="auto"/>
          <w:sz w:val="28"/>
          <w:szCs w:val="28"/>
          <w:highlight w:val="none"/>
          <w:lang w:eastAsia="zh-CN"/>
        </w:rPr>
        <w:t>采购合同（范本）</w:t>
      </w:r>
      <w:r>
        <w:rPr>
          <w:rFonts w:hint="eastAsia" w:ascii="仿宋" w:hAnsi="仿宋" w:eastAsia="仿宋" w:cs="仿宋"/>
          <w:color w:val="auto"/>
          <w:sz w:val="28"/>
          <w:szCs w:val="28"/>
          <w:highlight w:val="none"/>
        </w:rPr>
        <w:t>为基础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并根据响应、答疑情况进行修改补充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自签订之日起生效。</w:t>
      </w:r>
    </w:p>
    <w:p w14:paraId="38F1D01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按照监督部门的要求，本项目合同通过国企阳光采购平台进行签订。</w:t>
      </w:r>
    </w:p>
    <w:p w14:paraId="367A475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中标人在规定时间内无正当理由拒绝与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签订合同的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有效投标人符合法定数量的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可以按照评审报告推荐的中标候选人名单排序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确定下一候选人为中标人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也可以重新开展招标活动。</w:t>
      </w:r>
    </w:p>
    <w:p w14:paraId="5777494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_GB2312" w:hAnsi="宋体" w:eastAsia="仿宋_GB2312"/>
          <w:color w:val="auto"/>
          <w:sz w:val="28"/>
          <w:szCs w:val="28"/>
          <w:highlight w:val="none"/>
        </w:rPr>
      </w:pPr>
      <w:r>
        <w:rPr>
          <w:rFonts w:hint="eastAsia" w:ascii="仿宋" w:hAnsi="仿宋" w:eastAsia="仿宋" w:cs="仿宋"/>
          <w:color w:val="auto"/>
          <w:sz w:val="28"/>
          <w:szCs w:val="28"/>
          <w:highlight w:val="none"/>
        </w:rPr>
        <w:t>采购合同的履行、违约责任和解决争议的方法适用《中华人民共和国民法典》。</w:t>
      </w:r>
    </w:p>
    <w:p w14:paraId="0E2BB291">
      <w:pPr>
        <w:pStyle w:val="27"/>
        <w:shd w:val="clear"/>
        <w:spacing w:before="100" w:beforeAutospacing="1" w:after="100" w:afterAutospacing="1" w:line="415" w:lineRule="auto"/>
        <w:rPr>
          <w:rFonts w:ascii="楷体_GB2312" w:hAnsi="宋体" w:eastAsia="楷体_GB2312" w:cs="宋体"/>
          <w:color w:val="auto"/>
          <w:sz w:val="44"/>
          <w:szCs w:val="44"/>
          <w:highlight w:val="none"/>
        </w:rPr>
        <w:sectPr>
          <w:footerReference r:id="rId9" w:type="default"/>
          <w:pgSz w:w="11906" w:h="16838"/>
          <w:pgMar w:top="1440" w:right="1083" w:bottom="1440" w:left="1083" w:header="851" w:footer="992" w:gutter="0"/>
          <w:pgNumType w:fmt="decimal"/>
          <w:cols w:space="720" w:num="1"/>
          <w:titlePg/>
          <w:rtlGutter w:val="0"/>
          <w:docGrid w:type="lines" w:linePitch="312" w:charSpace="0"/>
        </w:sectPr>
      </w:pPr>
    </w:p>
    <w:p w14:paraId="4B051EC6">
      <w:pPr>
        <w:pStyle w:val="27"/>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pPr>
      <w:r>
        <w:rPr>
          <w:rFonts w:hint="eastAsia" w:ascii="楷体" w:hAnsi="楷体" w:eastAsia="楷体" w:cs="楷体"/>
          <w:b/>
          <w:bCs/>
          <w:color w:val="auto"/>
          <w:kern w:val="2"/>
          <w:sz w:val="44"/>
          <w:szCs w:val="44"/>
          <w:highlight w:val="none"/>
          <w:lang w:val="en-US" w:eastAsia="zh-CN" w:bidi="ar-SA"/>
        </w:rPr>
        <w:t>第三章  采购内容与要求</w:t>
      </w:r>
    </w:p>
    <w:p w14:paraId="0613916F">
      <w:pPr>
        <w:shd w:val="clear"/>
        <w:snapToGrid w:val="0"/>
        <w:spacing w:line="560" w:lineRule="exact"/>
        <w:ind w:firstLine="562" w:firstLineChars="201"/>
        <w:rPr>
          <w:rFonts w:hint="default" w:ascii="仿宋_GB2312" w:hAnsi="宋体" w:eastAsia="仿宋_GB2312" w:cs="Times New Roman"/>
          <w:color w:val="auto"/>
          <w:sz w:val="28"/>
          <w:szCs w:val="28"/>
          <w:highlight w:val="none"/>
          <w:lang w:val="en-US" w:eastAsia="zh-CN"/>
        </w:rPr>
      </w:pPr>
    </w:p>
    <w:p w14:paraId="06209161">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424C2942">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7B7DAF5D">
      <w:pPr>
        <w:pStyle w:val="5"/>
        <w:shd w:val="clear"/>
        <w:rPr>
          <w:color w:val="auto"/>
          <w:highlight w:val="none"/>
        </w:rPr>
      </w:pPr>
    </w:p>
    <w:p w14:paraId="27AFD87F">
      <w:pPr>
        <w:shd w:val="clear"/>
        <w:snapToGrid w:val="0"/>
        <w:spacing w:line="560" w:lineRule="exact"/>
        <w:ind w:firstLine="562" w:firstLineChars="201"/>
        <w:rPr>
          <w:rFonts w:ascii="仿宋_GB2312" w:hAnsi="宋体" w:eastAsia="仿宋_GB2312"/>
          <w:color w:val="auto"/>
          <w:sz w:val="28"/>
          <w:szCs w:val="28"/>
          <w:highlight w:val="none"/>
        </w:rPr>
        <w:sectPr>
          <w:footerReference r:id="rId10" w:type="default"/>
          <w:pgSz w:w="11906" w:h="16838"/>
          <w:pgMar w:top="1440" w:right="1083" w:bottom="1440" w:left="1083" w:header="851" w:footer="992" w:gutter="0"/>
          <w:pgNumType w:fmt="decimal"/>
          <w:cols w:space="720" w:num="1"/>
          <w:titlePg/>
          <w:rtlGutter w:val="0"/>
          <w:docGrid w:type="lines" w:linePitch="312" w:charSpace="0"/>
        </w:sectPr>
      </w:pPr>
    </w:p>
    <w:p w14:paraId="69F5CE1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一、技术参数</w:t>
      </w:r>
    </w:p>
    <w:tbl>
      <w:tblPr>
        <w:tblStyle w:val="31"/>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1886"/>
        <w:gridCol w:w="5226"/>
        <w:gridCol w:w="943"/>
        <w:gridCol w:w="943"/>
      </w:tblGrid>
      <w:tr w14:paraId="6CB8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pct"/>
            <w:vAlign w:val="center"/>
          </w:tcPr>
          <w:p w14:paraId="09EE08D0">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8"/>
                <w:szCs w:val="28"/>
                <w:highlight w:val="none"/>
                <w:vertAlign w:val="baseline"/>
                <w:lang w:val="en-US" w:eastAsia="zh-CN"/>
              </w:rPr>
              <w:t>序号</w:t>
            </w:r>
          </w:p>
        </w:tc>
        <w:tc>
          <w:tcPr>
            <w:tcW w:w="949" w:type="pct"/>
            <w:vAlign w:val="center"/>
          </w:tcPr>
          <w:p w14:paraId="15772250">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8"/>
                <w:szCs w:val="28"/>
                <w:highlight w:val="none"/>
                <w:vertAlign w:val="baseline"/>
                <w:lang w:val="en-US" w:eastAsia="zh-CN"/>
              </w:rPr>
              <w:t>名称</w:t>
            </w:r>
          </w:p>
        </w:tc>
        <w:tc>
          <w:tcPr>
            <w:tcW w:w="2628" w:type="pct"/>
            <w:vAlign w:val="center"/>
          </w:tcPr>
          <w:p w14:paraId="780A4595">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8"/>
                <w:szCs w:val="28"/>
                <w:highlight w:val="none"/>
                <w:vertAlign w:val="baseline"/>
                <w:lang w:val="en-US" w:eastAsia="zh-CN"/>
              </w:rPr>
              <w:t>参数</w:t>
            </w:r>
          </w:p>
        </w:tc>
        <w:tc>
          <w:tcPr>
            <w:tcW w:w="474" w:type="pct"/>
            <w:vAlign w:val="center"/>
          </w:tcPr>
          <w:p w14:paraId="5E896E8A">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8"/>
                <w:szCs w:val="28"/>
                <w:highlight w:val="none"/>
                <w:vertAlign w:val="baseline"/>
                <w:lang w:val="en-US" w:eastAsia="zh-CN"/>
              </w:rPr>
              <w:t>单位</w:t>
            </w:r>
          </w:p>
        </w:tc>
        <w:tc>
          <w:tcPr>
            <w:tcW w:w="474" w:type="pct"/>
            <w:vAlign w:val="center"/>
          </w:tcPr>
          <w:p w14:paraId="3F94D8E7">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8"/>
                <w:szCs w:val="28"/>
                <w:highlight w:val="none"/>
                <w:vertAlign w:val="baseline"/>
                <w:lang w:val="en-US" w:eastAsia="zh-CN"/>
              </w:rPr>
              <w:t>数量</w:t>
            </w:r>
          </w:p>
        </w:tc>
      </w:tr>
      <w:tr w14:paraId="1169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pct"/>
            <w:vAlign w:val="center"/>
          </w:tcPr>
          <w:p w14:paraId="6ECCEFC6">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w:t>
            </w:r>
          </w:p>
        </w:tc>
        <w:tc>
          <w:tcPr>
            <w:tcW w:w="949" w:type="pct"/>
            <w:vAlign w:val="center"/>
          </w:tcPr>
          <w:p w14:paraId="4E48BEC5">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多功能转向装仓机</w:t>
            </w:r>
          </w:p>
        </w:tc>
        <w:tc>
          <w:tcPr>
            <w:tcW w:w="2628" w:type="pct"/>
            <w:vAlign w:val="center"/>
          </w:tcPr>
          <w:p w14:paraId="3D369239">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★1.输送带：带宽800mm，绿色环保聚脂EP人字纹环形胶带，包边形式，覆胶层厚度：上3mm下1.5mm，带芯层3层。输送带速度：≤2.5m/s，输送能力：100-120t/h；</w:t>
            </w:r>
          </w:p>
          <w:p w14:paraId="079D7DAD">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2.主机长度：13m伸缩0~7m；</w:t>
            </w:r>
          </w:p>
          <w:p w14:paraId="64067FBE">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3.输送高度：5米~8米；</w:t>
            </w:r>
          </w:p>
          <w:p w14:paraId="57B91EE5">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4.输送动力：11kw；</w:t>
            </w:r>
          </w:p>
          <w:p w14:paraId="4A392AD6">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5.升降动力：3kw；</w:t>
            </w:r>
          </w:p>
          <w:p w14:paraId="21D11639">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6.伸缩动力：3kw；</w:t>
            </w:r>
          </w:p>
          <w:p w14:paraId="494195CE">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7.电动行走动力：2.2kw；</w:t>
            </w:r>
          </w:p>
          <w:p w14:paraId="0F08BDD8">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★8.不锈钢配电箱，强弱电分离，配有应急开关；</w:t>
            </w:r>
          </w:p>
          <w:p w14:paraId="4F13DDA9">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★9.托辊：矿山托辊，托辊壁厚2.5mm；</w:t>
            </w:r>
          </w:p>
          <w:p w14:paraId="56D57E78">
            <w:pPr>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★10.两侧带有护板，有效防止漏粮。</w:t>
            </w:r>
          </w:p>
        </w:tc>
        <w:tc>
          <w:tcPr>
            <w:tcW w:w="474" w:type="pct"/>
            <w:vAlign w:val="center"/>
          </w:tcPr>
          <w:p w14:paraId="0E557C73">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台</w:t>
            </w:r>
          </w:p>
        </w:tc>
        <w:tc>
          <w:tcPr>
            <w:tcW w:w="474" w:type="pct"/>
            <w:vAlign w:val="center"/>
          </w:tcPr>
          <w:p w14:paraId="70F27CDD">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w:t>
            </w:r>
          </w:p>
        </w:tc>
      </w:tr>
    </w:tbl>
    <w:p w14:paraId="572DE52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注：“★”为关键指标项，投标人必须按照招标文件要求做出实质性响应，不满足为无效投标；无标识为一般指标项，一般指标项的参数仅系说明并非进行限制，投标人可提出替代的参数，并在技术文件中详细说明，但该替代应不低于招标文件的规定和要求。</w:t>
      </w:r>
    </w:p>
    <w:p w14:paraId="30216B7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投标人投标文件中提供的产品技术规格、参数及证明材料应真实有效，不得提供虚假技术规格、参数及证明材料，否则其投标无效。投标人提供虚假技术规格、参数及证明材料中标的，中标无效。</w:t>
      </w:r>
    </w:p>
    <w:p w14:paraId="624E88A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二、付款方式</w:t>
      </w:r>
    </w:p>
    <w:p w14:paraId="21C286A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供货安装调试完毕且经甲方验收合格后付合同价款的95%，余款留作质保金，自货物质保期届满且无质量问题后30日内无息返还。乙方应在甲方支付对应款项前，向甲方开具符合国家规定的、对应金额的增值税专用发票，乙方未按本约定开具发票的，甲方有权迟延支付款项，不承担违约责任。乙方必须在规定的时间内提供本单位的税务发票。</w:t>
      </w:r>
    </w:p>
    <w:p w14:paraId="248BD2B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三、供货安装地点</w:t>
      </w:r>
    </w:p>
    <w:p w14:paraId="369651C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采购人指定地点。</w:t>
      </w:r>
    </w:p>
    <w:p w14:paraId="4752D44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四、供货安装调试完毕时间</w:t>
      </w:r>
    </w:p>
    <w:p w14:paraId="6025438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自合同签订生效之日起15个工作日内供货安装调试完毕。</w:t>
      </w:r>
    </w:p>
    <w:p w14:paraId="19D9BFF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五、质保期</w:t>
      </w:r>
    </w:p>
    <w:p w14:paraId="09B6640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自验收合格并签署《质量验收报告》之日起1年。</w:t>
      </w:r>
    </w:p>
    <w:p w14:paraId="1C3B316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六、上限价格</w:t>
      </w:r>
    </w:p>
    <w:p w14:paraId="6192165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sectPr>
          <w:pgSz w:w="11906" w:h="16838"/>
          <w:pgMar w:top="1440" w:right="1083" w:bottom="1440" w:left="1083" w:header="851" w:footer="992" w:gutter="0"/>
          <w:pgNumType w:fmt="decimal"/>
          <w:cols w:space="720" w:num="1"/>
          <w:titlePg/>
          <w:rtlGutter w:val="0"/>
          <w:docGrid w:type="lines" w:linePitch="312" w:charSpace="0"/>
        </w:sectPr>
      </w:pPr>
      <w:r>
        <w:rPr>
          <w:rFonts w:hint="eastAsia" w:ascii="仿宋" w:hAnsi="仿宋" w:eastAsia="仿宋" w:cs="仿宋"/>
          <w:color w:val="auto"/>
          <w:sz w:val="28"/>
          <w:szCs w:val="28"/>
          <w:highlight w:val="none"/>
          <w:lang w:val="en-US" w:eastAsia="zh-CN"/>
        </w:rPr>
        <w:t>人民币159600.00元。</w:t>
      </w:r>
    </w:p>
    <w:p w14:paraId="4CEB669B">
      <w:pPr>
        <w:pStyle w:val="27"/>
        <w:numPr>
          <w:ilvl w:val="0"/>
          <w:numId w:val="0"/>
        </w:numPr>
        <w:shd w:val="clear"/>
        <w:spacing w:before="100" w:beforeAutospacing="1" w:after="100" w:afterAutospacing="1" w:line="415" w:lineRule="auto"/>
        <w:ind w:left="1440" w:leftChars="0" w:hanging="1440" w:firstLineChars="0"/>
        <w:rPr>
          <w:rFonts w:ascii="宋体" w:hAnsi="宋体" w:cs="宋体"/>
          <w:b/>
          <w:bCs/>
          <w:color w:val="auto"/>
          <w:sz w:val="44"/>
          <w:szCs w:val="44"/>
          <w:highlight w:val="none"/>
        </w:rPr>
      </w:pPr>
      <w:r>
        <w:rPr>
          <w:rFonts w:hint="eastAsia" w:ascii="楷体" w:hAnsi="楷体" w:eastAsia="楷体" w:cs="楷体"/>
          <w:b/>
          <w:bCs/>
          <w:color w:val="auto"/>
          <w:kern w:val="2"/>
          <w:sz w:val="44"/>
          <w:szCs w:val="44"/>
          <w:highlight w:val="none"/>
          <w:lang w:val="en-US" w:eastAsia="zh-CN" w:bidi="ar-SA"/>
        </w:rPr>
        <w:t>第四章  评标原则、程序与方法</w:t>
      </w:r>
    </w:p>
    <w:p w14:paraId="432A2ACB">
      <w:pPr>
        <w:shd w:val="clear"/>
        <w:spacing w:line="720" w:lineRule="auto"/>
        <w:ind w:firstLine="562" w:firstLineChars="200"/>
        <w:rPr>
          <w:rFonts w:ascii="楷体_GB2312" w:eastAsia="楷体_GB2312"/>
          <w:b/>
          <w:color w:val="auto"/>
          <w:sz w:val="28"/>
          <w:szCs w:val="28"/>
          <w:highlight w:val="none"/>
        </w:rPr>
      </w:pPr>
    </w:p>
    <w:p w14:paraId="140B0DDB">
      <w:pPr>
        <w:shd w:val="clear"/>
        <w:tabs>
          <w:tab w:val="left" w:pos="1507"/>
        </w:tabs>
        <w:spacing w:line="480" w:lineRule="auto"/>
        <w:ind w:firstLine="562" w:firstLineChars="200"/>
        <w:rPr>
          <w:rFonts w:hint="eastAsia" w:ascii="仿宋_GB2312" w:hAnsi="宋体" w:eastAsia="仿宋_GB2312"/>
          <w:b/>
          <w:color w:val="auto"/>
          <w:sz w:val="28"/>
          <w:szCs w:val="21"/>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45072814">
      <w:pPr>
        <w:shd w:val="clear"/>
        <w:tabs>
          <w:tab w:val="left" w:pos="1507"/>
        </w:tabs>
        <w:spacing w:line="480" w:lineRule="auto"/>
        <w:ind w:firstLine="562" w:firstLineChars="200"/>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 xml:space="preserve">一、评审原则 </w:t>
      </w:r>
    </w:p>
    <w:p w14:paraId="613D74A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评标委员会将按照这一原则的要求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公正、平等地对待各投标人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在评标时恪守以下原则：</w:t>
      </w:r>
    </w:p>
    <w:p w14:paraId="563B91B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1.客观性原则：评标委员会将严格按照招标文件的要求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对投标人的投标文件进行认真评审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评标委员会对投标文件的评审仅依据投标文件本身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而不依靠投标文件以外的任何因素。 </w:t>
      </w:r>
    </w:p>
    <w:p w14:paraId="48468AC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采用统一标准进行评标。</w:t>
      </w:r>
    </w:p>
    <w:p w14:paraId="09F993B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不受外界任何因素的干扰和影响。</w:t>
      </w:r>
    </w:p>
    <w:p w14:paraId="719A272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不得外泄。</w:t>
      </w:r>
    </w:p>
    <w:p w14:paraId="67C27A7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而不以单项指标的优劣评定出中标人。</w:t>
      </w:r>
    </w:p>
    <w:p w14:paraId="4D4C4C2D">
      <w:pPr>
        <w:shd w:val="clear"/>
        <w:tabs>
          <w:tab w:val="left" w:pos="1507"/>
        </w:tabs>
        <w:spacing w:line="480" w:lineRule="auto"/>
        <w:ind w:firstLine="562" w:firstLineChars="200"/>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二、评标程序</w:t>
      </w:r>
    </w:p>
    <w:p w14:paraId="31DD19D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.核对评审专家身份和采购人代表授权委托书。</w:t>
      </w:r>
    </w:p>
    <w:p w14:paraId="449D780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.宣布评标纪律。</w:t>
      </w:r>
    </w:p>
    <w:p w14:paraId="42FE895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.公布投标人名单，告知评审专家应当回避的情形。</w:t>
      </w:r>
    </w:p>
    <w:p w14:paraId="25EAA1C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.组织评标委员会推选评标组长，采购人代表不得担任组长。</w:t>
      </w:r>
    </w:p>
    <w:p w14:paraId="5D2BAFF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评审专家依法对投标人的资格进行审查。</w:t>
      </w:r>
    </w:p>
    <w:p w14:paraId="40DCCE9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评标委员会对符合资格的投标人的投标文件进行符合性审查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详见《投标须知》-《实质性条款一览表》中符合性</w:t>
      </w:r>
      <w:r>
        <w:rPr>
          <w:rFonts w:hint="eastAsia" w:ascii="仿宋" w:hAnsi="仿宋" w:eastAsia="仿宋" w:cs="仿宋"/>
          <w:color w:val="auto"/>
          <w:sz w:val="28"/>
          <w:szCs w:val="28"/>
          <w:highlight w:val="none"/>
          <w:lang w:val="en-US" w:eastAsia="zh-CN"/>
        </w:rPr>
        <w:t>审查</w:t>
      </w:r>
      <w:r>
        <w:rPr>
          <w:rFonts w:hint="eastAsia" w:ascii="仿宋" w:hAnsi="仿宋" w:eastAsia="仿宋" w:cs="仿宋"/>
          <w:color w:val="auto"/>
          <w:sz w:val="28"/>
          <w:szCs w:val="28"/>
          <w:highlight w:val="none"/>
        </w:rPr>
        <w:t>条款。</w:t>
      </w:r>
    </w:p>
    <w:p w14:paraId="1F840F4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属于无效投标的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投标人不能通过修正或撤销投标文件中不符合之处而成为实质性响应的投标</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lang w:val="en-US" w:eastAsia="zh-CN"/>
        </w:rPr>
        <w:t>机构</w:t>
      </w:r>
      <w:r>
        <w:rPr>
          <w:rFonts w:hint="eastAsia" w:ascii="仿宋" w:hAnsi="仿宋" w:eastAsia="仿宋" w:cs="仿宋"/>
          <w:color w:val="auto"/>
          <w:sz w:val="28"/>
          <w:szCs w:val="28"/>
          <w:highlight w:val="none"/>
        </w:rPr>
        <w:t>将通知投标人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并说明无效投标理由；属于有效投标文件的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将进行下一轮次的询标和澄清、说明或补正。</w:t>
      </w:r>
    </w:p>
    <w:p w14:paraId="738B225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.澄清、说明或者补正</w:t>
      </w:r>
    </w:p>
    <w:p w14:paraId="0F09561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评标委员会可以书面形式要求投标人在规定的时间内作出必要的澄清、说明或者纠正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投标人应在要求的时间内以书面形式澄清、说明或者补正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w:t>
      </w:r>
      <w:r>
        <w:rPr>
          <w:rFonts w:hint="eastAsia" w:ascii="仿宋" w:hAnsi="仿宋" w:eastAsia="仿宋" w:cs="仿宋"/>
          <w:color w:val="auto"/>
          <w:sz w:val="28"/>
          <w:szCs w:val="28"/>
          <w:highlight w:val="none"/>
          <w:lang w:val="en-US" w:eastAsia="zh-CN"/>
        </w:rPr>
        <w:t>加盖公章，或者</w:t>
      </w:r>
      <w:r>
        <w:rPr>
          <w:rFonts w:hint="eastAsia" w:ascii="仿宋" w:hAnsi="仿宋" w:eastAsia="仿宋" w:cs="仿宋"/>
          <w:color w:val="auto"/>
          <w:sz w:val="28"/>
          <w:szCs w:val="28"/>
          <w:highlight w:val="none"/>
        </w:rPr>
        <w:t>由其法定代表人或被授权人签字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且不得超出投标文件的范围或者改变投标文件的实质性内容。</w:t>
      </w:r>
    </w:p>
    <w:p w14:paraId="6E6BFA1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25D2B71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.比较与评价</w:t>
      </w:r>
    </w:p>
    <w:p w14:paraId="2583F8E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综合比较和评价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按综合得分高低列出中标候选人排序表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若总分相同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以报价得分高的排前；若总分、报价得分都相同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则以投标技术方面得分高的排前。</w:t>
      </w:r>
    </w:p>
    <w:p w14:paraId="60216DA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.出现下列情况之一的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均予以废标</w:t>
      </w:r>
    </w:p>
    <w:p w14:paraId="2FA62C6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4A34463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791C2D6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D961E4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20319B9A">
      <w:pPr>
        <w:shd w:val="clear"/>
        <w:tabs>
          <w:tab w:val="left" w:pos="1507"/>
        </w:tabs>
        <w:spacing w:line="480" w:lineRule="auto"/>
        <w:ind w:firstLine="562" w:firstLineChars="200"/>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20185A4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w:t>
      </w:r>
    </w:p>
    <w:p w14:paraId="58EDCF1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3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687"/>
        <w:gridCol w:w="1126"/>
        <w:gridCol w:w="6483"/>
        <w:gridCol w:w="844"/>
        <w:gridCol w:w="714"/>
      </w:tblGrid>
      <w:tr w14:paraId="4E35F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49" w:type="pct"/>
            <w:shd w:val="clear" w:color="auto" w:fill="D9D9D9"/>
            <w:noWrap w:val="0"/>
            <w:vAlign w:val="center"/>
          </w:tcPr>
          <w:p w14:paraId="6CCA6F5F">
            <w:pPr>
              <w:pStyle w:val="7"/>
              <w:shd w:val="clear"/>
              <w:spacing w:line="480" w:lineRule="exact"/>
              <w:ind w:firstLine="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571" w:type="pct"/>
            <w:shd w:val="clear" w:color="auto" w:fill="D9D9D9"/>
            <w:noWrap w:val="0"/>
            <w:vAlign w:val="center"/>
          </w:tcPr>
          <w:p w14:paraId="5581860F">
            <w:pPr>
              <w:pStyle w:val="7"/>
              <w:shd w:val="clear"/>
              <w:spacing w:line="480" w:lineRule="exact"/>
              <w:ind w:firstLine="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评分标题</w:t>
            </w:r>
          </w:p>
        </w:tc>
        <w:tc>
          <w:tcPr>
            <w:tcW w:w="3288" w:type="pct"/>
            <w:shd w:val="clear" w:color="auto" w:fill="D9D9D9"/>
            <w:noWrap w:val="0"/>
            <w:vAlign w:val="center"/>
          </w:tcPr>
          <w:p w14:paraId="25882512">
            <w:pPr>
              <w:pStyle w:val="7"/>
              <w:shd w:val="clear"/>
              <w:spacing w:line="480" w:lineRule="exact"/>
              <w:ind w:firstLine="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428" w:type="pct"/>
            <w:shd w:val="clear" w:color="auto" w:fill="D9D9D9"/>
            <w:noWrap w:val="0"/>
            <w:vAlign w:val="center"/>
          </w:tcPr>
          <w:p w14:paraId="67F7E28C">
            <w:pPr>
              <w:pStyle w:val="7"/>
              <w:shd w:val="clear"/>
              <w:spacing w:line="480" w:lineRule="exact"/>
              <w:ind w:firstLine="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362" w:type="pct"/>
            <w:shd w:val="clear" w:color="auto" w:fill="D9D9D9"/>
            <w:noWrap w:val="0"/>
            <w:vAlign w:val="center"/>
          </w:tcPr>
          <w:p w14:paraId="5702E420">
            <w:pPr>
              <w:pStyle w:val="7"/>
              <w:shd w:val="clear"/>
              <w:spacing w:line="480" w:lineRule="exact"/>
              <w:ind w:firstLine="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31CC9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349" w:type="pct"/>
            <w:noWrap w:val="0"/>
            <w:vAlign w:val="center"/>
          </w:tcPr>
          <w:p w14:paraId="7C9DBAC0">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571" w:type="pct"/>
            <w:noWrap w:val="0"/>
            <w:vAlign w:val="center"/>
          </w:tcPr>
          <w:p w14:paraId="18641DDA">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w:t>
            </w:r>
          </w:p>
        </w:tc>
        <w:tc>
          <w:tcPr>
            <w:tcW w:w="3288" w:type="pct"/>
            <w:noWrap w:val="0"/>
            <w:vAlign w:val="center"/>
          </w:tcPr>
          <w:p w14:paraId="3063B026">
            <w:pPr>
              <w:pStyle w:val="7"/>
              <w:shd w:val="clear"/>
              <w:spacing w:line="48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评标基准价计算方法：当有效投标单位数量＞8家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评标基准价=（所有投标人的有效报价之和-有效报价的最高值及次高值-有效报价的最低值）的算术平均值；当5家＜有效投标单位数量≤8家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评标基准价=（所有投标人的有效报价之和-有效报价的最高值-有效报价的最低值）的算术平均值；当有效投标单位数量≤5家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评标基准价=所有投标人的有效报价的算术平均值。</w:t>
            </w:r>
          </w:p>
          <w:p w14:paraId="296F022E">
            <w:pPr>
              <w:pStyle w:val="7"/>
              <w:shd w:val="clear"/>
              <w:spacing w:line="48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投标人的投标报价等于评标基准价的，得满分</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分。投标报价每高于评标基准价1％扣</w:t>
            </w:r>
            <w:r>
              <w:rPr>
                <w:rFonts w:hint="eastAsia" w:ascii="仿宋" w:hAnsi="仿宋" w:eastAsia="仿宋" w:cs="仿宋"/>
                <w:color w:val="auto"/>
                <w:sz w:val="24"/>
                <w:szCs w:val="24"/>
                <w:highlight w:val="none"/>
                <w:lang w:val="en-US" w:eastAsia="zh-CN"/>
              </w:rPr>
              <w:t>0.5</w:t>
            </w:r>
            <w:r>
              <w:rPr>
                <w:rFonts w:hint="eastAsia" w:ascii="仿宋" w:hAnsi="仿宋" w:eastAsia="仿宋" w:cs="仿宋"/>
                <w:color w:val="auto"/>
                <w:sz w:val="24"/>
                <w:szCs w:val="24"/>
                <w:highlight w:val="none"/>
              </w:rPr>
              <w:t>分，每低于评标基准价1％扣0.</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分，最低计至0分，偏离不足1%的，按照插入法计算得分，得分精确到小数点后2位。</w:t>
            </w:r>
          </w:p>
        </w:tc>
        <w:tc>
          <w:tcPr>
            <w:tcW w:w="428" w:type="pct"/>
            <w:noWrap w:val="0"/>
            <w:vAlign w:val="center"/>
          </w:tcPr>
          <w:p w14:paraId="051776E9">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价格分</w:t>
            </w:r>
          </w:p>
        </w:tc>
        <w:tc>
          <w:tcPr>
            <w:tcW w:w="362" w:type="pct"/>
            <w:noWrap w:val="0"/>
            <w:vAlign w:val="center"/>
          </w:tcPr>
          <w:p w14:paraId="4CBEF7C9">
            <w:pPr>
              <w:pStyle w:val="7"/>
              <w:shd w:val="clear"/>
              <w:spacing w:line="480" w:lineRule="exact"/>
              <w:ind w:firstLine="0"/>
              <w:jc w:val="center"/>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rPr>
              <w:t>0.00</w:t>
            </w:r>
          </w:p>
        </w:tc>
      </w:tr>
      <w:tr w14:paraId="55DA1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349" w:type="pct"/>
            <w:noWrap w:val="0"/>
            <w:vAlign w:val="center"/>
          </w:tcPr>
          <w:p w14:paraId="0FA56EAA">
            <w:pPr>
              <w:pStyle w:val="7"/>
              <w:shd w:val="clear"/>
              <w:spacing w:line="480" w:lineRule="exact"/>
              <w:ind w:firstLine="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571" w:type="pct"/>
            <w:noWrap w:val="0"/>
            <w:vAlign w:val="center"/>
          </w:tcPr>
          <w:p w14:paraId="276C668F">
            <w:pPr>
              <w:pStyle w:val="7"/>
              <w:shd w:val="clear"/>
              <w:spacing w:line="480" w:lineRule="exact"/>
              <w:ind w:firstLine="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同类项目业绩</w:t>
            </w:r>
          </w:p>
        </w:tc>
        <w:tc>
          <w:tcPr>
            <w:tcW w:w="3288" w:type="pct"/>
            <w:noWrap w:val="0"/>
            <w:vAlign w:val="center"/>
          </w:tcPr>
          <w:p w14:paraId="21A2E1F8">
            <w:pPr>
              <w:pStyle w:val="7"/>
              <w:shd w:val="clear"/>
              <w:spacing w:line="48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生产制造商202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年1月1日至今（以合同签订时间为准）承揽的同类项目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指与所投产品同品牌、同型号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业绩，每有一</w:t>
            </w:r>
            <w:r>
              <w:rPr>
                <w:rFonts w:hint="eastAsia" w:ascii="仿宋" w:hAnsi="仿宋" w:eastAsia="仿宋" w:cs="仿宋"/>
                <w:color w:val="auto"/>
                <w:sz w:val="24"/>
                <w:szCs w:val="24"/>
                <w:highlight w:val="none"/>
                <w:lang w:val="en-US" w:eastAsia="zh-CN"/>
              </w:rPr>
              <w:t>个</w:t>
            </w:r>
            <w:r>
              <w:rPr>
                <w:rFonts w:hint="eastAsia" w:ascii="仿宋" w:hAnsi="仿宋" w:eastAsia="仿宋" w:cs="仿宋"/>
                <w:color w:val="auto"/>
                <w:sz w:val="24"/>
                <w:szCs w:val="24"/>
                <w:highlight w:val="none"/>
              </w:rPr>
              <w:t>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分，最高计至</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p w14:paraId="7BE2D675">
            <w:pPr>
              <w:pStyle w:val="7"/>
              <w:shd w:val="clear"/>
              <w:spacing w:line="48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注：投标文件中附合同扫描件，合同内容无法体现同类项目业绩的，还应增加其他证明材料</w:t>
            </w:r>
            <w:r>
              <w:rPr>
                <w:rFonts w:hint="eastAsia" w:ascii="仿宋" w:hAnsi="仿宋" w:eastAsia="仿宋" w:cs="仿宋"/>
                <w:b/>
                <w:bCs/>
                <w:color w:val="auto"/>
                <w:sz w:val="24"/>
                <w:szCs w:val="24"/>
                <w:highlight w:val="none"/>
                <w:lang w:val="en-US" w:eastAsia="zh-CN"/>
              </w:rPr>
              <w:t>扫描</w:t>
            </w:r>
            <w:r>
              <w:rPr>
                <w:rFonts w:hint="eastAsia" w:ascii="仿宋" w:hAnsi="仿宋" w:eastAsia="仿宋" w:cs="仿宋"/>
                <w:b/>
                <w:bCs/>
                <w:color w:val="auto"/>
                <w:sz w:val="24"/>
                <w:szCs w:val="24"/>
                <w:highlight w:val="none"/>
              </w:rPr>
              <w:t>件，不满足要求的不得分。</w:t>
            </w:r>
          </w:p>
        </w:tc>
        <w:tc>
          <w:tcPr>
            <w:tcW w:w="428" w:type="pct"/>
            <w:noWrap w:val="0"/>
            <w:vAlign w:val="center"/>
          </w:tcPr>
          <w:p w14:paraId="3D951AD7">
            <w:pPr>
              <w:pStyle w:val="7"/>
              <w:shd w:val="clear"/>
              <w:spacing w:line="480" w:lineRule="exact"/>
              <w:ind w:firstLine="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6C33A38E">
            <w:pPr>
              <w:pStyle w:val="7"/>
              <w:shd w:val="clear"/>
              <w:spacing w:line="480" w:lineRule="exact"/>
              <w:ind w:firstLine="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10.00</w:t>
            </w:r>
          </w:p>
        </w:tc>
      </w:tr>
      <w:tr w14:paraId="5E7A4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349" w:type="pct"/>
            <w:noWrap w:val="0"/>
            <w:vAlign w:val="center"/>
          </w:tcPr>
          <w:p w14:paraId="29F483AA">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技术</w:t>
            </w:r>
          </w:p>
        </w:tc>
        <w:tc>
          <w:tcPr>
            <w:tcW w:w="571" w:type="pct"/>
            <w:noWrap w:val="0"/>
            <w:vAlign w:val="center"/>
          </w:tcPr>
          <w:p w14:paraId="4265FF9B">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产品性能</w:t>
            </w:r>
          </w:p>
        </w:tc>
        <w:tc>
          <w:tcPr>
            <w:tcW w:w="3288" w:type="pct"/>
            <w:noWrap w:val="0"/>
            <w:vAlign w:val="center"/>
          </w:tcPr>
          <w:p w14:paraId="701D7FE2">
            <w:pPr>
              <w:pStyle w:val="7"/>
              <w:shd w:val="clear"/>
              <w:spacing w:line="480" w:lineRule="exact"/>
              <w:ind w:firstLine="0"/>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rPr>
              <w:t>由评委</w:t>
            </w:r>
            <w:r>
              <w:rPr>
                <w:rFonts w:hint="eastAsia" w:ascii="仿宋" w:hAnsi="仿宋" w:eastAsia="仿宋" w:cs="仿宋"/>
                <w:b w:val="0"/>
                <w:bCs w:val="0"/>
                <w:color w:val="auto"/>
                <w:sz w:val="24"/>
                <w:highlight w:val="none"/>
                <w:lang w:val="en-US" w:eastAsia="zh-CN"/>
              </w:rPr>
              <w:t>审核</w:t>
            </w:r>
            <w:r>
              <w:rPr>
                <w:rFonts w:hint="eastAsia" w:ascii="仿宋" w:hAnsi="仿宋" w:eastAsia="仿宋" w:cs="仿宋"/>
                <w:b w:val="0"/>
                <w:bCs w:val="0"/>
                <w:color w:val="auto"/>
                <w:sz w:val="24"/>
                <w:highlight w:val="none"/>
              </w:rPr>
              <w:t>各投标人</w:t>
            </w:r>
            <w:r>
              <w:rPr>
                <w:rFonts w:hint="eastAsia" w:ascii="仿宋" w:hAnsi="仿宋" w:eastAsia="仿宋" w:cs="仿宋"/>
                <w:b w:val="0"/>
                <w:bCs w:val="0"/>
                <w:color w:val="auto"/>
                <w:sz w:val="24"/>
                <w:highlight w:val="none"/>
                <w:lang w:val="en-US" w:eastAsia="zh-CN"/>
              </w:rPr>
              <w:t>的投标文件后</w:t>
            </w:r>
            <w:r>
              <w:rPr>
                <w:rFonts w:hint="eastAsia" w:ascii="仿宋" w:hAnsi="仿宋" w:eastAsia="仿宋" w:cs="仿宋"/>
                <w:b w:val="0"/>
                <w:bCs w:val="0"/>
                <w:color w:val="auto"/>
                <w:sz w:val="24"/>
                <w:highlight w:val="none"/>
              </w:rPr>
              <w:t>根据以下标准进行打分</w:t>
            </w:r>
            <w:r>
              <w:rPr>
                <w:rFonts w:hint="eastAsia" w:ascii="仿宋" w:hAnsi="仿宋" w:eastAsia="仿宋" w:cs="仿宋"/>
                <w:b/>
                <w:bCs/>
                <w:color w:val="auto"/>
                <w:sz w:val="24"/>
                <w:highlight w:val="none"/>
                <w:lang w:eastAsia="zh-CN"/>
              </w:rPr>
              <w:t>（关键指标项</w:t>
            </w:r>
            <w:r>
              <w:rPr>
                <w:rFonts w:hint="eastAsia" w:ascii="仿宋" w:hAnsi="仿宋" w:eastAsia="仿宋" w:cs="仿宋"/>
                <w:b/>
                <w:bCs/>
                <w:color w:val="auto"/>
                <w:sz w:val="24"/>
                <w:highlight w:val="none"/>
                <w:lang w:val="en-US" w:eastAsia="zh-CN"/>
              </w:rPr>
              <w:t>参数不满足为无效投标</w:t>
            </w:r>
            <w:r>
              <w:rPr>
                <w:rFonts w:hint="eastAsia" w:ascii="仿宋" w:hAnsi="仿宋" w:eastAsia="仿宋" w:cs="仿宋"/>
                <w:b/>
                <w:bCs/>
                <w:color w:val="auto"/>
                <w:sz w:val="24"/>
                <w:highlight w:val="none"/>
                <w:lang w:eastAsia="zh-CN"/>
              </w:rPr>
              <w:t>）</w:t>
            </w:r>
            <w:r>
              <w:rPr>
                <w:rFonts w:hint="eastAsia" w:ascii="仿宋" w:hAnsi="仿宋" w:eastAsia="仿宋" w:cs="仿宋"/>
                <w:b w:val="0"/>
                <w:bCs w:val="0"/>
                <w:color w:val="auto"/>
                <w:sz w:val="24"/>
                <w:highlight w:val="none"/>
                <w:lang w:eastAsia="zh-CN"/>
              </w:rPr>
              <w:t>：</w:t>
            </w:r>
          </w:p>
          <w:p w14:paraId="3E1C16A1">
            <w:pPr>
              <w:pStyle w:val="7"/>
              <w:shd w:val="clear"/>
              <w:spacing w:line="480" w:lineRule="exact"/>
              <w:ind w:firstLine="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lang w:val="en-US" w:eastAsia="zh-CN"/>
              </w:rPr>
              <w:t>14</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val="en-US" w:eastAsia="zh-CN"/>
              </w:rPr>
              <w:t>21</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rPr>
              <w:t>】：所投产品</w:t>
            </w:r>
            <w:r>
              <w:rPr>
                <w:rFonts w:hint="eastAsia" w:ascii="仿宋" w:hAnsi="仿宋" w:eastAsia="仿宋" w:cs="仿宋"/>
                <w:b w:val="0"/>
                <w:bCs w:val="0"/>
                <w:color w:val="auto"/>
                <w:sz w:val="24"/>
                <w:highlight w:val="none"/>
                <w:lang w:val="en-US" w:eastAsia="zh-CN"/>
              </w:rPr>
              <w:t>质量可靠、</w:t>
            </w:r>
            <w:r>
              <w:rPr>
                <w:rFonts w:hint="eastAsia" w:ascii="仿宋" w:hAnsi="仿宋" w:eastAsia="仿宋" w:cs="仿宋"/>
                <w:b w:val="0"/>
                <w:bCs w:val="0"/>
                <w:color w:val="auto"/>
                <w:sz w:val="24"/>
                <w:highlight w:val="none"/>
              </w:rPr>
              <w:t>性能</w:t>
            </w:r>
            <w:r>
              <w:rPr>
                <w:rFonts w:hint="eastAsia" w:ascii="仿宋" w:hAnsi="仿宋" w:eastAsia="仿宋" w:cs="仿宋"/>
                <w:b w:val="0"/>
                <w:bCs w:val="0"/>
                <w:color w:val="auto"/>
                <w:sz w:val="24"/>
                <w:highlight w:val="none"/>
                <w:lang w:val="en-US" w:eastAsia="zh-CN"/>
              </w:rPr>
              <w:t>稳定，</w:t>
            </w:r>
            <w:r>
              <w:rPr>
                <w:rFonts w:hint="eastAsia" w:ascii="仿宋" w:hAnsi="仿宋" w:eastAsia="仿宋" w:cs="仿宋"/>
                <w:sz w:val="24"/>
                <w:szCs w:val="24"/>
                <w:highlight w:val="none"/>
              </w:rPr>
              <w:t>符合国家或部门或行业标准，技术水平领先，一般指标项参数</w:t>
            </w:r>
            <w:r>
              <w:rPr>
                <w:rFonts w:hint="eastAsia" w:ascii="仿宋" w:hAnsi="仿宋" w:eastAsia="仿宋" w:cs="仿宋"/>
                <w:b w:val="0"/>
                <w:bCs w:val="0"/>
                <w:color w:val="auto"/>
                <w:sz w:val="24"/>
                <w:highlight w:val="none"/>
                <w:lang w:val="en-US" w:eastAsia="zh-CN"/>
              </w:rPr>
              <w:t>完全满足招标文件要求</w:t>
            </w:r>
            <w:r>
              <w:rPr>
                <w:rFonts w:hint="eastAsia" w:ascii="仿宋" w:hAnsi="仿宋" w:eastAsia="仿宋" w:cs="仿宋"/>
                <w:b w:val="0"/>
                <w:bCs w:val="0"/>
                <w:color w:val="auto"/>
                <w:sz w:val="24"/>
                <w:highlight w:val="none"/>
              </w:rPr>
              <w:t>，无负偏离，有突出的优势。</w:t>
            </w:r>
          </w:p>
          <w:p w14:paraId="09651F00">
            <w:pPr>
              <w:pStyle w:val="7"/>
              <w:shd w:val="clear"/>
              <w:spacing w:line="480" w:lineRule="exact"/>
              <w:ind w:firstLine="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lang w:val="en-US" w:eastAsia="zh-CN"/>
              </w:rPr>
              <w:t>7</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val="en-US" w:eastAsia="zh-CN"/>
              </w:rPr>
              <w:t>-14</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rPr>
              <w:t>】：所投产品质量</w:t>
            </w:r>
            <w:r>
              <w:rPr>
                <w:rFonts w:hint="eastAsia" w:ascii="仿宋" w:hAnsi="仿宋" w:eastAsia="仿宋" w:cs="仿宋"/>
                <w:b w:val="0"/>
                <w:bCs w:val="0"/>
                <w:color w:val="auto"/>
                <w:sz w:val="24"/>
                <w:highlight w:val="none"/>
                <w:lang w:val="en-US" w:eastAsia="zh-CN"/>
              </w:rPr>
              <w:t>较</w:t>
            </w:r>
            <w:r>
              <w:rPr>
                <w:rFonts w:hint="eastAsia" w:ascii="仿宋" w:hAnsi="仿宋" w:eastAsia="仿宋" w:cs="仿宋"/>
                <w:b w:val="0"/>
                <w:bCs w:val="0"/>
                <w:color w:val="auto"/>
                <w:sz w:val="24"/>
                <w:highlight w:val="none"/>
              </w:rPr>
              <w:t>可靠、性能</w:t>
            </w:r>
            <w:r>
              <w:rPr>
                <w:rFonts w:hint="eastAsia" w:ascii="仿宋" w:hAnsi="仿宋" w:eastAsia="仿宋" w:cs="仿宋"/>
                <w:b w:val="0"/>
                <w:bCs w:val="0"/>
                <w:color w:val="auto"/>
                <w:sz w:val="24"/>
                <w:highlight w:val="none"/>
                <w:lang w:val="en-US" w:eastAsia="zh-CN"/>
              </w:rPr>
              <w:t>较</w:t>
            </w:r>
            <w:r>
              <w:rPr>
                <w:rFonts w:hint="eastAsia" w:ascii="仿宋" w:hAnsi="仿宋" w:eastAsia="仿宋" w:cs="仿宋"/>
                <w:b w:val="0"/>
                <w:bCs w:val="0"/>
                <w:color w:val="auto"/>
                <w:sz w:val="24"/>
                <w:highlight w:val="none"/>
              </w:rPr>
              <w:t>稳定，一般指标项参数</w:t>
            </w:r>
            <w:r>
              <w:rPr>
                <w:rFonts w:hint="eastAsia" w:ascii="仿宋" w:hAnsi="仿宋" w:eastAsia="仿宋" w:cs="仿宋"/>
                <w:b w:val="0"/>
                <w:bCs w:val="0"/>
                <w:color w:val="auto"/>
                <w:sz w:val="24"/>
                <w:highlight w:val="none"/>
                <w:lang w:val="en-US" w:eastAsia="zh-CN"/>
              </w:rPr>
              <w:t>存在2处及以下</w:t>
            </w:r>
            <w:r>
              <w:rPr>
                <w:rFonts w:hint="eastAsia" w:ascii="仿宋" w:hAnsi="仿宋" w:eastAsia="仿宋" w:cs="仿宋"/>
                <w:b w:val="0"/>
                <w:bCs w:val="0"/>
                <w:color w:val="auto"/>
                <w:sz w:val="24"/>
                <w:highlight w:val="none"/>
              </w:rPr>
              <w:t>负偏离，</w:t>
            </w:r>
            <w:r>
              <w:rPr>
                <w:rFonts w:hint="eastAsia" w:ascii="仿宋" w:hAnsi="仿宋" w:eastAsia="仿宋" w:cs="仿宋"/>
                <w:b w:val="0"/>
                <w:bCs w:val="0"/>
                <w:color w:val="auto"/>
                <w:sz w:val="24"/>
                <w:highlight w:val="none"/>
                <w:lang w:val="en-US" w:eastAsia="zh-CN"/>
              </w:rPr>
              <w:t>产品性能</w:t>
            </w:r>
            <w:r>
              <w:rPr>
                <w:rFonts w:hint="eastAsia" w:ascii="仿宋" w:hAnsi="仿宋" w:eastAsia="仿宋" w:cs="仿宋"/>
                <w:b w:val="0"/>
                <w:bCs w:val="0"/>
                <w:color w:val="auto"/>
                <w:sz w:val="24"/>
                <w:highlight w:val="none"/>
              </w:rPr>
              <w:t>满足</w:t>
            </w:r>
            <w:r>
              <w:rPr>
                <w:rFonts w:hint="eastAsia" w:ascii="仿宋" w:hAnsi="仿宋" w:eastAsia="仿宋" w:cs="仿宋"/>
                <w:b w:val="0"/>
                <w:bCs w:val="0"/>
                <w:color w:val="auto"/>
                <w:sz w:val="24"/>
                <w:highlight w:val="none"/>
                <w:lang w:val="en-US" w:eastAsia="zh-CN"/>
              </w:rPr>
              <w:t>采购人需要</w:t>
            </w:r>
            <w:r>
              <w:rPr>
                <w:rFonts w:hint="eastAsia" w:ascii="仿宋" w:hAnsi="仿宋" w:eastAsia="仿宋" w:cs="仿宋"/>
                <w:b w:val="0"/>
                <w:bCs w:val="0"/>
                <w:color w:val="auto"/>
                <w:sz w:val="24"/>
                <w:highlight w:val="none"/>
              </w:rPr>
              <w:t>。</w:t>
            </w:r>
          </w:p>
          <w:p w14:paraId="56408699">
            <w:pPr>
              <w:pStyle w:val="7"/>
              <w:shd w:val="clear"/>
              <w:spacing w:line="480" w:lineRule="exact"/>
              <w:ind w:firstLine="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lang w:val="en-US" w:eastAsia="zh-CN"/>
              </w:rPr>
              <w:t>0</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val="en-US" w:eastAsia="zh-CN"/>
              </w:rPr>
              <w:t>-7</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rPr>
              <w:t>】：所投产品一般指标项参数存在</w:t>
            </w:r>
            <w:r>
              <w:rPr>
                <w:rFonts w:hint="eastAsia" w:ascii="仿宋" w:hAnsi="仿宋" w:eastAsia="仿宋" w:cs="仿宋"/>
                <w:b w:val="0"/>
                <w:bCs w:val="0"/>
                <w:color w:val="auto"/>
                <w:sz w:val="24"/>
                <w:highlight w:val="none"/>
                <w:lang w:val="en-US" w:eastAsia="zh-CN"/>
              </w:rPr>
              <w:t>3处及以上</w:t>
            </w:r>
            <w:r>
              <w:rPr>
                <w:rFonts w:hint="eastAsia" w:ascii="仿宋" w:hAnsi="仿宋" w:eastAsia="仿宋" w:cs="仿宋"/>
                <w:b w:val="0"/>
                <w:bCs w:val="0"/>
                <w:color w:val="auto"/>
                <w:sz w:val="24"/>
                <w:highlight w:val="none"/>
              </w:rPr>
              <w:t>负偏离</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产品使用方面存在一定的风险</w:t>
            </w:r>
            <w:r>
              <w:rPr>
                <w:rFonts w:hint="eastAsia" w:ascii="仿宋" w:hAnsi="仿宋" w:eastAsia="仿宋" w:cs="仿宋"/>
                <w:b w:val="0"/>
                <w:bCs w:val="0"/>
                <w:color w:val="auto"/>
                <w:sz w:val="24"/>
                <w:highlight w:val="none"/>
              </w:rPr>
              <w:t>。</w:t>
            </w:r>
          </w:p>
          <w:p w14:paraId="22651096">
            <w:pPr>
              <w:pStyle w:val="7"/>
              <w:shd w:val="clear"/>
              <w:spacing w:line="480" w:lineRule="exact"/>
              <w:ind w:firstLine="0"/>
              <w:rPr>
                <w:rFonts w:hint="eastAsia" w:ascii="仿宋" w:hAnsi="仿宋" w:eastAsia="仿宋" w:cs="仿宋"/>
                <w:b w:val="0"/>
                <w:bCs w:val="0"/>
                <w:color w:val="auto"/>
                <w:sz w:val="24"/>
                <w:highlight w:val="none"/>
                <w:lang w:val="en-US" w:eastAsia="zh-CN"/>
              </w:rPr>
            </w:pPr>
            <w:r>
              <w:rPr>
                <w:rFonts w:hint="eastAsia" w:ascii="仿宋" w:hAnsi="仿宋" w:eastAsia="仿宋" w:cs="仿宋"/>
                <w:b/>
                <w:bCs/>
                <w:color w:val="auto"/>
                <w:sz w:val="24"/>
                <w:highlight w:val="none"/>
                <w:lang w:val="en-US" w:eastAsia="zh-CN"/>
              </w:rPr>
              <w:t>注：</w:t>
            </w:r>
            <w:r>
              <w:rPr>
                <w:rFonts w:hint="eastAsia" w:ascii="仿宋" w:hAnsi="仿宋" w:eastAsia="仿宋" w:cs="仿宋"/>
                <w:b/>
                <w:bCs/>
                <w:color w:val="auto"/>
                <w:sz w:val="24"/>
                <w:highlight w:val="none"/>
              </w:rPr>
              <w:t>指标项缺项视为负偏离。指标项无论是否存在偏离，</w:t>
            </w:r>
            <w:r>
              <w:rPr>
                <w:rFonts w:hint="eastAsia" w:ascii="仿宋" w:hAnsi="仿宋" w:eastAsia="仿宋" w:cs="仿宋"/>
                <w:b/>
                <w:bCs/>
                <w:color w:val="auto"/>
                <w:sz w:val="24"/>
                <w:highlight w:val="none"/>
                <w:lang w:eastAsia="zh-CN"/>
              </w:rPr>
              <w:t>投标人</w:t>
            </w:r>
            <w:r>
              <w:rPr>
                <w:rFonts w:hint="eastAsia" w:ascii="仿宋" w:hAnsi="仿宋" w:eastAsia="仿宋" w:cs="仿宋"/>
                <w:b/>
                <w:bCs/>
                <w:color w:val="auto"/>
                <w:sz w:val="24"/>
                <w:highlight w:val="none"/>
              </w:rPr>
              <w:t>均应在投标偏离表中一一列明。</w:t>
            </w:r>
          </w:p>
        </w:tc>
        <w:tc>
          <w:tcPr>
            <w:tcW w:w="428" w:type="pct"/>
            <w:noWrap w:val="0"/>
            <w:vAlign w:val="center"/>
          </w:tcPr>
          <w:p w14:paraId="1339505C">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477B8B46">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21.00</w:t>
            </w:r>
          </w:p>
        </w:tc>
      </w:tr>
      <w:tr w14:paraId="119E7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349" w:type="pct"/>
            <w:noWrap w:val="0"/>
            <w:vAlign w:val="center"/>
          </w:tcPr>
          <w:p w14:paraId="2E884CA3">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技术</w:t>
            </w:r>
          </w:p>
        </w:tc>
        <w:tc>
          <w:tcPr>
            <w:tcW w:w="571" w:type="pct"/>
            <w:noWrap w:val="0"/>
            <w:vAlign w:val="center"/>
          </w:tcPr>
          <w:p w14:paraId="4333A69C">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实施方案</w:t>
            </w:r>
          </w:p>
        </w:tc>
        <w:tc>
          <w:tcPr>
            <w:tcW w:w="3288" w:type="pct"/>
            <w:noWrap w:val="0"/>
            <w:vAlign w:val="center"/>
          </w:tcPr>
          <w:p w14:paraId="0A46B8D9">
            <w:pPr>
              <w:pStyle w:val="7"/>
              <w:shd w:val="clear"/>
              <w:spacing w:line="460" w:lineRule="exact"/>
              <w:ind w:firstLine="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由评委审核各投标人的投标文件后根据以下标准进行打分：</w:t>
            </w:r>
          </w:p>
          <w:p w14:paraId="236122A4">
            <w:pPr>
              <w:pStyle w:val="7"/>
              <w:shd w:val="clear"/>
              <w:spacing w:line="460" w:lineRule="exact"/>
              <w:ind w:firstLine="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12</w:t>
            </w:r>
            <w:r>
              <w:rPr>
                <w:rFonts w:hint="eastAsia" w:ascii="仿宋" w:hAnsi="仿宋" w:eastAsia="仿宋" w:cs="仿宋"/>
                <w:bCs/>
                <w:sz w:val="24"/>
                <w:szCs w:val="24"/>
                <w:highlight w:val="none"/>
              </w:rPr>
              <w:t>分-1</w:t>
            </w: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方案内容全面、条理清晰，</w:t>
            </w:r>
            <w:r>
              <w:rPr>
                <w:rFonts w:hint="eastAsia" w:ascii="仿宋" w:hAnsi="仿宋" w:eastAsia="仿宋" w:cs="仿宋"/>
                <w:sz w:val="24"/>
                <w:szCs w:val="24"/>
                <w:highlight w:val="none"/>
              </w:rPr>
              <w:t>各个环节进度安排</w:t>
            </w:r>
            <w:r>
              <w:rPr>
                <w:rFonts w:hint="eastAsia" w:ascii="仿宋" w:hAnsi="仿宋" w:eastAsia="仿宋" w:cs="仿宋"/>
                <w:sz w:val="24"/>
                <w:szCs w:val="24"/>
                <w:highlight w:val="none"/>
                <w:lang w:val="en-US" w:eastAsia="zh-CN"/>
              </w:rPr>
              <w:t>科学、</w:t>
            </w:r>
            <w:r>
              <w:rPr>
                <w:rFonts w:hint="eastAsia" w:ascii="仿宋" w:hAnsi="仿宋" w:eastAsia="仿宋" w:cs="仿宋"/>
                <w:bCs/>
                <w:sz w:val="24"/>
                <w:szCs w:val="24"/>
                <w:highlight w:val="none"/>
                <w:lang w:val="en-US" w:eastAsia="zh-CN"/>
              </w:rPr>
              <w:t>合理可行</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质量、进度</w:t>
            </w:r>
            <w:r>
              <w:rPr>
                <w:rFonts w:hint="eastAsia" w:ascii="仿宋" w:hAnsi="仿宋" w:eastAsia="仿宋" w:cs="仿宋"/>
                <w:bCs/>
                <w:sz w:val="24"/>
                <w:szCs w:val="24"/>
                <w:highlight w:val="none"/>
              </w:rPr>
              <w:t>保证措施</w:t>
            </w:r>
            <w:r>
              <w:rPr>
                <w:rFonts w:hint="eastAsia" w:ascii="仿宋" w:hAnsi="仿宋" w:eastAsia="仿宋" w:cs="仿宋"/>
                <w:kern w:val="0"/>
                <w:sz w:val="24"/>
                <w:szCs w:val="24"/>
                <w:highlight w:val="none"/>
                <w:lang w:val="en-US" w:eastAsia="zh-CN"/>
              </w:rPr>
              <w:t>及</w:t>
            </w:r>
            <w:r>
              <w:rPr>
                <w:rFonts w:hint="eastAsia" w:ascii="仿宋" w:hAnsi="仿宋" w:eastAsia="仿宋" w:cs="仿宋"/>
                <w:kern w:val="0"/>
                <w:sz w:val="24"/>
                <w:szCs w:val="24"/>
                <w:highlight w:val="none"/>
              </w:rPr>
              <w:t>风险防范措施</w:t>
            </w:r>
            <w:r>
              <w:rPr>
                <w:rFonts w:hint="eastAsia" w:ascii="仿宋" w:hAnsi="仿宋" w:eastAsia="仿宋" w:cs="仿宋"/>
                <w:bCs/>
                <w:sz w:val="24"/>
                <w:szCs w:val="24"/>
                <w:highlight w:val="none"/>
                <w:lang w:val="en-US" w:eastAsia="zh-CN"/>
              </w:rPr>
              <w:t>完善，应急预案针对性强</w:t>
            </w:r>
            <w:r>
              <w:rPr>
                <w:rFonts w:hint="eastAsia" w:ascii="仿宋" w:hAnsi="仿宋" w:eastAsia="仿宋" w:cs="仿宋"/>
                <w:bCs/>
                <w:sz w:val="24"/>
                <w:szCs w:val="24"/>
                <w:highlight w:val="none"/>
              </w:rPr>
              <w:t>。</w:t>
            </w:r>
          </w:p>
          <w:p w14:paraId="607AA792">
            <w:pPr>
              <w:pStyle w:val="7"/>
              <w:shd w:val="clear"/>
              <w:spacing w:line="460" w:lineRule="exact"/>
              <w:ind w:firstLine="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rPr>
              <w:t>分-</w:t>
            </w:r>
            <w:r>
              <w:rPr>
                <w:rFonts w:hint="eastAsia" w:ascii="仿宋" w:hAnsi="仿宋" w:eastAsia="仿宋" w:cs="仿宋"/>
                <w:bCs/>
                <w:sz w:val="24"/>
                <w:szCs w:val="24"/>
                <w:highlight w:val="none"/>
                <w:lang w:val="en-US" w:eastAsia="zh-CN"/>
              </w:rPr>
              <w:t>12</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方案内容较全面，各个环节进度安排可行，有质量、进度保证措施及风险防范措施。</w:t>
            </w:r>
          </w:p>
          <w:p w14:paraId="5B14B07F">
            <w:pPr>
              <w:pStyle w:val="7"/>
              <w:shd w:val="clear"/>
              <w:spacing w:line="480" w:lineRule="exact"/>
              <w:ind w:firstLine="0"/>
              <w:rPr>
                <w:rFonts w:hint="eastAsia" w:ascii="仿宋" w:hAnsi="仿宋" w:eastAsia="仿宋" w:cs="仿宋"/>
                <w:b w:val="0"/>
                <w:bCs w:val="0"/>
                <w:color w:val="auto"/>
                <w:sz w:val="24"/>
                <w:highlight w:val="none"/>
              </w:rPr>
            </w:pPr>
            <w:r>
              <w:rPr>
                <w:rFonts w:hint="eastAsia" w:ascii="仿宋" w:hAnsi="仿宋" w:eastAsia="仿宋" w:cs="仿宋"/>
                <w:bCs/>
                <w:sz w:val="24"/>
                <w:szCs w:val="24"/>
                <w:highlight w:val="none"/>
              </w:rPr>
              <w:t>【0分-</w:t>
            </w: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方案内容简陋或存在部分缺陷</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实施方面存在</w:t>
            </w:r>
            <w:r>
              <w:rPr>
                <w:rFonts w:hint="eastAsia" w:ascii="仿宋" w:hAnsi="仿宋" w:eastAsia="仿宋" w:cs="仿宋"/>
                <w:b w:val="0"/>
                <w:bCs w:val="0"/>
                <w:color w:val="auto"/>
                <w:sz w:val="24"/>
                <w:highlight w:val="none"/>
                <w:lang w:val="en-US" w:eastAsia="zh-CN"/>
              </w:rPr>
              <w:t>一定的风险</w:t>
            </w:r>
            <w:r>
              <w:rPr>
                <w:rFonts w:hint="eastAsia" w:ascii="仿宋" w:hAnsi="仿宋" w:eastAsia="仿宋" w:cs="仿宋"/>
                <w:bCs/>
                <w:sz w:val="24"/>
                <w:szCs w:val="24"/>
                <w:highlight w:val="none"/>
              </w:rPr>
              <w:t>。</w:t>
            </w:r>
          </w:p>
        </w:tc>
        <w:tc>
          <w:tcPr>
            <w:tcW w:w="428" w:type="pct"/>
            <w:noWrap w:val="0"/>
            <w:vAlign w:val="center"/>
          </w:tcPr>
          <w:p w14:paraId="20C0E555">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132BBC79">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18.00</w:t>
            </w:r>
          </w:p>
        </w:tc>
      </w:tr>
      <w:tr w14:paraId="58A87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349" w:type="pct"/>
            <w:noWrap w:val="0"/>
            <w:vAlign w:val="center"/>
          </w:tcPr>
          <w:p w14:paraId="2B75B318">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服务</w:t>
            </w:r>
          </w:p>
        </w:tc>
        <w:tc>
          <w:tcPr>
            <w:tcW w:w="571" w:type="pct"/>
            <w:noWrap w:val="0"/>
            <w:vAlign w:val="center"/>
          </w:tcPr>
          <w:p w14:paraId="210302B9">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培训方案</w:t>
            </w:r>
          </w:p>
        </w:tc>
        <w:tc>
          <w:tcPr>
            <w:tcW w:w="3288" w:type="pct"/>
            <w:noWrap w:val="0"/>
            <w:vAlign w:val="center"/>
          </w:tcPr>
          <w:p w14:paraId="3EE122EC">
            <w:pPr>
              <w:pStyle w:val="7"/>
              <w:shd w:val="clear"/>
              <w:spacing w:line="460" w:lineRule="exact"/>
              <w:ind w:firstLine="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由评委审核各投标人的投标文件后根据以下标准进行打分：</w:t>
            </w:r>
          </w:p>
          <w:p w14:paraId="29BFD0CF">
            <w:pPr>
              <w:pStyle w:val="7"/>
              <w:shd w:val="clear"/>
              <w:spacing w:line="460" w:lineRule="exact"/>
              <w:ind w:firstLine="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分-</w:t>
            </w: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培训计划完整且可行，培训内容齐全且针对性强</w:t>
            </w:r>
            <w:r>
              <w:rPr>
                <w:rFonts w:hint="eastAsia" w:ascii="仿宋" w:hAnsi="仿宋" w:eastAsia="仿宋" w:cs="仿宋"/>
                <w:bCs/>
                <w:sz w:val="24"/>
                <w:szCs w:val="24"/>
                <w:highlight w:val="none"/>
              </w:rPr>
              <w:t>。</w:t>
            </w:r>
          </w:p>
          <w:p w14:paraId="52B238B5">
            <w:pPr>
              <w:pStyle w:val="7"/>
              <w:shd w:val="clear"/>
              <w:spacing w:line="460" w:lineRule="exact"/>
              <w:ind w:firstLine="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分-</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sz w:val="24"/>
                <w:highlight w:val="none"/>
              </w:rPr>
              <w:t>培训计划可行，培训内容具有一定的针对性</w:t>
            </w:r>
            <w:r>
              <w:rPr>
                <w:rFonts w:hint="eastAsia" w:ascii="仿宋" w:hAnsi="仿宋" w:eastAsia="仿宋" w:cs="仿宋"/>
                <w:bCs/>
                <w:sz w:val="24"/>
                <w:szCs w:val="24"/>
                <w:highlight w:val="none"/>
              </w:rPr>
              <w:t>。</w:t>
            </w:r>
          </w:p>
          <w:p w14:paraId="4EB38316">
            <w:pPr>
              <w:pStyle w:val="7"/>
              <w:shd w:val="clear"/>
              <w:spacing w:line="480" w:lineRule="exact"/>
              <w:ind w:firstLine="0"/>
              <w:rPr>
                <w:rFonts w:hint="eastAsia" w:ascii="仿宋" w:hAnsi="仿宋" w:eastAsia="仿宋" w:cs="仿宋"/>
                <w:b w:val="0"/>
                <w:bCs w:val="0"/>
                <w:color w:val="auto"/>
                <w:sz w:val="24"/>
                <w:highlight w:val="none"/>
                <w:lang w:eastAsia="zh-CN"/>
              </w:rPr>
            </w:pPr>
            <w:r>
              <w:rPr>
                <w:rFonts w:hint="eastAsia" w:ascii="仿宋" w:hAnsi="仿宋" w:eastAsia="仿宋" w:cs="仿宋"/>
                <w:bCs/>
                <w:sz w:val="24"/>
                <w:szCs w:val="24"/>
                <w:highlight w:val="none"/>
              </w:rPr>
              <w:t>【0分-</w:t>
            </w: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培训方案内容简陋或存在部分缺陷，对采购人后期使用有一定的影响</w:t>
            </w:r>
            <w:r>
              <w:rPr>
                <w:rFonts w:hint="eastAsia" w:ascii="仿宋" w:hAnsi="仿宋" w:eastAsia="仿宋" w:cs="仿宋"/>
                <w:bCs/>
                <w:sz w:val="24"/>
                <w:szCs w:val="24"/>
                <w:highlight w:val="none"/>
                <w:lang w:eastAsia="zh-CN"/>
              </w:rPr>
              <w:t>。</w:t>
            </w:r>
          </w:p>
        </w:tc>
        <w:tc>
          <w:tcPr>
            <w:tcW w:w="428" w:type="pct"/>
            <w:noWrap w:val="0"/>
            <w:vAlign w:val="center"/>
          </w:tcPr>
          <w:p w14:paraId="1B1A6DA2">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203C3CDB">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6.00</w:t>
            </w:r>
          </w:p>
        </w:tc>
      </w:tr>
      <w:tr w14:paraId="6467F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349" w:type="pct"/>
            <w:noWrap w:val="0"/>
            <w:vAlign w:val="center"/>
          </w:tcPr>
          <w:p w14:paraId="21EC4600">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服务</w:t>
            </w:r>
          </w:p>
        </w:tc>
        <w:tc>
          <w:tcPr>
            <w:tcW w:w="571" w:type="pct"/>
            <w:noWrap w:val="0"/>
            <w:vAlign w:val="center"/>
          </w:tcPr>
          <w:p w14:paraId="5213E3F3">
            <w:pPr>
              <w:shd w:val="clear"/>
              <w:spacing w:line="48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售后服务</w:t>
            </w:r>
          </w:p>
        </w:tc>
        <w:tc>
          <w:tcPr>
            <w:tcW w:w="3288" w:type="pct"/>
            <w:noWrap w:val="0"/>
            <w:vAlign w:val="center"/>
          </w:tcPr>
          <w:p w14:paraId="20DD1B72">
            <w:pPr>
              <w:pStyle w:val="7"/>
              <w:shd w:val="clear"/>
              <w:spacing w:line="460" w:lineRule="exact"/>
              <w:ind w:firstLine="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由评委审核各投标人的投标文件后根据以下标准进行打分：</w:t>
            </w:r>
          </w:p>
          <w:p w14:paraId="25070F0F">
            <w:pPr>
              <w:pStyle w:val="7"/>
              <w:shd w:val="clear"/>
              <w:spacing w:line="460" w:lineRule="exact"/>
              <w:ind w:firstLine="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10分</w:t>
            </w: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5</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sz w:val="24"/>
                <w:highlight w:val="none"/>
              </w:rPr>
              <w:t>售后服务内容全面</w:t>
            </w:r>
            <w:r>
              <w:rPr>
                <w:rFonts w:hint="eastAsia" w:ascii="仿宋" w:hAnsi="仿宋" w:eastAsia="仿宋" w:cs="仿宋"/>
                <w:sz w:val="24"/>
                <w:highlight w:val="none"/>
                <w:lang w:eastAsia="zh-CN"/>
              </w:rPr>
              <w:t>，</w:t>
            </w:r>
            <w:r>
              <w:rPr>
                <w:rFonts w:hint="eastAsia" w:ascii="仿宋" w:hAnsi="仿宋" w:eastAsia="仿宋" w:cs="仿宋"/>
                <w:sz w:val="24"/>
                <w:highlight w:val="none"/>
              </w:rPr>
              <w:t>维护措施完善，紧急故障处理预案科学、合理，故障、技术支持响应和解决问题时间快，拟派售后服务人员数量充足且经验丰富，有突出的售后服务优势</w:t>
            </w:r>
            <w:r>
              <w:rPr>
                <w:rFonts w:hint="eastAsia" w:ascii="仿宋" w:hAnsi="仿宋" w:eastAsia="仿宋" w:cs="仿宋"/>
                <w:bCs/>
                <w:sz w:val="24"/>
                <w:szCs w:val="24"/>
                <w:highlight w:val="none"/>
              </w:rPr>
              <w:t>。</w:t>
            </w:r>
          </w:p>
          <w:p w14:paraId="74D54209">
            <w:pPr>
              <w:pStyle w:val="7"/>
              <w:shd w:val="clear"/>
              <w:spacing w:line="460" w:lineRule="exact"/>
              <w:ind w:firstLine="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5分</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10</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w:t>
            </w:r>
            <w:r>
              <w:rPr>
                <w:rFonts w:hint="eastAsia" w:ascii="仿宋" w:hAnsi="仿宋" w:eastAsia="仿宋" w:cs="仿宋"/>
                <w:sz w:val="24"/>
                <w:highlight w:val="none"/>
              </w:rPr>
              <w:t>售后服务内容</w:t>
            </w:r>
            <w:r>
              <w:rPr>
                <w:rFonts w:hint="eastAsia" w:ascii="仿宋" w:hAnsi="仿宋" w:eastAsia="仿宋" w:cs="仿宋"/>
                <w:sz w:val="24"/>
                <w:highlight w:val="none"/>
                <w:lang w:val="en-US" w:eastAsia="zh-CN"/>
              </w:rPr>
              <w:t>较全面</w:t>
            </w:r>
            <w:r>
              <w:rPr>
                <w:rFonts w:hint="eastAsia" w:ascii="仿宋" w:hAnsi="仿宋" w:eastAsia="仿宋" w:cs="仿宋"/>
                <w:sz w:val="24"/>
                <w:highlight w:val="none"/>
              </w:rPr>
              <w:t>，维护措施可行，有紧急故障处理预案，故障、技术支持响应和解决问题时间偏长，有拟派售后服务人员</w:t>
            </w:r>
            <w:r>
              <w:rPr>
                <w:rFonts w:hint="eastAsia" w:ascii="仿宋" w:hAnsi="仿宋" w:eastAsia="仿宋" w:cs="仿宋"/>
                <w:bCs/>
                <w:sz w:val="24"/>
                <w:szCs w:val="24"/>
                <w:highlight w:val="none"/>
              </w:rPr>
              <w:t>。</w:t>
            </w:r>
          </w:p>
          <w:p w14:paraId="07980B4A">
            <w:pPr>
              <w:pStyle w:val="7"/>
              <w:shd w:val="clear"/>
              <w:spacing w:line="480" w:lineRule="exact"/>
              <w:ind w:firstLine="0"/>
              <w:rPr>
                <w:rFonts w:hint="eastAsia" w:ascii="仿宋" w:hAnsi="仿宋" w:eastAsia="仿宋" w:cs="仿宋"/>
                <w:b w:val="0"/>
                <w:bCs w:val="0"/>
                <w:color w:val="auto"/>
                <w:sz w:val="24"/>
                <w:highlight w:val="none"/>
              </w:rPr>
            </w:pPr>
            <w:r>
              <w:rPr>
                <w:rFonts w:hint="eastAsia" w:ascii="仿宋" w:hAnsi="仿宋" w:eastAsia="仿宋" w:cs="仿宋"/>
                <w:bCs/>
                <w:sz w:val="24"/>
                <w:szCs w:val="24"/>
                <w:highlight w:val="none"/>
              </w:rPr>
              <w:t>【0分-</w:t>
            </w:r>
            <w:r>
              <w:rPr>
                <w:rFonts w:hint="eastAsia" w:ascii="仿宋" w:hAnsi="仿宋" w:eastAsia="仿宋" w:cs="仿宋"/>
                <w:bCs/>
                <w:sz w:val="24"/>
                <w:szCs w:val="24"/>
                <w:highlight w:val="none"/>
                <w:lang w:val="en-US" w:eastAsia="zh-CN"/>
              </w:rPr>
              <w:t>5</w:t>
            </w:r>
            <w:r>
              <w:rPr>
                <w:rFonts w:hint="eastAsia" w:ascii="仿宋" w:hAnsi="仿宋" w:eastAsia="仿宋" w:cs="仿宋"/>
                <w:bCs/>
                <w:sz w:val="24"/>
                <w:szCs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含</w:t>
            </w:r>
            <w:r>
              <w:rPr>
                <w:rFonts w:hint="eastAsia" w:ascii="仿宋" w:hAnsi="仿宋" w:eastAsia="仿宋" w:cs="仿宋"/>
                <w:b w:val="0"/>
                <w:bCs w:val="0"/>
                <w:color w:val="auto"/>
                <w:sz w:val="24"/>
                <w:highlight w:val="none"/>
                <w:lang w:eastAsia="zh-CN"/>
              </w:rPr>
              <w:t>）</w:t>
            </w:r>
            <w:r>
              <w:rPr>
                <w:rFonts w:hint="eastAsia" w:ascii="仿宋" w:hAnsi="仿宋" w:eastAsia="仿宋" w:cs="仿宋"/>
                <w:bCs/>
                <w:sz w:val="24"/>
                <w:szCs w:val="24"/>
                <w:highlight w:val="none"/>
              </w:rPr>
              <w:t>】：售后服务内容</w:t>
            </w:r>
            <w:r>
              <w:rPr>
                <w:rFonts w:hint="eastAsia" w:ascii="仿宋" w:hAnsi="仿宋" w:eastAsia="仿宋" w:cs="仿宋"/>
                <w:bCs/>
                <w:sz w:val="24"/>
                <w:szCs w:val="24"/>
                <w:highlight w:val="none"/>
                <w:lang w:val="en-US" w:eastAsia="zh-CN"/>
              </w:rPr>
              <w:t>简陋或存在部分缺陷，承诺的服务水平低，售后服务方面存在一定的风险</w:t>
            </w:r>
            <w:r>
              <w:rPr>
                <w:rFonts w:hint="eastAsia" w:ascii="仿宋" w:hAnsi="仿宋" w:eastAsia="仿宋" w:cs="仿宋"/>
                <w:bCs/>
                <w:sz w:val="24"/>
                <w:szCs w:val="24"/>
                <w:highlight w:val="none"/>
              </w:rPr>
              <w:t>。</w:t>
            </w:r>
          </w:p>
        </w:tc>
        <w:tc>
          <w:tcPr>
            <w:tcW w:w="428" w:type="pct"/>
            <w:noWrap w:val="0"/>
            <w:vAlign w:val="center"/>
          </w:tcPr>
          <w:p w14:paraId="0114B726">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31FF5527">
            <w:pPr>
              <w:pStyle w:val="7"/>
              <w:shd w:val="clear"/>
              <w:spacing w:line="480" w:lineRule="exact"/>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15.00</w:t>
            </w:r>
          </w:p>
        </w:tc>
      </w:tr>
    </w:tbl>
    <w:p w14:paraId="781D7CED">
      <w:pPr>
        <w:shd w:val="clear"/>
        <w:spacing w:before="100" w:beforeAutospacing="1" w:after="100" w:afterAutospacing="1" w:line="415" w:lineRule="auto"/>
        <w:jc w:val="center"/>
        <w:outlineLvl w:val="0"/>
        <w:rPr>
          <w:rFonts w:hint="eastAsia" w:ascii="楷体_GB2312" w:hAnsi="宋体" w:eastAsia="楷体_GB2312" w:cs="宋体"/>
          <w:b/>
          <w:bCs/>
          <w:color w:val="auto"/>
          <w:sz w:val="44"/>
          <w:szCs w:val="44"/>
          <w:highlight w:val="none"/>
        </w:rPr>
      </w:pPr>
    </w:p>
    <w:p w14:paraId="4BFED76B">
      <w:pPr>
        <w:shd w:val="clear"/>
        <w:spacing w:before="100" w:beforeAutospacing="1" w:after="100" w:afterAutospacing="1" w:line="415" w:lineRule="auto"/>
        <w:jc w:val="center"/>
        <w:outlineLvl w:val="0"/>
        <w:rPr>
          <w:rFonts w:ascii="楷体_GB2312" w:hAnsi="宋体" w:eastAsia="楷体_GB2312" w:cs="宋体"/>
          <w:b/>
          <w:bCs/>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4D214F97">
      <w:pPr>
        <w:pStyle w:val="27"/>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sz w:val="44"/>
          <w:szCs w:val="44"/>
          <w:highlight w:val="none"/>
          <w:lang w:val="en-US" w:eastAsia="zh-CN"/>
        </w:rPr>
        <w:sectPr>
          <w:pgSz w:w="11906" w:h="16838"/>
          <w:pgMar w:top="1440" w:right="1083" w:bottom="1440" w:left="1083" w:header="851" w:footer="992" w:gutter="0"/>
          <w:pgNumType w:fmt="decimal"/>
          <w:cols w:space="720" w:num="1"/>
          <w:titlePg/>
          <w:rtlGutter w:val="0"/>
          <w:docGrid w:type="lines" w:linePitch="312" w:charSpace="0"/>
        </w:sectPr>
      </w:pPr>
      <w:r>
        <w:rPr>
          <w:rFonts w:hint="eastAsia" w:ascii="楷体" w:hAnsi="楷体" w:eastAsia="楷体" w:cs="楷体"/>
          <w:b/>
          <w:bCs/>
          <w:color w:val="auto"/>
          <w:kern w:val="2"/>
          <w:sz w:val="44"/>
          <w:szCs w:val="44"/>
          <w:highlight w:val="none"/>
          <w:lang w:val="en-US" w:eastAsia="zh-CN" w:bidi="ar-SA"/>
        </w:rPr>
        <w:t>第五章  投标文件格式</w:t>
      </w:r>
    </w:p>
    <w:p w14:paraId="433E26A7">
      <w:pPr>
        <w:shd w:val="clear"/>
        <w:rPr>
          <w:rFonts w:hint="eastAsia"/>
          <w:color w:val="auto"/>
          <w:highlight w:val="none"/>
        </w:rPr>
      </w:pPr>
    </w:p>
    <w:p w14:paraId="2D91A873">
      <w:pPr>
        <w:pStyle w:val="2"/>
        <w:shd w:val="clear"/>
        <w:rPr>
          <w:rFonts w:hint="eastAsia"/>
          <w:color w:val="auto"/>
          <w:highlight w:val="none"/>
        </w:rPr>
      </w:pPr>
    </w:p>
    <w:p w14:paraId="1934F3CE">
      <w:pPr>
        <w:shd w:val="clear"/>
        <w:rPr>
          <w:rFonts w:hint="eastAsia"/>
          <w:color w:val="auto"/>
          <w:highlight w:val="none"/>
        </w:rPr>
      </w:pPr>
    </w:p>
    <w:p w14:paraId="4764AE69">
      <w:pPr>
        <w:pStyle w:val="2"/>
        <w:shd w:val="clear"/>
        <w:rPr>
          <w:rFonts w:hint="eastAsia"/>
          <w:color w:val="auto"/>
          <w:highlight w:val="none"/>
        </w:rPr>
      </w:pPr>
    </w:p>
    <w:p w14:paraId="00ECF801">
      <w:pPr>
        <w:shd w:val="clear"/>
        <w:rPr>
          <w:rFonts w:hint="eastAsia"/>
          <w:color w:val="auto"/>
          <w:highlight w:val="none"/>
        </w:rPr>
      </w:pPr>
    </w:p>
    <w:p w14:paraId="1C1AA2F0">
      <w:pPr>
        <w:pStyle w:val="2"/>
        <w:shd w:val="clear"/>
        <w:rPr>
          <w:rFonts w:hint="eastAsia"/>
          <w:color w:val="auto"/>
          <w:highlight w:val="none"/>
        </w:rPr>
      </w:pPr>
    </w:p>
    <w:p w14:paraId="2CA8FE49">
      <w:pPr>
        <w:shd w:val="clear"/>
        <w:rPr>
          <w:color w:val="auto"/>
          <w:highlight w:val="none"/>
        </w:rPr>
      </w:pPr>
    </w:p>
    <w:p w14:paraId="306C8860">
      <w:pPr>
        <w:shd w:val="clear"/>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投 标 文 件</w:t>
      </w:r>
    </w:p>
    <w:p w14:paraId="0C321636">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47B5555E">
      <w:pPr>
        <w:shd w:val="clear"/>
        <w:jc w:val="center"/>
        <w:rPr>
          <w:rFonts w:hint="eastAsia" w:ascii="仿宋" w:hAnsi="仿宋" w:eastAsia="仿宋" w:cs="仿宋"/>
          <w:color w:val="auto"/>
          <w:sz w:val="72"/>
          <w:highlight w:val="none"/>
        </w:rPr>
      </w:pPr>
    </w:p>
    <w:p w14:paraId="0DD11B08">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采购项目：</w:t>
      </w:r>
      <w:r>
        <w:rPr>
          <w:rFonts w:hint="eastAsia" w:ascii="仿宋" w:hAnsi="仿宋" w:eastAsia="仿宋" w:cs="仿宋"/>
          <w:b/>
          <w:bCs/>
          <w:color w:val="auto"/>
          <w:sz w:val="36"/>
          <w:szCs w:val="36"/>
          <w:highlight w:val="none"/>
          <w:lang w:eastAsia="zh-CN"/>
        </w:rPr>
        <w:t>粮食输送设备采购项目</w:t>
      </w:r>
    </w:p>
    <w:p w14:paraId="17A4D784">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采购编号：</w:t>
      </w:r>
      <w:r>
        <w:rPr>
          <w:rFonts w:hint="eastAsia" w:ascii="仿宋" w:hAnsi="仿宋" w:eastAsia="仿宋" w:cs="仿宋"/>
          <w:b/>
          <w:bCs/>
          <w:color w:val="auto"/>
          <w:sz w:val="36"/>
          <w:szCs w:val="36"/>
          <w:highlight w:val="none"/>
          <w:lang w:eastAsia="zh-CN"/>
        </w:rPr>
        <w:t>WHZCZB2026-042</w:t>
      </w:r>
    </w:p>
    <w:p w14:paraId="4E083520">
      <w:pPr>
        <w:shd w:val="clear"/>
        <w:jc w:val="left"/>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rPr>
        <w:t>所投包号：</w:t>
      </w:r>
      <w:r>
        <w:rPr>
          <w:rFonts w:hint="eastAsia" w:ascii="仿宋" w:hAnsi="仿宋" w:eastAsia="仿宋" w:cs="仿宋"/>
          <w:b/>
          <w:bCs/>
          <w:color w:val="auto"/>
          <w:sz w:val="36"/>
          <w:szCs w:val="36"/>
          <w:highlight w:val="none"/>
          <w:lang w:val="en-US" w:eastAsia="zh-CN"/>
        </w:rPr>
        <w:t>001</w:t>
      </w:r>
    </w:p>
    <w:p w14:paraId="552EF879">
      <w:pPr>
        <w:shd w:val="clear"/>
        <w:jc w:val="left"/>
        <w:rPr>
          <w:rFonts w:hint="eastAsia" w:ascii="仿宋" w:hAnsi="仿宋" w:eastAsia="仿宋" w:cs="仿宋"/>
          <w:color w:val="auto"/>
          <w:sz w:val="36"/>
          <w:highlight w:val="none"/>
        </w:rPr>
      </w:pPr>
    </w:p>
    <w:p w14:paraId="4E7B0C83">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0A42F8B5">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1F781F82">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lang w:val="en-US" w:eastAsia="zh-CN"/>
        </w:rPr>
        <w:t>盖章</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rPr>
        <w:t>：</w:t>
      </w:r>
    </w:p>
    <w:p w14:paraId="422D840C">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426E9B3B">
      <w:pPr>
        <w:widowControl/>
        <w:shd w:val="clear"/>
        <w:jc w:val="center"/>
        <w:rPr>
          <w:rFonts w:ascii="黑体" w:hAnsi="黑体" w:eastAsia="黑体"/>
          <w:color w:val="auto"/>
          <w:sz w:val="44"/>
          <w:szCs w:val="44"/>
          <w:highlight w:val="none"/>
        </w:rPr>
      </w:pPr>
      <w:r>
        <w:rPr>
          <w:rFonts w:hint="eastAsia" w:ascii="仿宋" w:hAnsi="仿宋" w:eastAsia="仿宋" w:cs="仿宋"/>
          <w:color w:val="auto"/>
          <w:sz w:val="36"/>
          <w:szCs w:val="36"/>
          <w:highlight w:val="none"/>
        </w:rPr>
        <w:br w:type="page"/>
      </w:r>
      <w:r>
        <w:rPr>
          <w:rFonts w:hint="eastAsia" w:ascii="黑体" w:hAnsi="黑体" w:eastAsia="黑体"/>
          <w:b/>
          <w:bCs/>
          <w:color w:val="auto"/>
          <w:sz w:val="44"/>
          <w:szCs w:val="44"/>
          <w:highlight w:val="none"/>
        </w:rPr>
        <w:t>目录</w:t>
      </w:r>
    </w:p>
    <w:p w14:paraId="27A2F253">
      <w:pPr>
        <w:widowControl/>
        <w:shd w:val="clear"/>
        <w:jc w:val="center"/>
        <w:rPr>
          <w:rFonts w:hint="eastAsia"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7DCBB063">
      <w:pPr>
        <w:widowControl/>
        <w:shd w:val="clear"/>
        <w:ind w:right="-35"/>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sz w:val="36"/>
          <w:szCs w:val="36"/>
          <w:highlight w:val="none"/>
        </w:rPr>
        <w:br w:type="page"/>
      </w:r>
      <w:bookmarkStart w:id="5" w:name="_Toc521936040"/>
      <w:bookmarkStart w:id="6" w:name="_Toc522526779"/>
      <w:r>
        <w:rPr>
          <w:rFonts w:hint="eastAsia" w:ascii="黑体" w:hAnsi="黑体" w:eastAsia="黑体" w:cs="Times New Roman"/>
          <w:b/>
          <w:bCs/>
          <w:color w:val="auto"/>
          <w:sz w:val="44"/>
          <w:szCs w:val="44"/>
          <w:highlight w:val="none"/>
        </w:rPr>
        <w:t>投标承诺函</w:t>
      </w:r>
      <w:bookmarkEnd w:id="5"/>
      <w:bookmarkEnd w:id="6"/>
    </w:p>
    <w:p w14:paraId="08EB7F38">
      <w:pPr>
        <w:shd w:val="clear"/>
        <w:spacing w:line="560" w:lineRule="exact"/>
        <w:rPr>
          <w:rFonts w:hint="eastAsia" w:ascii="仿宋_GB2312" w:hAnsi="仿宋" w:eastAsia="仿宋_GB2312"/>
          <w:color w:val="auto"/>
          <w:sz w:val="30"/>
          <w:szCs w:val="30"/>
          <w:highlight w:val="none"/>
        </w:rPr>
      </w:pPr>
    </w:p>
    <w:p w14:paraId="3D5FB13C">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14DC325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我方收到项目编号为</w:t>
      </w:r>
      <w:r>
        <w:rPr>
          <w:rFonts w:hint="eastAsia" w:ascii="仿宋" w:hAnsi="仿宋" w:eastAsia="仿宋" w:cs="仿宋"/>
          <w:color w:val="auto"/>
          <w:kern w:val="0"/>
          <w:sz w:val="30"/>
          <w:szCs w:val="30"/>
          <w:highlight w:val="none"/>
          <w:lang w:eastAsia="zh-CN"/>
        </w:rPr>
        <w:t>WHZCZB2026-042粮食输送设备采购项目</w:t>
      </w:r>
      <w:r>
        <w:rPr>
          <w:rFonts w:hint="eastAsia" w:ascii="仿宋" w:hAnsi="仿宋" w:eastAsia="仿宋" w:cs="仿宋"/>
          <w:color w:val="auto"/>
          <w:kern w:val="0"/>
          <w:sz w:val="30"/>
          <w:szCs w:val="30"/>
          <w:highlight w:val="none"/>
        </w:rPr>
        <w:t>的招标文件</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经详细研究决定参加投标。</w:t>
      </w:r>
    </w:p>
    <w:p w14:paraId="58AD336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1.我方接受本招标文件中关于电子招投标的各项规定</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遵守《中华人民共和国电子签名法》关于电子签名的各项规定。我方愿意按照招标文件的规定和要求提供服务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报价详见《开标一览表》。</w:t>
      </w:r>
    </w:p>
    <w:p w14:paraId="6A854070">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严格遵守投标文件的各项承诺。在此期限届满之前</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本投标文件始终对我方具有约束力</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并随时接受中标。我方承诺在投标有效期内不修改、撤销投标文件。</w:t>
      </w:r>
    </w:p>
    <w:p w14:paraId="7B369A73">
      <w:pPr>
        <w:shd w:val="clear"/>
        <w:spacing w:line="560" w:lineRule="exact"/>
        <w:ind w:firstLine="600" w:firstLineChars="200"/>
        <w:rPr>
          <w:rFonts w:hint="eastAsia" w:ascii="仿宋" w:hAnsi="仿宋" w:eastAsia="仿宋" w:cs="仿宋"/>
          <w:strike/>
          <w:color w:val="auto"/>
          <w:kern w:val="0"/>
          <w:sz w:val="30"/>
          <w:szCs w:val="30"/>
          <w:highlight w:val="none"/>
        </w:rPr>
      </w:pPr>
      <w:r>
        <w:rPr>
          <w:rFonts w:hint="eastAsia" w:ascii="仿宋" w:hAnsi="仿宋" w:eastAsia="仿宋" w:cs="仿宋"/>
          <w:color w:val="auto"/>
          <w:kern w:val="0"/>
          <w:sz w:val="30"/>
          <w:szCs w:val="30"/>
          <w:highlight w:val="none"/>
        </w:rPr>
        <w:t>3.我方愿意遵守本招标文件的规定和要求并提供招标文件中要求的所有资料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若投标文件中存在虚假资料的</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则视为我方隐瞒真实情况、提供虚假资料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我方愿意接受主管部门做出的行政处罚。</w:t>
      </w:r>
    </w:p>
    <w:p w14:paraId="2F886DE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4.如果我方中标：</w:t>
      </w:r>
    </w:p>
    <w:p w14:paraId="39B7AB3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在规定期限内与</w:t>
      </w:r>
      <w:r>
        <w:rPr>
          <w:rFonts w:hint="eastAsia" w:ascii="仿宋" w:hAnsi="仿宋" w:eastAsia="仿宋" w:cs="仿宋"/>
          <w:color w:val="auto"/>
          <w:kern w:val="0"/>
          <w:sz w:val="30"/>
          <w:szCs w:val="30"/>
          <w:highlight w:val="none"/>
          <w:lang w:eastAsia="zh-CN"/>
        </w:rPr>
        <w:t>采购人</w:t>
      </w:r>
      <w:r>
        <w:rPr>
          <w:rFonts w:hint="eastAsia" w:ascii="仿宋" w:hAnsi="仿宋" w:eastAsia="仿宋" w:cs="仿宋"/>
          <w:color w:val="auto"/>
          <w:kern w:val="0"/>
          <w:sz w:val="30"/>
          <w:szCs w:val="30"/>
          <w:highlight w:val="none"/>
        </w:rPr>
        <w:t>签订合同；</w:t>
      </w:r>
    </w:p>
    <w:p w14:paraId="04CB704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（2）我方承诺在合同约定的期限内</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按期、保质、保量完成</w:t>
      </w:r>
      <w:r>
        <w:rPr>
          <w:rFonts w:hint="eastAsia" w:ascii="仿宋" w:hAnsi="仿宋" w:eastAsia="仿宋" w:cs="仿宋"/>
          <w:color w:val="auto"/>
          <w:kern w:val="0"/>
          <w:sz w:val="30"/>
          <w:szCs w:val="30"/>
          <w:highlight w:val="none"/>
          <w:lang w:val="en-US" w:eastAsia="zh-CN"/>
        </w:rPr>
        <w:t>供货</w:t>
      </w:r>
      <w:r>
        <w:rPr>
          <w:rFonts w:hint="eastAsia" w:ascii="仿宋" w:hAnsi="仿宋" w:eastAsia="仿宋" w:cs="仿宋"/>
          <w:color w:val="auto"/>
          <w:kern w:val="0"/>
          <w:sz w:val="30"/>
          <w:szCs w:val="30"/>
          <w:highlight w:val="none"/>
        </w:rPr>
        <w:t>任务；</w:t>
      </w:r>
    </w:p>
    <w:p w14:paraId="26BD9ECA">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（3）我方承诺将按照招标文件的规定全额交纳代理服务费。</w:t>
      </w:r>
    </w:p>
    <w:p w14:paraId="3C5EE00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eastAsia="zh-CN"/>
        </w:rPr>
        <w:t>5</w:t>
      </w:r>
      <w:r>
        <w:rPr>
          <w:rFonts w:hint="eastAsia" w:ascii="仿宋" w:hAnsi="仿宋" w:eastAsia="仿宋" w:cs="仿宋"/>
          <w:color w:val="auto"/>
          <w:kern w:val="0"/>
          <w:sz w:val="30"/>
          <w:szCs w:val="30"/>
          <w:highlight w:val="none"/>
        </w:rPr>
        <w:t>.所有有关本投标的函电</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请按下列地址联系：</w:t>
      </w:r>
    </w:p>
    <w:p w14:paraId="3D99C7A4">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153FFCE0">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77A6130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2FCE32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114BF3C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5A8B235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2ACAABB7">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64CE5F4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法定代表人或被授权人（签字或盖章）：</w:t>
      </w:r>
    </w:p>
    <w:p w14:paraId="028F24F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4694BD14">
      <w:pPr>
        <w:shd w:val="clear"/>
        <w:spacing w:line="560" w:lineRule="exact"/>
        <w:ind w:firstLine="600" w:firstLineChars="200"/>
        <w:rPr>
          <w:rFonts w:hint="eastAsia"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5B8D6DEE">
      <w:pPr>
        <w:shd w:val="clear"/>
        <w:spacing w:line="560" w:lineRule="exact"/>
        <w:ind w:firstLine="600" w:firstLineChars="200"/>
        <w:rPr>
          <w:rFonts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638F0E58">
      <w:pPr>
        <w:keepNext/>
        <w:keepLines/>
        <w:shd w:val="clear"/>
        <w:spacing w:line="560" w:lineRule="exact"/>
        <w:jc w:val="center"/>
        <w:outlineLvl w:val="1"/>
        <w:rPr>
          <w:rFonts w:ascii="Arial" w:hAnsi="Arial" w:eastAsia="黑体"/>
          <w:bCs/>
          <w:color w:val="auto"/>
          <w:sz w:val="44"/>
          <w:szCs w:val="32"/>
          <w:highlight w:val="none"/>
        </w:rPr>
        <w:sectPr>
          <w:headerReference r:id="rId11" w:type="default"/>
          <w:footerReference r:id="rId12" w:type="default"/>
          <w:pgSz w:w="11906" w:h="16838"/>
          <w:pgMar w:top="1440" w:right="1083" w:bottom="1440" w:left="1083" w:header="851" w:footer="992" w:gutter="0"/>
          <w:pgNumType w:fmt="decimal"/>
          <w:cols w:space="720" w:num="1"/>
          <w:titlePg/>
          <w:rtlGutter w:val="0"/>
          <w:docGrid w:type="lines" w:linePitch="312" w:charSpace="0"/>
        </w:sectPr>
      </w:pPr>
      <w:bookmarkStart w:id="7" w:name="_Toc522526780"/>
      <w:bookmarkStart w:id="8" w:name="_Toc521936041"/>
    </w:p>
    <w:bookmarkEnd w:id="7"/>
    <w:bookmarkEnd w:id="8"/>
    <w:p w14:paraId="304A724E">
      <w:pPr>
        <w:widowControl/>
        <w:shd w:val="clear"/>
        <w:jc w:val="center"/>
        <w:rPr>
          <w:rFonts w:hint="eastAsia" w:ascii="黑体" w:hAnsi="黑体" w:eastAsia="黑体" w:cs="Times New Roman"/>
          <w:b/>
          <w:bCs/>
          <w:color w:val="auto"/>
          <w:sz w:val="44"/>
          <w:szCs w:val="44"/>
          <w:highlight w:val="none"/>
          <w:lang w:eastAsia="zh-CN"/>
        </w:rPr>
      </w:pPr>
      <w:r>
        <w:rPr>
          <w:rFonts w:hint="eastAsia" w:ascii="黑体" w:hAnsi="黑体" w:eastAsia="黑体" w:cs="Times New Roman"/>
          <w:b/>
          <w:bCs/>
          <w:color w:val="auto"/>
          <w:sz w:val="44"/>
          <w:szCs w:val="44"/>
          <w:highlight w:val="none"/>
          <w:lang w:eastAsia="zh-CN"/>
        </w:rPr>
        <w:t>报价内的备品备件、易损件及专用工具清单（如有）</w:t>
      </w:r>
    </w:p>
    <w:p w14:paraId="72193838">
      <w:pPr>
        <w:keepNext w:val="0"/>
        <w:keepLines w:val="0"/>
        <w:pageBreakBefore w:val="0"/>
        <w:widowControl w:val="0"/>
        <w:shd w:val="clear"/>
        <w:kinsoku/>
        <w:wordWrap/>
        <w:overflowPunct/>
        <w:topLinePunct w:val="0"/>
        <w:autoSpaceDE/>
        <w:autoSpaceDN/>
        <w:bidi w:val="0"/>
        <w:adjustRightInd/>
        <w:snapToGrid/>
        <w:spacing w:line="48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单位：元</w:t>
      </w: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888"/>
        <w:gridCol w:w="1936"/>
        <w:gridCol w:w="986"/>
        <w:gridCol w:w="986"/>
        <w:gridCol w:w="986"/>
        <w:gridCol w:w="986"/>
        <w:gridCol w:w="986"/>
      </w:tblGrid>
      <w:tr w14:paraId="55DD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54C5479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备品备件名称</w:t>
            </w:r>
          </w:p>
        </w:tc>
        <w:tc>
          <w:tcPr>
            <w:tcW w:w="992" w:type="pct"/>
            <w:noWrap w:val="0"/>
            <w:vAlign w:val="center"/>
          </w:tcPr>
          <w:p w14:paraId="2A71C9A9">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规格型号</w:t>
            </w:r>
          </w:p>
        </w:tc>
        <w:tc>
          <w:tcPr>
            <w:tcW w:w="505" w:type="pct"/>
            <w:noWrap w:val="0"/>
            <w:vAlign w:val="center"/>
          </w:tcPr>
          <w:p w14:paraId="230E788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数量</w:t>
            </w:r>
          </w:p>
        </w:tc>
        <w:tc>
          <w:tcPr>
            <w:tcW w:w="505" w:type="pct"/>
            <w:noWrap w:val="0"/>
            <w:vAlign w:val="center"/>
          </w:tcPr>
          <w:p w14:paraId="1F601CB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产地</w:t>
            </w:r>
          </w:p>
        </w:tc>
        <w:tc>
          <w:tcPr>
            <w:tcW w:w="505" w:type="pct"/>
            <w:noWrap w:val="0"/>
            <w:vAlign w:val="center"/>
          </w:tcPr>
          <w:p w14:paraId="157C7D7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品牌</w:t>
            </w:r>
          </w:p>
        </w:tc>
        <w:tc>
          <w:tcPr>
            <w:tcW w:w="505" w:type="pct"/>
            <w:noWrap w:val="0"/>
            <w:vAlign w:val="center"/>
          </w:tcPr>
          <w:p w14:paraId="6C8D529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单价</w:t>
            </w:r>
          </w:p>
        </w:tc>
        <w:tc>
          <w:tcPr>
            <w:tcW w:w="505" w:type="pct"/>
            <w:noWrap w:val="0"/>
            <w:vAlign w:val="center"/>
          </w:tcPr>
          <w:p w14:paraId="22A2D99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合价</w:t>
            </w:r>
          </w:p>
        </w:tc>
      </w:tr>
      <w:tr w14:paraId="5E66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4DEE581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1AEA48F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BDE317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CF578F9">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6C51E0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14CF2F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232740B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0BA9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12B0FCB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0FEBC2F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59616D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6796517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1BE2CE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FBB8308">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7F2959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2208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2680776F">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31A309EF">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6D39BF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BA7A92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6CAEBB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C2876B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C24D85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61038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471166F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26972639">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49207F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24713ED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AA98B0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D24B87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5584EC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7EA0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7DCC58AC">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46BEC4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2DA0E07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A20549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2A655F8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76CD1A4C">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BB0F56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03B5B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4E6C12E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7EE410E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7D5BF8E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1976D79">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99763E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B18477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79BB133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5AF3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7EED67E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71497A5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3485D1F">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6AAED389">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63128A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17E588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49A04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4F26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576336F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1A80F3AC">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11105B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C30038F">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BD9A9C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A8EA81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03E2F2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14C8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333A6D8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4A5D2B9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B50E2D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33B043C">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7FA01FB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93F5A4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6240C08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02F5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43C709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014EC5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2F2FBC7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DB99E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43CFCE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613028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1A6D34C">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6D76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3C3EAB3F">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5FA9BB3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1298799">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ED44FC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024689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780359F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64DA08B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476A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532339B8">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2A1FEEC8">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2819543C">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9257AB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A2A9DA8">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63F862A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99824E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17D6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6CE86A7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992" w:type="pct"/>
            <w:noWrap w:val="0"/>
            <w:vAlign w:val="center"/>
          </w:tcPr>
          <w:p w14:paraId="4B9BE5F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1AB93B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798D0FF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EA1748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49D06C2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73644BD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r w14:paraId="1D2D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480" w:type="pct"/>
            <w:noWrap w:val="0"/>
            <w:vAlign w:val="center"/>
          </w:tcPr>
          <w:p w14:paraId="08597A8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总计</w:t>
            </w:r>
          </w:p>
        </w:tc>
        <w:tc>
          <w:tcPr>
            <w:tcW w:w="992" w:type="pct"/>
            <w:noWrap w:val="0"/>
            <w:vAlign w:val="center"/>
          </w:tcPr>
          <w:p w14:paraId="249D827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1F0E1534">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462972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31C1679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59DB802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c>
          <w:tcPr>
            <w:tcW w:w="505" w:type="pct"/>
            <w:noWrap w:val="0"/>
            <w:vAlign w:val="center"/>
          </w:tcPr>
          <w:p w14:paraId="0746F34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28"/>
                <w:szCs w:val="28"/>
                <w:highlight w:val="none"/>
              </w:rPr>
            </w:pPr>
          </w:p>
        </w:tc>
      </w:tr>
    </w:tbl>
    <w:p w14:paraId="189FD43D">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highlight w:val="none"/>
        </w:rPr>
      </w:pPr>
    </w:p>
    <w:p w14:paraId="55EACC3C">
      <w:pPr>
        <w:shd w:val="clear"/>
        <w:spacing w:line="440" w:lineRule="exact"/>
        <w:rPr>
          <w:rFonts w:hint="eastAsia" w:ascii="仿宋" w:hAnsi="仿宋" w:eastAsia="仿宋" w:cs="仿宋"/>
          <w:color w:val="auto"/>
          <w:sz w:val="28"/>
          <w:szCs w:val="28"/>
          <w:highlight w:val="none"/>
          <w:lang w:val="en-US" w:eastAsia="zh-CN"/>
        </w:rPr>
      </w:pPr>
    </w:p>
    <w:p w14:paraId="63800E81">
      <w:pPr>
        <w:shd w:val="clear"/>
        <w:jc w:val="center"/>
        <w:rPr>
          <w:rFonts w:hint="eastAsia" w:ascii="仿宋" w:hAnsi="仿宋" w:eastAsia="仿宋" w:cs="仿宋"/>
          <w:color w:val="auto"/>
          <w:highlight w:val="none"/>
        </w:rPr>
      </w:pPr>
    </w:p>
    <w:p w14:paraId="3397B6AB">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05C7586">
      <w:pPr>
        <w:shd w:val="clear"/>
        <w:rPr>
          <w:color w:val="auto"/>
          <w:highlight w:val="none"/>
        </w:rPr>
      </w:pPr>
    </w:p>
    <w:p w14:paraId="1DDE264A">
      <w:pPr>
        <w:widowControl/>
        <w:shd w:val="clear"/>
        <w:jc w:val="center"/>
        <w:rPr>
          <w:rFonts w:hint="eastAsia" w:ascii="黑体" w:hAnsi="黑体" w:eastAsia="黑体" w:cs="Times New Roman"/>
          <w:b/>
          <w:bCs/>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3D5F233D">
      <w:pPr>
        <w:widowControl/>
        <w:shd w:val="clear"/>
        <w:jc w:val="center"/>
        <w:rPr>
          <w:rFonts w:hint="eastAsia" w:ascii="黑体" w:hAnsi="黑体" w:eastAsia="黑体" w:cs="Times New Roman"/>
          <w:b/>
          <w:bCs/>
          <w:color w:val="auto"/>
          <w:sz w:val="44"/>
          <w:szCs w:val="44"/>
          <w:highlight w:val="none"/>
          <w:lang w:eastAsia="zh-CN"/>
        </w:rPr>
      </w:pPr>
      <w:r>
        <w:rPr>
          <w:rFonts w:hint="eastAsia" w:ascii="黑体" w:hAnsi="黑体" w:eastAsia="黑体" w:cs="Times New Roman"/>
          <w:b/>
          <w:bCs/>
          <w:color w:val="auto"/>
          <w:sz w:val="44"/>
          <w:szCs w:val="44"/>
          <w:highlight w:val="none"/>
          <w:lang w:val="en-US" w:eastAsia="zh-CN"/>
        </w:rPr>
        <w:t>质保期后能供应的备品备件价格明细表</w:t>
      </w:r>
      <w:r>
        <w:rPr>
          <w:rFonts w:hint="eastAsia" w:ascii="黑体" w:hAnsi="黑体" w:eastAsia="黑体" w:cs="Times New Roman"/>
          <w:b/>
          <w:bCs/>
          <w:color w:val="auto"/>
          <w:sz w:val="44"/>
          <w:szCs w:val="44"/>
          <w:highlight w:val="none"/>
          <w:lang w:eastAsia="zh-CN"/>
        </w:rPr>
        <w:t>（如有）</w:t>
      </w:r>
    </w:p>
    <w:p w14:paraId="0EDA4B2F">
      <w:pPr>
        <w:keepNext w:val="0"/>
        <w:keepLines w:val="0"/>
        <w:pageBreakBefore w:val="0"/>
        <w:widowControl w:val="0"/>
        <w:shd w:val="clear"/>
        <w:kinsoku/>
        <w:wordWrap/>
        <w:overflowPunct/>
        <w:topLinePunct w:val="0"/>
        <w:autoSpaceDE/>
        <w:autoSpaceDN/>
        <w:bidi w:val="0"/>
        <w:adjustRightInd/>
        <w:snapToGrid/>
        <w:spacing w:line="480" w:lineRule="exact"/>
        <w:ind w:right="0"/>
        <w:jc w:val="right"/>
        <w:textAlignment w:val="auto"/>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单位：元</w:t>
      </w: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23"/>
        <w:gridCol w:w="4015"/>
        <w:gridCol w:w="1620"/>
        <w:gridCol w:w="824"/>
        <w:gridCol w:w="824"/>
        <w:gridCol w:w="824"/>
        <w:gridCol w:w="824"/>
      </w:tblGrid>
      <w:tr w14:paraId="2990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337EBFF0">
            <w:pPr>
              <w:keepNext w:val="0"/>
              <w:keepLines w:val="0"/>
              <w:pageBreakBefore w:val="0"/>
              <w:widowControl w:val="0"/>
              <w:shd w:val="clear"/>
              <w:tabs>
                <w:tab w:val="left" w:pos="1005"/>
              </w:tabs>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b/>
                <w:bCs/>
                <w:spacing w:val="6"/>
                <w:w w:val="95"/>
                <w:kern w:val="0"/>
                <w:sz w:val="28"/>
                <w:szCs w:val="28"/>
                <w:highlight w:val="none"/>
                <w:lang w:val="en-US" w:eastAsia="zh-CN" w:bidi="ar-SA"/>
              </w:rPr>
            </w:pPr>
            <w:r>
              <w:rPr>
                <w:rFonts w:hint="eastAsia" w:ascii="仿宋" w:hAnsi="仿宋" w:eastAsia="仿宋" w:cs="仿宋"/>
                <w:b/>
                <w:bCs/>
                <w:spacing w:val="6"/>
                <w:w w:val="95"/>
                <w:kern w:val="0"/>
                <w:sz w:val="28"/>
                <w:szCs w:val="28"/>
                <w:highlight w:val="none"/>
                <w:lang w:val="en-US" w:eastAsia="zh-CN" w:bidi="ar-SA"/>
              </w:rPr>
              <w:t>序号</w:t>
            </w:r>
          </w:p>
        </w:tc>
        <w:tc>
          <w:tcPr>
            <w:tcW w:w="2057" w:type="pct"/>
            <w:tcBorders>
              <w:top w:val="single" w:color="auto" w:sz="4" w:space="0"/>
              <w:left w:val="single" w:color="auto" w:sz="4" w:space="0"/>
              <w:bottom w:val="single" w:color="auto" w:sz="4" w:space="0"/>
              <w:right w:val="single" w:color="auto" w:sz="4" w:space="0"/>
            </w:tcBorders>
            <w:noWrap w:val="0"/>
            <w:vAlign w:val="center"/>
          </w:tcPr>
          <w:p w14:paraId="14DC2C2E">
            <w:pPr>
              <w:keepNext w:val="0"/>
              <w:keepLines w:val="0"/>
              <w:pageBreakBefore w:val="0"/>
              <w:widowControl w:val="0"/>
              <w:shd w:val="clear"/>
              <w:tabs>
                <w:tab w:val="left" w:pos="1005"/>
              </w:tabs>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b/>
                <w:bCs/>
                <w:spacing w:val="6"/>
                <w:w w:val="95"/>
                <w:kern w:val="0"/>
                <w:sz w:val="28"/>
                <w:szCs w:val="28"/>
                <w:highlight w:val="none"/>
                <w:lang w:val="en-US" w:eastAsia="zh-CN" w:bidi="ar-SA"/>
              </w:rPr>
            </w:pPr>
            <w:r>
              <w:rPr>
                <w:rFonts w:hint="eastAsia" w:ascii="仿宋" w:hAnsi="仿宋" w:eastAsia="仿宋" w:cs="仿宋"/>
                <w:b/>
                <w:bCs/>
                <w:spacing w:val="6"/>
                <w:w w:val="95"/>
                <w:kern w:val="0"/>
                <w:sz w:val="28"/>
                <w:szCs w:val="28"/>
                <w:highlight w:val="none"/>
                <w:lang w:val="en-US" w:eastAsia="zh-CN" w:bidi="ar-SA"/>
              </w:rPr>
              <w:t>备品备件、易损件名称</w:t>
            </w:r>
          </w:p>
        </w:tc>
        <w:tc>
          <w:tcPr>
            <w:tcW w:w="830" w:type="pct"/>
            <w:tcBorders>
              <w:top w:val="single" w:color="auto" w:sz="4" w:space="0"/>
              <w:left w:val="single" w:color="auto" w:sz="4" w:space="0"/>
              <w:bottom w:val="single" w:color="auto" w:sz="4" w:space="0"/>
              <w:right w:val="single" w:color="auto" w:sz="4" w:space="0"/>
            </w:tcBorders>
            <w:noWrap w:val="0"/>
            <w:vAlign w:val="center"/>
          </w:tcPr>
          <w:p w14:paraId="129FFA9D">
            <w:pPr>
              <w:keepNext w:val="0"/>
              <w:keepLines w:val="0"/>
              <w:pageBreakBefore w:val="0"/>
              <w:widowControl w:val="0"/>
              <w:shd w:val="clear"/>
              <w:tabs>
                <w:tab w:val="left" w:pos="1005"/>
              </w:tabs>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b/>
                <w:bCs/>
                <w:spacing w:val="6"/>
                <w:w w:val="95"/>
                <w:kern w:val="0"/>
                <w:sz w:val="28"/>
                <w:szCs w:val="28"/>
                <w:highlight w:val="none"/>
                <w:lang w:val="en-US" w:eastAsia="zh-CN" w:bidi="ar-SA"/>
              </w:rPr>
            </w:pPr>
            <w:r>
              <w:rPr>
                <w:rFonts w:hint="eastAsia" w:ascii="仿宋" w:hAnsi="仿宋" w:eastAsia="仿宋" w:cs="仿宋"/>
                <w:b/>
                <w:bCs/>
                <w:spacing w:val="6"/>
                <w:w w:val="95"/>
                <w:kern w:val="0"/>
                <w:sz w:val="28"/>
                <w:szCs w:val="28"/>
                <w:highlight w:val="none"/>
                <w:lang w:val="en-US" w:eastAsia="zh-CN" w:bidi="ar-SA"/>
              </w:rPr>
              <w:t>规格型号</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1ACDC284">
            <w:pPr>
              <w:keepNext w:val="0"/>
              <w:keepLines w:val="0"/>
              <w:pageBreakBefore w:val="0"/>
              <w:widowControl w:val="0"/>
              <w:shd w:val="clear"/>
              <w:tabs>
                <w:tab w:val="left" w:pos="1005"/>
              </w:tabs>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b/>
                <w:bCs/>
                <w:spacing w:val="6"/>
                <w:w w:val="95"/>
                <w:kern w:val="0"/>
                <w:sz w:val="28"/>
                <w:szCs w:val="28"/>
                <w:highlight w:val="none"/>
                <w:lang w:val="en-US" w:eastAsia="zh-CN" w:bidi="ar-SA"/>
              </w:rPr>
            </w:pPr>
            <w:r>
              <w:rPr>
                <w:rFonts w:hint="eastAsia" w:ascii="仿宋" w:hAnsi="仿宋" w:eastAsia="仿宋" w:cs="仿宋"/>
                <w:b/>
                <w:bCs/>
                <w:spacing w:val="6"/>
                <w:w w:val="95"/>
                <w:kern w:val="0"/>
                <w:sz w:val="28"/>
                <w:szCs w:val="28"/>
                <w:highlight w:val="none"/>
                <w:lang w:val="en-US" w:eastAsia="zh-CN" w:bidi="ar-SA"/>
              </w:rPr>
              <w:t>数量</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16F95D65">
            <w:pPr>
              <w:keepNext w:val="0"/>
              <w:keepLines w:val="0"/>
              <w:pageBreakBefore w:val="0"/>
              <w:widowControl w:val="0"/>
              <w:shd w:val="clear"/>
              <w:tabs>
                <w:tab w:val="left" w:pos="1005"/>
              </w:tabs>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b/>
                <w:bCs/>
                <w:spacing w:val="6"/>
                <w:w w:val="95"/>
                <w:kern w:val="0"/>
                <w:sz w:val="28"/>
                <w:szCs w:val="28"/>
                <w:highlight w:val="none"/>
                <w:lang w:val="en-US" w:eastAsia="zh-CN" w:bidi="ar-SA"/>
              </w:rPr>
            </w:pPr>
            <w:r>
              <w:rPr>
                <w:rFonts w:hint="eastAsia" w:ascii="仿宋" w:hAnsi="仿宋" w:eastAsia="仿宋" w:cs="仿宋"/>
                <w:b/>
                <w:bCs/>
                <w:spacing w:val="6"/>
                <w:w w:val="95"/>
                <w:kern w:val="0"/>
                <w:sz w:val="28"/>
                <w:szCs w:val="28"/>
                <w:highlight w:val="none"/>
                <w:lang w:val="en-US" w:eastAsia="zh-CN" w:bidi="ar-SA"/>
              </w:rPr>
              <w:t>单价</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0ACBCF91">
            <w:pPr>
              <w:keepNext w:val="0"/>
              <w:keepLines w:val="0"/>
              <w:pageBreakBefore w:val="0"/>
              <w:widowControl w:val="0"/>
              <w:shd w:val="clear"/>
              <w:tabs>
                <w:tab w:val="left" w:pos="1005"/>
              </w:tabs>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b/>
                <w:bCs/>
                <w:spacing w:val="6"/>
                <w:w w:val="95"/>
                <w:kern w:val="0"/>
                <w:sz w:val="28"/>
                <w:szCs w:val="28"/>
                <w:highlight w:val="none"/>
                <w:lang w:val="en-US" w:eastAsia="zh-CN" w:bidi="ar-SA"/>
              </w:rPr>
            </w:pPr>
            <w:r>
              <w:rPr>
                <w:rFonts w:hint="eastAsia" w:ascii="仿宋" w:hAnsi="仿宋" w:eastAsia="仿宋" w:cs="仿宋"/>
                <w:b/>
                <w:bCs/>
                <w:spacing w:val="6"/>
                <w:w w:val="95"/>
                <w:kern w:val="0"/>
                <w:sz w:val="28"/>
                <w:szCs w:val="28"/>
                <w:highlight w:val="none"/>
                <w:lang w:val="en-US" w:eastAsia="zh-CN" w:bidi="ar-SA"/>
              </w:rPr>
              <w:t>合价</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345534F2">
            <w:pPr>
              <w:keepNext w:val="0"/>
              <w:keepLines w:val="0"/>
              <w:pageBreakBefore w:val="0"/>
              <w:widowControl w:val="0"/>
              <w:shd w:val="clear"/>
              <w:tabs>
                <w:tab w:val="left" w:pos="1005"/>
              </w:tabs>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b/>
                <w:bCs/>
                <w:spacing w:val="6"/>
                <w:w w:val="95"/>
                <w:kern w:val="0"/>
                <w:sz w:val="28"/>
                <w:szCs w:val="28"/>
                <w:highlight w:val="none"/>
                <w:lang w:val="en-US" w:eastAsia="zh-CN" w:bidi="ar-SA"/>
              </w:rPr>
            </w:pPr>
            <w:r>
              <w:rPr>
                <w:rFonts w:hint="eastAsia" w:ascii="仿宋" w:hAnsi="仿宋" w:eastAsia="仿宋" w:cs="仿宋"/>
                <w:b/>
                <w:bCs/>
                <w:spacing w:val="6"/>
                <w:w w:val="95"/>
                <w:kern w:val="0"/>
                <w:sz w:val="28"/>
                <w:szCs w:val="28"/>
                <w:highlight w:val="none"/>
                <w:lang w:val="en-US" w:eastAsia="zh-CN" w:bidi="ar-SA"/>
              </w:rPr>
              <w:t>备注</w:t>
            </w:r>
          </w:p>
        </w:tc>
      </w:tr>
      <w:tr w14:paraId="70DE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62CCADC2">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3167F64C">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36F3BDE8">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2FB9F4F">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51CF856D">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56B33B2F">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7219E31">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293C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00FBB8B7">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42A20951">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5ADC7189">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37D332D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74D77FE5">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2B6B288F">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093C2680">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1375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6047B158">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23D60AA8">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6475DCFA">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4214E7CC">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19D5B24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0103CC8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2B3048D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31B7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0D044EDF">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44444216">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6B9E8750">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110F6E55">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17AA294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334A96CC">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29897135">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5B5A2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0F621CE1">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46801304">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593045F7">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094F84D5">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1FDCF1CA">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37B72BAC">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41A89CE7">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22C7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29C0191A">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275E379C">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6C2A3FD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2519707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7F2FA3E6">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42A1703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9EC0C5F">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4C66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4EFE47DD">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289701D8">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7661AA36">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51EF693A">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2869CCC7">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4D54D1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461E1C32">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1481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4D8F3B9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18534BFC">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7EE5DF78">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721D864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3446E0D9">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509AF4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177D8889">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13A1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592790B7">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66FD7669">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2C2896B0">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2C9613DF">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1886379A">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5D479689">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7A4E15F6">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4CB0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206E4A81">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5FCA5B6E">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00DA704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7A7D7AD">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060C9D07">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761CA646">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142009BE">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4806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211B41C1">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11C1CEB1">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0661F7BF">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29DF9DA2">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50C4798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756107D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131E800">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263C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0BCA671C">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79A5CF62">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1F73133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3DFFB1E5">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5958AA0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052D5FD0">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01C2F9F4">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r w14:paraId="69D9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422" w:type="pct"/>
            <w:tcBorders>
              <w:top w:val="single" w:color="auto" w:sz="4" w:space="0"/>
              <w:left w:val="single" w:color="auto" w:sz="4" w:space="0"/>
              <w:bottom w:val="single" w:color="auto" w:sz="4" w:space="0"/>
              <w:right w:val="single" w:color="auto" w:sz="4" w:space="0"/>
            </w:tcBorders>
            <w:noWrap w:val="0"/>
            <w:vAlign w:val="center"/>
          </w:tcPr>
          <w:p w14:paraId="08F58860">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2057" w:type="pct"/>
            <w:tcBorders>
              <w:top w:val="single" w:color="auto" w:sz="4" w:space="0"/>
              <w:left w:val="single" w:color="auto" w:sz="4" w:space="0"/>
              <w:bottom w:val="single" w:color="auto" w:sz="4" w:space="0"/>
              <w:right w:val="single" w:color="auto" w:sz="4" w:space="0"/>
            </w:tcBorders>
            <w:noWrap w:val="0"/>
            <w:vAlign w:val="center"/>
          </w:tcPr>
          <w:p w14:paraId="10A3E699">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7CE124C2">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31C2AFBB">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7BC3B956">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628B7A08">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c>
          <w:tcPr>
            <w:tcW w:w="422" w:type="pct"/>
            <w:tcBorders>
              <w:top w:val="single" w:color="auto" w:sz="4" w:space="0"/>
              <w:left w:val="single" w:color="auto" w:sz="4" w:space="0"/>
              <w:bottom w:val="single" w:color="auto" w:sz="4" w:space="0"/>
              <w:right w:val="single" w:color="auto" w:sz="4" w:space="0"/>
            </w:tcBorders>
            <w:noWrap w:val="0"/>
            <w:vAlign w:val="center"/>
          </w:tcPr>
          <w:p w14:paraId="513AC393">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tc>
      </w:tr>
    </w:tbl>
    <w:p w14:paraId="3C17B3D8">
      <w:pPr>
        <w:keepNext w:val="0"/>
        <w:keepLines w:val="0"/>
        <w:pageBreakBefore w:val="0"/>
        <w:widowControl w:val="0"/>
        <w:shd w:val="clear"/>
        <w:kinsoku/>
        <w:wordWrap/>
        <w:overflowPunct/>
        <w:topLinePunct w:val="0"/>
        <w:autoSpaceDE/>
        <w:autoSpaceDN/>
        <w:bidi w:val="0"/>
        <w:adjustRightInd/>
        <w:snapToGrid/>
        <w:spacing w:line="480" w:lineRule="exact"/>
        <w:ind w:right="0"/>
        <w:jc w:val="center"/>
        <w:textAlignment w:val="auto"/>
        <w:rPr>
          <w:rFonts w:hint="eastAsia" w:ascii="仿宋" w:hAnsi="仿宋" w:eastAsia="仿宋" w:cs="仿宋"/>
          <w:sz w:val="28"/>
          <w:szCs w:val="28"/>
          <w:highlight w:val="none"/>
        </w:rPr>
      </w:pPr>
    </w:p>
    <w:p w14:paraId="40E85B51">
      <w:pPr>
        <w:shd w:val="clear"/>
        <w:spacing w:line="360" w:lineRule="exact"/>
        <w:rPr>
          <w:rFonts w:hint="eastAsia" w:ascii="仿宋" w:hAnsi="仿宋" w:eastAsia="仿宋" w:cs="仿宋"/>
          <w:sz w:val="28"/>
          <w:szCs w:val="22"/>
          <w:highlight w:val="none"/>
        </w:rPr>
      </w:pPr>
    </w:p>
    <w:p w14:paraId="1C829954">
      <w:pPr>
        <w:shd w:val="clear"/>
        <w:spacing w:line="440" w:lineRule="exact"/>
        <w:rPr>
          <w:rFonts w:hint="eastAsia" w:ascii="仿宋" w:hAnsi="仿宋" w:eastAsia="仿宋" w:cs="仿宋"/>
          <w:color w:val="auto"/>
          <w:sz w:val="28"/>
          <w:szCs w:val="28"/>
          <w:highlight w:val="none"/>
          <w:lang w:val="en-US" w:eastAsia="zh-CN"/>
        </w:rPr>
      </w:pPr>
    </w:p>
    <w:p w14:paraId="6492F587">
      <w:pPr>
        <w:shd w:val="clear"/>
        <w:jc w:val="center"/>
        <w:rPr>
          <w:rFonts w:hint="eastAsia" w:ascii="仿宋" w:hAnsi="仿宋" w:eastAsia="仿宋" w:cs="仿宋"/>
          <w:color w:val="auto"/>
          <w:highlight w:val="none"/>
        </w:rPr>
      </w:pPr>
    </w:p>
    <w:p w14:paraId="4EF40978">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64FB4DF1">
      <w:pPr>
        <w:shd w:val="clear"/>
        <w:rPr>
          <w:rFonts w:hint="eastAsia" w:ascii="仿宋" w:hAnsi="仿宋" w:eastAsia="仿宋" w:cs="仿宋"/>
          <w:color w:val="auto"/>
          <w:highlight w:val="none"/>
        </w:rPr>
      </w:pPr>
    </w:p>
    <w:p w14:paraId="1D22719B">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2CBFD7D9">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投标人资格证明文件</w:t>
      </w:r>
    </w:p>
    <w:p w14:paraId="0C447E88">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lang w:eastAsia="zh-CN"/>
        </w:rPr>
      </w:pPr>
      <w:r>
        <w:rPr>
          <w:rFonts w:hint="eastAsia" w:eastAsia="黑体" w:cs="Times New Roman"/>
          <w:bCs/>
          <w:color w:val="auto"/>
          <w:sz w:val="32"/>
          <w:szCs w:val="32"/>
          <w:highlight w:val="none"/>
          <w:lang w:eastAsia="zh-CN"/>
        </w:rPr>
        <w:t>有效的营业执照扫描件或其他能证明具有独立承担民事责任的能力的证明材料扫描件</w:t>
      </w:r>
    </w:p>
    <w:p w14:paraId="556AEA08">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74561498">
      <w:pPr>
        <w:shd w:val="clear"/>
        <w:jc w:val="center"/>
        <w:rPr>
          <w:rFonts w:hint="eastAsia" w:ascii="仿宋" w:hAnsi="仿宋" w:eastAsia="仿宋" w:cs="仿宋"/>
          <w:color w:val="auto"/>
          <w:highlight w:val="none"/>
        </w:rPr>
      </w:pPr>
    </w:p>
    <w:p w14:paraId="4D60E35C">
      <w:pPr>
        <w:shd w:val="clear"/>
        <w:jc w:val="center"/>
        <w:rPr>
          <w:rFonts w:hint="eastAsia" w:ascii="仿宋" w:hAnsi="仿宋" w:eastAsia="仿宋" w:cs="仿宋"/>
          <w:color w:val="auto"/>
          <w:highlight w:val="none"/>
        </w:rPr>
      </w:pPr>
    </w:p>
    <w:p w14:paraId="16B64D73">
      <w:pPr>
        <w:shd w:val="clear"/>
        <w:jc w:val="center"/>
        <w:rPr>
          <w:rFonts w:hint="eastAsia" w:ascii="仿宋" w:hAnsi="仿宋" w:eastAsia="仿宋" w:cs="仿宋"/>
          <w:color w:val="auto"/>
          <w:highlight w:val="none"/>
        </w:rPr>
      </w:pPr>
    </w:p>
    <w:p w14:paraId="7A3C7280">
      <w:pPr>
        <w:shd w:val="clear"/>
        <w:jc w:val="center"/>
        <w:rPr>
          <w:rFonts w:hint="eastAsia" w:ascii="仿宋" w:hAnsi="仿宋" w:eastAsia="仿宋" w:cs="仿宋"/>
          <w:color w:val="auto"/>
          <w:highlight w:val="none"/>
        </w:rPr>
      </w:pPr>
    </w:p>
    <w:p w14:paraId="3CDA613B">
      <w:pPr>
        <w:shd w:val="clear"/>
        <w:jc w:val="center"/>
        <w:rPr>
          <w:rFonts w:hint="eastAsia" w:ascii="仿宋" w:hAnsi="仿宋" w:eastAsia="仿宋" w:cs="仿宋"/>
          <w:color w:val="auto"/>
          <w:highlight w:val="none"/>
        </w:rPr>
      </w:pPr>
    </w:p>
    <w:p w14:paraId="03C0626D">
      <w:pPr>
        <w:shd w:val="clear"/>
        <w:jc w:val="center"/>
        <w:rPr>
          <w:rFonts w:hint="eastAsia" w:ascii="仿宋" w:hAnsi="仿宋" w:eastAsia="仿宋" w:cs="仿宋"/>
          <w:color w:val="auto"/>
          <w:highlight w:val="none"/>
        </w:rPr>
      </w:pPr>
    </w:p>
    <w:p w14:paraId="5E43A59C">
      <w:pPr>
        <w:shd w:val="clear"/>
        <w:jc w:val="center"/>
        <w:rPr>
          <w:rFonts w:hint="eastAsia" w:ascii="仿宋" w:hAnsi="仿宋" w:eastAsia="仿宋" w:cs="仿宋"/>
          <w:color w:val="auto"/>
          <w:highlight w:val="none"/>
        </w:rPr>
      </w:pPr>
    </w:p>
    <w:p w14:paraId="771BE691">
      <w:pPr>
        <w:shd w:val="clear"/>
        <w:jc w:val="center"/>
        <w:rPr>
          <w:rFonts w:hint="eastAsia" w:ascii="仿宋" w:hAnsi="仿宋" w:eastAsia="仿宋" w:cs="仿宋"/>
          <w:color w:val="auto"/>
          <w:highlight w:val="none"/>
        </w:rPr>
      </w:pPr>
    </w:p>
    <w:p w14:paraId="56A3D248">
      <w:pPr>
        <w:shd w:val="clear"/>
        <w:jc w:val="center"/>
        <w:rPr>
          <w:rFonts w:hint="eastAsia" w:ascii="仿宋" w:hAnsi="仿宋" w:eastAsia="仿宋" w:cs="仿宋"/>
          <w:color w:val="auto"/>
          <w:highlight w:val="none"/>
        </w:rPr>
      </w:pPr>
    </w:p>
    <w:p w14:paraId="02E26421">
      <w:pPr>
        <w:shd w:val="clear"/>
        <w:jc w:val="center"/>
        <w:rPr>
          <w:rFonts w:hint="eastAsia" w:ascii="仿宋" w:hAnsi="仿宋" w:eastAsia="仿宋" w:cs="仿宋"/>
          <w:color w:val="auto"/>
          <w:highlight w:val="none"/>
        </w:rPr>
      </w:pPr>
    </w:p>
    <w:p w14:paraId="0F89BC90">
      <w:pPr>
        <w:shd w:val="clear"/>
        <w:jc w:val="center"/>
        <w:rPr>
          <w:rFonts w:hint="eastAsia" w:ascii="仿宋" w:hAnsi="仿宋" w:eastAsia="仿宋" w:cs="仿宋"/>
          <w:color w:val="auto"/>
          <w:highlight w:val="none"/>
        </w:rPr>
      </w:pPr>
    </w:p>
    <w:p w14:paraId="45FA4016">
      <w:pPr>
        <w:shd w:val="clear"/>
        <w:jc w:val="center"/>
        <w:rPr>
          <w:rFonts w:hint="eastAsia" w:ascii="仿宋" w:hAnsi="仿宋" w:eastAsia="仿宋" w:cs="仿宋"/>
          <w:color w:val="auto"/>
          <w:highlight w:val="none"/>
        </w:rPr>
      </w:pPr>
    </w:p>
    <w:p w14:paraId="132A68D1">
      <w:pPr>
        <w:shd w:val="clear"/>
        <w:jc w:val="center"/>
        <w:rPr>
          <w:rFonts w:hint="eastAsia" w:ascii="仿宋" w:hAnsi="仿宋" w:eastAsia="仿宋" w:cs="仿宋"/>
          <w:color w:val="auto"/>
          <w:highlight w:val="none"/>
        </w:rPr>
      </w:pPr>
    </w:p>
    <w:p w14:paraId="5F83724D">
      <w:pPr>
        <w:shd w:val="clear"/>
        <w:jc w:val="center"/>
        <w:rPr>
          <w:rFonts w:hint="eastAsia" w:ascii="仿宋" w:hAnsi="仿宋" w:eastAsia="仿宋" w:cs="仿宋"/>
          <w:color w:val="auto"/>
          <w:highlight w:val="none"/>
        </w:rPr>
      </w:pPr>
    </w:p>
    <w:p w14:paraId="513FA694">
      <w:pPr>
        <w:shd w:val="clear"/>
        <w:jc w:val="center"/>
        <w:rPr>
          <w:rFonts w:hint="eastAsia" w:ascii="仿宋" w:hAnsi="仿宋" w:eastAsia="仿宋" w:cs="仿宋"/>
          <w:color w:val="auto"/>
          <w:highlight w:val="none"/>
        </w:rPr>
      </w:pPr>
    </w:p>
    <w:p w14:paraId="2691B3A0">
      <w:pPr>
        <w:shd w:val="clear"/>
        <w:jc w:val="center"/>
        <w:rPr>
          <w:rFonts w:hint="eastAsia" w:ascii="仿宋" w:hAnsi="仿宋" w:eastAsia="仿宋" w:cs="仿宋"/>
          <w:color w:val="auto"/>
          <w:highlight w:val="none"/>
        </w:rPr>
      </w:pPr>
    </w:p>
    <w:p w14:paraId="72CE1307">
      <w:pPr>
        <w:shd w:val="clear"/>
        <w:jc w:val="center"/>
        <w:rPr>
          <w:rFonts w:hint="eastAsia" w:ascii="仿宋" w:hAnsi="仿宋" w:eastAsia="仿宋" w:cs="仿宋"/>
          <w:color w:val="auto"/>
          <w:highlight w:val="none"/>
        </w:rPr>
      </w:pPr>
    </w:p>
    <w:p w14:paraId="2ED13E5B">
      <w:pPr>
        <w:shd w:val="clear"/>
        <w:jc w:val="center"/>
        <w:rPr>
          <w:rFonts w:hint="eastAsia" w:ascii="仿宋" w:hAnsi="仿宋" w:eastAsia="仿宋" w:cs="仿宋"/>
          <w:color w:val="auto"/>
          <w:highlight w:val="none"/>
        </w:rPr>
      </w:pPr>
    </w:p>
    <w:p w14:paraId="6AB16FEE">
      <w:pPr>
        <w:shd w:val="clear"/>
        <w:jc w:val="center"/>
        <w:rPr>
          <w:rFonts w:hint="eastAsia" w:ascii="仿宋" w:hAnsi="仿宋" w:eastAsia="仿宋" w:cs="仿宋"/>
          <w:color w:val="auto"/>
          <w:highlight w:val="none"/>
        </w:rPr>
      </w:pPr>
    </w:p>
    <w:p w14:paraId="7CCC2C25">
      <w:pPr>
        <w:shd w:val="clear"/>
        <w:jc w:val="center"/>
        <w:rPr>
          <w:rFonts w:hint="eastAsia" w:ascii="仿宋" w:hAnsi="仿宋" w:eastAsia="仿宋" w:cs="仿宋"/>
          <w:color w:val="auto"/>
          <w:highlight w:val="none"/>
        </w:rPr>
      </w:pPr>
    </w:p>
    <w:p w14:paraId="6337E918">
      <w:pPr>
        <w:shd w:val="clear"/>
        <w:jc w:val="center"/>
        <w:rPr>
          <w:rFonts w:hint="eastAsia" w:ascii="仿宋" w:hAnsi="仿宋" w:eastAsia="仿宋" w:cs="仿宋"/>
          <w:color w:val="auto"/>
          <w:highlight w:val="none"/>
        </w:rPr>
      </w:pPr>
    </w:p>
    <w:p w14:paraId="41F607B9">
      <w:pPr>
        <w:shd w:val="clear"/>
        <w:jc w:val="center"/>
        <w:rPr>
          <w:rFonts w:hint="eastAsia" w:ascii="仿宋" w:hAnsi="仿宋" w:eastAsia="仿宋" w:cs="仿宋"/>
          <w:color w:val="auto"/>
          <w:highlight w:val="none"/>
        </w:rPr>
      </w:pPr>
    </w:p>
    <w:p w14:paraId="7ECBF15F">
      <w:pPr>
        <w:shd w:val="clear"/>
        <w:jc w:val="center"/>
        <w:rPr>
          <w:rFonts w:hint="eastAsia" w:ascii="仿宋" w:hAnsi="仿宋" w:eastAsia="仿宋" w:cs="仿宋"/>
          <w:color w:val="auto"/>
          <w:highlight w:val="none"/>
        </w:rPr>
      </w:pPr>
    </w:p>
    <w:p w14:paraId="4D20B917">
      <w:pPr>
        <w:shd w:val="clear"/>
        <w:jc w:val="center"/>
        <w:rPr>
          <w:rFonts w:hint="eastAsia" w:ascii="仿宋" w:hAnsi="仿宋" w:eastAsia="仿宋" w:cs="仿宋"/>
          <w:color w:val="auto"/>
          <w:highlight w:val="none"/>
        </w:rPr>
      </w:pPr>
    </w:p>
    <w:p w14:paraId="78B33CE2">
      <w:pPr>
        <w:shd w:val="clear"/>
        <w:jc w:val="center"/>
        <w:rPr>
          <w:rFonts w:hint="eastAsia" w:ascii="仿宋" w:hAnsi="仿宋" w:eastAsia="仿宋" w:cs="仿宋"/>
          <w:color w:val="auto"/>
          <w:highlight w:val="none"/>
        </w:rPr>
      </w:pPr>
    </w:p>
    <w:p w14:paraId="29816CA3">
      <w:pPr>
        <w:shd w:val="clear"/>
        <w:jc w:val="center"/>
        <w:rPr>
          <w:rFonts w:hint="eastAsia" w:ascii="仿宋" w:hAnsi="仿宋" w:eastAsia="仿宋" w:cs="仿宋"/>
          <w:color w:val="auto"/>
          <w:highlight w:val="none"/>
        </w:rPr>
      </w:pPr>
    </w:p>
    <w:p w14:paraId="5B111E1E">
      <w:pPr>
        <w:shd w:val="clear"/>
        <w:jc w:val="center"/>
        <w:rPr>
          <w:rFonts w:hint="eastAsia" w:ascii="仿宋" w:hAnsi="仿宋" w:eastAsia="仿宋" w:cs="仿宋"/>
          <w:color w:val="auto"/>
          <w:highlight w:val="none"/>
        </w:rPr>
      </w:pPr>
    </w:p>
    <w:p w14:paraId="795E8FB5">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bookmarkStart w:id="9" w:name="_Toc522526782"/>
      <w:bookmarkStart w:id="10" w:name="_Toc521936044"/>
    </w:p>
    <w:p w14:paraId="287AB201">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法定代表人/负责人身份证明书</w:t>
      </w:r>
    </w:p>
    <w:p w14:paraId="7CFEDB9D">
      <w:pPr>
        <w:shd w:val="clear"/>
        <w:jc w:val="center"/>
        <w:rPr>
          <w:rFonts w:ascii="Times New Roman" w:hAnsi="Times New Roman" w:eastAsia="宋体" w:cs="Times New Roman"/>
          <w:color w:val="auto"/>
          <w:highlight w:val="none"/>
        </w:rPr>
      </w:pPr>
    </w:p>
    <w:p w14:paraId="239161C0">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致</w:t>
      </w:r>
      <w:r>
        <w:rPr>
          <w:rFonts w:hint="eastAsia" w:ascii="仿宋" w:hAnsi="仿宋" w:eastAsia="仿宋" w:cs="仿宋"/>
          <w:color w:val="auto"/>
          <w:kern w:val="0"/>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65BCA0F5">
      <w:pPr>
        <w:shd w:val="clear"/>
        <w:spacing w:line="560" w:lineRule="exact"/>
        <w:ind w:firstLine="600" w:firstLineChars="200"/>
        <w:rPr>
          <w:rFonts w:hint="eastAsia" w:ascii="仿宋" w:hAnsi="仿宋" w:eastAsia="仿宋" w:cs="仿宋"/>
          <w:color w:val="auto"/>
          <w:kern w:val="0"/>
          <w:sz w:val="30"/>
          <w:szCs w:val="30"/>
          <w:highlight w:val="none"/>
        </w:rPr>
      </w:pPr>
    </w:p>
    <w:p w14:paraId="442D51A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（姓名、性别、年龄、身份证号码）在我单位任       （董事长、总经理等）职务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是我单位的法定代表人/负责人。</w:t>
      </w:r>
    </w:p>
    <w:p w14:paraId="4CAF909B">
      <w:pPr>
        <w:shd w:val="clear"/>
        <w:spacing w:line="560" w:lineRule="exact"/>
        <w:ind w:firstLine="600" w:firstLineChars="200"/>
        <w:rPr>
          <w:rFonts w:hint="eastAsia" w:ascii="仿宋" w:hAnsi="仿宋" w:eastAsia="仿宋" w:cs="仿宋"/>
          <w:color w:val="auto"/>
          <w:kern w:val="0"/>
          <w:sz w:val="30"/>
          <w:szCs w:val="30"/>
          <w:highlight w:val="none"/>
        </w:rPr>
      </w:pPr>
    </w:p>
    <w:p w14:paraId="61D3C9E6">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特此证明。</w:t>
      </w:r>
    </w:p>
    <w:p w14:paraId="3D43F249">
      <w:pPr>
        <w:shd w:val="clear"/>
        <w:spacing w:line="560" w:lineRule="exact"/>
        <w:ind w:firstLine="600" w:firstLineChars="200"/>
        <w:rPr>
          <w:rFonts w:hint="eastAsia" w:ascii="仿宋" w:hAnsi="仿宋" w:eastAsia="仿宋" w:cs="仿宋"/>
          <w:color w:val="auto"/>
          <w:kern w:val="0"/>
          <w:sz w:val="30"/>
          <w:szCs w:val="30"/>
          <w:highlight w:val="none"/>
        </w:rPr>
      </w:pPr>
    </w:p>
    <w:p w14:paraId="664C8B5C">
      <w:pPr>
        <w:shd w:val="clear"/>
        <w:spacing w:line="560" w:lineRule="exact"/>
        <w:ind w:firstLine="600" w:firstLineChars="200"/>
        <w:rPr>
          <w:rFonts w:hint="eastAsia" w:ascii="仿宋" w:hAnsi="仿宋" w:eastAsia="仿宋" w:cs="仿宋"/>
          <w:color w:val="auto"/>
          <w:kern w:val="0"/>
          <w:sz w:val="30"/>
          <w:szCs w:val="30"/>
          <w:highlight w:val="none"/>
        </w:rPr>
      </w:pPr>
    </w:p>
    <w:p w14:paraId="7F4F3BF5">
      <w:pPr>
        <w:shd w:val="clear"/>
        <w:jc w:val="center"/>
        <w:rPr>
          <w:rFonts w:hint="eastAsia" w:ascii="仿宋" w:hAnsi="仿宋" w:eastAsia="仿宋" w:cs="仿宋"/>
          <w:color w:val="auto"/>
          <w:highlight w:val="none"/>
        </w:rPr>
      </w:pPr>
    </w:p>
    <w:p w14:paraId="1A6719B9">
      <w:pPr>
        <w:shd w:val="clear"/>
        <w:jc w:val="center"/>
        <w:rPr>
          <w:rFonts w:hint="eastAsia" w:ascii="仿宋" w:hAnsi="仿宋" w:eastAsia="仿宋" w:cs="仿宋"/>
          <w:color w:val="auto"/>
          <w:highlight w:val="none"/>
        </w:rPr>
      </w:pPr>
    </w:p>
    <w:p w14:paraId="79A08F0F">
      <w:pPr>
        <w:shd w:val="clear"/>
        <w:jc w:val="center"/>
        <w:rPr>
          <w:rFonts w:hint="eastAsia" w:ascii="仿宋" w:hAnsi="仿宋" w:eastAsia="仿宋" w:cs="仿宋"/>
          <w:color w:val="auto"/>
          <w:highlight w:val="none"/>
        </w:rPr>
      </w:pPr>
    </w:p>
    <w:p w14:paraId="0CE546E4">
      <w:pPr>
        <w:shd w:val="clear"/>
        <w:jc w:val="center"/>
        <w:rPr>
          <w:rFonts w:hint="eastAsia" w:ascii="仿宋" w:hAnsi="仿宋" w:eastAsia="仿宋" w:cs="仿宋"/>
          <w:color w:val="auto"/>
          <w:highlight w:val="none"/>
        </w:rPr>
      </w:pPr>
    </w:p>
    <w:p w14:paraId="5F2E6FBD">
      <w:pPr>
        <w:shd w:val="clear"/>
        <w:jc w:val="center"/>
        <w:rPr>
          <w:rFonts w:hint="eastAsia" w:ascii="仿宋" w:hAnsi="仿宋" w:eastAsia="仿宋" w:cs="仿宋"/>
          <w:color w:val="auto"/>
          <w:highlight w:val="none"/>
        </w:rPr>
      </w:pPr>
    </w:p>
    <w:p w14:paraId="3835EE06">
      <w:pPr>
        <w:shd w:val="clear"/>
        <w:jc w:val="center"/>
        <w:rPr>
          <w:rFonts w:hint="eastAsia" w:ascii="仿宋" w:hAnsi="仿宋" w:eastAsia="仿宋" w:cs="仿宋"/>
          <w:color w:val="auto"/>
          <w:highlight w:val="none"/>
        </w:rPr>
      </w:pPr>
    </w:p>
    <w:p w14:paraId="713BBB3C">
      <w:pPr>
        <w:shd w:val="clear"/>
        <w:jc w:val="center"/>
        <w:rPr>
          <w:rFonts w:hint="eastAsia" w:ascii="仿宋" w:hAnsi="仿宋" w:eastAsia="仿宋" w:cs="仿宋"/>
          <w:color w:val="auto"/>
          <w:highlight w:val="none"/>
        </w:rPr>
      </w:pPr>
    </w:p>
    <w:p w14:paraId="2C60BBE8">
      <w:pPr>
        <w:shd w:val="clear"/>
        <w:jc w:val="center"/>
        <w:rPr>
          <w:rFonts w:hint="eastAsia" w:ascii="仿宋" w:hAnsi="仿宋" w:eastAsia="仿宋" w:cs="仿宋"/>
          <w:color w:val="auto"/>
          <w:highlight w:val="none"/>
        </w:rPr>
      </w:pPr>
    </w:p>
    <w:p w14:paraId="76965558">
      <w:pPr>
        <w:shd w:val="clear"/>
        <w:jc w:val="center"/>
        <w:rPr>
          <w:rFonts w:hint="eastAsia" w:ascii="仿宋" w:hAnsi="仿宋" w:eastAsia="仿宋" w:cs="仿宋"/>
          <w:color w:val="auto"/>
          <w:highlight w:val="none"/>
        </w:rPr>
      </w:pPr>
    </w:p>
    <w:p w14:paraId="22132AF9">
      <w:pPr>
        <w:shd w:val="clear"/>
        <w:spacing w:line="520" w:lineRule="exact"/>
        <w:ind w:firstLine="3900" w:firstLineChars="1300"/>
        <w:jc w:val="right"/>
        <w:rPr>
          <w:rFonts w:hint="eastAsia" w:ascii="仿宋" w:hAnsi="仿宋" w:eastAsia="仿宋" w:cs="仿宋"/>
          <w:color w:val="auto"/>
          <w:sz w:val="30"/>
          <w:szCs w:val="30"/>
          <w:highlight w:val="none"/>
        </w:rPr>
      </w:pPr>
    </w:p>
    <w:p w14:paraId="61561FDA">
      <w:pPr>
        <w:shd w:val="clear"/>
        <w:rPr>
          <w:rFonts w:hint="eastAsia" w:ascii="仿宋" w:hAnsi="仿宋" w:eastAsia="仿宋" w:cs="仿宋"/>
          <w:color w:val="auto"/>
          <w:highlight w:val="none"/>
        </w:rPr>
      </w:pPr>
    </w:p>
    <w:p w14:paraId="7F5A29A2">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E482344">
      <w:pPr>
        <w:shd w:val="clear"/>
        <w:jc w:val="center"/>
        <w:rPr>
          <w:rFonts w:hint="eastAsia" w:ascii="仿宋" w:hAnsi="仿宋" w:eastAsia="仿宋" w:cs="仿宋"/>
          <w:color w:val="auto"/>
          <w:highlight w:val="none"/>
        </w:rPr>
      </w:pPr>
    </w:p>
    <w:p w14:paraId="01049E79">
      <w:pPr>
        <w:shd w:val="clear"/>
        <w:jc w:val="center"/>
        <w:rPr>
          <w:rFonts w:ascii="Times New Roman" w:hAnsi="Times New Roman" w:eastAsia="宋体" w:cs="Times New Roman"/>
          <w:color w:val="auto"/>
          <w:highlight w:val="none"/>
        </w:rPr>
      </w:pPr>
    </w:p>
    <w:p w14:paraId="580E45D4">
      <w:pPr>
        <w:shd w:val="clear"/>
        <w:jc w:val="center"/>
        <w:rPr>
          <w:rFonts w:hint="eastAsia" w:ascii="Times New Roman" w:hAnsi="Times New Roman" w:eastAsia="宋体" w:cs="Times New Roman"/>
          <w:color w:val="auto"/>
          <w:highlight w:val="none"/>
        </w:rPr>
      </w:pPr>
    </w:p>
    <w:p w14:paraId="78D88727">
      <w:pPr>
        <w:shd w:val="clear"/>
        <w:jc w:val="center"/>
        <w:rPr>
          <w:rFonts w:eastAsia="黑体"/>
          <w:bCs/>
          <w:color w:val="auto"/>
          <w:sz w:val="32"/>
          <w:szCs w:val="32"/>
          <w:highlight w:val="none"/>
        </w:rPr>
        <w:sectPr>
          <w:headerReference r:id="rId13" w:type="default"/>
          <w:footerReference r:id="rId14" w:type="default"/>
          <w:pgSz w:w="11906" w:h="16838"/>
          <w:pgMar w:top="1440" w:right="1083" w:bottom="1440" w:left="1083" w:header="851" w:footer="992" w:gutter="0"/>
          <w:pgNumType w:fmt="decimal"/>
          <w:cols w:space="720" w:num="1"/>
          <w:titlePg/>
          <w:rtlGutter w:val="0"/>
          <w:docGrid w:type="lines" w:linePitch="312" w:charSpace="0"/>
        </w:sectPr>
      </w:pPr>
    </w:p>
    <w:p w14:paraId="2792A2B3">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法人授权委托书</w:t>
      </w:r>
      <w:bookmarkEnd w:id="9"/>
      <w:bookmarkEnd w:id="10"/>
    </w:p>
    <w:p w14:paraId="779A15BE">
      <w:pPr>
        <w:shd w:val="clear"/>
        <w:rPr>
          <w:color w:val="auto"/>
          <w:highlight w:val="none"/>
        </w:rPr>
      </w:pPr>
    </w:p>
    <w:p w14:paraId="5400859F">
      <w:pPr>
        <w:shd w:val="clear"/>
        <w:spacing w:line="480" w:lineRule="exact"/>
        <w:ind w:firstLine="640" w:firstLineChars="200"/>
        <w:rPr>
          <w:rFonts w:hint="eastAsia" w:ascii="仿宋" w:hAnsi="仿宋" w:eastAsia="仿宋" w:cs="仿宋"/>
          <w:color w:val="auto"/>
          <w:highlight w:val="none"/>
        </w:rPr>
      </w:pPr>
      <w:r>
        <w:rPr>
          <w:rFonts w:hint="eastAsia" w:ascii="仿宋" w:hAnsi="仿宋" w:eastAsia="仿宋" w:cs="仿宋"/>
          <w:color w:val="auto"/>
          <w:sz w:val="32"/>
          <w:szCs w:val="32"/>
          <w:highlight w:val="none"/>
        </w:rPr>
        <w:t>本授权书声明：注册于</w:t>
      </w:r>
      <w:r>
        <w:rPr>
          <w:rFonts w:hint="eastAsia" w:ascii="仿宋" w:hAnsi="仿宋" w:eastAsia="仿宋" w:cs="仿宋"/>
          <w:color w:val="auto"/>
          <w:sz w:val="32"/>
          <w:szCs w:val="32"/>
          <w:highlight w:val="none"/>
          <w:u w:val="single"/>
        </w:rPr>
        <w:t xml:space="preserve">   （国家或地区的名称）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单位</w:t>
      </w:r>
      <w:r>
        <w:rPr>
          <w:rFonts w:hint="eastAsia" w:ascii="仿宋" w:hAnsi="仿宋" w:eastAsia="仿宋" w:cs="仿宋"/>
          <w:color w:val="auto"/>
          <w:sz w:val="32"/>
          <w:szCs w:val="32"/>
          <w:highlight w:val="none"/>
          <w:u w:val="single"/>
        </w:rPr>
        <w:t xml:space="preserve">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法定代表人/负责人</w:t>
      </w:r>
      <w:r>
        <w:rPr>
          <w:rFonts w:hint="eastAsia" w:ascii="仿宋" w:hAnsi="仿宋" w:eastAsia="仿宋" w:cs="仿宋"/>
          <w:color w:val="auto"/>
          <w:sz w:val="32"/>
          <w:szCs w:val="32"/>
          <w:highlight w:val="none"/>
          <w:u w:val="single"/>
        </w:rPr>
        <w:t xml:space="preserve">姓名、职务）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代表本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授权</w:t>
      </w:r>
      <w:r>
        <w:rPr>
          <w:rFonts w:hint="eastAsia" w:ascii="仿宋" w:hAnsi="仿宋" w:eastAsia="仿宋" w:cs="仿宋"/>
          <w:color w:val="auto"/>
          <w:sz w:val="32"/>
          <w:szCs w:val="32"/>
          <w:highlight w:val="none"/>
          <w:u w:val="single"/>
        </w:rPr>
        <w:t xml:space="preserve">  （被授权单位名称）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（被授权人的姓名、职务）</w:t>
      </w:r>
      <w:r>
        <w:rPr>
          <w:rFonts w:hint="eastAsia" w:ascii="仿宋" w:hAnsi="仿宋" w:eastAsia="仿宋" w:cs="仿宋"/>
          <w:color w:val="auto"/>
          <w:sz w:val="32"/>
          <w:szCs w:val="32"/>
          <w:highlight w:val="none"/>
        </w:rPr>
        <w:t>为本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的合法代理人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参加编号为</w:t>
      </w:r>
      <w:r>
        <w:rPr>
          <w:rFonts w:hint="eastAsia" w:ascii="仿宋" w:hAnsi="仿宋" w:eastAsia="仿宋" w:cs="仿宋"/>
          <w:color w:val="auto"/>
          <w:kern w:val="0"/>
          <w:sz w:val="30"/>
          <w:szCs w:val="30"/>
          <w:highlight w:val="none"/>
          <w:lang w:eastAsia="zh-CN"/>
        </w:rPr>
        <w:t>WHZCZB2026-042</w:t>
      </w:r>
      <w:r>
        <w:rPr>
          <w:rFonts w:hint="eastAsia" w:ascii="仿宋" w:hAnsi="仿宋" w:eastAsia="仿宋" w:cs="仿宋"/>
          <w:color w:val="auto"/>
          <w:sz w:val="32"/>
          <w:szCs w:val="32"/>
          <w:highlight w:val="none"/>
        </w:rPr>
        <w:t>号的公开招标采购活动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以本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名义处理一切与之有关的事宜。</w:t>
      </w:r>
    </w:p>
    <w:p w14:paraId="5BB37343">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如果本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在此次采购活动中中标</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被授权人有权代表本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签署采购合同。</w:t>
      </w:r>
    </w:p>
    <w:p w14:paraId="61DFE6DA">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本授权书于</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日法定代表人/负责人签章并由被授权人签字、单位盖章生效</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特此声明。</w:t>
      </w:r>
    </w:p>
    <w:p w14:paraId="76366092">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被授权人无转委托权。</w:t>
      </w:r>
    </w:p>
    <w:p w14:paraId="6384384F">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法定代表人/负责人签章：</w:t>
      </w:r>
    </w:p>
    <w:p w14:paraId="562CF54B">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 授 权人签字：</w:t>
      </w:r>
    </w:p>
    <w:p w14:paraId="20522398">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562A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noWrap w:val="0"/>
            <w:vAlign w:val="center"/>
          </w:tcPr>
          <w:p w14:paraId="460C8550">
            <w:pPr>
              <w:widowControl/>
              <w:shd w:val="clear"/>
              <w:spacing w:beforeAutospacing="1" w:afterAutospacing="1" w:line="360" w:lineRule="auto"/>
              <w:ind w:firstLine="160" w:firstLineChars="5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正面</w:t>
            </w:r>
          </w:p>
        </w:tc>
      </w:tr>
    </w:tbl>
    <w:p w14:paraId="336F2139">
      <w:pPr>
        <w:shd w:val="clear"/>
        <w:spacing w:line="480" w:lineRule="exact"/>
        <w:ind w:firstLine="640" w:firstLineChars="200"/>
        <w:jc w:val="left"/>
        <w:rPr>
          <w:rFonts w:hint="eastAsia" w:ascii="仿宋" w:hAnsi="仿宋" w:eastAsia="仿宋" w:cs="仿宋"/>
          <w:color w:val="auto"/>
          <w:kern w:val="0"/>
          <w:sz w:val="32"/>
          <w:szCs w:val="32"/>
          <w:highlight w:val="none"/>
        </w:rPr>
      </w:pPr>
    </w:p>
    <w:p w14:paraId="33F8F39D">
      <w:pPr>
        <w:shd w:val="clear"/>
        <w:rPr>
          <w:rFonts w:hint="eastAsia" w:ascii="仿宋" w:hAnsi="仿宋" w:eastAsia="仿宋" w:cs="仿宋"/>
          <w:vanish/>
          <w:color w:val="auto"/>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0A54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noWrap w:val="0"/>
            <w:vAlign w:val="center"/>
          </w:tcPr>
          <w:p w14:paraId="661D095F">
            <w:pPr>
              <w:widowControl/>
              <w:shd w:val="clear"/>
              <w:spacing w:beforeAutospacing="1" w:afterAutospacing="1" w:line="360" w:lineRule="auto"/>
              <w:jc w:val="center"/>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反面</w:t>
            </w:r>
          </w:p>
        </w:tc>
      </w:tr>
    </w:tbl>
    <w:p w14:paraId="237917EB">
      <w:pPr>
        <w:shd w:val="clear"/>
        <w:rPr>
          <w:rFonts w:hint="eastAsia" w:ascii="仿宋" w:hAnsi="仿宋" w:eastAsia="仿宋" w:cs="仿宋"/>
          <w:color w:val="auto"/>
          <w:highlight w:val="none"/>
        </w:rPr>
      </w:pPr>
    </w:p>
    <w:p w14:paraId="4C81EDC6">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7939FE5">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2E4F2798">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0A991550">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710B2507">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04E3518A">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27327D8C">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b/>
          <w:bCs/>
          <w:color w:val="auto"/>
          <w:sz w:val="28"/>
          <w:szCs w:val="28"/>
          <w:highlight w:val="none"/>
          <w:lang w:eastAsia="zh-CN"/>
        </w:rPr>
        <w:t>。</w:t>
      </w:r>
    </w:p>
    <w:p w14:paraId="68D24BE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28"/>
          <w:szCs w:val="28"/>
          <w:highlight w:val="none"/>
        </w:rPr>
        <w:br w:type="page"/>
      </w:r>
      <w:r>
        <w:rPr>
          <w:rFonts w:hint="eastAsia" w:ascii="Times New Roman" w:hAnsi="Times New Roman" w:eastAsia="黑体" w:cs="Times New Roman"/>
          <w:bCs/>
          <w:color w:val="auto"/>
          <w:sz w:val="32"/>
          <w:szCs w:val="32"/>
          <w:highlight w:val="none"/>
        </w:rPr>
        <w:t>具有良好的商业信誉和健全的财务会计制度声明</w:t>
      </w:r>
    </w:p>
    <w:p w14:paraId="69401481">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p>
    <w:p w14:paraId="7137AA98">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我单位自愿参加本项目采购活动，现郑重声明：具有良好的商业信誉和健全的财务会计制度。</w:t>
      </w:r>
    </w:p>
    <w:p w14:paraId="64D7F021">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如有虚假，我单位自行承担因此产生的所有法律责任。</w:t>
      </w:r>
    </w:p>
    <w:p w14:paraId="6C2DD620">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特此声明！</w:t>
      </w:r>
    </w:p>
    <w:p w14:paraId="43F3C29D">
      <w:pPr>
        <w:shd w:val="clear"/>
        <w:spacing w:line="560" w:lineRule="exact"/>
        <w:ind w:firstLine="600" w:firstLineChars="200"/>
        <w:rPr>
          <w:rFonts w:hint="default" w:ascii="Times New Roman" w:hAnsi="Times New Roman" w:eastAsia="仿宋" w:cs="Times New Roman"/>
          <w:color w:val="auto"/>
          <w:kern w:val="0"/>
          <w:sz w:val="30"/>
          <w:szCs w:val="30"/>
          <w:highlight w:val="none"/>
        </w:rPr>
      </w:pPr>
      <w:r>
        <w:rPr>
          <w:rFonts w:hint="default" w:ascii="Times New Roman" w:hAnsi="Times New Roman" w:eastAsia="仿宋" w:cs="Times New Roman"/>
          <w:color w:val="auto"/>
          <w:kern w:val="0"/>
          <w:sz w:val="30"/>
          <w:szCs w:val="30"/>
          <w:highlight w:val="none"/>
        </w:rPr>
        <w:t xml:space="preserve"> </w:t>
      </w:r>
    </w:p>
    <w:p w14:paraId="6061E09A">
      <w:pPr>
        <w:shd w:val="clear"/>
        <w:jc w:val="center"/>
        <w:rPr>
          <w:rFonts w:hint="eastAsia" w:ascii="仿宋" w:hAnsi="仿宋" w:eastAsia="仿宋" w:cs="仿宋"/>
          <w:color w:val="auto"/>
          <w:sz w:val="28"/>
          <w:szCs w:val="28"/>
          <w:highlight w:val="none"/>
        </w:rPr>
      </w:pPr>
    </w:p>
    <w:p w14:paraId="0EA6B561">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F3F0362">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具有履行合同所必需的设备和专业技术能力声明</w:t>
      </w:r>
    </w:p>
    <w:p w14:paraId="694D56F6">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p>
    <w:p w14:paraId="51D0C02A">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我单位自愿参加本项目采购活动，现郑重声明：具有履行合同所必需的设备和专业技术能力。</w:t>
      </w:r>
    </w:p>
    <w:p w14:paraId="08DD892F">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如有虚假，我单位自行承担因此产生的所有法律责任。</w:t>
      </w:r>
    </w:p>
    <w:p w14:paraId="4F711073">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特此声明！</w:t>
      </w:r>
    </w:p>
    <w:p w14:paraId="085B6628">
      <w:pPr>
        <w:shd w:val="clear"/>
        <w:spacing w:line="560" w:lineRule="exact"/>
        <w:ind w:firstLine="600" w:firstLineChars="200"/>
        <w:rPr>
          <w:rFonts w:hint="default" w:ascii="Times New Roman" w:hAnsi="Times New Roman" w:eastAsia="仿宋" w:cs="Times New Roman"/>
          <w:color w:val="auto"/>
          <w:kern w:val="0"/>
          <w:sz w:val="30"/>
          <w:szCs w:val="30"/>
          <w:highlight w:val="none"/>
        </w:rPr>
      </w:pPr>
      <w:r>
        <w:rPr>
          <w:rFonts w:hint="default" w:ascii="Times New Roman" w:hAnsi="Times New Roman" w:eastAsia="仿宋" w:cs="Times New Roman"/>
          <w:color w:val="auto"/>
          <w:kern w:val="0"/>
          <w:sz w:val="30"/>
          <w:szCs w:val="30"/>
          <w:highlight w:val="none"/>
        </w:rPr>
        <w:t xml:space="preserve"> </w:t>
      </w:r>
    </w:p>
    <w:p w14:paraId="5C4B4F70">
      <w:pPr>
        <w:shd w:val="clear"/>
        <w:jc w:val="center"/>
        <w:rPr>
          <w:rFonts w:hint="eastAsia" w:ascii="仿宋" w:hAnsi="仿宋" w:eastAsia="仿宋" w:cs="仿宋"/>
          <w:color w:val="auto"/>
          <w:sz w:val="28"/>
          <w:szCs w:val="28"/>
          <w:highlight w:val="none"/>
        </w:rPr>
      </w:pPr>
    </w:p>
    <w:p w14:paraId="0AE0C399">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07952CC">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依法缴纳税收和社会保障资金的声明</w:t>
      </w:r>
    </w:p>
    <w:p w14:paraId="5A021FC9">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bookmarkStart w:id="11" w:name="_Toc522526785"/>
    </w:p>
    <w:p w14:paraId="1A55868A">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我单位自愿参加本项目采购活动，现郑重声明：依法缴纳税收和社会保障资金。</w:t>
      </w:r>
    </w:p>
    <w:p w14:paraId="65C46926">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如有虚假，我单位自行承担因此产生的所有法律责任。</w:t>
      </w:r>
    </w:p>
    <w:p w14:paraId="0AA678C1">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特此声明！</w:t>
      </w:r>
    </w:p>
    <w:p w14:paraId="1F4A080F">
      <w:pPr>
        <w:shd w:val="clear"/>
        <w:spacing w:line="560" w:lineRule="exact"/>
        <w:ind w:firstLine="600" w:firstLineChars="200"/>
        <w:rPr>
          <w:rFonts w:hint="default" w:ascii="Times New Roman" w:hAnsi="Times New Roman" w:eastAsia="仿宋" w:cs="Times New Roman"/>
          <w:color w:val="auto"/>
          <w:kern w:val="0"/>
          <w:sz w:val="30"/>
          <w:szCs w:val="30"/>
          <w:highlight w:val="none"/>
        </w:rPr>
      </w:pPr>
      <w:r>
        <w:rPr>
          <w:rFonts w:hint="default" w:ascii="Times New Roman" w:hAnsi="Times New Roman" w:eastAsia="仿宋" w:cs="Times New Roman"/>
          <w:color w:val="auto"/>
          <w:kern w:val="0"/>
          <w:sz w:val="30"/>
          <w:szCs w:val="30"/>
          <w:highlight w:val="none"/>
        </w:rPr>
        <w:t xml:space="preserve"> </w:t>
      </w:r>
    </w:p>
    <w:p w14:paraId="0D583270">
      <w:pPr>
        <w:shd w:val="clear"/>
        <w:jc w:val="center"/>
        <w:rPr>
          <w:rFonts w:hint="eastAsia" w:ascii="仿宋" w:hAnsi="仿宋" w:eastAsia="仿宋" w:cs="仿宋"/>
          <w:color w:val="auto"/>
          <w:sz w:val="28"/>
          <w:szCs w:val="28"/>
          <w:highlight w:val="none"/>
        </w:rPr>
      </w:pPr>
    </w:p>
    <w:p w14:paraId="690313B4">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021BB26">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eastAsia="黑体" w:cs="Times New Roman"/>
          <w:bCs/>
          <w:color w:val="auto"/>
          <w:sz w:val="32"/>
          <w:szCs w:val="32"/>
          <w:highlight w:val="none"/>
          <w:lang w:eastAsia="zh-CN"/>
        </w:rPr>
        <w:t>开标前6个月内任意月份的依法缴纳税收和社会保障资金的证明材料</w:t>
      </w:r>
    </w:p>
    <w:p w14:paraId="41887799">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25ADB317">
      <w:pPr>
        <w:shd w:val="clear"/>
        <w:jc w:val="center"/>
        <w:rPr>
          <w:rFonts w:hint="eastAsia" w:ascii="仿宋" w:hAnsi="仿宋" w:eastAsia="仿宋" w:cs="仿宋"/>
          <w:color w:val="auto"/>
          <w:highlight w:val="none"/>
        </w:rPr>
      </w:pPr>
    </w:p>
    <w:p w14:paraId="3D81AD9C">
      <w:pPr>
        <w:shd w:val="clear"/>
        <w:jc w:val="center"/>
        <w:rPr>
          <w:rFonts w:hint="eastAsia" w:ascii="仿宋" w:hAnsi="仿宋" w:eastAsia="仿宋" w:cs="仿宋"/>
          <w:color w:val="auto"/>
          <w:highlight w:val="none"/>
        </w:rPr>
      </w:pPr>
    </w:p>
    <w:p w14:paraId="5A6FEB1F">
      <w:pPr>
        <w:shd w:val="clear"/>
        <w:jc w:val="center"/>
        <w:rPr>
          <w:rFonts w:hint="eastAsia" w:ascii="仿宋" w:hAnsi="仿宋" w:eastAsia="仿宋" w:cs="仿宋"/>
          <w:color w:val="auto"/>
          <w:highlight w:val="none"/>
        </w:rPr>
      </w:pPr>
    </w:p>
    <w:p w14:paraId="47E49128">
      <w:pPr>
        <w:shd w:val="clear"/>
        <w:jc w:val="center"/>
        <w:rPr>
          <w:rFonts w:hint="eastAsia" w:ascii="仿宋" w:hAnsi="仿宋" w:eastAsia="仿宋" w:cs="仿宋"/>
          <w:color w:val="auto"/>
          <w:highlight w:val="none"/>
        </w:rPr>
      </w:pPr>
    </w:p>
    <w:p w14:paraId="1DC964DB">
      <w:pPr>
        <w:shd w:val="clear"/>
        <w:jc w:val="center"/>
        <w:rPr>
          <w:rFonts w:hint="eastAsia" w:ascii="仿宋" w:hAnsi="仿宋" w:eastAsia="仿宋" w:cs="仿宋"/>
          <w:color w:val="auto"/>
          <w:highlight w:val="none"/>
        </w:rPr>
      </w:pPr>
    </w:p>
    <w:p w14:paraId="7AA5684E">
      <w:pPr>
        <w:shd w:val="clear"/>
        <w:jc w:val="center"/>
        <w:rPr>
          <w:rFonts w:hint="eastAsia" w:ascii="仿宋" w:hAnsi="仿宋" w:eastAsia="仿宋" w:cs="仿宋"/>
          <w:color w:val="auto"/>
          <w:highlight w:val="none"/>
        </w:rPr>
      </w:pPr>
    </w:p>
    <w:p w14:paraId="00AE6A2E">
      <w:pPr>
        <w:shd w:val="clear"/>
        <w:jc w:val="center"/>
        <w:rPr>
          <w:rFonts w:hint="eastAsia" w:ascii="仿宋" w:hAnsi="仿宋" w:eastAsia="仿宋" w:cs="仿宋"/>
          <w:color w:val="auto"/>
          <w:highlight w:val="none"/>
        </w:rPr>
      </w:pPr>
    </w:p>
    <w:p w14:paraId="31C17523">
      <w:pPr>
        <w:shd w:val="clear"/>
        <w:jc w:val="center"/>
        <w:rPr>
          <w:rFonts w:hint="eastAsia" w:ascii="仿宋" w:hAnsi="仿宋" w:eastAsia="仿宋" w:cs="仿宋"/>
          <w:color w:val="auto"/>
          <w:highlight w:val="none"/>
        </w:rPr>
      </w:pPr>
    </w:p>
    <w:p w14:paraId="4145272F">
      <w:pPr>
        <w:shd w:val="clear"/>
        <w:jc w:val="center"/>
        <w:rPr>
          <w:rFonts w:hint="eastAsia" w:ascii="仿宋" w:hAnsi="仿宋" w:eastAsia="仿宋" w:cs="仿宋"/>
          <w:color w:val="auto"/>
          <w:highlight w:val="none"/>
        </w:rPr>
      </w:pPr>
    </w:p>
    <w:p w14:paraId="428E4F2C">
      <w:pPr>
        <w:shd w:val="clear"/>
        <w:jc w:val="center"/>
        <w:rPr>
          <w:rFonts w:hint="eastAsia" w:ascii="仿宋" w:hAnsi="仿宋" w:eastAsia="仿宋" w:cs="仿宋"/>
          <w:color w:val="auto"/>
          <w:highlight w:val="none"/>
        </w:rPr>
      </w:pPr>
    </w:p>
    <w:p w14:paraId="78D51CA7">
      <w:pPr>
        <w:shd w:val="clear"/>
        <w:jc w:val="center"/>
        <w:rPr>
          <w:rFonts w:hint="eastAsia" w:ascii="仿宋" w:hAnsi="仿宋" w:eastAsia="仿宋" w:cs="仿宋"/>
          <w:color w:val="auto"/>
          <w:highlight w:val="none"/>
        </w:rPr>
      </w:pPr>
    </w:p>
    <w:p w14:paraId="7AC93137">
      <w:pPr>
        <w:shd w:val="clear"/>
        <w:jc w:val="center"/>
        <w:rPr>
          <w:rFonts w:hint="eastAsia" w:ascii="仿宋" w:hAnsi="仿宋" w:eastAsia="仿宋" w:cs="仿宋"/>
          <w:color w:val="auto"/>
          <w:highlight w:val="none"/>
        </w:rPr>
      </w:pPr>
    </w:p>
    <w:p w14:paraId="7842608A">
      <w:pPr>
        <w:shd w:val="clear"/>
        <w:jc w:val="center"/>
        <w:rPr>
          <w:rFonts w:hint="eastAsia" w:ascii="仿宋" w:hAnsi="仿宋" w:eastAsia="仿宋" w:cs="仿宋"/>
          <w:color w:val="auto"/>
          <w:highlight w:val="none"/>
        </w:rPr>
      </w:pPr>
    </w:p>
    <w:p w14:paraId="680375E9">
      <w:pPr>
        <w:shd w:val="clear"/>
        <w:jc w:val="center"/>
        <w:rPr>
          <w:rFonts w:hint="eastAsia" w:ascii="仿宋" w:hAnsi="仿宋" w:eastAsia="仿宋" w:cs="仿宋"/>
          <w:color w:val="auto"/>
          <w:highlight w:val="none"/>
        </w:rPr>
      </w:pPr>
    </w:p>
    <w:p w14:paraId="4F4C1B20">
      <w:pPr>
        <w:shd w:val="clear"/>
        <w:jc w:val="center"/>
        <w:rPr>
          <w:rFonts w:hint="eastAsia" w:ascii="仿宋" w:hAnsi="仿宋" w:eastAsia="仿宋" w:cs="仿宋"/>
          <w:color w:val="auto"/>
          <w:highlight w:val="none"/>
        </w:rPr>
      </w:pPr>
    </w:p>
    <w:p w14:paraId="3490F6CE">
      <w:pPr>
        <w:shd w:val="clear"/>
        <w:jc w:val="center"/>
        <w:rPr>
          <w:rFonts w:hint="eastAsia" w:ascii="仿宋" w:hAnsi="仿宋" w:eastAsia="仿宋" w:cs="仿宋"/>
          <w:color w:val="auto"/>
          <w:highlight w:val="none"/>
        </w:rPr>
      </w:pPr>
    </w:p>
    <w:p w14:paraId="63AEF953">
      <w:pPr>
        <w:shd w:val="clear"/>
        <w:jc w:val="center"/>
        <w:rPr>
          <w:rFonts w:hint="eastAsia" w:ascii="仿宋" w:hAnsi="仿宋" w:eastAsia="仿宋" w:cs="仿宋"/>
          <w:color w:val="auto"/>
          <w:highlight w:val="none"/>
        </w:rPr>
      </w:pPr>
    </w:p>
    <w:p w14:paraId="34D6C15F">
      <w:pPr>
        <w:shd w:val="clear"/>
        <w:jc w:val="center"/>
        <w:rPr>
          <w:rFonts w:hint="eastAsia" w:ascii="仿宋" w:hAnsi="仿宋" w:eastAsia="仿宋" w:cs="仿宋"/>
          <w:color w:val="auto"/>
          <w:highlight w:val="none"/>
        </w:rPr>
      </w:pPr>
    </w:p>
    <w:p w14:paraId="1FBA6648">
      <w:pPr>
        <w:shd w:val="clear"/>
        <w:jc w:val="center"/>
        <w:rPr>
          <w:rFonts w:hint="eastAsia" w:ascii="仿宋" w:hAnsi="仿宋" w:eastAsia="仿宋" w:cs="仿宋"/>
          <w:color w:val="auto"/>
          <w:highlight w:val="none"/>
        </w:rPr>
      </w:pPr>
    </w:p>
    <w:p w14:paraId="0195004A">
      <w:pPr>
        <w:shd w:val="clear"/>
        <w:jc w:val="center"/>
        <w:rPr>
          <w:rFonts w:hint="eastAsia" w:ascii="仿宋" w:hAnsi="仿宋" w:eastAsia="仿宋" w:cs="仿宋"/>
          <w:color w:val="auto"/>
          <w:highlight w:val="none"/>
        </w:rPr>
      </w:pPr>
    </w:p>
    <w:p w14:paraId="1169A736">
      <w:pPr>
        <w:shd w:val="clear"/>
        <w:jc w:val="center"/>
        <w:rPr>
          <w:rFonts w:hint="eastAsia" w:ascii="仿宋" w:hAnsi="仿宋" w:eastAsia="仿宋" w:cs="仿宋"/>
          <w:color w:val="auto"/>
          <w:highlight w:val="none"/>
        </w:rPr>
      </w:pPr>
    </w:p>
    <w:p w14:paraId="681DDD1B">
      <w:pPr>
        <w:shd w:val="clear"/>
        <w:jc w:val="center"/>
        <w:rPr>
          <w:rFonts w:hint="eastAsia" w:ascii="仿宋" w:hAnsi="仿宋" w:eastAsia="仿宋" w:cs="仿宋"/>
          <w:color w:val="auto"/>
          <w:highlight w:val="none"/>
        </w:rPr>
      </w:pPr>
    </w:p>
    <w:p w14:paraId="4E9FFE67">
      <w:pPr>
        <w:shd w:val="clear"/>
        <w:jc w:val="center"/>
        <w:rPr>
          <w:rFonts w:hint="eastAsia" w:ascii="仿宋" w:hAnsi="仿宋" w:eastAsia="仿宋" w:cs="仿宋"/>
          <w:color w:val="auto"/>
          <w:highlight w:val="none"/>
        </w:rPr>
      </w:pPr>
    </w:p>
    <w:p w14:paraId="7FBAE076">
      <w:pPr>
        <w:shd w:val="clear"/>
        <w:jc w:val="center"/>
        <w:rPr>
          <w:rFonts w:hint="eastAsia" w:ascii="仿宋" w:hAnsi="仿宋" w:eastAsia="仿宋" w:cs="仿宋"/>
          <w:color w:val="auto"/>
          <w:highlight w:val="none"/>
        </w:rPr>
      </w:pPr>
    </w:p>
    <w:p w14:paraId="5862493D">
      <w:pPr>
        <w:shd w:val="clear"/>
        <w:jc w:val="center"/>
        <w:rPr>
          <w:rFonts w:hint="eastAsia" w:ascii="仿宋" w:hAnsi="仿宋" w:eastAsia="仿宋" w:cs="仿宋"/>
          <w:color w:val="auto"/>
          <w:highlight w:val="none"/>
        </w:rPr>
      </w:pPr>
    </w:p>
    <w:p w14:paraId="4E863244">
      <w:pPr>
        <w:shd w:val="clear"/>
        <w:jc w:val="center"/>
        <w:rPr>
          <w:rFonts w:hint="eastAsia" w:ascii="仿宋" w:hAnsi="仿宋" w:eastAsia="仿宋" w:cs="仿宋"/>
          <w:color w:val="auto"/>
          <w:highlight w:val="none"/>
        </w:rPr>
      </w:pPr>
    </w:p>
    <w:p w14:paraId="54B35D31">
      <w:pPr>
        <w:shd w:val="clear"/>
        <w:jc w:val="center"/>
        <w:rPr>
          <w:rFonts w:hint="eastAsia" w:ascii="仿宋" w:hAnsi="仿宋" w:eastAsia="仿宋" w:cs="仿宋"/>
          <w:color w:val="auto"/>
          <w:highlight w:val="none"/>
        </w:rPr>
      </w:pPr>
    </w:p>
    <w:p w14:paraId="5A591D6F">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480C48F9">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无重大违法记录声明</w:t>
      </w:r>
    </w:p>
    <w:p w14:paraId="16A9105A">
      <w:pPr>
        <w:shd w:val="clear"/>
        <w:spacing w:line="480" w:lineRule="auto"/>
        <w:rPr>
          <w:rFonts w:hint="eastAsia" w:ascii="仿宋_GB2312" w:hAnsi="仿宋" w:eastAsia="仿宋_GB2312"/>
          <w:bCs/>
          <w:color w:val="auto"/>
          <w:sz w:val="28"/>
          <w:szCs w:val="28"/>
          <w:highlight w:val="none"/>
        </w:rPr>
      </w:pPr>
    </w:p>
    <w:p w14:paraId="13CCD9A4">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7ED736AE">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名称）现郑重声明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自参加本项目（编号为               ）采购活动前三年内</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无因违法经营受到刑事处罚或者责令停产停业的、吊销许可证或者执照的、较大数额罚款等行政处罚。  </w:t>
      </w:r>
    </w:p>
    <w:p w14:paraId="493B3FBB">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自行承担因此产生的所有法律责任。</w:t>
      </w:r>
    </w:p>
    <w:p w14:paraId="64C2FA4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39B30610">
      <w:pPr>
        <w:shd w:val="clear"/>
        <w:spacing w:line="480" w:lineRule="auto"/>
        <w:ind w:left="1747" w:leftChars="832"/>
        <w:rPr>
          <w:rFonts w:hint="eastAsia" w:ascii="仿宋" w:hAnsi="仿宋" w:eastAsia="仿宋" w:cs="仿宋"/>
          <w:bCs/>
          <w:color w:val="auto"/>
          <w:sz w:val="28"/>
          <w:szCs w:val="28"/>
          <w:highlight w:val="none"/>
        </w:rPr>
      </w:pPr>
    </w:p>
    <w:p w14:paraId="5E0128FE">
      <w:pPr>
        <w:shd w:val="clear"/>
        <w:spacing w:line="480" w:lineRule="auto"/>
        <w:ind w:left="1747" w:leftChars="832"/>
        <w:rPr>
          <w:rFonts w:hint="eastAsia" w:ascii="仿宋" w:hAnsi="仿宋" w:eastAsia="仿宋" w:cs="仿宋"/>
          <w:bCs/>
          <w:color w:val="auto"/>
          <w:sz w:val="28"/>
          <w:szCs w:val="28"/>
          <w:highlight w:val="none"/>
        </w:rPr>
      </w:pPr>
    </w:p>
    <w:p w14:paraId="310EACF0">
      <w:pPr>
        <w:shd w:val="clear"/>
        <w:spacing w:line="480" w:lineRule="auto"/>
        <w:ind w:left="1747" w:leftChars="832"/>
        <w:rPr>
          <w:rFonts w:hint="eastAsia" w:ascii="仿宋" w:hAnsi="仿宋" w:eastAsia="仿宋" w:cs="仿宋"/>
          <w:bCs/>
          <w:color w:val="auto"/>
          <w:sz w:val="28"/>
          <w:szCs w:val="28"/>
          <w:highlight w:val="none"/>
        </w:rPr>
      </w:pPr>
    </w:p>
    <w:p w14:paraId="2AACB329">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5A2001BB">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bCs/>
          <w:color w:val="auto"/>
          <w:kern w:val="0"/>
          <w:sz w:val="28"/>
          <w:szCs w:val="28"/>
          <w:highlight w:val="none"/>
        </w:rPr>
        <w:t>法定代表人签章</w:t>
      </w:r>
      <w:r>
        <w:rPr>
          <w:rFonts w:hint="eastAsia" w:ascii="仿宋" w:hAnsi="仿宋" w:eastAsia="仿宋" w:cs="仿宋"/>
          <w:color w:val="auto"/>
          <w:kern w:val="0"/>
          <w:sz w:val="28"/>
          <w:szCs w:val="28"/>
          <w:highlight w:val="none"/>
        </w:rPr>
        <w:t xml:space="preserve">：        </w:t>
      </w:r>
    </w:p>
    <w:p w14:paraId="5C7981D5">
      <w:pPr>
        <w:widowControl/>
        <w:shd w:val="clear"/>
        <w:wordWrap w:val="0"/>
        <w:ind w:right="560" w:firstLine="4760" w:firstLineChars="1700"/>
        <w:jc w:val="right"/>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年   月   日</w:t>
      </w:r>
    </w:p>
    <w:p w14:paraId="6D9F368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color w:val="auto"/>
          <w:sz w:val="28"/>
          <w:szCs w:val="28"/>
          <w:highlight w:val="none"/>
        </w:rPr>
        <w:br w:type="page"/>
      </w:r>
      <w:bookmarkEnd w:id="11"/>
      <w:bookmarkStart w:id="12" w:name="_Toc522526789"/>
      <w:bookmarkStart w:id="13" w:name="_Toc521936050"/>
      <w:r>
        <w:rPr>
          <w:rFonts w:hint="eastAsia" w:ascii="Times New Roman" w:hAnsi="Times New Roman" w:eastAsia="黑体" w:cs="Times New Roman"/>
          <w:bCs/>
          <w:color w:val="auto"/>
          <w:sz w:val="32"/>
          <w:szCs w:val="32"/>
          <w:highlight w:val="none"/>
        </w:rPr>
        <w:t>投标人及其法定代表人、被授权人未被最高人民法院列为失信被执行人网站查询结果截图（省份为全部，查询网址：https://zxgk.court.gov.cn/shixin/）</w:t>
      </w:r>
    </w:p>
    <w:p w14:paraId="307F6BE3">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587FD2B1">
      <w:pPr>
        <w:shd w:val="clear"/>
        <w:snapToGrid w:val="0"/>
        <w:spacing w:line="560" w:lineRule="exact"/>
        <w:ind w:firstLine="562" w:firstLineChars="201"/>
        <w:rPr>
          <w:rFonts w:hint="eastAsia" w:ascii="仿宋" w:hAnsi="仿宋" w:eastAsia="仿宋" w:cs="仿宋"/>
          <w:color w:val="auto"/>
          <w:sz w:val="28"/>
          <w:szCs w:val="28"/>
          <w:highlight w:val="none"/>
        </w:rPr>
      </w:pPr>
    </w:p>
    <w:p w14:paraId="6AC6316F">
      <w:pPr>
        <w:shd w:val="clear"/>
        <w:snapToGrid w:val="0"/>
        <w:spacing w:line="560" w:lineRule="exact"/>
        <w:ind w:firstLine="562" w:firstLineChars="201"/>
        <w:rPr>
          <w:rFonts w:hint="eastAsia" w:ascii="仿宋" w:hAnsi="仿宋" w:eastAsia="仿宋" w:cs="仿宋"/>
          <w:color w:val="auto"/>
          <w:sz w:val="28"/>
          <w:szCs w:val="28"/>
          <w:highlight w:val="none"/>
        </w:rPr>
      </w:pPr>
    </w:p>
    <w:p w14:paraId="3A1C0C34">
      <w:pPr>
        <w:pStyle w:val="2"/>
        <w:shd w:val="clear"/>
        <w:rPr>
          <w:rFonts w:hint="eastAsia" w:ascii="仿宋" w:hAnsi="仿宋" w:eastAsia="仿宋" w:cs="仿宋"/>
          <w:color w:val="auto"/>
          <w:highlight w:val="none"/>
        </w:rPr>
      </w:pPr>
    </w:p>
    <w:p w14:paraId="21DE1044">
      <w:pPr>
        <w:shd w:val="clear"/>
        <w:snapToGrid w:val="0"/>
        <w:spacing w:line="560" w:lineRule="exact"/>
        <w:ind w:firstLine="562" w:firstLineChars="201"/>
        <w:rPr>
          <w:rFonts w:hint="eastAsia" w:ascii="仿宋" w:hAnsi="仿宋" w:eastAsia="仿宋" w:cs="仿宋"/>
          <w:color w:val="auto"/>
          <w:sz w:val="28"/>
          <w:szCs w:val="28"/>
          <w:highlight w:val="none"/>
        </w:rPr>
      </w:pPr>
    </w:p>
    <w:p w14:paraId="13942E1A">
      <w:pPr>
        <w:shd w:val="clear"/>
        <w:snapToGrid w:val="0"/>
        <w:spacing w:line="560" w:lineRule="exact"/>
        <w:ind w:firstLine="562" w:firstLineChars="201"/>
        <w:rPr>
          <w:rFonts w:hint="eastAsia" w:ascii="仿宋" w:hAnsi="仿宋" w:eastAsia="仿宋" w:cs="仿宋"/>
          <w:color w:val="auto"/>
          <w:sz w:val="28"/>
          <w:szCs w:val="28"/>
          <w:highlight w:val="none"/>
        </w:rPr>
      </w:pPr>
    </w:p>
    <w:p w14:paraId="4486412F">
      <w:pPr>
        <w:shd w:val="clear"/>
        <w:jc w:val="center"/>
        <w:rPr>
          <w:rFonts w:hint="eastAsia" w:ascii="仿宋" w:hAnsi="仿宋" w:eastAsia="仿宋" w:cs="仿宋"/>
          <w:b/>
          <w:color w:val="auto"/>
          <w:sz w:val="28"/>
          <w:szCs w:val="28"/>
          <w:highlight w:val="none"/>
        </w:rPr>
      </w:pPr>
    </w:p>
    <w:p w14:paraId="00213EFF">
      <w:pPr>
        <w:shd w:val="clear"/>
        <w:jc w:val="center"/>
        <w:rPr>
          <w:rFonts w:hint="eastAsia" w:ascii="仿宋" w:hAnsi="仿宋" w:eastAsia="仿宋" w:cs="仿宋"/>
          <w:b/>
          <w:color w:val="auto"/>
          <w:sz w:val="28"/>
          <w:szCs w:val="28"/>
          <w:highlight w:val="none"/>
        </w:rPr>
      </w:pPr>
    </w:p>
    <w:p w14:paraId="1FC841C0">
      <w:pPr>
        <w:shd w:val="clear"/>
        <w:jc w:val="center"/>
        <w:rPr>
          <w:rFonts w:hint="eastAsia" w:ascii="仿宋" w:hAnsi="仿宋" w:eastAsia="仿宋" w:cs="仿宋"/>
          <w:b/>
          <w:color w:val="auto"/>
          <w:sz w:val="28"/>
          <w:szCs w:val="28"/>
          <w:highlight w:val="none"/>
        </w:rPr>
      </w:pPr>
    </w:p>
    <w:p w14:paraId="543A1A9E">
      <w:pPr>
        <w:shd w:val="clear"/>
        <w:jc w:val="center"/>
        <w:rPr>
          <w:rFonts w:hint="eastAsia" w:ascii="仿宋" w:hAnsi="仿宋" w:eastAsia="仿宋" w:cs="仿宋"/>
          <w:b/>
          <w:color w:val="auto"/>
          <w:sz w:val="28"/>
          <w:szCs w:val="28"/>
          <w:highlight w:val="none"/>
        </w:rPr>
      </w:pPr>
    </w:p>
    <w:p w14:paraId="658052AB">
      <w:pPr>
        <w:shd w:val="clear"/>
        <w:jc w:val="center"/>
        <w:rPr>
          <w:rFonts w:hint="eastAsia" w:ascii="仿宋" w:hAnsi="仿宋" w:eastAsia="仿宋" w:cs="仿宋"/>
          <w:b/>
          <w:color w:val="auto"/>
          <w:sz w:val="28"/>
          <w:szCs w:val="28"/>
          <w:highlight w:val="none"/>
        </w:rPr>
      </w:pPr>
    </w:p>
    <w:p w14:paraId="6311660D">
      <w:pPr>
        <w:shd w:val="clear"/>
        <w:snapToGrid w:val="0"/>
        <w:spacing w:line="560" w:lineRule="exact"/>
        <w:ind w:firstLine="643" w:firstLineChars="201"/>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4D81998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eastAsia="黑体" w:cs="Times New Roman"/>
          <w:bCs/>
          <w:color w:val="auto"/>
          <w:sz w:val="32"/>
          <w:szCs w:val="32"/>
          <w:highlight w:val="none"/>
          <w:lang w:eastAsia="zh-CN"/>
        </w:rPr>
        <w:t>投标人近一年在“信用中国”或“信用中国（山东）”无严重失信记录，附通过网站查询的信用报告（查询网址：www.creditchina.gov.cn或credit.shandong.gov.cn）</w:t>
      </w:r>
    </w:p>
    <w:p w14:paraId="47EBA9B1">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0856A01">
      <w:pPr>
        <w:shd w:val="clear"/>
        <w:snapToGrid w:val="0"/>
        <w:spacing w:line="560" w:lineRule="exact"/>
        <w:ind w:firstLine="562" w:firstLineChars="201"/>
        <w:rPr>
          <w:rFonts w:hint="eastAsia" w:ascii="仿宋" w:hAnsi="仿宋" w:eastAsia="仿宋" w:cs="仿宋"/>
          <w:color w:val="auto"/>
          <w:sz w:val="28"/>
          <w:szCs w:val="28"/>
          <w:highlight w:val="none"/>
        </w:rPr>
      </w:pPr>
    </w:p>
    <w:p w14:paraId="0B9A7E16">
      <w:pPr>
        <w:shd w:val="clear"/>
        <w:snapToGrid w:val="0"/>
        <w:spacing w:line="560" w:lineRule="exact"/>
        <w:ind w:firstLine="562" w:firstLineChars="201"/>
        <w:rPr>
          <w:rFonts w:hint="eastAsia" w:ascii="仿宋" w:hAnsi="仿宋" w:eastAsia="仿宋" w:cs="仿宋"/>
          <w:color w:val="auto"/>
          <w:sz w:val="28"/>
          <w:szCs w:val="28"/>
          <w:highlight w:val="none"/>
        </w:rPr>
      </w:pPr>
    </w:p>
    <w:p w14:paraId="5A2C420C">
      <w:pPr>
        <w:shd w:val="clear"/>
        <w:snapToGrid w:val="0"/>
        <w:spacing w:line="560" w:lineRule="exact"/>
        <w:ind w:firstLine="562" w:firstLineChars="201"/>
        <w:rPr>
          <w:rFonts w:hint="eastAsia" w:ascii="仿宋" w:hAnsi="仿宋" w:eastAsia="仿宋" w:cs="仿宋"/>
          <w:color w:val="auto"/>
          <w:sz w:val="28"/>
          <w:szCs w:val="28"/>
          <w:highlight w:val="none"/>
        </w:rPr>
      </w:pPr>
    </w:p>
    <w:p w14:paraId="361B34D7">
      <w:pPr>
        <w:shd w:val="clear"/>
        <w:snapToGrid w:val="0"/>
        <w:spacing w:line="560" w:lineRule="exact"/>
        <w:ind w:firstLine="562" w:firstLineChars="201"/>
        <w:rPr>
          <w:rFonts w:hint="eastAsia" w:ascii="仿宋" w:hAnsi="仿宋" w:eastAsia="仿宋" w:cs="仿宋"/>
          <w:color w:val="auto"/>
          <w:sz w:val="28"/>
          <w:szCs w:val="28"/>
          <w:highlight w:val="none"/>
        </w:rPr>
      </w:pPr>
    </w:p>
    <w:p w14:paraId="507F6115">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6DF65539">
      <w:pPr>
        <w:shd w:val="clear"/>
        <w:snapToGrid w:val="0"/>
        <w:spacing w:line="560" w:lineRule="exact"/>
        <w:ind w:firstLine="562" w:firstLineChars="201"/>
        <w:rPr>
          <w:rFonts w:hint="eastAsia" w:ascii="仿宋" w:hAnsi="仿宋" w:eastAsia="仿宋" w:cs="仿宋"/>
          <w:color w:val="auto"/>
          <w:sz w:val="28"/>
          <w:szCs w:val="28"/>
          <w:highlight w:val="none"/>
        </w:rPr>
      </w:pPr>
    </w:p>
    <w:p w14:paraId="62395316">
      <w:pPr>
        <w:shd w:val="clear"/>
        <w:snapToGrid w:val="0"/>
        <w:spacing w:line="560" w:lineRule="exact"/>
        <w:ind w:firstLine="562" w:firstLineChars="201"/>
        <w:rPr>
          <w:rFonts w:hint="eastAsia" w:ascii="仿宋" w:hAnsi="仿宋" w:eastAsia="仿宋" w:cs="仿宋"/>
          <w:color w:val="auto"/>
          <w:sz w:val="28"/>
          <w:szCs w:val="28"/>
          <w:highlight w:val="none"/>
        </w:rPr>
      </w:pPr>
    </w:p>
    <w:p w14:paraId="4711E107">
      <w:pPr>
        <w:shd w:val="clear"/>
        <w:snapToGrid w:val="0"/>
        <w:spacing w:line="560" w:lineRule="exact"/>
        <w:ind w:firstLine="562" w:firstLineChars="201"/>
        <w:rPr>
          <w:rFonts w:hint="eastAsia" w:ascii="仿宋" w:hAnsi="仿宋" w:eastAsia="仿宋" w:cs="仿宋"/>
          <w:color w:val="auto"/>
          <w:sz w:val="28"/>
          <w:szCs w:val="28"/>
          <w:highlight w:val="none"/>
        </w:rPr>
      </w:pPr>
    </w:p>
    <w:p w14:paraId="7DA333EC">
      <w:pPr>
        <w:shd w:val="clear"/>
        <w:jc w:val="center"/>
        <w:rPr>
          <w:rFonts w:hint="eastAsia" w:ascii="仿宋" w:hAnsi="仿宋" w:eastAsia="仿宋" w:cs="仿宋"/>
          <w:b/>
          <w:color w:val="auto"/>
          <w:sz w:val="28"/>
          <w:szCs w:val="28"/>
          <w:highlight w:val="none"/>
        </w:rPr>
      </w:pPr>
    </w:p>
    <w:p w14:paraId="65D67227">
      <w:pPr>
        <w:shd w:val="clear"/>
        <w:jc w:val="center"/>
        <w:rPr>
          <w:rFonts w:hint="eastAsia" w:ascii="仿宋" w:hAnsi="仿宋" w:eastAsia="仿宋" w:cs="仿宋"/>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bookmarkEnd w:id="12"/>
    <w:bookmarkEnd w:id="13"/>
    <w:p w14:paraId="1C3B1353">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其他资质资格证明文件</w:t>
      </w:r>
    </w:p>
    <w:p w14:paraId="6623302A">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10139D7">
      <w:pPr>
        <w:shd w:val="clear"/>
        <w:rPr>
          <w:rFonts w:hint="eastAsia" w:ascii="仿宋" w:hAnsi="仿宋" w:eastAsia="仿宋" w:cs="仿宋"/>
          <w:color w:val="auto"/>
          <w:highlight w:val="none"/>
        </w:rPr>
      </w:pPr>
    </w:p>
    <w:p w14:paraId="5F24FAA6">
      <w:pPr>
        <w:shd w:val="clear"/>
        <w:jc w:val="center"/>
        <w:rPr>
          <w:rFonts w:hint="eastAsia" w:ascii="仿宋" w:hAnsi="仿宋" w:eastAsia="仿宋" w:cs="仿宋"/>
          <w:color w:val="auto"/>
          <w:highlight w:val="none"/>
        </w:rPr>
      </w:pPr>
    </w:p>
    <w:p w14:paraId="7CF7CF33">
      <w:pPr>
        <w:shd w:val="clear"/>
        <w:jc w:val="center"/>
        <w:rPr>
          <w:rFonts w:hint="eastAsia" w:ascii="仿宋" w:hAnsi="仿宋" w:eastAsia="仿宋" w:cs="仿宋"/>
          <w:color w:val="auto"/>
          <w:highlight w:val="none"/>
        </w:rPr>
      </w:pPr>
    </w:p>
    <w:p w14:paraId="0EC02919">
      <w:pPr>
        <w:shd w:val="clear"/>
        <w:jc w:val="center"/>
        <w:rPr>
          <w:rFonts w:hint="eastAsia" w:ascii="仿宋" w:hAnsi="仿宋" w:eastAsia="仿宋" w:cs="仿宋"/>
          <w:color w:val="auto"/>
          <w:highlight w:val="none"/>
        </w:rPr>
      </w:pPr>
    </w:p>
    <w:p w14:paraId="230DD3E8">
      <w:pPr>
        <w:shd w:val="clear"/>
        <w:jc w:val="center"/>
        <w:rPr>
          <w:rFonts w:hint="eastAsia" w:ascii="仿宋" w:hAnsi="仿宋" w:eastAsia="仿宋" w:cs="仿宋"/>
          <w:color w:val="auto"/>
          <w:highlight w:val="none"/>
        </w:rPr>
      </w:pPr>
    </w:p>
    <w:p w14:paraId="5539F007">
      <w:pPr>
        <w:shd w:val="clear"/>
        <w:jc w:val="center"/>
        <w:rPr>
          <w:rFonts w:hint="eastAsia" w:ascii="仿宋" w:hAnsi="仿宋" w:eastAsia="仿宋" w:cs="仿宋"/>
          <w:color w:val="auto"/>
          <w:highlight w:val="none"/>
        </w:rPr>
      </w:pPr>
    </w:p>
    <w:p w14:paraId="3DC6CAF4">
      <w:pPr>
        <w:shd w:val="clear"/>
        <w:jc w:val="center"/>
        <w:rPr>
          <w:rFonts w:hint="eastAsia" w:ascii="仿宋" w:hAnsi="仿宋" w:eastAsia="仿宋" w:cs="仿宋"/>
          <w:color w:val="auto"/>
          <w:highlight w:val="none"/>
        </w:rPr>
      </w:pPr>
    </w:p>
    <w:p w14:paraId="2437A59D">
      <w:pPr>
        <w:shd w:val="clear"/>
        <w:jc w:val="center"/>
        <w:rPr>
          <w:rFonts w:hint="eastAsia" w:ascii="仿宋" w:hAnsi="仿宋" w:eastAsia="仿宋" w:cs="仿宋"/>
          <w:color w:val="auto"/>
          <w:highlight w:val="none"/>
        </w:rPr>
      </w:pPr>
    </w:p>
    <w:p w14:paraId="565CEDA3">
      <w:pPr>
        <w:shd w:val="clear"/>
        <w:jc w:val="center"/>
        <w:rPr>
          <w:rFonts w:hint="eastAsia" w:ascii="仿宋" w:hAnsi="仿宋" w:eastAsia="仿宋" w:cs="仿宋"/>
          <w:color w:val="auto"/>
          <w:highlight w:val="none"/>
        </w:rPr>
      </w:pPr>
    </w:p>
    <w:p w14:paraId="3D91D1AF">
      <w:pPr>
        <w:shd w:val="clear"/>
        <w:jc w:val="center"/>
        <w:rPr>
          <w:rFonts w:hint="eastAsia" w:ascii="仿宋" w:hAnsi="仿宋" w:eastAsia="仿宋" w:cs="仿宋"/>
          <w:color w:val="auto"/>
          <w:highlight w:val="none"/>
        </w:rPr>
      </w:pPr>
    </w:p>
    <w:p w14:paraId="2627730C">
      <w:pPr>
        <w:shd w:val="clear"/>
        <w:jc w:val="center"/>
        <w:rPr>
          <w:rFonts w:hint="eastAsia" w:ascii="仿宋" w:hAnsi="仿宋" w:eastAsia="仿宋" w:cs="仿宋"/>
          <w:color w:val="auto"/>
          <w:highlight w:val="none"/>
        </w:rPr>
      </w:pPr>
    </w:p>
    <w:p w14:paraId="401F6E59">
      <w:pPr>
        <w:shd w:val="clear"/>
        <w:jc w:val="center"/>
        <w:rPr>
          <w:rFonts w:hint="eastAsia" w:ascii="仿宋" w:hAnsi="仿宋" w:eastAsia="仿宋" w:cs="仿宋"/>
          <w:color w:val="auto"/>
          <w:highlight w:val="none"/>
        </w:rPr>
      </w:pPr>
    </w:p>
    <w:p w14:paraId="10EA6457">
      <w:pPr>
        <w:shd w:val="clear"/>
        <w:jc w:val="center"/>
        <w:rPr>
          <w:rFonts w:hint="eastAsia" w:ascii="仿宋" w:hAnsi="仿宋" w:eastAsia="仿宋" w:cs="仿宋"/>
          <w:color w:val="auto"/>
          <w:highlight w:val="none"/>
        </w:rPr>
      </w:pPr>
    </w:p>
    <w:p w14:paraId="4507BD40">
      <w:pPr>
        <w:shd w:val="clear"/>
        <w:jc w:val="center"/>
        <w:rPr>
          <w:rFonts w:hint="eastAsia" w:ascii="仿宋" w:hAnsi="仿宋" w:eastAsia="仿宋" w:cs="仿宋"/>
          <w:color w:val="auto"/>
          <w:highlight w:val="none"/>
        </w:rPr>
      </w:pPr>
    </w:p>
    <w:p w14:paraId="741FCE81">
      <w:pPr>
        <w:shd w:val="clear"/>
        <w:jc w:val="center"/>
        <w:rPr>
          <w:rFonts w:hint="eastAsia" w:ascii="仿宋" w:hAnsi="仿宋" w:eastAsia="仿宋" w:cs="仿宋"/>
          <w:color w:val="auto"/>
          <w:highlight w:val="none"/>
        </w:rPr>
      </w:pPr>
    </w:p>
    <w:p w14:paraId="1ED7AD47">
      <w:pPr>
        <w:shd w:val="clear"/>
        <w:jc w:val="center"/>
        <w:rPr>
          <w:rFonts w:hint="eastAsia" w:ascii="仿宋" w:hAnsi="仿宋" w:eastAsia="仿宋" w:cs="仿宋"/>
          <w:color w:val="auto"/>
          <w:highlight w:val="none"/>
        </w:rPr>
      </w:pPr>
    </w:p>
    <w:p w14:paraId="785E993F">
      <w:pPr>
        <w:shd w:val="clear"/>
        <w:jc w:val="center"/>
        <w:rPr>
          <w:rFonts w:hint="eastAsia" w:ascii="仿宋" w:hAnsi="仿宋" w:eastAsia="仿宋" w:cs="仿宋"/>
          <w:color w:val="auto"/>
          <w:highlight w:val="none"/>
        </w:rPr>
      </w:pPr>
    </w:p>
    <w:p w14:paraId="419BC960">
      <w:pPr>
        <w:shd w:val="clear"/>
        <w:jc w:val="center"/>
        <w:rPr>
          <w:rFonts w:hint="eastAsia" w:ascii="仿宋" w:hAnsi="仿宋" w:eastAsia="仿宋" w:cs="仿宋"/>
          <w:color w:val="auto"/>
          <w:highlight w:val="none"/>
        </w:rPr>
      </w:pPr>
    </w:p>
    <w:p w14:paraId="050C04B9">
      <w:pPr>
        <w:shd w:val="clear"/>
        <w:jc w:val="center"/>
        <w:rPr>
          <w:rFonts w:hint="eastAsia" w:ascii="仿宋" w:hAnsi="仿宋" w:eastAsia="仿宋" w:cs="仿宋"/>
          <w:color w:val="auto"/>
          <w:highlight w:val="none"/>
        </w:rPr>
      </w:pPr>
    </w:p>
    <w:p w14:paraId="5BC65045">
      <w:pPr>
        <w:shd w:val="clear"/>
        <w:jc w:val="center"/>
        <w:rPr>
          <w:rFonts w:hint="eastAsia" w:ascii="仿宋" w:hAnsi="仿宋" w:eastAsia="仿宋" w:cs="仿宋"/>
          <w:color w:val="auto"/>
          <w:highlight w:val="none"/>
        </w:rPr>
      </w:pPr>
    </w:p>
    <w:p w14:paraId="38321C30">
      <w:pPr>
        <w:shd w:val="clear"/>
        <w:jc w:val="center"/>
        <w:rPr>
          <w:rFonts w:hint="eastAsia" w:ascii="仿宋" w:hAnsi="仿宋" w:eastAsia="仿宋" w:cs="仿宋"/>
          <w:color w:val="auto"/>
          <w:highlight w:val="none"/>
        </w:rPr>
      </w:pPr>
    </w:p>
    <w:p w14:paraId="4EE258A3">
      <w:pPr>
        <w:shd w:val="clear"/>
        <w:jc w:val="center"/>
        <w:rPr>
          <w:rFonts w:hint="eastAsia" w:ascii="仿宋" w:hAnsi="仿宋" w:eastAsia="仿宋" w:cs="仿宋"/>
          <w:color w:val="auto"/>
          <w:highlight w:val="none"/>
        </w:rPr>
      </w:pPr>
    </w:p>
    <w:p w14:paraId="5A363398">
      <w:pPr>
        <w:shd w:val="clear"/>
        <w:jc w:val="center"/>
        <w:rPr>
          <w:rFonts w:hint="eastAsia" w:ascii="仿宋" w:hAnsi="仿宋" w:eastAsia="仿宋" w:cs="仿宋"/>
          <w:color w:val="auto"/>
          <w:highlight w:val="none"/>
        </w:rPr>
      </w:pPr>
    </w:p>
    <w:p w14:paraId="466F8113">
      <w:pPr>
        <w:shd w:val="clear"/>
        <w:jc w:val="center"/>
        <w:rPr>
          <w:rFonts w:hint="eastAsia" w:ascii="仿宋" w:hAnsi="仿宋" w:eastAsia="仿宋" w:cs="仿宋"/>
          <w:color w:val="auto"/>
          <w:highlight w:val="none"/>
        </w:rPr>
      </w:pPr>
    </w:p>
    <w:p w14:paraId="3556A7FB">
      <w:pPr>
        <w:shd w:val="clear"/>
        <w:jc w:val="center"/>
        <w:rPr>
          <w:rFonts w:hint="eastAsia" w:ascii="仿宋" w:hAnsi="仿宋" w:eastAsia="仿宋" w:cs="仿宋"/>
          <w:color w:val="auto"/>
          <w:highlight w:val="none"/>
        </w:rPr>
      </w:pPr>
    </w:p>
    <w:p w14:paraId="0B61E7A5">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0F10FA8F">
      <w:pPr>
        <w:shd w:val="clear"/>
        <w:jc w:val="center"/>
        <w:rPr>
          <w:rFonts w:hint="eastAsia" w:ascii="仿宋" w:hAnsi="仿宋" w:eastAsia="仿宋" w:cs="仿宋"/>
          <w:color w:val="auto"/>
          <w:highlight w:val="none"/>
        </w:rPr>
      </w:pPr>
    </w:p>
    <w:p w14:paraId="2856873F">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bookmarkStart w:id="14" w:name="_Toc522526790"/>
      <w:bookmarkStart w:id="15" w:name="_Toc521936051"/>
      <w:r>
        <w:rPr>
          <w:rFonts w:hint="eastAsia" w:ascii="黑体" w:hAnsi="黑体" w:eastAsia="黑体" w:cs="Times New Roman"/>
          <w:b/>
          <w:bCs/>
          <w:color w:val="auto"/>
          <w:sz w:val="44"/>
          <w:szCs w:val="44"/>
          <w:highlight w:val="none"/>
        </w:rPr>
        <w:t>符合性审查表</w:t>
      </w:r>
    </w:p>
    <w:p w14:paraId="37FB0095">
      <w:pPr>
        <w:shd w:val="clear"/>
        <w:rPr>
          <w:rFonts w:hint="eastAsia"/>
          <w:highlight w:val="none"/>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4564"/>
        <w:gridCol w:w="4582"/>
      </w:tblGrid>
      <w:tr w14:paraId="3EC8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07" w:type="pct"/>
            <w:tcBorders>
              <w:top w:val="single" w:color="auto" w:sz="4" w:space="0"/>
              <w:left w:val="single" w:color="auto" w:sz="4" w:space="0"/>
              <w:bottom w:val="single" w:color="auto" w:sz="4" w:space="0"/>
              <w:right w:val="single" w:color="auto" w:sz="4" w:space="0"/>
            </w:tcBorders>
            <w:noWrap w:val="0"/>
            <w:vAlign w:val="top"/>
          </w:tcPr>
          <w:p w14:paraId="2E54AAC4">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91" w:type="pct"/>
            <w:tcBorders>
              <w:top w:val="single" w:color="auto" w:sz="4" w:space="0"/>
              <w:left w:val="nil"/>
              <w:bottom w:val="single" w:color="auto" w:sz="4" w:space="0"/>
              <w:right w:val="single" w:color="auto" w:sz="4" w:space="0"/>
            </w:tcBorders>
            <w:noWrap w:val="0"/>
            <w:vAlign w:val="top"/>
          </w:tcPr>
          <w:p w14:paraId="78E90278">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审查内容</w:t>
            </w:r>
          </w:p>
        </w:tc>
        <w:tc>
          <w:tcPr>
            <w:tcW w:w="2300" w:type="pct"/>
            <w:tcBorders>
              <w:top w:val="single" w:color="auto" w:sz="4" w:space="0"/>
              <w:left w:val="nil"/>
              <w:bottom w:val="single" w:color="auto" w:sz="4" w:space="0"/>
              <w:right w:val="single" w:color="auto" w:sz="4" w:space="0"/>
            </w:tcBorders>
            <w:noWrap w:val="0"/>
            <w:vAlign w:val="top"/>
          </w:tcPr>
          <w:p w14:paraId="628BC096">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响应内容</w:t>
            </w:r>
          </w:p>
        </w:tc>
      </w:tr>
      <w:tr w14:paraId="5497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407" w:type="pct"/>
            <w:tcBorders>
              <w:top w:val="single" w:color="auto" w:sz="4" w:space="0"/>
              <w:left w:val="single" w:color="auto" w:sz="4" w:space="0"/>
              <w:bottom w:val="single" w:color="auto" w:sz="4" w:space="0"/>
              <w:right w:val="single" w:color="auto" w:sz="4" w:space="0"/>
            </w:tcBorders>
            <w:noWrap w:val="0"/>
            <w:vAlign w:val="center"/>
          </w:tcPr>
          <w:p w14:paraId="2A0FD4C8">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291" w:type="pct"/>
            <w:tcBorders>
              <w:top w:val="single" w:color="auto" w:sz="4" w:space="0"/>
              <w:left w:val="nil"/>
              <w:bottom w:val="single" w:color="auto" w:sz="4" w:space="0"/>
              <w:right w:val="single" w:color="auto" w:sz="4" w:space="0"/>
            </w:tcBorders>
            <w:noWrap w:val="0"/>
            <w:vAlign w:val="center"/>
          </w:tcPr>
          <w:p w14:paraId="0AC1DFF0">
            <w:pPr>
              <w:shd w:val="clear"/>
              <w:snapToGrid w:val="0"/>
              <w:spacing w:line="44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开标之日起90日</w:t>
            </w:r>
            <w:r>
              <w:rPr>
                <w:rFonts w:hint="eastAsia" w:ascii="仿宋" w:hAnsi="仿宋" w:eastAsia="仿宋" w:cs="仿宋"/>
                <w:color w:val="auto"/>
                <w:sz w:val="28"/>
                <w:szCs w:val="28"/>
                <w:highlight w:val="none"/>
                <w:lang w:eastAsia="zh-CN"/>
              </w:rPr>
              <w:t>。</w:t>
            </w:r>
          </w:p>
        </w:tc>
        <w:tc>
          <w:tcPr>
            <w:tcW w:w="2300" w:type="pct"/>
            <w:tcBorders>
              <w:top w:val="single" w:color="auto" w:sz="4" w:space="0"/>
              <w:left w:val="nil"/>
              <w:bottom w:val="single" w:color="auto" w:sz="4" w:space="0"/>
              <w:right w:val="single" w:color="auto" w:sz="4" w:space="0"/>
            </w:tcBorders>
            <w:noWrap w:val="0"/>
            <w:vAlign w:val="center"/>
          </w:tcPr>
          <w:p w14:paraId="27A82E6F">
            <w:pPr>
              <w:shd w:val="clear"/>
              <w:snapToGrid w:val="0"/>
              <w:spacing w:line="440" w:lineRule="exact"/>
              <w:jc w:val="left"/>
              <w:rPr>
                <w:rFonts w:hint="eastAsia" w:ascii="仿宋" w:hAnsi="仿宋" w:eastAsia="仿宋" w:cs="仿宋"/>
                <w:color w:val="auto"/>
                <w:sz w:val="28"/>
                <w:szCs w:val="28"/>
                <w:highlight w:val="none"/>
              </w:rPr>
            </w:pPr>
          </w:p>
        </w:tc>
      </w:tr>
      <w:tr w14:paraId="13F8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07" w:type="pct"/>
            <w:tcBorders>
              <w:top w:val="single" w:color="auto" w:sz="4" w:space="0"/>
              <w:left w:val="single" w:color="auto" w:sz="4" w:space="0"/>
              <w:bottom w:val="single" w:color="auto" w:sz="4" w:space="0"/>
              <w:right w:val="single" w:color="auto" w:sz="4" w:space="0"/>
            </w:tcBorders>
            <w:noWrap w:val="0"/>
            <w:vAlign w:val="center"/>
          </w:tcPr>
          <w:p w14:paraId="67D697A5">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p>
        </w:tc>
        <w:tc>
          <w:tcPr>
            <w:tcW w:w="2291" w:type="pct"/>
            <w:tcBorders>
              <w:top w:val="single" w:color="auto" w:sz="4" w:space="0"/>
              <w:left w:val="nil"/>
              <w:bottom w:val="single" w:color="auto" w:sz="4" w:space="0"/>
              <w:right w:val="single" w:color="auto" w:sz="4" w:space="0"/>
            </w:tcBorders>
            <w:noWrap w:val="0"/>
            <w:vAlign w:val="center"/>
          </w:tcPr>
          <w:p w14:paraId="51EA75AB">
            <w:pPr>
              <w:shd w:val="clear"/>
              <w:snapToGrid w:val="0"/>
              <w:spacing w:line="44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供货安装调试完毕时间：自合同签订生效之日起15个工作日内供货安装调试完毕。</w:t>
            </w:r>
          </w:p>
        </w:tc>
        <w:tc>
          <w:tcPr>
            <w:tcW w:w="2300" w:type="pct"/>
            <w:tcBorders>
              <w:top w:val="single" w:color="auto" w:sz="4" w:space="0"/>
              <w:left w:val="nil"/>
              <w:bottom w:val="single" w:color="auto" w:sz="4" w:space="0"/>
              <w:right w:val="single" w:color="auto" w:sz="4" w:space="0"/>
            </w:tcBorders>
            <w:noWrap w:val="0"/>
            <w:vAlign w:val="center"/>
          </w:tcPr>
          <w:p w14:paraId="59403C5A">
            <w:pPr>
              <w:shd w:val="clear"/>
              <w:snapToGrid w:val="0"/>
              <w:spacing w:line="440" w:lineRule="exact"/>
              <w:jc w:val="left"/>
              <w:rPr>
                <w:rFonts w:hint="eastAsia" w:ascii="仿宋" w:hAnsi="仿宋" w:eastAsia="仿宋" w:cs="仿宋"/>
                <w:color w:val="auto"/>
                <w:sz w:val="28"/>
                <w:szCs w:val="28"/>
                <w:highlight w:val="none"/>
              </w:rPr>
            </w:pPr>
          </w:p>
        </w:tc>
      </w:tr>
      <w:tr w14:paraId="4B65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07" w:type="pct"/>
            <w:tcBorders>
              <w:top w:val="single" w:color="auto" w:sz="4" w:space="0"/>
              <w:left w:val="single" w:color="auto" w:sz="4" w:space="0"/>
              <w:bottom w:val="single" w:color="auto" w:sz="4" w:space="0"/>
              <w:right w:val="single" w:color="auto" w:sz="4" w:space="0"/>
            </w:tcBorders>
            <w:noWrap w:val="0"/>
            <w:vAlign w:val="center"/>
          </w:tcPr>
          <w:p w14:paraId="071F0D9A">
            <w:pPr>
              <w:shd w:val="clear"/>
              <w:snapToGrid w:val="0"/>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2291" w:type="pct"/>
            <w:tcBorders>
              <w:top w:val="single" w:color="auto" w:sz="4" w:space="0"/>
              <w:left w:val="nil"/>
              <w:bottom w:val="single" w:color="auto" w:sz="4" w:space="0"/>
              <w:right w:val="single" w:color="auto" w:sz="4" w:space="0"/>
            </w:tcBorders>
            <w:noWrap w:val="0"/>
            <w:vAlign w:val="center"/>
          </w:tcPr>
          <w:p w14:paraId="1D0F4E46">
            <w:pPr>
              <w:shd w:val="clear"/>
              <w:snapToGrid w:val="0"/>
              <w:spacing w:line="44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质保期：自验收合格并签署《质量验收报告》之日起1年。</w:t>
            </w:r>
          </w:p>
        </w:tc>
        <w:tc>
          <w:tcPr>
            <w:tcW w:w="2300" w:type="pct"/>
            <w:tcBorders>
              <w:top w:val="single" w:color="auto" w:sz="4" w:space="0"/>
              <w:left w:val="nil"/>
              <w:bottom w:val="single" w:color="auto" w:sz="4" w:space="0"/>
              <w:right w:val="single" w:color="auto" w:sz="4" w:space="0"/>
            </w:tcBorders>
            <w:noWrap w:val="0"/>
            <w:vAlign w:val="center"/>
          </w:tcPr>
          <w:p w14:paraId="6838CDF2">
            <w:pPr>
              <w:shd w:val="clear"/>
              <w:snapToGrid w:val="0"/>
              <w:spacing w:line="440" w:lineRule="exact"/>
              <w:jc w:val="left"/>
              <w:rPr>
                <w:rFonts w:hint="eastAsia" w:ascii="仿宋" w:hAnsi="仿宋" w:eastAsia="仿宋" w:cs="仿宋"/>
                <w:color w:val="auto"/>
                <w:sz w:val="28"/>
                <w:szCs w:val="28"/>
                <w:highlight w:val="none"/>
              </w:rPr>
            </w:pPr>
          </w:p>
        </w:tc>
      </w:tr>
      <w:tr w14:paraId="478B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07" w:type="pct"/>
            <w:tcBorders>
              <w:top w:val="single" w:color="auto" w:sz="4" w:space="0"/>
              <w:left w:val="single" w:color="auto" w:sz="4" w:space="0"/>
              <w:bottom w:val="single" w:color="auto" w:sz="4" w:space="0"/>
              <w:right w:val="single" w:color="auto" w:sz="4" w:space="0"/>
            </w:tcBorders>
            <w:noWrap w:val="0"/>
            <w:vAlign w:val="center"/>
          </w:tcPr>
          <w:p w14:paraId="37DE63E1">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p>
        </w:tc>
        <w:tc>
          <w:tcPr>
            <w:tcW w:w="2291" w:type="pct"/>
            <w:tcBorders>
              <w:top w:val="single" w:color="auto" w:sz="4" w:space="0"/>
              <w:left w:val="nil"/>
              <w:bottom w:val="single" w:color="auto" w:sz="4" w:space="0"/>
              <w:right w:val="single" w:color="auto" w:sz="4" w:space="0"/>
            </w:tcBorders>
            <w:noWrap w:val="0"/>
            <w:vAlign w:val="center"/>
          </w:tcPr>
          <w:p w14:paraId="62B44D25">
            <w:pPr>
              <w:shd w:val="clear"/>
              <w:snapToGrid w:val="0"/>
              <w:spacing w:line="44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付款方式：供货安装调试完毕且经甲方验收合格后付合同价款的95%，余款留作质保金，自货物质保期届满且无质量问题后30日内无息返还。乙方应在甲方支付对应款项前，向甲方开具符合国家规定的、对应金额的增值税专用发票，乙方未按本约定开具发票的，甲方有权迟延支付款项，不承担违约责任。乙方必须在规定的时间内提供本单位的税务发票。</w:t>
            </w:r>
          </w:p>
        </w:tc>
        <w:tc>
          <w:tcPr>
            <w:tcW w:w="2300" w:type="pct"/>
            <w:tcBorders>
              <w:top w:val="single" w:color="auto" w:sz="4" w:space="0"/>
              <w:left w:val="nil"/>
              <w:bottom w:val="single" w:color="auto" w:sz="4" w:space="0"/>
              <w:right w:val="single" w:color="auto" w:sz="4" w:space="0"/>
            </w:tcBorders>
            <w:noWrap w:val="0"/>
            <w:vAlign w:val="center"/>
          </w:tcPr>
          <w:p w14:paraId="295E0803">
            <w:pPr>
              <w:shd w:val="clear"/>
              <w:snapToGrid w:val="0"/>
              <w:spacing w:line="440" w:lineRule="exact"/>
              <w:jc w:val="left"/>
              <w:rPr>
                <w:rFonts w:hint="eastAsia" w:ascii="仿宋" w:hAnsi="仿宋" w:eastAsia="仿宋" w:cs="仿宋"/>
                <w:color w:val="auto"/>
                <w:sz w:val="28"/>
                <w:szCs w:val="28"/>
                <w:highlight w:val="none"/>
              </w:rPr>
            </w:pPr>
          </w:p>
        </w:tc>
      </w:tr>
    </w:tbl>
    <w:p w14:paraId="0EBDD5D5">
      <w:pPr>
        <w:shd w:val="clear"/>
        <w:jc w:val="center"/>
        <w:rPr>
          <w:rFonts w:hint="eastAsia" w:ascii="仿宋" w:hAnsi="仿宋" w:eastAsia="仿宋" w:cs="仿宋"/>
          <w:color w:val="auto"/>
          <w:sz w:val="28"/>
          <w:szCs w:val="28"/>
          <w:highlight w:val="none"/>
        </w:rPr>
      </w:pPr>
    </w:p>
    <w:p w14:paraId="0AD2022D">
      <w:pPr>
        <w:shd w:val="clear"/>
        <w:jc w:val="both"/>
        <w:rPr>
          <w:rFonts w:hint="eastAsia" w:ascii="仿宋" w:hAnsi="仿宋" w:eastAsia="仿宋" w:cs="仿宋"/>
          <w:color w:val="auto"/>
          <w:sz w:val="28"/>
          <w:szCs w:val="28"/>
          <w:highlight w:val="none"/>
        </w:rPr>
      </w:pPr>
    </w:p>
    <w:p w14:paraId="22E2AA61">
      <w:pPr>
        <w:shd w:val="clear"/>
        <w:jc w:val="center"/>
        <w:rPr>
          <w:rFonts w:hint="eastAsia" w:ascii="仿宋" w:hAnsi="仿宋" w:eastAsia="仿宋" w:cs="仿宋"/>
          <w:color w:val="auto"/>
          <w:sz w:val="28"/>
          <w:szCs w:val="28"/>
          <w:highlight w:val="none"/>
        </w:rPr>
      </w:pPr>
    </w:p>
    <w:p w14:paraId="0554A750">
      <w:pPr>
        <w:shd w:val="clear"/>
        <w:spacing w:line="520" w:lineRule="exact"/>
        <w:ind w:firstLine="3900" w:firstLineChars="1300"/>
        <w:jc w:val="right"/>
        <w:rPr>
          <w:rFonts w:hint="eastAsia" w:ascii="仿宋" w:hAnsi="仿宋" w:eastAsia="仿宋" w:cs="仿宋"/>
          <w:color w:val="auto"/>
          <w:sz w:val="30"/>
          <w:szCs w:val="30"/>
          <w:highlight w:val="none"/>
        </w:rPr>
      </w:pPr>
    </w:p>
    <w:p w14:paraId="28C65F37">
      <w:pPr>
        <w:shd w:val="clear"/>
        <w:rPr>
          <w:rFonts w:hint="eastAsia" w:ascii="仿宋" w:hAnsi="仿宋" w:eastAsia="仿宋" w:cs="仿宋"/>
          <w:color w:val="auto"/>
          <w:highlight w:val="none"/>
        </w:rPr>
      </w:pPr>
    </w:p>
    <w:p w14:paraId="38E488EE">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1C34B26">
      <w:pPr>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b/>
          <w:bCs/>
          <w:color w:val="auto"/>
          <w:sz w:val="32"/>
          <w:szCs w:val="32"/>
          <w:highlight w:val="none"/>
        </w:rPr>
        <w:br w:type="page"/>
      </w:r>
      <w:r>
        <w:rPr>
          <w:rFonts w:hint="eastAsia" w:ascii="黑体" w:hAnsi="黑体" w:eastAsia="黑体" w:cs="Times New Roman"/>
          <w:b/>
          <w:bCs/>
          <w:color w:val="auto"/>
          <w:sz w:val="44"/>
          <w:szCs w:val="44"/>
          <w:highlight w:val="none"/>
        </w:rPr>
        <w:t>投标人基本情况表</w:t>
      </w:r>
    </w:p>
    <w:p w14:paraId="53ED1830">
      <w:pPr>
        <w:shd w:val="clear"/>
        <w:rPr>
          <w:rFonts w:hint="eastAsia"/>
          <w:highlight w:val="none"/>
        </w:rPr>
      </w:pPr>
    </w:p>
    <w:tbl>
      <w:tblPr>
        <w:tblStyle w:val="30"/>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825"/>
        <w:gridCol w:w="1095"/>
        <w:gridCol w:w="698"/>
        <w:gridCol w:w="360"/>
        <w:gridCol w:w="855"/>
        <w:gridCol w:w="540"/>
        <w:gridCol w:w="352"/>
        <w:gridCol w:w="2319"/>
      </w:tblGrid>
      <w:tr w14:paraId="4552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2214" w:type="dxa"/>
            <w:gridSpan w:val="2"/>
            <w:noWrap w:val="0"/>
            <w:vAlign w:val="center"/>
          </w:tcPr>
          <w:p w14:paraId="59765D8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618" w:type="dxa"/>
            <w:gridSpan w:val="3"/>
            <w:noWrap w:val="0"/>
            <w:vAlign w:val="center"/>
          </w:tcPr>
          <w:p w14:paraId="76233C15">
            <w:pPr>
              <w:shd w:val="clear"/>
              <w:spacing w:line="440" w:lineRule="exact"/>
              <w:jc w:val="center"/>
              <w:rPr>
                <w:rFonts w:hint="eastAsia" w:ascii="仿宋" w:hAnsi="仿宋" w:eastAsia="仿宋" w:cs="仿宋"/>
                <w:color w:val="auto"/>
                <w:sz w:val="28"/>
                <w:szCs w:val="28"/>
                <w:highlight w:val="none"/>
              </w:rPr>
            </w:pPr>
          </w:p>
        </w:tc>
        <w:tc>
          <w:tcPr>
            <w:tcW w:w="1215" w:type="dxa"/>
            <w:gridSpan w:val="2"/>
            <w:noWrap w:val="0"/>
            <w:vAlign w:val="center"/>
          </w:tcPr>
          <w:p w14:paraId="639007D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3211" w:type="dxa"/>
            <w:gridSpan w:val="3"/>
            <w:noWrap w:val="0"/>
            <w:vAlign w:val="center"/>
          </w:tcPr>
          <w:p w14:paraId="5D6A9825">
            <w:pPr>
              <w:shd w:val="clear"/>
              <w:spacing w:line="440" w:lineRule="exact"/>
              <w:jc w:val="center"/>
              <w:rPr>
                <w:rFonts w:hint="eastAsia" w:ascii="仿宋" w:hAnsi="仿宋" w:eastAsia="仿宋" w:cs="仿宋"/>
                <w:color w:val="auto"/>
                <w:sz w:val="28"/>
                <w:szCs w:val="28"/>
                <w:highlight w:val="none"/>
              </w:rPr>
            </w:pPr>
          </w:p>
        </w:tc>
      </w:tr>
      <w:tr w14:paraId="4628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noWrap w:val="0"/>
            <w:vAlign w:val="center"/>
          </w:tcPr>
          <w:p w14:paraId="5AF3EB7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618" w:type="dxa"/>
            <w:gridSpan w:val="3"/>
            <w:noWrap w:val="0"/>
            <w:vAlign w:val="center"/>
          </w:tcPr>
          <w:p w14:paraId="2CE1EE6E">
            <w:pPr>
              <w:shd w:val="clear"/>
              <w:spacing w:line="440" w:lineRule="exact"/>
              <w:jc w:val="center"/>
              <w:rPr>
                <w:rFonts w:hint="eastAsia" w:ascii="仿宋" w:hAnsi="仿宋" w:eastAsia="仿宋" w:cs="仿宋"/>
                <w:color w:val="auto"/>
                <w:sz w:val="28"/>
                <w:szCs w:val="28"/>
                <w:highlight w:val="none"/>
              </w:rPr>
            </w:pPr>
          </w:p>
        </w:tc>
        <w:tc>
          <w:tcPr>
            <w:tcW w:w="1215" w:type="dxa"/>
            <w:gridSpan w:val="2"/>
            <w:noWrap w:val="0"/>
            <w:vAlign w:val="center"/>
          </w:tcPr>
          <w:p w14:paraId="25D70AF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3211" w:type="dxa"/>
            <w:gridSpan w:val="3"/>
            <w:noWrap w:val="0"/>
            <w:vAlign w:val="center"/>
          </w:tcPr>
          <w:p w14:paraId="1AD8497E">
            <w:pPr>
              <w:shd w:val="clear"/>
              <w:spacing w:line="440" w:lineRule="exact"/>
              <w:jc w:val="center"/>
              <w:rPr>
                <w:rFonts w:hint="eastAsia" w:ascii="仿宋" w:hAnsi="仿宋" w:eastAsia="仿宋" w:cs="仿宋"/>
                <w:color w:val="auto"/>
                <w:sz w:val="28"/>
                <w:szCs w:val="28"/>
                <w:highlight w:val="none"/>
              </w:rPr>
            </w:pPr>
          </w:p>
        </w:tc>
      </w:tr>
      <w:tr w14:paraId="10A4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noWrap w:val="0"/>
            <w:vAlign w:val="center"/>
          </w:tcPr>
          <w:p w14:paraId="2C57E72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7044" w:type="dxa"/>
            <w:gridSpan w:val="8"/>
            <w:noWrap w:val="0"/>
            <w:vAlign w:val="center"/>
          </w:tcPr>
          <w:p w14:paraId="7F2714E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287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noWrap w:val="0"/>
            <w:vAlign w:val="center"/>
          </w:tcPr>
          <w:p w14:paraId="2B52F77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920" w:type="dxa"/>
            <w:gridSpan w:val="2"/>
            <w:noWrap w:val="0"/>
            <w:vAlign w:val="center"/>
          </w:tcPr>
          <w:p w14:paraId="00F7CBB1">
            <w:pPr>
              <w:shd w:val="clear"/>
              <w:spacing w:line="440" w:lineRule="exact"/>
              <w:jc w:val="center"/>
              <w:rPr>
                <w:rFonts w:hint="eastAsia" w:ascii="仿宋" w:hAnsi="仿宋" w:eastAsia="仿宋" w:cs="仿宋"/>
                <w:color w:val="auto"/>
                <w:sz w:val="28"/>
                <w:szCs w:val="28"/>
                <w:highlight w:val="none"/>
              </w:rPr>
            </w:pPr>
          </w:p>
        </w:tc>
        <w:tc>
          <w:tcPr>
            <w:tcW w:w="2805" w:type="dxa"/>
            <w:gridSpan w:val="5"/>
            <w:noWrap w:val="0"/>
            <w:vAlign w:val="center"/>
          </w:tcPr>
          <w:p w14:paraId="08B74B4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固定办公面积（平米）</w:t>
            </w:r>
          </w:p>
        </w:tc>
        <w:tc>
          <w:tcPr>
            <w:tcW w:w="2319" w:type="dxa"/>
            <w:noWrap w:val="0"/>
            <w:vAlign w:val="center"/>
          </w:tcPr>
          <w:p w14:paraId="6AB8EA73">
            <w:pPr>
              <w:shd w:val="clear"/>
              <w:spacing w:line="440" w:lineRule="exact"/>
              <w:jc w:val="center"/>
              <w:rPr>
                <w:rFonts w:hint="eastAsia" w:ascii="仿宋" w:hAnsi="仿宋" w:eastAsia="仿宋" w:cs="仿宋"/>
                <w:color w:val="auto"/>
                <w:sz w:val="28"/>
                <w:szCs w:val="28"/>
                <w:highlight w:val="none"/>
              </w:rPr>
            </w:pPr>
          </w:p>
        </w:tc>
      </w:tr>
      <w:tr w14:paraId="7202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noWrap w:val="0"/>
            <w:vAlign w:val="center"/>
          </w:tcPr>
          <w:p w14:paraId="550CAC1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472" w:type="dxa"/>
            <w:gridSpan w:val="2"/>
            <w:noWrap w:val="0"/>
            <w:vAlign w:val="center"/>
          </w:tcPr>
          <w:p w14:paraId="35E55DC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6219" w:type="dxa"/>
            <w:gridSpan w:val="7"/>
            <w:noWrap w:val="0"/>
            <w:vAlign w:val="center"/>
          </w:tcPr>
          <w:p w14:paraId="138C316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B14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70027E97">
            <w:pPr>
              <w:shd w:val="clear"/>
              <w:spacing w:line="440" w:lineRule="exact"/>
              <w:jc w:val="center"/>
              <w:rPr>
                <w:rFonts w:hint="eastAsia" w:ascii="仿宋" w:hAnsi="仿宋" w:eastAsia="仿宋" w:cs="仿宋"/>
                <w:color w:val="auto"/>
                <w:sz w:val="28"/>
                <w:szCs w:val="28"/>
                <w:highlight w:val="none"/>
              </w:rPr>
            </w:pPr>
          </w:p>
        </w:tc>
        <w:tc>
          <w:tcPr>
            <w:tcW w:w="2472" w:type="dxa"/>
            <w:gridSpan w:val="2"/>
            <w:noWrap w:val="0"/>
            <w:vAlign w:val="center"/>
          </w:tcPr>
          <w:p w14:paraId="6683128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219" w:type="dxa"/>
            <w:gridSpan w:val="7"/>
            <w:noWrap w:val="0"/>
            <w:vAlign w:val="center"/>
          </w:tcPr>
          <w:p w14:paraId="396F4CB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569D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35291B88">
            <w:pPr>
              <w:shd w:val="clear"/>
              <w:spacing w:line="440" w:lineRule="exact"/>
              <w:jc w:val="center"/>
              <w:rPr>
                <w:rFonts w:hint="eastAsia" w:ascii="仿宋" w:hAnsi="仿宋" w:eastAsia="仿宋" w:cs="仿宋"/>
                <w:color w:val="auto"/>
                <w:sz w:val="28"/>
                <w:szCs w:val="28"/>
                <w:highlight w:val="none"/>
              </w:rPr>
            </w:pPr>
          </w:p>
        </w:tc>
        <w:tc>
          <w:tcPr>
            <w:tcW w:w="2472" w:type="dxa"/>
            <w:gridSpan w:val="2"/>
            <w:noWrap w:val="0"/>
            <w:vAlign w:val="center"/>
          </w:tcPr>
          <w:p w14:paraId="6F2DCDC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153" w:type="dxa"/>
            <w:gridSpan w:val="3"/>
            <w:noWrap w:val="0"/>
            <w:vAlign w:val="center"/>
          </w:tcPr>
          <w:p w14:paraId="2F5955E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95" w:type="dxa"/>
            <w:gridSpan w:val="2"/>
            <w:noWrap w:val="0"/>
            <w:vAlign w:val="center"/>
          </w:tcPr>
          <w:p w14:paraId="0E2EED4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671" w:type="dxa"/>
            <w:gridSpan w:val="2"/>
            <w:noWrap w:val="0"/>
            <w:vAlign w:val="center"/>
          </w:tcPr>
          <w:p w14:paraId="3F61C27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4122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0976F548">
            <w:pPr>
              <w:shd w:val="clear"/>
              <w:spacing w:line="440" w:lineRule="exact"/>
              <w:jc w:val="center"/>
              <w:rPr>
                <w:rFonts w:hint="eastAsia" w:ascii="仿宋" w:hAnsi="仿宋" w:eastAsia="仿宋" w:cs="仿宋"/>
                <w:color w:val="auto"/>
                <w:sz w:val="28"/>
                <w:szCs w:val="28"/>
                <w:highlight w:val="none"/>
              </w:rPr>
            </w:pPr>
          </w:p>
        </w:tc>
        <w:tc>
          <w:tcPr>
            <w:tcW w:w="2472" w:type="dxa"/>
            <w:gridSpan w:val="2"/>
            <w:noWrap w:val="0"/>
            <w:vAlign w:val="center"/>
          </w:tcPr>
          <w:p w14:paraId="120190E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153" w:type="dxa"/>
            <w:gridSpan w:val="3"/>
            <w:noWrap w:val="0"/>
            <w:vAlign w:val="center"/>
          </w:tcPr>
          <w:p w14:paraId="59E9313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95" w:type="dxa"/>
            <w:gridSpan w:val="2"/>
            <w:noWrap w:val="0"/>
            <w:vAlign w:val="center"/>
          </w:tcPr>
          <w:p w14:paraId="3BC60E4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671" w:type="dxa"/>
            <w:gridSpan w:val="2"/>
            <w:noWrap w:val="0"/>
            <w:vAlign w:val="center"/>
          </w:tcPr>
          <w:p w14:paraId="68ECEF0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1A2C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670435E2">
            <w:pPr>
              <w:shd w:val="clear"/>
              <w:spacing w:line="440" w:lineRule="exact"/>
              <w:jc w:val="center"/>
              <w:rPr>
                <w:rFonts w:hint="eastAsia" w:ascii="仿宋" w:hAnsi="仿宋" w:eastAsia="仿宋" w:cs="仿宋"/>
                <w:color w:val="auto"/>
                <w:sz w:val="28"/>
                <w:szCs w:val="28"/>
                <w:highlight w:val="none"/>
              </w:rPr>
            </w:pPr>
          </w:p>
        </w:tc>
        <w:tc>
          <w:tcPr>
            <w:tcW w:w="2472" w:type="dxa"/>
            <w:gridSpan w:val="2"/>
            <w:noWrap w:val="0"/>
            <w:vAlign w:val="center"/>
          </w:tcPr>
          <w:p w14:paraId="0430E8B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219" w:type="dxa"/>
            <w:gridSpan w:val="7"/>
            <w:noWrap w:val="0"/>
            <w:vAlign w:val="center"/>
          </w:tcPr>
          <w:p w14:paraId="7F92055D">
            <w:pPr>
              <w:shd w:val="clear"/>
              <w:spacing w:line="440" w:lineRule="exact"/>
              <w:jc w:val="center"/>
              <w:rPr>
                <w:rFonts w:hint="eastAsia" w:ascii="仿宋" w:hAnsi="仿宋" w:eastAsia="仿宋" w:cs="仿宋"/>
                <w:color w:val="auto"/>
                <w:sz w:val="28"/>
                <w:szCs w:val="28"/>
                <w:highlight w:val="none"/>
              </w:rPr>
            </w:pPr>
          </w:p>
        </w:tc>
      </w:tr>
      <w:tr w14:paraId="4462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noWrap w:val="0"/>
            <w:vAlign w:val="center"/>
          </w:tcPr>
          <w:p w14:paraId="6773FF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5700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noWrap w:val="0"/>
            <w:vAlign w:val="top"/>
          </w:tcPr>
          <w:p w14:paraId="44D6CA93">
            <w:pPr>
              <w:shd w:val="clear"/>
              <w:spacing w:line="44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bl>
    <w:p w14:paraId="309FD896">
      <w:pPr>
        <w:shd w:val="clear"/>
        <w:jc w:val="center"/>
        <w:rPr>
          <w:rFonts w:ascii="仿宋_GB2312" w:hAnsi="仿宋" w:eastAsia="仿宋_GB2312"/>
          <w:b/>
          <w:color w:val="auto"/>
          <w:sz w:val="44"/>
          <w:szCs w:val="44"/>
          <w:highlight w:val="none"/>
        </w:rPr>
      </w:pPr>
    </w:p>
    <w:p w14:paraId="072F4504">
      <w:pPr>
        <w:shd w:val="clear"/>
        <w:spacing w:line="520" w:lineRule="exact"/>
        <w:ind w:firstLine="3900" w:firstLineChars="1300"/>
        <w:jc w:val="right"/>
        <w:rPr>
          <w:rFonts w:hint="eastAsia" w:ascii="仿宋" w:hAnsi="仿宋" w:eastAsia="仿宋" w:cs="仿宋"/>
          <w:color w:val="auto"/>
          <w:sz w:val="30"/>
          <w:szCs w:val="30"/>
          <w:highlight w:val="none"/>
        </w:rPr>
      </w:pPr>
    </w:p>
    <w:p w14:paraId="63F7578D">
      <w:pPr>
        <w:shd w:val="clear"/>
        <w:rPr>
          <w:rFonts w:hint="eastAsia" w:ascii="仿宋" w:hAnsi="仿宋" w:eastAsia="仿宋" w:cs="仿宋"/>
          <w:color w:val="auto"/>
          <w:highlight w:val="none"/>
        </w:rPr>
      </w:pPr>
    </w:p>
    <w:p w14:paraId="3C0A6A10">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5362C72">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4FCC88F2">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r>
        <w:rPr>
          <w:rFonts w:hint="eastAsia" w:ascii="黑体" w:hAnsi="黑体" w:eastAsia="黑体" w:cs="Times New Roman"/>
          <w:b/>
          <w:bCs/>
          <w:color w:val="auto"/>
          <w:sz w:val="44"/>
          <w:szCs w:val="44"/>
          <w:highlight w:val="none"/>
        </w:rPr>
        <w:t>技术文件</w:t>
      </w:r>
    </w:p>
    <w:bookmarkEnd w:id="14"/>
    <w:bookmarkEnd w:id="15"/>
    <w:p w14:paraId="663FFA7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bookmarkStart w:id="16" w:name="_Toc522526800"/>
      <w:bookmarkStart w:id="17" w:name="_Toc521936062"/>
      <w:r>
        <w:rPr>
          <w:rFonts w:hint="eastAsia" w:ascii="仿宋" w:hAnsi="仿宋" w:eastAsia="仿宋" w:cs="仿宋"/>
          <w:color w:val="auto"/>
          <w:sz w:val="28"/>
          <w:szCs w:val="28"/>
          <w:highlight w:val="none"/>
        </w:rPr>
        <w:t>包括但不限于以下内容：</w:t>
      </w:r>
    </w:p>
    <w:p w14:paraId="77D547F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①所报产品的主要技术数据和性能的详细描述、产品组成说明等；（包括品牌、型号、制造商、产地等）；</w:t>
      </w:r>
    </w:p>
    <w:p w14:paraId="2511E99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②所报产品的彩页或图片（如有）；</w:t>
      </w:r>
    </w:p>
    <w:p w14:paraId="6CF61A5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③所报产品的制造、安装、验收标准；</w:t>
      </w:r>
    </w:p>
    <w:p w14:paraId="17F558F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④实施方案；</w:t>
      </w:r>
    </w:p>
    <w:p w14:paraId="761C0FF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⑤培训方案；</w:t>
      </w:r>
    </w:p>
    <w:p w14:paraId="2C7F4CE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⑥售后服务内容及承诺（其中，售后服务承诺至少包含响应时间、到达现场时间、完成修复时间、不能修复的保证措施、质保期内措施、质保期外措施）；</w:t>
      </w:r>
    </w:p>
    <w:p w14:paraId="31783CB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⑦投标人认为需要提交的其他相关技术文件（根据评分标准及项目要求格式自拟）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456DD5EC">
      <w:pPr>
        <w:shd w:val="clear"/>
        <w:wordWrap w:val="0"/>
        <w:spacing w:line="560" w:lineRule="exact"/>
        <w:jc w:val="right"/>
        <w:rPr>
          <w:rFonts w:hint="eastAsia" w:ascii="仿宋_GB2312" w:hAnsi="仿宋" w:eastAsia="仿宋_GB2312"/>
          <w:color w:val="auto"/>
          <w:sz w:val="32"/>
          <w:szCs w:val="32"/>
          <w:highlight w:val="none"/>
        </w:rPr>
      </w:pPr>
    </w:p>
    <w:p w14:paraId="7744F1F1">
      <w:pPr>
        <w:shd w:val="clear"/>
        <w:wordWrap/>
        <w:spacing w:line="560" w:lineRule="exact"/>
        <w:jc w:val="right"/>
        <w:rPr>
          <w:rFonts w:hint="eastAsia" w:ascii="仿宋" w:hAnsi="仿宋" w:eastAsia="仿宋" w:cs="仿宋"/>
          <w:color w:val="auto"/>
          <w:sz w:val="32"/>
          <w:szCs w:val="32"/>
          <w:highlight w:val="none"/>
        </w:rPr>
      </w:pPr>
    </w:p>
    <w:p w14:paraId="7E8B9C56">
      <w:pPr>
        <w:shd w:val="clear"/>
        <w:wordWrap/>
        <w:spacing w:line="560" w:lineRule="exact"/>
        <w:jc w:val="right"/>
        <w:rPr>
          <w:rFonts w:hint="eastAsia" w:ascii="仿宋" w:hAnsi="仿宋" w:eastAsia="仿宋" w:cs="仿宋"/>
          <w:color w:val="auto"/>
          <w:sz w:val="32"/>
          <w:szCs w:val="32"/>
          <w:highlight w:val="none"/>
        </w:rPr>
      </w:pPr>
    </w:p>
    <w:p w14:paraId="1AD01E93">
      <w:pPr>
        <w:shd w:val="clear"/>
        <w:rPr>
          <w:rFonts w:hint="eastAsia" w:ascii="仿宋" w:hAnsi="仿宋" w:eastAsia="仿宋" w:cs="仿宋"/>
          <w:color w:val="auto"/>
          <w:highlight w:val="none"/>
        </w:rPr>
      </w:pPr>
    </w:p>
    <w:p w14:paraId="453D558A">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ECF0FBF">
      <w:pPr>
        <w:shd w:val="clear"/>
        <w:tabs>
          <w:tab w:val="left" w:pos="5580"/>
        </w:tabs>
        <w:wordWrap w:val="0"/>
        <w:spacing w:line="360" w:lineRule="auto"/>
        <w:ind w:right="560"/>
        <w:jc w:val="right"/>
        <w:rPr>
          <w:rFonts w:ascii="仿宋_GB2312" w:eastAsia="仿宋_GB2312"/>
          <w:color w:val="auto"/>
          <w:kern w:val="0"/>
          <w:sz w:val="28"/>
          <w:szCs w:val="28"/>
          <w:highlight w:val="none"/>
        </w:rPr>
      </w:pPr>
      <w:r>
        <w:rPr>
          <w:rFonts w:hint="eastAsia" w:ascii="仿宋_GB2312" w:eastAsia="仿宋_GB2312"/>
          <w:color w:val="auto"/>
          <w:kern w:val="0"/>
          <w:sz w:val="28"/>
          <w:szCs w:val="28"/>
          <w:highlight w:val="none"/>
        </w:rPr>
        <w:t xml:space="preserve">      </w:t>
      </w:r>
    </w:p>
    <w:p w14:paraId="718152BD">
      <w:pPr>
        <w:widowControl/>
        <w:shd w:val="clear"/>
        <w:jc w:val="center"/>
        <w:rPr>
          <w:rFonts w:hint="eastAsia" w:ascii="黑体" w:hAnsi="黑体" w:eastAsia="黑体" w:cs="Times New Roman"/>
          <w:b/>
          <w:bCs/>
          <w:color w:val="auto"/>
          <w:sz w:val="44"/>
          <w:szCs w:val="44"/>
          <w:highlight w:val="none"/>
        </w:rPr>
      </w:pPr>
      <w:r>
        <w:rPr>
          <w:color w:val="auto"/>
          <w:highlight w:val="none"/>
        </w:rPr>
        <w:br w:type="page"/>
      </w:r>
      <w:r>
        <w:rPr>
          <w:rFonts w:hint="eastAsia" w:ascii="黑体" w:hAnsi="黑体" w:eastAsia="黑体" w:cs="Times New Roman"/>
          <w:b/>
          <w:bCs/>
          <w:color w:val="auto"/>
          <w:sz w:val="44"/>
          <w:szCs w:val="44"/>
          <w:highlight w:val="none"/>
        </w:rPr>
        <w:t>投标偏离表</w:t>
      </w:r>
    </w:p>
    <w:p w14:paraId="155E39FB">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（包括技术规格、参数和商务条款偏离）</w:t>
      </w:r>
    </w:p>
    <w:tbl>
      <w:tblPr>
        <w:tblStyle w:val="30"/>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2666"/>
        <w:gridCol w:w="3003"/>
        <w:gridCol w:w="1653"/>
        <w:gridCol w:w="1653"/>
      </w:tblGrid>
      <w:tr w14:paraId="3085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977" w:type="dxa"/>
            <w:noWrap w:val="0"/>
            <w:vAlign w:val="center"/>
          </w:tcPr>
          <w:p w14:paraId="430AE170">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2666" w:type="dxa"/>
            <w:noWrap w:val="0"/>
            <w:vAlign w:val="center"/>
          </w:tcPr>
          <w:p w14:paraId="4CCE4012">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招标文件的内容</w:t>
            </w:r>
          </w:p>
        </w:tc>
        <w:tc>
          <w:tcPr>
            <w:tcW w:w="3003" w:type="dxa"/>
            <w:noWrap w:val="0"/>
            <w:vAlign w:val="center"/>
          </w:tcPr>
          <w:p w14:paraId="54A5E792">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投标文件</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内容</w:t>
            </w:r>
          </w:p>
        </w:tc>
        <w:tc>
          <w:tcPr>
            <w:tcW w:w="1653" w:type="dxa"/>
            <w:noWrap w:val="0"/>
            <w:vAlign w:val="center"/>
          </w:tcPr>
          <w:p w14:paraId="0C34FCFF">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偏离情况</w:t>
            </w:r>
          </w:p>
        </w:tc>
        <w:tc>
          <w:tcPr>
            <w:tcW w:w="1653" w:type="dxa"/>
            <w:noWrap w:val="0"/>
            <w:vAlign w:val="center"/>
          </w:tcPr>
          <w:p w14:paraId="33E50DB6">
            <w:pPr>
              <w:pStyle w:val="14"/>
              <w:shd w:val="clear"/>
              <w:spacing w:line="400" w:lineRule="exact"/>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对应页码</w:t>
            </w:r>
          </w:p>
        </w:tc>
      </w:tr>
      <w:tr w14:paraId="7066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405C7354">
            <w:pPr>
              <w:pStyle w:val="14"/>
              <w:shd w:val="clear"/>
              <w:spacing w:line="400" w:lineRule="exact"/>
              <w:jc w:val="center"/>
              <w:rPr>
                <w:rFonts w:hint="eastAsia" w:ascii="仿宋" w:hAnsi="仿宋" w:eastAsia="仿宋" w:cs="仿宋"/>
                <w:color w:val="auto"/>
                <w:sz w:val="28"/>
                <w:szCs w:val="28"/>
                <w:highlight w:val="none"/>
              </w:rPr>
            </w:pPr>
          </w:p>
        </w:tc>
        <w:tc>
          <w:tcPr>
            <w:tcW w:w="2666" w:type="dxa"/>
            <w:noWrap w:val="0"/>
            <w:vAlign w:val="center"/>
          </w:tcPr>
          <w:p w14:paraId="6B804745">
            <w:pPr>
              <w:pStyle w:val="14"/>
              <w:shd w:val="clear"/>
              <w:spacing w:line="400" w:lineRule="exact"/>
              <w:jc w:val="center"/>
              <w:rPr>
                <w:rFonts w:hint="eastAsia" w:ascii="仿宋" w:hAnsi="仿宋" w:eastAsia="仿宋" w:cs="仿宋"/>
                <w:color w:val="auto"/>
                <w:sz w:val="28"/>
                <w:szCs w:val="28"/>
                <w:highlight w:val="none"/>
              </w:rPr>
            </w:pPr>
          </w:p>
        </w:tc>
        <w:tc>
          <w:tcPr>
            <w:tcW w:w="3003" w:type="dxa"/>
            <w:noWrap w:val="0"/>
            <w:vAlign w:val="center"/>
          </w:tcPr>
          <w:p w14:paraId="77D798DA">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4BC3FA50">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1BCBD0AD">
            <w:pPr>
              <w:pStyle w:val="14"/>
              <w:shd w:val="clear"/>
              <w:spacing w:line="400" w:lineRule="exact"/>
              <w:jc w:val="center"/>
              <w:rPr>
                <w:rFonts w:hint="eastAsia" w:ascii="仿宋" w:hAnsi="仿宋" w:eastAsia="仿宋" w:cs="仿宋"/>
                <w:color w:val="auto"/>
                <w:sz w:val="28"/>
                <w:szCs w:val="28"/>
                <w:highlight w:val="none"/>
              </w:rPr>
            </w:pPr>
          </w:p>
        </w:tc>
      </w:tr>
      <w:tr w14:paraId="0362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1CD63F09">
            <w:pPr>
              <w:pStyle w:val="14"/>
              <w:shd w:val="clear"/>
              <w:spacing w:line="400" w:lineRule="exact"/>
              <w:jc w:val="center"/>
              <w:rPr>
                <w:rFonts w:hint="eastAsia" w:ascii="仿宋" w:hAnsi="仿宋" w:eastAsia="仿宋" w:cs="仿宋"/>
                <w:color w:val="auto"/>
                <w:sz w:val="28"/>
                <w:szCs w:val="28"/>
                <w:highlight w:val="none"/>
              </w:rPr>
            </w:pPr>
          </w:p>
        </w:tc>
        <w:tc>
          <w:tcPr>
            <w:tcW w:w="2666" w:type="dxa"/>
            <w:noWrap w:val="0"/>
            <w:vAlign w:val="center"/>
          </w:tcPr>
          <w:p w14:paraId="777FFC44">
            <w:pPr>
              <w:pStyle w:val="14"/>
              <w:shd w:val="clear"/>
              <w:spacing w:line="400" w:lineRule="exact"/>
              <w:jc w:val="center"/>
              <w:rPr>
                <w:rFonts w:hint="eastAsia" w:ascii="仿宋" w:hAnsi="仿宋" w:eastAsia="仿宋" w:cs="仿宋"/>
                <w:color w:val="auto"/>
                <w:sz w:val="28"/>
                <w:szCs w:val="28"/>
                <w:highlight w:val="none"/>
              </w:rPr>
            </w:pPr>
          </w:p>
        </w:tc>
        <w:tc>
          <w:tcPr>
            <w:tcW w:w="3003" w:type="dxa"/>
            <w:noWrap w:val="0"/>
            <w:vAlign w:val="center"/>
          </w:tcPr>
          <w:p w14:paraId="4A13B51A">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6AC5ADE4">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79CA91FD">
            <w:pPr>
              <w:pStyle w:val="14"/>
              <w:shd w:val="clear"/>
              <w:spacing w:line="400" w:lineRule="exact"/>
              <w:jc w:val="center"/>
              <w:rPr>
                <w:rFonts w:hint="eastAsia" w:ascii="仿宋" w:hAnsi="仿宋" w:eastAsia="仿宋" w:cs="仿宋"/>
                <w:color w:val="auto"/>
                <w:sz w:val="28"/>
                <w:szCs w:val="28"/>
                <w:highlight w:val="none"/>
              </w:rPr>
            </w:pPr>
          </w:p>
        </w:tc>
      </w:tr>
      <w:tr w14:paraId="4718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5161DA8F">
            <w:pPr>
              <w:pStyle w:val="14"/>
              <w:shd w:val="clear"/>
              <w:spacing w:line="400" w:lineRule="exact"/>
              <w:jc w:val="center"/>
              <w:rPr>
                <w:rFonts w:hint="eastAsia" w:ascii="仿宋" w:hAnsi="仿宋" w:eastAsia="仿宋" w:cs="仿宋"/>
                <w:color w:val="auto"/>
                <w:sz w:val="28"/>
                <w:szCs w:val="28"/>
                <w:highlight w:val="none"/>
              </w:rPr>
            </w:pPr>
          </w:p>
        </w:tc>
        <w:tc>
          <w:tcPr>
            <w:tcW w:w="2666" w:type="dxa"/>
            <w:noWrap w:val="0"/>
            <w:vAlign w:val="center"/>
          </w:tcPr>
          <w:p w14:paraId="56D406E7">
            <w:pPr>
              <w:pStyle w:val="14"/>
              <w:shd w:val="clear"/>
              <w:spacing w:line="400" w:lineRule="exact"/>
              <w:jc w:val="center"/>
              <w:rPr>
                <w:rFonts w:hint="eastAsia" w:ascii="仿宋" w:hAnsi="仿宋" w:eastAsia="仿宋" w:cs="仿宋"/>
                <w:color w:val="auto"/>
                <w:sz w:val="28"/>
                <w:szCs w:val="28"/>
                <w:highlight w:val="none"/>
              </w:rPr>
            </w:pPr>
          </w:p>
        </w:tc>
        <w:tc>
          <w:tcPr>
            <w:tcW w:w="3003" w:type="dxa"/>
            <w:noWrap w:val="0"/>
            <w:vAlign w:val="center"/>
          </w:tcPr>
          <w:p w14:paraId="69C9FEBA">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5D2B5A4A">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6C0D9D1B">
            <w:pPr>
              <w:pStyle w:val="14"/>
              <w:shd w:val="clear"/>
              <w:spacing w:line="400" w:lineRule="exact"/>
              <w:jc w:val="center"/>
              <w:rPr>
                <w:rFonts w:hint="eastAsia" w:ascii="仿宋" w:hAnsi="仿宋" w:eastAsia="仿宋" w:cs="仿宋"/>
                <w:color w:val="auto"/>
                <w:sz w:val="28"/>
                <w:szCs w:val="28"/>
                <w:highlight w:val="none"/>
              </w:rPr>
            </w:pPr>
          </w:p>
        </w:tc>
      </w:tr>
      <w:tr w14:paraId="5177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097F4C8B">
            <w:pPr>
              <w:pStyle w:val="14"/>
              <w:shd w:val="clear"/>
              <w:spacing w:line="400" w:lineRule="exact"/>
              <w:jc w:val="center"/>
              <w:rPr>
                <w:rFonts w:hint="eastAsia" w:ascii="仿宋" w:hAnsi="仿宋" w:eastAsia="仿宋" w:cs="仿宋"/>
                <w:color w:val="auto"/>
                <w:sz w:val="28"/>
                <w:szCs w:val="28"/>
                <w:highlight w:val="none"/>
              </w:rPr>
            </w:pPr>
          </w:p>
        </w:tc>
        <w:tc>
          <w:tcPr>
            <w:tcW w:w="2666" w:type="dxa"/>
            <w:noWrap w:val="0"/>
            <w:vAlign w:val="center"/>
          </w:tcPr>
          <w:p w14:paraId="4976734D">
            <w:pPr>
              <w:pStyle w:val="14"/>
              <w:shd w:val="clear"/>
              <w:spacing w:line="400" w:lineRule="exact"/>
              <w:jc w:val="center"/>
              <w:rPr>
                <w:rFonts w:hint="eastAsia" w:ascii="仿宋" w:hAnsi="仿宋" w:eastAsia="仿宋" w:cs="仿宋"/>
                <w:color w:val="auto"/>
                <w:sz w:val="28"/>
                <w:szCs w:val="28"/>
                <w:highlight w:val="none"/>
              </w:rPr>
            </w:pPr>
          </w:p>
        </w:tc>
        <w:tc>
          <w:tcPr>
            <w:tcW w:w="3003" w:type="dxa"/>
            <w:noWrap w:val="0"/>
            <w:vAlign w:val="center"/>
          </w:tcPr>
          <w:p w14:paraId="1F7B9371">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0BA5B7D6">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38EFC0F7">
            <w:pPr>
              <w:pStyle w:val="14"/>
              <w:shd w:val="clear"/>
              <w:spacing w:line="400" w:lineRule="exact"/>
              <w:jc w:val="center"/>
              <w:rPr>
                <w:rFonts w:hint="eastAsia" w:ascii="仿宋" w:hAnsi="仿宋" w:eastAsia="仿宋" w:cs="仿宋"/>
                <w:color w:val="auto"/>
                <w:sz w:val="28"/>
                <w:szCs w:val="28"/>
                <w:highlight w:val="none"/>
              </w:rPr>
            </w:pPr>
          </w:p>
        </w:tc>
      </w:tr>
      <w:tr w14:paraId="124D1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0F0DEC69">
            <w:pPr>
              <w:pStyle w:val="14"/>
              <w:shd w:val="clear"/>
              <w:spacing w:line="400" w:lineRule="exact"/>
              <w:jc w:val="center"/>
              <w:rPr>
                <w:rFonts w:hint="eastAsia" w:ascii="仿宋" w:hAnsi="仿宋" w:eastAsia="仿宋" w:cs="仿宋"/>
                <w:color w:val="auto"/>
                <w:sz w:val="28"/>
                <w:szCs w:val="28"/>
                <w:highlight w:val="none"/>
              </w:rPr>
            </w:pPr>
          </w:p>
        </w:tc>
        <w:tc>
          <w:tcPr>
            <w:tcW w:w="2666" w:type="dxa"/>
            <w:noWrap w:val="0"/>
            <w:vAlign w:val="center"/>
          </w:tcPr>
          <w:p w14:paraId="69E6C4A4">
            <w:pPr>
              <w:pStyle w:val="14"/>
              <w:shd w:val="clear"/>
              <w:spacing w:line="400" w:lineRule="exact"/>
              <w:jc w:val="center"/>
              <w:rPr>
                <w:rFonts w:hint="eastAsia" w:ascii="仿宋" w:hAnsi="仿宋" w:eastAsia="仿宋" w:cs="仿宋"/>
                <w:color w:val="auto"/>
                <w:sz w:val="28"/>
                <w:szCs w:val="28"/>
                <w:highlight w:val="none"/>
              </w:rPr>
            </w:pPr>
          </w:p>
        </w:tc>
        <w:tc>
          <w:tcPr>
            <w:tcW w:w="3003" w:type="dxa"/>
            <w:noWrap w:val="0"/>
            <w:vAlign w:val="center"/>
          </w:tcPr>
          <w:p w14:paraId="7E588B18">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29340387">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7816A38B">
            <w:pPr>
              <w:pStyle w:val="14"/>
              <w:shd w:val="clear"/>
              <w:spacing w:line="400" w:lineRule="exact"/>
              <w:jc w:val="center"/>
              <w:rPr>
                <w:rFonts w:hint="eastAsia" w:ascii="仿宋" w:hAnsi="仿宋" w:eastAsia="仿宋" w:cs="仿宋"/>
                <w:color w:val="auto"/>
                <w:sz w:val="28"/>
                <w:szCs w:val="28"/>
                <w:highlight w:val="none"/>
              </w:rPr>
            </w:pPr>
          </w:p>
        </w:tc>
      </w:tr>
      <w:tr w14:paraId="1EAC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4AA9C0F5">
            <w:pPr>
              <w:pStyle w:val="14"/>
              <w:shd w:val="clear"/>
              <w:spacing w:line="400" w:lineRule="exact"/>
              <w:jc w:val="center"/>
              <w:rPr>
                <w:rFonts w:hint="eastAsia" w:ascii="仿宋" w:hAnsi="仿宋" w:eastAsia="仿宋" w:cs="仿宋"/>
                <w:color w:val="auto"/>
                <w:sz w:val="28"/>
                <w:szCs w:val="28"/>
                <w:highlight w:val="none"/>
              </w:rPr>
            </w:pPr>
          </w:p>
        </w:tc>
        <w:tc>
          <w:tcPr>
            <w:tcW w:w="2666" w:type="dxa"/>
            <w:noWrap w:val="0"/>
            <w:vAlign w:val="center"/>
          </w:tcPr>
          <w:p w14:paraId="0E6D170B">
            <w:pPr>
              <w:pStyle w:val="14"/>
              <w:shd w:val="clear"/>
              <w:spacing w:line="400" w:lineRule="exact"/>
              <w:jc w:val="center"/>
              <w:rPr>
                <w:rFonts w:hint="eastAsia" w:ascii="仿宋" w:hAnsi="仿宋" w:eastAsia="仿宋" w:cs="仿宋"/>
                <w:color w:val="auto"/>
                <w:sz w:val="28"/>
                <w:szCs w:val="28"/>
                <w:highlight w:val="none"/>
              </w:rPr>
            </w:pPr>
          </w:p>
        </w:tc>
        <w:tc>
          <w:tcPr>
            <w:tcW w:w="3003" w:type="dxa"/>
            <w:noWrap w:val="0"/>
            <w:vAlign w:val="center"/>
          </w:tcPr>
          <w:p w14:paraId="3AED1FC8">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6A059DB4">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1F8DDFB3">
            <w:pPr>
              <w:pStyle w:val="14"/>
              <w:shd w:val="clear"/>
              <w:spacing w:line="400" w:lineRule="exact"/>
              <w:jc w:val="center"/>
              <w:rPr>
                <w:rFonts w:hint="eastAsia" w:ascii="仿宋" w:hAnsi="仿宋" w:eastAsia="仿宋" w:cs="仿宋"/>
                <w:color w:val="auto"/>
                <w:sz w:val="28"/>
                <w:szCs w:val="28"/>
                <w:highlight w:val="none"/>
              </w:rPr>
            </w:pPr>
          </w:p>
        </w:tc>
      </w:tr>
      <w:tr w14:paraId="2E70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01A2B929">
            <w:pPr>
              <w:pStyle w:val="14"/>
              <w:shd w:val="clear"/>
              <w:spacing w:line="400" w:lineRule="exact"/>
              <w:jc w:val="center"/>
              <w:rPr>
                <w:rFonts w:hint="eastAsia" w:ascii="仿宋" w:hAnsi="仿宋" w:eastAsia="仿宋" w:cs="仿宋"/>
                <w:color w:val="auto"/>
                <w:sz w:val="28"/>
                <w:szCs w:val="28"/>
                <w:highlight w:val="none"/>
              </w:rPr>
            </w:pPr>
          </w:p>
        </w:tc>
        <w:tc>
          <w:tcPr>
            <w:tcW w:w="2666" w:type="dxa"/>
            <w:noWrap w:val="0"/>
            <w:vAlign w:val="center"/>
          </w:tcPr>
          <w:p w14:paraId="413DE5EA">
            <w:pPr>
              <w:pStyle w:val="14"/>
              <w:shd w:val="clear"/>
              <w:spacing w:line="400" w:lineRule="exact"/>
              <w:jc w:val="center"/>
              <w:rPr>
                <w:rFonts w:hint="eastAsia" w:ascii="仿宋" w:hAnsi="仿宋" w:eastAsia="仿宋" w:cs="仿宋"/>
                <w:color w:val="auto"/>
                <w:sz w:val="28"/>
                <w:szCs w:val="28"/>
                <w:highlight w:val="none"/>
              </w:rPr>
            </w:pPr>
          </w:p>
        </w:tc>
        <w:tc>
          <w:tcPr>
            <w:tcW w:w="3003" w:type="dxa"/>
            <w:noWrap w:val="0"/>
            <w:vAlign w:val="center"/>
          </w:tcPr>
          <w:p w14:paraId="7B85D760">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3A082D77">
            <w:pPr>
              <w:pStyle w:val="14"/>
              <w:shd w:val="clear"/>
              <w:spacing w:line="400" w:lineRule="exact"/>
              <w:jc w:val="center"/>
              <w:rPr>
                <w:rFonts w:hint="eastAsia" w:ascii="仿宋" w:hAnsi="仿宋" w:eastAsia="仿宋" w:cs="仿宋"/>
                <w:color w:val="auto"/>
                <w:sz w:val="28"/>
                <w:szCs w:val="28"/>
                <w:highlight w:val="none"/>
              </w:rPr>
            </w:pPr>
          </w:p>
        </w:tc>
        <w:tc>
          <w:tcPr>
            <w:tcW w:w="1653" w:type="dxa"/>
            <w:noWrap w:val="0"/>
            <w:vAlign w:val="center"/>
          </w:tcPr>
          <w:p w14:paraId="240494CF">
            <w:pPr>
              <w:pStyle w:val="14"/>
              <w:shd w:val="clear"/>
              <w:spacing w:line="400" w:lineRule="exact"/>
              <w:jc w:val="center"/>
              <w:rPr>
                <w:rFonts w:hint="eastAsia" w:ascii="仿宋" w:hAnsi="仿宋" w:eastAsia="仿宋" w:cs="仿宋"/>
                <w:color w:val="auto"/>
                <w:sz w:val="28"/>
                <w:szCs w:val="28"/>
                <w:highlight w:val="none"/>
              </w:rPr>
            </w:pPr>
          </w:p>
        </w:tc>
      </w:tr>
    </w:tbl>
    <w:p w14:paraId="46C1FBF3">
      <w:pPr>
        <w:shd w:val="clear"/>
        <w:ind w:right="-309" w:rightChars="-14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注：无偏离可填写“无”字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有偏离必须在本表列明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实际存在负偏离而在本表内没有列明的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视为虚假</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w:t>
      </w:r>
    </w:p>
    <w:p w14:paraId="04C90C27">
      <w:pPr>
        <w:shd w:val="clear"/>
        <w:jc w:val="center"/>
        <w:rPr>
          <w:rFonts w:hint="eastAsia" w:ascii="仿宋" w:hAnsi="仿宋" w:eastAsia="仿宋" w:cs="仿宋"/>
          <w:color w:val="auto"/>
          <w:highlight w:val="none"/>
        </w:rPr>
      </w:pPr>
    </w:p>
    <w:p w14:paraId="25E103E4">
      <w:pPr>
        <w:shd w:val="clear"/>
        <w:rPr>
          <w:rFonts w:hint="eastAsia" w:ascii="仿宋" w:hAnsi="仿宋" w:eastAsia="仿宋" w:cs="仿宋"/>
          <w:color w:val="auto"/>
          <w:highlight w:val="none"/>
        </w:rPr>
      </w:pPr>
    </w:p>
    <w:p w14:paraId="6CA5A839">
      <w:pPr>
        <w:shd w:val="clear"/>
        <w:spacing w:line="520" w:lineRule="exact"/>
        <w:ind w:firstLine="3900" w:firstLineChars="1300"/>
        <w:jc w:val="right"/>
        <w:rPr>
          <w:rFonts w:hint="eastAsia" w:ascii="仿宋" w:hAnsi="仿宋" w:eastAsia="仿宋" w:cs="仿宋"/>
          <w:color w:val="auto"/>
          <w:sz w:val="30"/>
          <w:szCs w:val="30"/>
          <w:highlight w:val="none"/>
        </w:rPr>
      </w:pPr>
    </w:p>
    <w:p w14:paraId="1C55B8D1">
      <w:pPr>
        <w:shd w:val="clear"/>
        <w:rPr>
          <w:rFonts w:hint="eastAsia" w:ascii="仿宋" w:hAnsi="仿宋" w:eastAsia="仿宋" w:cs="仿宋"/>
          <w:color w:val="auto"/>
          <w:highlight w:val="none"/>
        </w:rPr>
      </w:pPr>
    </w:p>
    <w:p w14:paraId="6545FBD7">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B41951B">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7E25A83">
      <w:pPr>
        <w:shd w:val="clear"/>
        <w:tabs>
          <w:tab w:val="left" w:pos="5580"/>
        </w:tabs>
        <w:wordWrap w:val="0"/>
        <w:spacing w:line="360" w:lineRule="auto"/>
        <w:ind w:right="560"/>
        <w:jc w:val="right"/>
        <w:rPr>
          <w:rFonts w:ascii="仿宋_GB2312" w:eastAsia="仿宋_GB2312"/>
          <w:color w:val="auto"/>
          <w:kern w:val="0"/>
          <w:sz w:val="28"/>
          <w:szCs w:val="28"/>
          <w:highlight w:val="none"/>
        </w:rPr>
      </w:pPr>
      <w:r>
        <w:rPr>
          <w:rFonts w:hint="eastAsia" w:ascii="仿宋_GB2312" w:eastAsia="仿宋_GB2312"/>
          <w:color w:val="auto"/>
          <w:kern w:val="0"/>
          <w:sz w:val="28"/>
          <w:szCs w:val="28"/>
          <w:highlight w:val="none"/>
        </w:rPr>
        <w:t xml:space="preserve">        </w:t>
      </w:r>
    </w:p>
    <w:p w14:paraId="4E27AE35">
      <w:pPr>
        <w:shd w:val="clear"/>
        <w:wordWrap w:val="0"/>
        <w:spacing w:line="560" w:lineRule="exact"/>
        <w:jc w:val="right"/>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 </w:t>
      </w:r>
      <w:r>
        <w:rPr>
          <w:rFonts w:ascii="仿宋_GB2312" w:hAnsi="仿宋" w:eastAsia="仿宋_GB2312"/>
          <w:color w:val="auto"/>
          <w:sz w:val="32"/>
          <w:szCs w:val="32"/>
          <w:highlight w:val="none"/>
        </w:rPr>
        <w:t xml:space="preserve"> </w:t>
      </w:r>
      <w:r>
        <w:rPr>
          <w:rFonts w:hint="eastAsia" w:ascii="仿宋_GB2312" w:hAnsi="仿宋" w:eastAsia="仿宋_GB2312"/>
          <w:color w:val="auto"/>
          <w:sz w:val="32"/>
          <w:szCs w:val="32"/>
          <w:highlight w:val="none"/>
        </w:rPr>
        <w:t xml:space="preserve">      </w:t>
      </w:r>
    </w:p>
    <w:p w14:paraId="0CDD6525">
      <w:pPr>
        <w:shd w:val="clear"/>
        <w:rPr>
          <w:color w:val="auto"/>
          <w:highlight w:val="none"/>
        </w:rPr>
      </w:pPr>
    </w:p>
    <w:p w14:paraId="2356DEF8">
      <w:pPr>
        <w:pStyle w:val="27"/>
        <w:shd w:val="clear"/>
        <w:spacing w:before="100" w:beforeAutospacing="1" w:after="100" w:afterAutospacing="1" w:line="415" w:lineRule="auto"/>
        <w:rPr>
          <w:rFonts w:ascii="楷体_GB2312" w:hAnsi="宋体" w:eastAsia="楷体_GB2312" w:cs="宋体"/>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p>
    <w:bookmarkEnd w:id="16"/>
    <w:bookmarkEnd w:id="17"/>
    <w:p w14:paraId="3B789E39">
      <w:pPr>
        <w:pStyle w:val="27"/>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pPr>
      <w:r>
        <w:rPr>
          <w:rFonts w:hint="eastAsia" w:ascii="楷体" w:hAnsi="楷体" w:eastAsia="楷体" w:cs="楷体"/>
          <w:b/>
          <w:bCs/>
          <w:color w:val="auto"/>
          <w:kern w:val="2"/>
          <w:sz w:val="44"/>
          <w:szCs w:val="44"/>
          <w:highlight w:val="none"/>
          <w:lang w:val="en-US" w:eastAsia="zh-CN" w:bidi="ar-SA"/>
        </w:rPr>
        <w:t>第六章  采购合同（范本）</w:t>
      </w:r>
    </w:p>
    <w:p w14:paraId="491C91B8">
      <w:pPr>
        <w:shd w:val="clear"/>
        <w:rPr>
          <w:color w:val="auto"/>
          <w:highlight w:val="none"/>
        </w:rPr>
      </w:pPr>
    </w:p>
    <w:p w14:paraId="7A0DCC14">
      <w:pPr>
        <w:shd w:val="clear"/>
        <w:rPr>
          <w:color w:val="auto"/>
          <w:highlight w:val="none"/>
        </w:rPr>
      </w:pPr>
    </w:p>
    <w:p w14:paraId="42B309D4">
      <w:pPr>
        <w:shd w:val="clear"/>
        <w:rPr>
          <w:color w:val="auto"/>
          <w:highlight w:val="none"/>
        </w:rPr>
      </w:pPr>
    </w:p>
    <w:p w14:paraId="296C8CA3">
      <w:pPr>
        <w:shd w:val="clear"/>
        <w:rPr>
          <w:color w:val="auto"/>
          <w:highlight w:val="none"/>
        </w:rPr>
      </w:pPr>
    </w:p>
    <w:p w14:paraId="05E099CC">
      <w:pPr>
        <w:shd w:val="clear"/>
        <w:rPr>
          <w:color w:val="auto"/>
          <w:highlight w:val="none"/>
        </w:rPr>
      </w:pPr>
    </w:p>
    <w:p w14:paraId="13F1D7FC">
      <w:pPr>
        <w:shd w:val="clear"/>
        <w:rPr>
          <w:color w:val="auto"/>
          <w:highlight w:val="none"/>
        </w:rPr>
      </w:pPr>
    </w:p>
    <w:p w14:paraId="18920A31">
      <w:pPr>
        <w:shd w:val="clear"/>
        <w:rPr>
          <w:color w:val="auto"/>
          <w:highlight w:val="none"/>
        </w:rPr>
      </w:pPr>
    </w:p>
    <w:p w14:paraId="43B5DC07">
      <w:pPr>
        <w:shd w:val="clear"/>
        <w:rPr>
          <w:color w:val="auto"/>
          <w:highlight w:val="none"/>
        </w:rPr>
      </w:pPr>
    </w:p>
    <w:p w14:paraId="75B6DBD0">
      <w:pPr>
        <w:shd w:val="clear"/>
        <w:rPr>
          <w:color w:val="auto"/>
          <w:highlight w:val="none"/>
        </w:rPr>
      </w:pPr>
    </w:p>
    <w:p w14:paraId="4BE46FFA">
      <w:pPr>
        <w:shd w:val="clear"/>
        <w:rPr>
          <w:color w:val="auto"/>
          <w:highlight w:val="none"/>
        </w:rPr>
      </w:pPr>
    </w:p>
    <w:p w14:paraId="1A86A4C5">
      <w:pPr>
        <w:shd w:val="clear"/>
        <w:rPr>
          <w:color w:val="auto"/>
          <w:highlight w:val="none"/>
        </w:rPr>
      </w:pPr>
    </w:p>
    <w:p w14:paraId="11600753">
      <w:pPr>
        <w:shd w:val="clear"/>
        <w:rPr>
          <w:color w:val="auto"/>
          <w:highlight w:val="none"/>
        </w:rPr>
      </w:pPr>
    </w:p>
    <w:p w14:paraId="005BC5CC">
      <w:pPr>
        <w:shd w:val="clear"/>
        <w:rPr>
          <w:color w:val="auto"/>
          <w:highlight w:val="none"/>
        </w:rPr>
      </w:pPr>
    </w:p>
    <w:p w14:paraId="71D7AA00">
      <w:pPr>
        <w:shd w:val="clear"/>
        <w:rPr>
          <w:color w:val="auto"/>
          <w:highlight w:val="none"/>
        </w:rPr>
      </w:pPr>
    </w:p>
    <w:p w14:paraId="571A9EB5">
      <w:pPr>
        <w:shd w:val="clear"/>
        <w:rPr>
          <w:color w:val="auto"/>
          <w:highlight w:val="none"/>
        </w:rPr>
      </w:pPr>
    </w:p>
    <w:p w14:paraId="0F14D777">
      <w:pPr>
        <w:shd w:val="clear"/>
        <w:rPr>
          <w:color w:val="auto"/>
          <w:highlight w:val="none"/>
        </w:rPr>
      </w:pPr>
    </w:p>
    <w:p w14:paraId="30542DBF">
      <w:pPr>
        <w:shd w:val="clear"/>
        <w:rPr>
          <w:color w:val="auto"/>
          <w:highlight w:val="none"/>
        </w:rPr>
      </w:pPr>
    </w:p>
    <w:p w14:paraId="3323204E">
      <w:pPr>
        <w:shd w:val="clear"/>
        <w:rPr>
          <w:color w:val="auto"/>
          <w:highlight w:val="none"/>
        </w:rPr>
      </w:pPr>
    </w:p>
    <w:p w14:paraId="233781BC">
      <w:pPr>
        <w:shd w:val="clear"/>
        <w:rPr>
          <w:color w:val="auto"/>
          <w:highlight w:val="none"/>
        </w:rPr>
      </w:pPr>
    </w:p>
    <w:p w14:paraId="7B614783">
      <w:pPr>
        <w:shd w:val="clear"/>
        <w:rPr>
          <w:color w:val="auto"/>
          <w:highlight w:val="none"/>
        </w:rPr>
      </w:pPr>
    </w:p>
    <w:p w14:paraId="24DFF8C9">
      <w:pPr>
        <w:shd w:val="clear"/>
        <w:rPr>
          <w:color w:val="auto"/>
          <w:highlight w:val="none"/>
        </w:rPr>
      </w:pPr>
    </w:p>
    <w:p w14:paraId="444D6249">
      <w:pPr>
        <w:shd w:val="clear"/>
        <w:rPr>
          <w:color w:val="auto"/>
          <w:highlight w:val="none"/>
        </w:rPr>
      </w:pPr>
    </w:p>
    <w:p w14:paraId="0AA15D09">
      <w:pPr>
        <w:shd w:val="clear"/>
        <w:rPr>
          <w:color w:val="auto"/>
          <w:highlight w:val="none"/>
        </w:rPr>
      </w:pPr>
    </w:p>
    <w:p w14:paraId="1B341A69">
      <w:pPr>
        <w:shd w:val="clear"/>
        <w:rPr>
          <w:color w:val="auto"/>
          <w:highlight w:val="none"/>
        </w:rPr>
      </w:pPr>
    </w:p>
    <w:p w14:paraId="378C6400">
      <w:pPr>
        <w:shd w:val="clear"/>
        <w:rPr>
          <w:color w:val="auto"/>
          <w:highlight w:val="none"/>
        </w:rPr>
      </w:pPr>
    </w:p>
    <w:p w14:paraId="3CB7E386">
      <w:pPr>
        <w:shd w:val="clear"/>
        <w:rPr>
          <w:color w:val="auto"/>
          <w:highlight w:val="none"/>
        </w:rPr>
      </w:pPr>
    </w:p>
    <w:p w14:paraId="655AA599">
      <w:pPr>
        <w:shd w:val="clear"/>
        <w:rPr>
          <w:color w:val="auto"/>
          <w:highlight w:val="none"/>
        </w:rPr>
      </w:pPr>
    </w:p>
    <w:p w14:paraId="65CC6F73">
      <w:pPr>
        <w:shd w:val="clear"/>
        <w:rPr>
          <w:color w:val="auto"/>
          <w:highlight w:val="none"/>
        </w:rPr>
      </w:pPr>
    </w:p>
    <w:p w14:paraId="49EAEC0F">
      <w:pPr>
        <w:shd w:val="clear"/>
        <w:rPr>
          <w:color w:val="auto"/>
          <w:highlight w:val="none"/>
        </w:rPr>
      </w:pPr>
    </w:p>
    <w:p w14:paraId="6919B404">
      <w:pPr>
        <w:shd w:val="clear"/>
        <w:rPr>
          <w:color w:val="auto"/>
          <w:highlight w:val="none"/>
        </w:rPr>
      </w:pPr>
    </w:p>
    <w:p w14:paraId="3BDABB6F">
      <w:pPr>
        <w:shd w:val="clear"/>
        <w:rPr>
          <w:color w:val="auto"/>
          <w:highlight w:val="none"/>
        </w:rPr>
      </w:pPr>
    </w:p>
    <w:p w14:paraId="5814CD07">
      <w:pPr>
        <w:shd w:val="clear"/>
        <w:rPr>
          <w:color w:val="auto"/>
          <w:highlight w:val="none"/>
        </w:rPr>
      </w:pPr>
    </w:p>
    <w:p w14:paraId="2B5FEE8E">
      <w:pPr>
        <w:shd w:val="clear"/>
        <w:rPr>
          <w:color w:val="auto"/>
          <w:highlight w:val="none"/>
        </w:rPr>
      </w:pPr>
    </w:p>
    <w:p w14:paraId="2A4B37AA">
      <w:pPr>
        <w:shd w:val="clear"/>
        <w:rPr>
          <w:color w:val="auto"/>
          <w:highlight w:val="none"/>
        </w:rPr>
      </w:pPr>
    </w:p>
    <w:p w14:paraId="3BAF1BFF">
      <w:pPr>
        <w:shd w:val="clear"/>
        <w:rPr>
          <w:color w:val="auto"/>
          <w:highlight w:val="none"/>
        </w:rPr>
      </w:pPr>
    </w:p>
    <w:p w14:paraId="6AC86F88">
      <w:pPr>
        <w:shd w:val="clear"/>
        <w:rPr>
          <w:color w:val="auto"/>
          <w:highlight w:val="none"/>
        </w:rPr>
      </w:pPr>
    </w:p>
    <w:p w14:paraId="042D7C99">
      <w:pPr>
        <w:shd w:val="clear"/>
        <w:rPr>
          <w:color w:val="auto"/>
          <w:highlight w:val="none"/>
        </w:rPr>
      </w:pPr>
    </w:p>
    <w:p w14:paraId="2C197FAE">
      <w:pPr>
        <w:shd w:val="clear"/>
        <w:rPr>
          <w:color w:val="auto"/>
          <w:highlight w:val="none"/>
        </w:rPr>
      </w:pPr>
    </w:p>
    <w:p w14:paraId="355CDAD7">
      <w:pPr>
        <w:shd w:val="clear"/>
        <w:rPr>
          <w:color w:val="auto"/>
          <w:highlight w:val="none"/>
        </w:rPr>
      </w:pPr>
    </w:p>
    <w:p w14:paraId="14627696">
      <w:pPr>
        <w:shd w:val="clear"/>
        <w:rPr>
          <w:color w:val="auto"/>
          <w:highlight w:val="none"/>
        </w:rPr>
      </w:pPr>
    </w:p>
    <w:p w14:paraId="272183F7">
      <w:pPr>
        <w:shd w:val="clear"/>
        <w:rPr>
          <w:color w:val="auto"/>
          <w:highlight w:val="none"/>
        </w:rPr>
      </w:pPr>
    </w:p>
    <w:p w14:paraId="2C9C204E">
      <w:pPr>
        <w:keepNext w:val="0"/>
        <w:keepLines w:val="0"/>
        <w:pageBreakBefore w:val="0"/>
        <w:widowControl w:val="0"/>
        <w:kinsoku/>
        <w:wordWrap/>
        <w:overflowPunct/>
        <w:topLinePunct w:val="0"/>
        <w:autoSpaceDE/>
        <w:autoSpaceDN/>
        <w:bidi w:val="0"/>
        <w:adjustRightInd/>
        <w:snapToGrid/>
        <w:spacing w:beforeAutospacing="0" w:afterAutospacing="0" w:line="480" w:lineRule="auto"/>
        <w:jc w:val="center"/>
        <w:textAlignment w:val="auto"/>
        <w:outlineLvl w:val="9"/>
        <w:rPr>
          <w:rFonts w:hint="eastAsia" w:ascii="楷体" w:hAnsi="楷体" w:eastAsia="楷体" w:cs="楷体"/>
          <w:b/>
          <w:bCs/>
          <w:sz w:val="44"/>
          <w:szCs w:val="44"/>
          <w:highlight w:val="none"/>
        </w:rPr>
      </w:pPr>
      <w:r>
        <w:rPr>
          <w:rFonts w:hint="eastAsia" w:ascii="楷体" w:hAnsi="楷体" w:eastAsia="楷体" w:cs="楷体"/>
          <w:b/>
          <w:bCs/>
          <w:sz w:val="44"/>
          <w:szCs w:val="44"/>
          <w:highlight w:val="none"/>
        </w:rPr>
        <w:t>采 购 合 同</w:t>
      </w:r>
    </w:p>
    <w:p w14:paraId="582FE2C3">
      <w:pPr>
        <w:pStyle w:val="14"/>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firstLine="0" w:firstLineChars="0"/>
        <w:jc w:val="right"/>
        <w:textAlignment w:val="auto"/>
        <w:outlineLvl w:val="9"/>
        <w:rPr>
          <w:rFonts w:hint="eastAsia" w:ascii="仿宋" w:hAnsi="仿宋" w:eastAsia="仿宋" w:cs="仿宋"/>
          <w:sz w:val="28"/>
          <w:szCs w:val="28"/>
          <w:highlight w:val="none"/>
        </w:rPr>
      </w:pPr>
    </w:p>
    <w:p w14:paraId="05B05F48">
      <w:pPr>
        <w:pStyle w:val="14"/>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firstLine="0" w:firstLineChars="0"/>
        <w:jc w:val="right"/>
        <w:textAlignment w:val="auto"/>
        <w:outlineLvl w:val="9"/>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合同编号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WLGC2026-015</w:t>
      </w:r>
    </w:p>
    <w:p w14:paraId="58B04602">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甲方：</w:t>
      </w:r>
      <w:r>
        <w:rPr>
          <w:rFonts w:hint="eastAsia" w:ascii="仿宋" w:hAnsi="仿宋" w:eastAsia="仿宋" w:cs="仿宋"/>
          <w:color w:val="000000"/>
          <w:kern w:val="0"/>
          <w:sz w:val="28"/>
          <w:szCs w:val="28"/>
          <w:highlight w:val="none"/>
          <w:u w:val="single"/>
        </w:rPr>
        <w:t>威海市国家粮食储备库有限公司</w:t>
      </w:r>
    </w:p>
    <w:p w14:paraId="2F73968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u w:val="single"/>
          <w:lang w:eastAsia="zh-CN"/>
        </w:rPr>
      </w:pPr>
      <w:r>
        <w:rPr>
          <w:rFonts w:hint="eastAsia" w:ascii="仿宋" w:hAnsi="仿宋" w:eastAsia="仿宋" w:cs="仿宋"/>
          <w:color w:val="000000"/>
          <w:kern w:val="0"/>
          <w:sz w:val="28"/>
          <w:szCs w:val="28"/>
          <w:highlight w:val="none"/>
        </w:rPr>
        <w:t>乙方：</w:t>
      </w:r>
      <w:r>
        <w:rPr>
          <w:rFonts w:hint="eastAsia" w:ascii="仿宋" w:hAnsi="仿宋" w:eastAsia="仿宋" w:cs="仿宋"/>
          <w:color w:val="000000"/>
          <w:kern w:val="0"/>
          <w:sz w:val="28"/>
          <w:szCs w:val="28"/>
          <w:highlight w:val="none"/>
          <w:u w:val="single"/>
          <w:lang w:eastAsia="zh-CN"/>
        </w:rPr>
        <w:t xml:space="preserve">                      </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u w:val="single"/>
          <w:lang w:eastAsia="zh-CN"/>
        </w:rPr>
        <w:t xml:space="preserve">  </w:t>
      </w:r>
    </w:p>
    <w:p w14:paraId="29F74A01">
      <w:pPr>
        <w:pStyle w:val="2"/>
        <w:keepNext w:val="0"/>
        <w:keepLines w:val="0"/>
        <w:pageBreakBefore w:val="0"/>
        <w:kinsoku/>
        <w:wordWrap/>
        <w:overflowPunct/>
        <w:topLinePunct w:val="0"/>
        <w:autoSpaceDE/>
        <w:autoSpaceDN/>
        <w:bidi w:val="0"/>
        <w:adjustRightInd/>
        <w:snapToGrid/>
        <w:spacing w:beforeAutospacing="0" w:after="0" w:afterAutospacing="0" w:line="480" w:lineRule="exact"/>
        <w:ind w:left="0" w:firstLine="560" w:firstLineChars="200"/>
        <w:jc w:val="both"/>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山东志诚工程咨询管理有限公司</w:t>
      </w:r>
      <w:r>
        <w:rPr>
          <w:rFonts w:hint="eastAsia" w:ascii="仿宋" w:hAnsi="仿宋" w:eastAsia="仿宋" w:cs="仿宋"/>
          <w:sz w:val="28"/>
          <w:szCs w:val="28"/>
          <w:highlight w:val="none"/>
        </w:rPr>
        <w:t>（代理机构名称）以公开招标方式</w:t>
      </w:r>
      <w:r>
        <w:rPr>
          <w:rFonts w:hint="eastAsia" w:ascii="仿宋" w:hAnsi="仿宋" w:eastAsia="仿宋" w:cs="仿宋"/>
          <w:sz w:val="28"/>
          <w:szCs w:val="28"/>
          <w:highlight w:val="none"/>
          <w:lang w:val="en-US" w:eastAsia="zh-CN"/>
        </w:rPr>
        <w:t>为</w:t>
      </w:r>
      <w:r>
        <w:rPr>
          <w:rFonts w:hint="eastAsia" w:ascii="仿宋" w:hAnsi="仿宋" w:eastAsia="仿宋" w:cs="仿宋"/>
          <w:sz w:val="28"/>
          <w:szCs w:val="28"/>
          <w:highlight w:val="none"/>
          <w:u w:val="single"/>
        </w:rPr>
        <w:t>威海市国家粮食储备库有限公司</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甲</w:t>
      </w:r>
      <w:r>
        <w:rPr>
          <w:rFonts w:hint="eastAsia" w:ascii="仿宋" w:hAnsi="仿宋" w:eastAsia="仿宋" w:cs="仿宋"/>
          <w:sz w:val="28"/>
          <w:szCs w:val="28"/>
          <w:highlight w:val="none"/>
        </w:rPr>
        <w:t>方）所需</w:t>
      </w:r>
      <w:r>
        <w:rPr>
          <w:rFonts w:hint="eastAsia" w:ascii="仿宋" w:hAnsi="仿宋" w:eastAsia="仿宋" w:cs="仿宋"/>
          <w:sz w:val="28"/>
          <w:szCs w:val="28"/>
          <w:highlight w:val="none"/>
          <w:u w:val="single"/>
          <w:lang w:val="en-US" w:eastAsia="zh-CN"/>
        </w:rPr>
        <w:t>粮食输送设备采购项目</w:t>
      </w:r>
      <w:r>
        <w:rPr>
          <w:rFonts w:hint="eastAsia" w:ascii="仿宋" w:hAnsi="仿宋" w:eastAsia="仿宋" w:cs="仿宋"/>
          <w:sz w:val="28"/>
          <w:szCs w:val="28"/>
          <w:highlight w:val="none"/>
        </w:rPr>
        <w:t xml:space="preserve"> (项目名称)进行采购。经评标委员会确定</w:t>
      </w:r>
      <w:r>
        <w:rPr>
          <w:rFonts w:hint="eastAsia" w:ascii="仿宋" w:hAnsi="仿宋" w:eastAsia="仿宋" w:cs="仿宋"/>
          <w:sz w:val="28"/>
          <w:szCs w:val="28"/>
          <w:highlight w:val="none"/>
          <w:u w:val="single"/>
          <w:lang w:eastAsia="zh-CN"/>
        </w:rPr>
        <w:t xml:space="preserve">                        </w:t>
      </w:r>
      <w:r>
        <w:rPr>
          <w:rFonts w:hint="eastAsia" w:ascii="仿宋" w:hAnsi="仿宋" w:eastAsia="仿宋" w:cs="仿宋"/>
          <w:sz w:val="28"/>
          <w:szCs w:val="28"/>
          <w:highlight w:val="none"/>
        </w:rPr>
        <w:t>（乙方）为中标单位。</w:t>
      </w:r>
    </w:p>
    <w:p w14:paraId="2C9EF2BD">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双方经过平等协商，在真实、充分地表达各自意愿的基础上，根据《中华人民共和国</w:t>
      </w:r>
      <w:r>
        <w:rPr>
          <w:rFonts w:hint="eastAsia" w:ascii="仿宋" w:hAnsi="仿宋" w:eastAsia="仿宋" w:cs="仿宋"/>
          <w:kern w:val="0"/>
          <w:sz w:val="28"/>
          <w:szCs w:val="28"/>
          <w:highlight w:val="none"/>
        </w:rPr>
        <w:t>民法典</w:t>
      </w:r>
      <w:r>
        <w:rPr>
          <w:rFonts w:hint="eastAsia" w:ascii="仿宋" w:hAnsi="仿宋" w:eastAsia="仿宋" w:cs="仿宋"/>
          <w:color w:val="000000"/>
          <w:kern w:val="0"/>
          <w:sz w:val="28"/>
          <w:szCs w:val="28"/>
          <w:highlight w:val="none"/>
        </w:rPr>
        <w:t>》的规定，达成如下协议，并由双方共同恪守：</w:t>
      </w:r>
    </w:p>
    <w:p w14:paraId="5A0B8455">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leftChars="0" w:firstLine="560" w:firstLineChars="200"/>
        <w:jc w:val="both"/>
        <w:textAlignment w:val="auto"/>
        <w:outlineLvl w:val="9"/>
        <w:rPr>
          <w:rFonts w:hint="eastAsia" w:ascii="仿宋" w:hAnsi="仿宋" w:eastAsia="仿宋" w:cs="仿宋"/>
          <w:color w:val="000000"/>
          <w:kern w:val="0"/>
          <w:sz w:val="28"/>
          <w:szCs w:val="28"/>
          <w:highlight w:val="none"/>
        </w:rPr>
      </w:pPr>
      <w:r>
        <w:rPr>
          <w:rFonts w:hint="default" w:ascii="仿宋" w:hAnsi="仿宋" w:eastAsia="仿宋" w:cs="仿宋"/>
          <w:color w:val="000000"/>
          <w:kern w:val="0"/>
          <w:sz w:val="28"/>
          <w:szCs w:val="28"/>
          <w:highlight w:val="none"/>
          <w:lang w:val="en-US" w:eastAsia="zh-CN" w:bidi="ar-SA"/>
        </w:rPr>
        <w:t>第一条</w:t>
      </w:r>
      <w:r>
        <w:rPr>
          <w:rFonts w:hint="eastAsia" w:ascii="仿宋" w:hAnsi="仿宋" w:eastAsia="仿宋" w:cs="仿宋"/>
          <w:color w:val="000000"/>
          <w:kern w:val="0"/>
          <w:sz w:val="28"/>
          <w:szCs w:val="28"/>
          <w:highlight w:val="none"/>
          <w:lang w:val="en-US" w:eastAsia="zh-CN" w:bidi="ar-SA"/>
        </w:rPr>
        <w:t xml:space="preserve"> </w:t>
      </w:r>
      <w:r>
        <w:rPr>
          <w:rFonts w:hint="eastAsia" w:ascii="仿宋" w:hAnsi="仿宋" w:eastAsia="仿宋" w:cs="仿宋"/>
          <w:color w:val="000000"/>
          <w:kern w:val="0"/>
          <w:sz w:val="28"/>
          <w:szCs w:val="28"/>
          <w:highlight w:val="none"/>
        </w:rPr>
        <w:t>合同标的</w:t>
      </w:r>
    </w:p>
    <w:p w14:paraId="33E63D0F">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vanish/>
          <w:kern w:val="0"/>
          <w:sz w:val="28"/>
          <w:szCs w:val="28"/>
          <w:highlight w:val="none"/>
        </w:rPr>
      </w:pPr>
    </w:p>
    <w:p w14:paraId="6EE3B84F">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本合同标的物为</w:t>
      </w:r>
      <w:r>
        <w:rPr>
          <w:rFonts w:hint="eastAsia" w:ascii="仿宋" w:hAnsi="仿宋" w:eastAsia="仿宋" w:cs="仿宋"/>
          <w:color w:val="000000"/>
          <w:kern w:val="0"/>
          <w:sz w:val="28"/>
          <w:szCs w:val="28"/>
          <w:highlight w:val="none"/>
          <w:lang w:eastAsia="zh-CN"/>
        </w:rPr>
        <w:t>多功能转向装仓机</w:t>
      </w:r>
      <w:r>
        <w:rPr>
          <w:rFonts w:hint="eastAsia" w:ascii="仿宋" w:hAnsi="仿宋" w:eastAsia="仿宋" w:cs="仿宋"/>
          <w:color w:val="000000"/>
          <w:kern w:val="0"/>
          <w:sz w:val="28"/>
          <w:szCs w:val="28"/>
          <w:highlight w:val="none"/>
          <w:lang w:val="en-US" w:eastAsia="zh-CN"/>
        </w:rPr>
        <w:t>2台</w:t>
      </w:r>
      <w:r>
        <w:rPr>
          <w:rFonts w:hint="eastAsia" w:ascii="仿宋" w:hAnsi="仿宋" w:eastAsia="仿宋" w:cs="仿宋"/>
          <w:color w:val="000000"/>
          <w:kern w:val="0"/>
          <w:sz w:val="28"/>
          <w:szCs w:val="28"/>
          <w:highlight w:val="none"/>
        </w:rPr>
        <w:t>，具体详见</w:t>
      </w:r>
      <w:r>
        <w:rPr>
          <w:rFonts w:hint="eastAsia" w:ascii="仿宋" w:hAnsi="仿宋" w:eastAsia="仿宋" w:cs="仿宋"/>
          <w:color w:val="000000"/>
          <w:kern w:val="0"/>
          <w:sz w:val="28"/>
          <w:szCs w:val="28"/>
          <w:highlight w:val="none"/>
          <w:lang w:val="en-US" w:eastAsia="zh-CN"/>
        </w:rPr>
        <w:t>附件</w:t>
      </w:r>
      <w:r>
        <w:rPr>
          <w:rFonts w:hint="eastAsia" w:ascii="仿宋" w:hAnsi="仿宋" w:eastAsia="仿宋" w:cs="仿宋"/>
          <w:color w:val="000000"/>
          <w:kern w:val="0"/>
          <w:sz w:val="28"/>
          <w:szCs w:val="28"/>
          <w:highlight w:val="none"/>
        </w:rPr>
        <w:t>。</w:t>
      </w:r>
    </w:p>
    <w:p w14:paraId="1A0BC7EA">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第二条 质量保证和技术标准</w:t>
      </w:r>
    </w:p>
    <w:p w14:paraId="7FE2CD2D">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1、乙方提供的货物必须符合中华人民共和国国家安全环保标准、国家有关产品质量认证标准，以及招标文件和乙方投标文件中规定的质量要求和技术指标</w:t>
      </w:r>
      <w:r>
        <w:rPr>
          <w:rFonts w:hint="eastAsia" w:ascii="仿宋" w:hAnsi="仿宋" w:eastAsia="仿宋" w:cs="仿宋"/>
          <w:color w:val="000000"/>
          <w:kern w:val="0"/>
          <w:sz w:val="28"/>
          <w:szCs w:val="28"/>
          <w:highlight w:val="none"/>
          <w:lang w:val="en-US" w:eastAsia="zh-CN"/>
        </w:rPr>
        <w:t>的</w:t>
      </w:r>
      <w:r>
        <w:rPr>
          <w:rFonts w:hint="eastAsia" w:ascii="仿宋" w:hAnsi="仿宋" w:eastAsia="仿宋" w:cs="仿宋"/>
          <w:color w:val="000000"/>
          <w:kern w:val="0"/>
          <w:sz w:val="28"/>
          <w:szCs w:val="28"/>
          <w:highlight w:val="none"/>
        </w:rPr>
        <w:t>约定标准；甲乙双方如遇对质量要求和技术指标的约定标准有相互抵触或异议的事项，由甲方在招标与投标文件中按质量要求和技术指标比较优胜的原则确定该项的约定标准。</w:t>
      </w:r>
    </w:p>
    <w:p w14:paraId="145C007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2、乙方提供的货物（含零配件、随机工具等）必须是全新的、表面和内部均无瑕疵的原厂正品。</w:t>
      </w:r>
    </w:p>
    <w:p w14:paraId="3EC5639C">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3、包装和运输：</w:t>
      </w:r>
    </w:p>
    <w:p w14:paraId="5FBA61DC">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（1）乙方应采取防潮、防雨、防冻、防锈等相应措施对货物进行包装，确保货物在正常作业和装卸条件下安全无损地到达合同指定地点。</w:t>
      </w:r>
    </w:p>
    <w:p w14:paraId="5296E8E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（2）包装箱及每一附件应由乙方注明货物名称、型号、件数、附件名，包装箱内应附有产品说明书和使用说明书。</w:t>
      </w:r>
    </w:p>
    <w:p w14:paraId="24BAADFB">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第三条 保修和售后服务</w:t>
      </w:r>
    </w:p>
    <w:p w14:paraId="7432961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乙方根据下表向甲方提供货物的保修和保养服务：</w:t>
      </w:r>
    </w:p>
    <w:tbl>
      <w:tblPr>
        <w:tblStyle w:val="30"/>
        <w:tblW w:w="4997" w:type="pct"/>
        <w:tblInd w:w="0" w:type="dxa"/>
        <w:tblLayout w:type="autofit"/>
        <w:tblCellMar>
          <w:top w:w="0" w:type="dxa"/>
          <w:left w:w="0" w:type="dxa"/>
          <w:bottom w:w="0" w:type="dxa"/>
          <w:right w:w="0" w:type="dxa"/>
        </w:tblCellMar>
      </w:tblPr>
      <w:tblGrid>
        <w:gridCol w:w="3158"/>
        <w:gridCol w:w="6710"/>
      </w:tblGrid>
      <w:tr w14:paraId="7EE06B93">
        <w:tblPrEx>
          <w:tblCellMar>
            <w:top w:w="0" w:type="dxa"/>
            <w:left w:w="0" w:type="dxa"/>
            <w:bottom w:w="0" w:type="dxa"/>
            <w:right w:w="0" w:type="dxa"/>
          </w:tblCellMar>
        </w:tblPrEx>
        <w:tc>
          <w:tcPr>
            <w:tcW w:w="1600" w:type="pct"/>
            <w:tcBorders>
              <w:top w:val="single" w:color="000000" w:sz="6" w:space="0"/>
              <w:left w:val="single" w:color="000000" w:sz="6" w:space="0"/>
              <w:bottom w:val="single" w:color="000000" w:sz="6" w:space="0"/>
              <w:right w:val="single" w:color="000000" w:sz="6" w:space="0"/>
            </w:tcBorders>
            <w:noWrap w:val="0"/>
            <w:tcMar>
              <w:top w:w="67" w:type="dxa"/>
              <w:left w:w="67" w:type="dxa"/>
              <w:bottom w:w="67" w:type="dxa"/>
              <w:right w:w="67" w:type="dxa"/>
            </w:tcMar>
            <w:vAlign w:val="center"/>
          </w:tcPr>
          <w:p w14:paraId="4CA4BA0B">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center"/>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货物类型</w:t>
            </w:r>
          </w:p>
        </w:tc>
        <w:tc>
          <w:tcPr>
            <w:tcW w:w="3399" w:type="pct"/>
            <w:tcBorders>
              <w:top w:val="single" w:color="000000" w:sz="6" w:space="0"/>
              <w:left w:val="single" w:color="000000" w:sz="6" w:space="0"/>
              <w:bottom w:val="single" w:color="000000" w:sz="6" w:space="0"/>
              <w:right w:val="single" w:color="000000" w:sz="6" w:space="0"/>
            </w:tcBorders>
            <w:noWrap w:val="0"/>
            <w:tcMar>
              <w:top w:w="67" w:type="dxa"/>
              <w:left w:w="67" w:type="dxa"/>
              <w:bottom w:w="67" w:type="dxa"/>
              <w:right w:w="67" w:type="dxa"/>
            </w:tcMar>
            <w:vAlign w:val="center"/>
          </w:tcPr>
          <w:p w14:paraId="7181179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center"/>
              <w:textAlignment w:val="auto"/>
              <w:outlineLvl w:val="9"/>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lang w:val="en-US" w:eastAsia="zh-CN"/>
              </w:rPr>
              <w:t>质保期</w:t>
            </w:r>
          </w:p>
        </w:tc>
      </w:tr>
      <w:tr w14:paraId="327955EC">
        <w:tblPrEx>
          <w:tblCellMar>
            <w:top w:w="0" w:type="dxa"/>
            <w:left w:w="0" w:type="dxa"/>
            <w:bottom w:w="0" w:type="dxa"/>
            <w:right w:w="0" w:type="dxa"/>
          </w:tblCellMar>
        </w:tblPrEx>
        <w:tc>
          <w:tcPr>
            <w:tcW w:w="1600" w:type="pct"/>
            <w:tcBorders>
              <w:top w:val="single" w:color="000000" w:sz="6" w:space="0"/>
              <w:left w:val="single" w:color="000000" w:sz="6" w:space="0"/>
              <w:bottom w:val="single" w:color="000000" w:sz="6" w:space="0"/>
              <w:right w:val="single" w:color="000000" w:sz="6" w:space="0"/>
            </w:tcBorders>
            <w:noWrap w:val="0"/>
            <w:tcMar>
              <w:top w:w="67" w:type="dxa"/>
              <w:left w:w="67" w:type="dxa"/>
              <w:bottom w:w="67" w:type="dxa"/>
              <w:right w:w="67" w:type="dxa"/>
            </w:tcMar>
            <w:vAlign w:val="center"/>
          </w:tcPr>
          <w:p w14:paraId="4B49021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center"/>
              <w:textAlignment w:val="auto"/>
              <w:outlineLvl w:val="9"/>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lang w:eastAsia="zh-CN"/>
              </w:rPr>
              <w:t>多功能转向装仓机</w:t>
            </w:r>
          </w:p>
        </w:tc>
        <w:tc>
          <w:tcPr>
            <w:tcW w:w="3399" w:type="pct"/>
            <w:tcBorders>
              <w:top w:val="single" w:color="000000" w:sz="6" w:space="0"/>
              <w:left w:val="single" w:color="000000" w:sz="6" w:space="0"/>
              <w:bottom w:val="single" w:color="000000" w:sz="6" w:space="0"/>
              <w:right w:val="single" w:color="000000" w:sz="6" w:space="0"/>
            </w:tcBorders>
            <w:noWrap w:val="0"/>
            <w:tcMar>
              <w:top w:w="67" w:type="dxa"/>
              <w:left w:w="67" w:type="dxa"/>
              <w:bottom w:w="67" w:type="dxa"/>
              <w:right w:w="67" w:type="dxa"/>
            </w:tcMar>
            <w:vAlign w:val="center"/>
          </w:tcPr>
          <w:p w14:paraId="3F5692E1">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center"/>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eastAsia="zh-CN"/>
              </w:rPr>
              <w:t>自验收合格并签署《质量验收报告》之日起</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年。</w:t>
            </w:r>
          </w:p>
        </w:tc>
      </w:tr>
    </w:tbl>
    <w:p w14:paraId="3087D49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w:t>
      </w:r>
      <w:r>
        <w:rPr>
          <w:rFonts w:hint="eastAsia" w:ascii="仿宋" w:hAnsi="仿宋" w:eastAsia="仿宋" w:cs="仿宋"/>
          <w:color w:val="000000"/>
          <w:kern w:val="0"/>
          <w:sz w:val="28"/>
          <w:szCs w:val="28"/>
          <w:highlight w:val="none"/>
          <w:lang w:val="en-US" w:eastAsia="zh-CN"/>
        </w:rPr>
        <w:t>质保期自</w:t>
      </w:r>
      <w:r>
        <w:rPr>
          <w:rFonts w:hint="eastAsia" w:ascii="仿宋" w:hAnsi="仿宋" w:eastAsia="仿宋" w:cs="仿宋"/>
          <w:color w:val="000000"/>
          <w:kern w:val="0"/>
          <w:sz w:val="28"/>
          <w:szCs w:val="28"/>
          <w:highlight w:val="none"/>
        </w:rPr>
        <w:t>甲方对货物验收合格并签署《质量验收报告》之日起计算。</w:t>
      </w:r>
    </w:p>
    <w:p w14:paraId="30ED941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2、在</w:t>
      </w:r>
      <w:r>
        <w:rPr>
          <w:rFonts w:hint="eastAsia" w:ascii="仿宋" w:hAnsi="仿宋" w:eastAsia="仿宋" w:cs="仿宋"/>
          <w:color w:val="000000"/>
          <w:kern w:val="0"/>
          <w:sz w:val="28"/>
          <w:szCs w:val="28"/>
          <w:highlight w:val="none"/>
          <w:lang w:val="en-US" w:eastAsia="zh-CN"/>
        </w:rPr>
        <w:t>质保期</w:t>
      </w:r>
      <w:r>
        <w:rPr>
          <w:rFonts w:hint="eastAsia" w:ascii="仿宋" w:hAnsi="仿宋" w:eastAsia="仿宋" w:cs="仿宋"/>
          <w:color w:val="000000"/>
          <w:kern w:val="0"/>
          <w:sz w:val="28"/>
          <w:szCs w:val="28"/>
          <w:highlight w:val="none"/>
        </w:rPr>
        <w:t>内，如货物非因甲方的人为原因而出现质量问题，甲方有权向乙方提出质量异议，乙方应负责包修、包换或包退，承担修理、调换或退货的实际费用。乙方保证在接到故障电话后</w:t>
      </w:r>
      <w:r>
        <w:rPr>
          <w:rFonts w:hint="eastAsia" w:ascii="仿宋" w:hAnsi="仿宋" w:eastAsia="仿宋" w:cs="仿宋"/>
          <w:color w:val="000000"/>
          <w:kern w:val="0"/>
          <w:sz w:val="28"/>
          <w:szCs w:val="28"/>
          <w:highlight w:val="none"/>
          <w:u w:val="single"/>
        </w:rPr>
        <w:t> </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rPr>
        <w:t>小时内响应用户要求，</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rPr>
        <w:t>小时内派员上门现场维护并在</w:t>
      </w:r>
      <w:r>
        <w:rPr>
          <w:rFonts w:hint="eastAsia" w:ascii="仿宋" w:hAnsi="仿宋" w:eastAsia="仿宋" w:cs="仿宋"/>
          <w:color w:val="000000"/>
          <w:kern w:val="0"/>
          <w:sz w:val="28"/>
          <w:szCs w:val="28"/>
          <w:highlight w:val="none"/>
          <w:u w:val="single"/>
        </w:rPr>
        <w:t> </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u w:val="single"/>
        </w:rPr>
        <w:t> </w:t>
      </w:r>
      <w:r>
        <w:rPr>
          <w:rFonts w:hint="eastAsia" w:ascii="仿宋" w:hAnsi="仿宋" w:eastAsia="仿宋" w:cs="仿宋"/>
          <w:color w:val="000000"/>
          <w:kern w:val="0"/>
          <w:sz w:val="28"/>
          <w:szCs w:val="28"/>
          <w:highlight w:val="none"/>
        </w:rPr>
        <w:t>小时内排除故障修复使用，如在规定时间内不能修复解决，则扣除质保金的10%作为赔偿。</w:t>
      </w:r>
    </w:p>
    <w:p w14:paraId="35BE3FD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第四条 价款和支付方式</w:t>
      </w:r>
    </w:p>
    <w:p w14:paraId="25F78274">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b/>
          <w:bCs/>
          <w:color w:val="000000"/>
          <w:kern w:val="0"/>
          <w:sz w:val="28"/>
          <w:szCs w:val="28"/>
          <w:highlight w:val="none"/>
          <w:lang w:eastAsia="zh-CN"/>
        </w:rPr>
      </w:pPr>
      <w:r>
        <w:rPr>
          <w:rFonts w:hint="eastAsia" w:ascii="仿宋" w:hAnsi="仿宋" w:eastAsia="仿宋" w:cs="仿宋"/>
          <w:color w:val="000000"/>
          <w:kern w:val="0"/>
          <w:sz w:val="28"/>
          <w:szCs w:val="28"/>
          <w:highlight w:val="none"/>
        </w:rPr>
        <w:t>1、</w:t>
      </w:r>
      <w:r>
        <w:rPr>
          <w:rFonts w:hint="eastAsia" w:ascii="仿宋" w:hAnsi="仿宋" w:eastAsia="仿宋" w:cs="仿宋"/>
          <w:b/>
          <w:bCs/>
          <w:color w:val="000000"/>
          <w:kern w:val="0"/>
          <w:sz w:val="28"/>
          <w:szCs w:val="28"/>
          <w:highlight w:val="none"/>
        </w:rPr>
        <w:t>合同总价：</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bCs/>
          <w:color w:val="000000"/>
          <w:kern w:val="0"/>
          <w:sz w:val="28"/>
          <w:szCs w:val="28"/>
          <w:highlight w:val="none"/>
        </w:rPr>
        <w:t>元 （人民币大写：</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bCs/>
          <w:color w:val="000000"/>
          <w:kern w:val="0"/>
          <w:sz w:val="28"/>
          <w:szCs w:val="28"/>
          <w:highlight w:val="none"/>
        </w:rPr>
        <w:t>），其中单台多功能转向装仓机单价为：</w:t>
      </w:r>
      <w:r>
        <w:rPr>
          <w:rFonts w:hint="eastAsia" w:ascii="仿宋" w:hAnsi="仿宋" w:eastAsia="仿宋" w:cs="仿宋"/>
          <w:b/>
          <w:bCs/>
          <w:color w:val="000000"/>
          <w:kern w:val="0"/>
          <w:sz w:val="28"/>
          <w:szCs w:val="28"/>
          <w:highlight w:val="none"/>
          <w:u w:val="single"/>
        </w:rPr>
        <w:t xml:space="preserve">       </w:t>
      </w:r>
      <w:r>
        <w:rPr>
          <w:rFonts w:hint="eastAsia" w:ascii="仿宋" w:hAnsi="仿宋" w:eastAsia="仿宋" w:cs="仿宋"/>
          <w:b/>
          <w:bCs/>
          <w:color w:val="000000"/>
          <w:kern w:val="0"/>
          <w:sz w:val="28"/>
          <w:szCs w:val="28"/>
          <w:highlight w:val="none"/>
        </w:rPr>
        <w:t>元（人民币大写：</w:t>
      </w:r>
      <w:r>
        <w:rPr>
          <w:rFonts w:hint="eastAsia" w:ascii="仿宋" w:hAnsi="仿宋" w:eastAsia="仿宋" w:cs="仿宋"/>
          <w:b/>
          <w:bCs/>
          <w:color w:val="000000"/>
          <w:kern w:val="0"/>
          <w:sz w:val="28"/>
          <w:szCs w:val="28"/>
          <w:highlight w:val="none"/>
          <w:u w:val="single"/>
        </w:rPr>
        <w:t xml:space="preserve">       </w:t>
      </w:r>
      <w:r>
        <w:rPr>
          <w:rFonts w:hint="eastAsia" w:ascii="仿宋" w:hAnsi="仿宋" w:eastAsia="仿宋" w:cs="仿宋"/>
          <w:b/>
          <w:bCs/>
          <w:color w:val="000000"/>
          <w:kern w:val="0"/>
          <w:sz w:val="28"/>
          <w:szCs w:val="28"/>
          <w:highlight w:val="none"/>
        </w:rPr>
        <w:t>）</w:t>
      </w:r>
      <w:r>
        <w:rPr>
          <w:rFonts w:hint="eastAsia" w:ascii="仿宋" w:hAnsi="仿宋" w:eastAsia="仿宋" w:cs="仿宋"/>
          <w:b/>
          <w:bCs/>
          <w:color w:val="000000"/>
          <w:kern w:val="0"/>
          <w:sz w:val="28"/>
          <w:szCs w:val="28"/>
          <w:highlight w:val="none"/>
          <w:lang w:eastAsia="zh-CN"/>
        </w:rPr>
        <w:t>。</w:t>
      </w:r>
    </w:p>
    <w:p w14:paraId="6D4DE742">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color w:val="000000"/>
          <w:kern w:val="0"/>
          <w:sz w:val="28"/>
          <w:szCs w:val="28"/>
          <w:highlight w:val="none"/>
        </w:rPr>
        <w:t>注：合同总价已包含货物的价款、包装、运输、装卸、安装、调试、技术、指导、培训、咨询、服务、保险、检测、验收合格交付使用之前以及技术和售后服务等等或其他各项有关费用，以及货物进口的商检、关税和海关手续等费用</w:t>
      </w:r>
      <w:r>
        <w:rPr>
          <w:rFonts w:hint="eastAsia" w:ascii="仿宋" w:hAnsi="仿宋" w:eastAsia="仿宋" w:cs="仿宋"/>
          <w:color w:val="000000"/>
          <w:kern w:val="0"/>
          <w:sz w:val="28"/>
          <w:szCs w:val="28"/>
          <w:highlight w:val="none"/>
          <w:lang w:eastAsia="zh-CN"/>
        </w:rPr>
        <w:t>（</w:t>
      </w:r>
      <w:r>
        <w:rPr>
          <w:rFonts w:hint="eastAsia" w:ascii="仿宋" w:hAnsi="仿宋" w:eastAsia="仿宋" w:cs="仿宋"/>
          <w:color w:val="000000"/>
          <w:kern w:val="0"/>
          <w:sz w:val="28"/>
          <w:szCs w:val="28"/>
          <w:highlight w:val="none"/>
          <w:lang w:val="en-US" w:eastAsia="zh-CN"/>
        </w:rPr>
        <w:t>如有</w:t>
      </w:r>
      <w:r>
        <w:rPr>
          <w:rFonts w:hint="eastAsia" w:ascii="仿宋" w:hAnsi="仿宋" w:eastAsia="仿宋" w:cs="仿宋"/>
          <w:color w:val="000000"/>
          <w:kern w:val="0"/>
          <w:sz w:val="28"/>
          <w:szCs w:val="28"/>
          <w:highlight w:val="none"/>
          <w:lang w:eastAsia="zh-CN"/>
        </w:rPr>
        <w:t>）</w:t>
      </w:r>
      <w:r>
        <w:rPr>
          <w:rFonts w:hint="eastAsia" w:ascii="仿宋" w:hAnsi="仿宋" w:eastAsia="仿宋" w:cs="仿宋"/>
          <w:color w:val="000000"/>
          <w:kern w:val="0"/>
          <w:sz w:val="28"/>
          <w:szCs w:val="28"/>
          <w:highlight w:val="none"/>
        </w:rPr>
        <w:t>，甲方无须向乙方另外支付本合同规定之外的任何费用。</w:t>
      </w:r>
    </w:p>
    <w:p w14:paraId="6B54C3AE">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2、支付方式：</w:t>
      </w:r>
      <w:r>
        <w:rPr>
          <w:rFonts w:hint="eastAsia" w:ascii="仿宋" w:hAnsi="仿宋" w:eastAsia="仿宋" w:cs="仿宋"/>
          <w:color w:val="000000"/>
          <w:kern w:val="0"/>
          <w:sz w:val="28"/>
          <w:szCs w:val="28"/>
          <w:highlight w:val="none"/>
          <w:u w:val="single"/>
        </w:rPr>
        <w:t>供货安装调试完毕且经甲方验收合格后付合同价款的95%，余款留作质保金，</w:t>
      </w:r>
      <w:r>
        <w:rPr>
          <w:rFonts w:hint="eastAsia" w:ascii="仿宋" w:hAnsi="仿宋" w:eastAsia="仿宋" w:cs="仿宋"/>
          <w:color w:val="000000"/>
          <w:kern w:val="0"/>
          <w:sz w:val="28"/>
          <w:szCs w:val="28"/>
          <w:highlight w:val="none"/>
          <w:u w:val="single"/>
          <w:lang w:eastAsia="zh-CN"/>
        </w:rPr>
        <w:t>自货物质保期届满且无</w:t>
      </w:r>
      <w:r>
        <w:rPr>
          <w:rFonts w:hint="eastAsia" w:ascii="仿宋" w:hAnsi="仿宋" w:eastAsia="仿宋" w:cs="仿宋"/>
          <w:color w:val="000000"/>
          <w:kern w:val="0"/>
          <w:sz w:val="28"/>
          <w:szCs w:val="28"/>
          <w:highlight w:val="none"/>
          <w:u w:val="single"/>
        </w:rPr>
        <w:t>质量问题后30日内无息返还。乙方应在甲方支付对应款项前，向甲方开具符合国家规定的、对应金额的增值税专用发票，乙方未按本约定开具发票的，甲方有权迟延支付款项，不承担违约责任。乙方必须在规定的时间内提供本单位的税务发票</w:t>
      </w:r>
      <w:r>
        <w:rPr>
          <w:rFonts w:hint="eastAsia" w:ascii="仿宋" w:hAnsi="仿宋" w:eastAsia="仿宋" w:cs="仿宋"/>
          <w:color w:val="000000"/>
          <w:kern w:val="0"/>
          <w:sz w:val="28"/>
          <w:szCs w:val="28"/>
          <w:highlight w:val="none"/>
        </w:rPr>
        <w:t>。</w:t>
      </w:r>
    </w:p>
    <w:p w14:paraId="76F414C4">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3、乙方开户银行：</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rPr>
        <w:t>，账号：</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rPr>
        <w:t>。</w:t>
      </w:r>
    </w:p>
    <w:p w14:paraId="65C43EA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第五条 交货时间、地点和方式</w:t>
      </w:r>
    </w:p>
    <w:p w14:paraId="45CB581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b/>
          <w:bCs/>
          <w:color w:val="000000"/>
          <w:kern w:val="0"/>
          <w:sz w:val="28"/>
          <w:szCs w:val="28"/>
          <w:highlight w:val="none"/>
        </w:rPr>
      </w:pPr>
      <w:r>
        <w:rPr>
          <w:rFonts w:hint="eastAsia" w:ascii="仿宋" w:hAnsi="仿宋" w:eastAsia="仿宋" w:cs="仿宋"/>
          <w:color w:val="000000"/>
          <w:kern w:val="0"/>
          <w:sz w:val="28"/>
          <w:szCs w:val="28"/>
          <w:highlight w:val="none"/>
        </w:rPr>
        <w:t>1、</w:t>
      </w:r>
      <w:r>
        <w:rPr>
          <w:rFonts w:hint="eastAsia" w:ascii="仿宋" w:hAnsi="仿宋" w:eastAsia="仿宋" w:cs="仿宋"/>
          <w:b/>
          <w:bCs/>
          <w:color w:val="000000"/>
          <w:kern w:val="0"/>
          <w:sz w:val="28"/>
          <w:szCs w:val="28"/>
          <w:highlight w:val="none"/>
        </w:rPr>
        <w:t>交货时间：</w:t>
      </w:r>
      <w:r>
        <w:rPr>
          <w:rFonts w:hint="eastAsia" w:ascii="仿宋" w:hAnsi="仿宋" w:eastAsia="仿宋" w:cs="仿宋"/>
          <w:b/>
          <w:bCs/>
          <w:color w:val="000000"/>
          <w:kern w:val="0"/>
          <w:sz w:val="28"/>
          <w:szCs w:val="28"/>
          <w:highlight w:val="none"/>
          <w:lang w:eastAsia="zh-CN"/>
        </w:rPr>
        <w:t>自合同签订生效之日起</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bCs/>
          <w:color w:val="000000"/>
          <w:kern w:val="0"/>
          <w:sz w:val="28"/>
          <w:szCs w:val="28"/>
          <w:highlight w:val="none"/>
          <w:lang w:eastAsia="zh-CN"/>
        </w:rPr>
        <w:t>个工作日内供货安装调试完毕</w:t>
      </w:r>
      <w:r>
        <w:rPr>
          <w:rFonts w:hint="eastAsia" w:ascii="仿宋" w:hAnsi="仿宋" w:eastAsia="仿宋" w:cs="仿宋"/>
          <w:b/>
          <w:bCs/>
          <w:color w:val="000000"/>
          <w:kern w:val="0"/>
          <w:sz w:val="28"/>
          <w:szCs w:val="28"/>
          <w:highlight w:val="none"/>
        </w:rPr>
        <w:t>，并提供技术培训和咨询服务。</w:t>
      </w:r>
    </w:p>
    <w:p w14:paraId="769243C0">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2、交货时，乙方应将货物的用户手册、保修手册等单证交付给甲方，其中：进口产品必须提供国家进出口商品检验部门的检验证明，国内产品还必须提供出厂合格证。</w:t>
      </w:r>
    </w:p>
    <w:p w14:paraId="60E660AA">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b/>
          <w:bCs/>
          <w:color w:val="000000"/>
          <w:kern w:val="0"/>
          <w:sz w:val="28"/>
          <w:szCs w:val="28"/>
          <w:highlight w:val="none"/>
        </w:rPr>
      </w:pPr>
      <w:r>
        <w:rPr>
          <w:rFonts w:hint="eastAsia" w:ascii="仿宋" w:hAnsi="仿宋" w:eastAsia="仿宋" w:cs="仿宋"/>
          <w:color w:val="000000"/>
          <w:kern w:val="0"/>
          <w:sz w:val="28"/>
          <w:szCs w:val="28"/>
          <w:highlight w:val="none"/>
        </w:rPr>
        <w:t>3、</w:t>
      </w:r>
      <w:r>
        <w:rPr>
          <w:rFonts w:hint="eastAsia" w:ascii="仿宋" w:hAnsi="仿宋" w:eastAsia="仿宋" w:cs="仿宋"/>
          <w:b/>
          <w:bCs/>
          <w:color w:val="000000"/>
          <w:kern w:val="0"/>
          <w:sz w:val="28"/>
          <w:szCs w:val="28"/>
          <w:highlight w:val="none"/>
        </w:rPr>
        <w:t>交货地点：</w:t>
      </w:r>
      <w:r>
        <w:rPr>
          <w:rFonts w:hint="eastAsia" w:ascii="仿宋" w:hAnsi="仿宋" w:eastAsia="仿宋" w:cs="仿宋"/>
          <w:b/>
          <w:bCs/>
          <w:color w:val="000000"/>
          <w:kern w:val="0"/>
          <w:sz w:val="28"/>
          <w:szCs w:val="28"/>
          <w:highlight w:val="none"/>
          <w:u w:val="single"/>
        </w:rPr>
        <w:t xml:space="preserve">   </w:t>
      </w:r>
      <w:r>
        <w:rPr>
          <w:rFonts w:hint="eastAsia" w:ascii="仿宋" w:hAnsi="仿宋" w:eastAsia="仿宋" w:cs="仿宋"/>
          <w:b/>
          <w:bCs/>
          <w:color w:val="000000"/>
          <w:kern w:val="0"/>
          <w:sz w:val="28"/>
          <w:szCs w:val="28"/>
          <w:highlight w:val="none"/>
          <w:u w:val="single"/>
          <w:lang w:val="en-US" w:eastAsia="zh-CN"/>
        </w:rPr>
        <w:t>甲方</w:t>
      </w:r>
      <w:r>
        <w:rPr>
          <w:rFonts w:hint="eastAsia" w:ascii="仿宋" w:hAnsi="仿宋" w:eastAsia="仿宋" w:cs="仿宋"/>
          <w:b/>
          <w:bCs/>
          <w:color w:val="000000"/>
          <w:kern w:val="0"/>
          <w:sz w:val="28"/>
          <w:szCs w:val="28"/>
          <w:highlight w:val="none"/>
          <w:u w:val="single"/>
        </w:rPr>
        <w:t xml:space="preserve">指定地点     </w:t>
      </w:r>
      <w:r>
        <w:rPr>
          <w:rFonts w:hint="eastAsia" w:ascii="仿宋" w:hAnsi="仿宋" w:eastAsia="仿宋" w:cs="仿宋"/>
          <w:b/>
          <w:bCs/>
          <w:color w:val="000000"/>
          <w:kern w:val="0"/>
          <w:sz w:val="28"/>
          <w:szCs w:val="28"/>
          <w:highlight w:val="none"/>
        </w:rPr>
        <w:t>。</w:t>
      </w:r>
    </w:p>
    <w:p w14:paraId="69E08DC2">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4、交货方式：由乙方送货上门。</w:t>
      </w:r>
    </w:p>
    <w:p w14:paraId="0FAFC4E1">
      <w:pPr>
        <w:widowControl/>
        <w:spacing w:line="480" w:lineRule="exact"/>
        <w:ind w:firstLine="560" w:firstLineChars="200"/>
        <w:outlineLvl w:val="9"/>
        <w:rPr>
          <w:rFonts w:hint="default" w:eastAsia="仿宋"/>
          <w:lang w:val="en-US" w:eastAsia="zh-CN"/>
        </w:rPr>
      </w:pPr>
      <w:r>
        <w:rPr>
          <w:rFonts w:hint="eastAsia" w:ascii="仿宋" w:hAnsi="仿宋" w:eastAsia="仿宋" w:cs="仿宋"/>
          <w:color w:val="000000"/>
          <w:kern w:val="0"/>
          <w:sz w:val="28"/>
          <w:szCs w:val="28"/>
          <w:highlight w:val="none"/>
          <w:lang w:val="en-US" w:eastAsia="zh-CN"/>
        </w:rPr>
        <w:t>5.</w:t>
      </w:r>
      <w:r>
        <w:rPr>
          <w:rFonts w:hint="eastAsia" w:ascii="仿宋" w:hAnsi="仿宋" w:eastAsia="仿宋" w:cs="仿宋"/>
          <w:color w:val="000000"/>
          <w:kern w:val="0"/>
          <w:sz w:val="28"/>
          <w:szCs w:val="28"/>
          <w:highlight w:val="none"/>
        </w:rPr>
        <w:t>货物交付甲方并</w:t>
      </w:r>
      <w:r>
        <w:rPr>
          <w:rFonts w:hint="eastAsia" w:ascii="仿宋" w:hAnsi="仿宋" w:eastAsia="仿宋" w:cs="仿宋"/>
          <w:color w:val="000000"/>
          <w:kern w:val="0"/>
          <w:sz w:val="28"/>
          <w:szCs w:val="28"/>
          <w:highlight w:val="none"/>
          <w:lang w:val="en-US" w:eastAsia="zh-CN"/>
        </w:rPr>
        <w:t>经甲方</w:t>
      </w:r>
      <w:r>
        <w:rPr>
          <w:rFonts w:hint="eastAsia" w:ascii="仿宋" w:hAnsi="仿宋" w:eastAsia="仿宋" w:cs="仿宋"/>
          <w:color w:val="000000"/>
          <w:kern w:val="0"/>
          <w:sz w:val="28"/>
          <w:szCs w:val="28"/>
          <w:highlight w:val="none"/>
        </w:rPr>
        <w:t>验收合格之前，货物毁损、灭失的风险由乙方承担。</w:t>
      </w:r>
    </w:p>
    <w:p w14:paraId="6C2C9BD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第六条 验收</w:t>
      </w:r>
    </w:p>
    <w:p w14:paraId="54988604">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1、在乙方供货安装调试完</w:t>
      </w:r>
      <w:r>
        <w:rPr>
          <w:rFonts w:hint="eastAsia" w:ascii="仿宋" w:hAnsi="仿宋" w:eastAsia="仿宋" w:cs="仿宋"/>
          <w:color w:val="000000"/>
          <w:kern w:val="0"/>
          <w:sz w:val="28"/>
          <w:szCs w:val="28"/>
          <w:highlight w:val="none"/>
          <w:u w:val="none"/>
        </w:rPr>
        <w:t>毕后 10 个</w:t>
      </w:r>
      <w:r>
        <w:rPr>
          <w:rFonts w:hint="eastAsia" w:ascii="仿宋" w:hAnsi="仿宋" w:eastAsia="仿宋" w:cs="仿宋"/>
          <w:color w:val="000000"/>
          <w:kern w:val="0"/>
          <w:sz w:val="28"/>
          <w:szCs w:val="28"/>
          <w:highlight w:val="none"/>
        </w:rPr>
        <w:t>工作日内，甲方应组织验收。经验收合格的，甲方向乙方签署验收意见；不合格的，甲方应及时向乙方提出异议。</w:t>
      </w:r>
    </w:p>
    <w:p w14:paraId="77FCFA1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lang w:val="en-US" w:eastAsia="zh-CN"/>
        </w:rPr>
        <w:t>2</w:t>
      </w:r>
      <w:r>
        <w:rPr>
          <w:rFonts w:hint="eastAsia" w:ascii="仿宋" w:hAnsi="仿宋" w:eastAsia="仿宋" w:cs="仿宋"/>
          <w:color w:val="000000"/>
          <w:kern w:val="0"/>
          <w:sz w:val="28"/>
          <w:szCs w:val="28"/>
          <w:highlight w:val="none"/>
        </w:rPr>
        <w:t>、验收标准以本合同第二条的条款约定为准。如因货物的质量问题发生争议，甲方有权委托有资质的权威质检机构进行质量鉴定。货物符合质量标准的，鉴定费由甲方承担；货物不符合质量标准的，鉴定费由乙方承担，同时按本合同第八条第4款处理。</w:t>
      </w:r>
    </w:p>
    <w:p w14:paraId="5472D5DC">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第七条 保密</w:t>
      </w:r>
    </w:p>
    <w:p w14:paraId="3A8B569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1、在本合同履行期间及履行完毕后的任何时候，任何一方均应对因履行本合同从对方获取或知悉的保密信息承担保密责任，未经对方书面同意不得向第三方透露，否则应赔偿由此给对方造成的全部损失。</w:t>
      </w:r>
    </w:p>
    <w:p w14:paraId="0AEA1082">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保密信息指任何一方所有或持有的不为外界所公知的、经透露方采取了保密措施的各类信息，包括但不限于知识产权信息、技术资料、技术诀窍、业务经营信息、内部管理方法、内部规章制度以及其他与企业经营相关的信息，无论该信息采用的是书面的、口头的、图表或电子的还是任何其他的形式，无论上述信息是否享有知识产权。</w:t>
      </w:r>
    </w:p>
    <w:p w14:paraId="2D93ACD6">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3、乙方应根据甲方的要求签署相应的保密协议，保密协议与本条款存在不一致的，以保密协议为准。</w:t>
      </w:r>
    </w:p>
    <w:p w14:paraId="187D345A">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第八条 违约责任</w:t>
      </w:r>
    </w:p>
    <w:p w14:paraId="769CB74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1、甲乙双方任何一方不履行合同义务或者履行合同义务不符合合同约定的，均视为违约。违约方应当承担继续履行、采取补救措施或者赔偿损失等违约责任。</w:t>
      </w:r>
    </w:p>
    <w:p w14:paraId="2CDD90E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2、因甲乙双方任何一方的原因致使另一方遭受第三方追诉的，违约方应赔偿由此给另一方造成的损失。</w:t>
      </w:r>
    </w:p>
    <w:p w14:paraId="53B5E2A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color w:val="000000"/>
          <w:kern w:val="0"/>
          <w:sz w:val="28"/>
          <w:szCs w:val="28"/>
          <w:highlight w:val="none"/>
        </w:rPr>
        <w:t>3、乙方逾期交付货物的，违约金按每周迟交货物或未提供服务交货价的0.5%计收，但违约金的最高限额为迟交货物或没有提供服务的合同价的</w:t>
      </w:r>
      <w:r>
        <w:rPr>
          <w:rFonts w:hint="eastAsia" w:ascii="仿宋" w:hAnsi="仿宋" w:eastAsia="仿宋" w:cs="仿宋"/>
          <w:color w:val="000000"/>
          <w:kern w:val="0"/>
          <w:sz w:val="28"/>
          <w:szCs w:val="28"/>
          <w:highlight w:val="none"/>
          <w:lang w:val="en-US" w:eastAsia="zh-CN"/>
        </w:rPr>
        <w:t>10</w:t>
      </w:r>
      <w:r>
        <w:rPr>
          <w:rFonts w:hint="eastAsia" w:ascii="仿宋" w:hAnsi="仿宋" w:eastAsia="仿宋" w:cs="仿宋"/>
          <w:color w:val="000000"/>
          <w:kern w:val="0"/>
          <w:sz w:val="28"/>
          <w:szCs w:val="28"/>
          <w:highlight w:val="none"/>
        </w:rPr>
        <w:t>%。一周按7天计算，不足7天按一周计算。</w:t>
      </w:r>
      <w:r>
        <w:rPr>
          <w:rFonts w:hint="eastAsia" w:ascii="仿宋" w:hAnsi="仿宋" w:eastAsia="仿宋" w:cs="仿宋"/>
          <w:kern w:val="0"/>
          <w:sz w:val="28"/>
          <w:szCs w:val="28"/>
          <w:highlight w:val="none"/>
        </w:rPr>
        <w:t>迟延交付货物达两周时间，甲方有权解除合同，乙方则应按合同总价的</w:t>
      </w:r>
      <w:r>
        <w:rPr>
          <w:rFonts w:hint="eastAsia" w:ascii="仿宋" w:hAnsi="仿宋" w:eastAsia="仿宋" w:cs="仿宋"/>
          <w:kern w:val="0"/>
          <w:sz w:val="28"/>
          <w:szCs w:val="28"/>
          <w:highlight w:val="none"/>
          <w:u w:val="single"/>
        </w:rPr>
        <w:t> 10 %</w:t>
      </w:r>
      <w:r>
        <w:rPr>
          <w:rFonts w:hint="eastAsia" w:ascii="仿宋" w:hAnsi="仿宋" w:eastAsia="仿宋" w:cs="仿宋"/>
          <w:kern w:val="0"/>
          <w:sz w:val="28"/>
          <w:szCs w:val="28"/>
          <w:highlight w:val="none"/>
        </w:rPr>
        <w:t>计算，向甲方支付违约金。</w:t>
      </w:r>
    </w:p>
    <w:p w14:paraId="44DC03C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4、乙方交付货物的品质、性能、技术标准、质量要求不符合合同约定的，甲方有权向乙方提出更换货物及索赔，乙方应在甲方提出之日起</w:t>
      </w:r>
      <w:r>
        <w:rPr>
          <w:rFonts w:hint="eastAsia" w:ascii="仿宋" w:hAnsi="仿宋" w:eastAsia="仿宋" w:cs="仿宋"/>
          <w:color w:val="000000"/>
          <w:kern w:val="0"/>
          <w:sz w:val="28"/>
          <w:szCs w:val="28"/>
          <w:highlight w:val="none"/>
          <w:u w:val="single"/>
        </w:rPr>
        <w:t> 7 </w:t>
      </w:r>
      <w:r>
        <w:rPr>
          <w:rFonts w:hint="eastAsia" w:ascii="仿宋" w:hAnsi="仿宋" w:eastAsia="仿宋" w:cs="仿宋"/>
          <w:color w:val="000000"/>
          <w:kern w:val="0"/>
          <w:sz w:val="28"/>
          <w:szCs w:val="28"/>
          <w:highlight w:val="none"/>
        </w:rPr>
        <w:t>天内免费更换货物，由此造成的时间延误视作乙方未按时交货，按本条前述第3款处理。如经两次更换，货物质量仍不符合本合同约定的，甲方有权</w:t>
      </w:r>
      <w:r>
        <w:rPr>
          <w:rFonts w:hint="eastAsia" w:ascii="仿宋" w:hAnsi="仿宋" w:eastAsia="仿宋" w:cs="仿宋"/>
          <w:color w:val="000000"/>
          <w:kern w:val="0"/>
          <w:sz w:val="28"/>
          <w:szCs w:val="28"/>
          <w:highlight w:val="none"/>
          <w:lang w:val="en-US" w:eastAsia="zh-CN"/>
        </w:rPr>
        <w:t>解除</w:t>
      </w:r>
      <w:r>
        <w:rPr>
          <w:rFonts w:hint="eastAsia" w:ascii="仿宋" w:hAnsi="仿宋" w:eastAsia="仿宋" w:cs="仿宋"/>
          <w:color w:val="000000"/>
          <w:kern w:val="0"/>
          <w:sz w:val="28"/>
          <w:szCs w:val="28"/>
          <w:highlight w:val="none"/>
        </w:rPr>
        <w:t>合同，乙方应向甲方返还已付款项，并按合同总价</w:t>
      </w:r>
      <w:r>
        <w:rPr>
          <w:rFonts w:hint="eastAsia" w:ascii="仿宋" w:hAnsi="仿宋" w:eastAsia="仿宋" w:cs="仿宋"/>
          <w:kern w:val="0"/>
          <w:sz w:val="28"/>
          <w:szCs w:val="28"/>
          <w:highlight w:val="none"/>
        </w:rPr>
        <w:t>的</w:t>
      </w:r>
      <w:r>
        <w:rPr>
          <w:rFonts w:hint="eastAsia" w:ascii="仿宋" w:hAnsi="仿宋" w:eastAsia="仿宋" w:cs="仿宋"/>
          <w:kern w:val="0"/>
          <w:sz w:val="28"/>
          <w:szCs w:val="28"/>
          <w:highlight w:val="none"/>
          <w:u w:val="single"/>
        </w:rPr>
        <w:t> 10 % </w:t>
      </w:r>
      <w:r>
        <w:rPr>
          <w:rFonts w:hint="eastAsia" w:ascii="仿宋" w:hAnsi="仿宋" w:eastAsia="仿宋" w:cs="仿宋"/>
          <w:kern w:val="0"/>
          <w:sz w:val="28"/>
          <w:szCs w:val="28"/>
          <w:highlight w:val="none"/>
        </w:rPr>
        <w:t>计</w:t>
      </w:r>
      <w:r>
        <w:rPr>
          <w:rFonts w:hint="eastAsia" w:ascii="仿宋" w:hAnsi="仿宋" w:eastAsia="仿宋" w:cs="仿宋"/>
          <w:color w:val="000000"/>
          <w:kern w:val="0"/>
          <w:sz w:val="28"/>
          <w:szCs w:val="28"/>
          <w:highlight w:val="none"/>
        </w:rPr>
        <w:t>算，向甲方支付违约金。</w:t>
      </w:r>
    </w:p>
    <w:p w14:paraId="65C2C42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5、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的</w:t>
      </w:r>
      <w:r>
        <w:rPr>
          <w:rFonts w:hint="eastAsia" w:ascii="仿宋" w:hAnsi="仿宋" w:eastAsia="仿宋" w:cs="仿宋"/>
          <w:kern w:val="0"/>
          <w:sz w:val="28"/>
          <w:szCs w:val="28"/>
          <w:highlight w:val="none"/>
        </w:rPr>
        <w:t>20</w:t>
      </w:r>
      <w:r>
        <w:rPr>
          <w:rFonts w:hint="eastAsia" w:ascii="仿宋" w:hAnsi="仿宋" w:eastAsia="仿宋" w:cs="仿宋"/>
          <w:kern w:val="0"/>
          <w:sz w:val="28"/>
          <w:szCs w:val="28"/>
          <w:highlight w:val="none"/>
          <w:lang w:val="en-US" w:eastAsia="zh-CN"/>
        </w:rPr>
        <w:t>%</w:t>
      </w:r>
      <w:r>
        <w:rPr>
          <w:rFonts w:hint="eastAsia" w:ascii="仿宋" w:hAnsi="仿宋" w:eastAsia="仿宋" w:cs="仿宋"/>
          <w:color w:val="000000"/>
          <w:kern w:val="0"/>
          <w:sz w:val="28"/>
          <w:szCs w:val="28"/>
          <w:highlight w:val="none"/>
        </w:rPr>
        <w:t>向甲方支付违约金并赔偿因此给甲方造成的一切损失。</w:t>
      </w:r>
    </w:p>
    <w:p w14:paraId="6294CBFB">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6、乙方</w:t>
      </w:r>
      <w:r>
        <w:rPr>
          <w:rFonts w:hint="eastAsia" w:ascii="仿宋" w:hAnsi="仿宋" w:eastAsia="仿宋" w:cs="仿宋"/>
          <w:color w:val="000000"/>
          <w:kern w:val="0"/>
          <w:sz w:val="28"/>
          <w:szCs w:val="28"/>
          <w:highlight w:val="none"/>
          <w:lang w:val="en-US" w:eastAsia="zh-CN"/>
        </w:rPr>
        <w:t>支</w:t>
      </w:r>
      <w:r>
        <w:rPr>
          <w:rFonts w:hint="eastAsia" w:ascii="仿宋" w:hAnsi="仿宋" w:eastAsia="仿宋" w:cs="仿宋"/>
          <w:color w:val="000000"/>
          <w:kern w:val="0"/>
          <w:sz w:val="28"/>
          <w:szCs w:val="28"/>
          <w:highlight w:val="none"/>
        </w:rPr>
        <w:t>付的违约金不足以弥补甲方损失的，还应按甲方损失尚未弥补的部分，支付赔偿金给甲方。</w:t>
      </w:r>
    </w:p>
    <w:p w14:paraId="6DC32F7C">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第九条 不可抗力</w:t>
      </w:r>
    </w:p>
    <w:p w14:paraId="66C28E6A">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任何一方由于不可抗力的原因不能履行合同时，应在不可抗力发生后</w:t>
      </w:r>
      <w:r>
        <w:rPr>
          <w:rFonts w:hint="eastAsia" w:ascii="仿宋" w:hAnsi="仿宋" w:eastAsia="仿宋" w:cs="仿宋"/>
          <w:color w:val="000000"/>
          <w:kern w:val="0"/>
          <w:sz w:val="28"/>
          <w:szCs w:val="28"/>
          <w:highlight w:val="none"/>
          <w:lang w:val="en-US" w:eastAsia="zh-CN"/>
        </w:rPr>
        <w:t>7</w:t>
      </w:r>
      <w:r>
        <w:rPr>
          <w:rFonts w:hint="eastAsia" w:ascii="仿宋" w:hAnsi="仿宋" w:eastAsia="仿宋" w:cs="仿宋"/>
          <w:color w:val="000000"/>
          <w:kern w:val="0"/>
          <w:sz w:val="28"/>
          <w:szCs w:val="28"/>
          <w:highlight w:val="none"/>
        </w:rPr>
        <w:t>天内向对方通报不能履行或不能完全履行的理由，在取得不可抗力发生地市级以上政府相关部门证明以后，允许延期履行、部分履行或者不履行合同，并根据情况可部分或全部免于承担违约责任。</w:t>
      </w:r>
    </w:p>
    <w:p w14:paraId="07F739A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第十条 合同的变更、中止、终止</w:t>
      </w:r>
    </w:p>
    <w:p w14:paraId="6F149B3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甲乙双方均不得擅自变更、中止或者终止本合同。</w:t>
      </w:r>
    </w:p>
    <w:p w14:paraId="65FEA680">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如继续履行本合同将损害国家利益和社会公共利益的，双方应变更、中止或者终止合同。双方不能就此协商一致的，按本合同第十一条处理。</w:t>
      </w:r>
    </w:p>
    <w:p w14:paraId="4B4DB5FB">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第十一条 其它</w:t>
      </w:r>
    </w:p>
    <w:p w14:paraId="684C4D9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（一）本合同适用法律为中华人民共和国法律、法规。在本合同履行过程中发生争议的，由双方协商解决；协商不成时，提请</w:t>
      </w:r>
      <w:r>
        <w:rPr>
          <w:rFonts w:hint="eastAsia" w:ascii="仿宋" w:hAnsi="仿宋" w:eastAsia="仿宋" w:cs="仿宋"/>
          <w:kern w:val="0"/>
          <w:sz w:val="28"/>
          <w:szCs w:val="28"/>
          <w:highlight w:val="none"/>
        </w:rPr>
        <w:t>项目所在地人民法院提起诉讼</w:t>
      </w:r>
      <w:r>
        <w:rPr>
          <w:rFonts w:hint="eastAsia" w:ascii="仿宋" w:hAnsi="仿宋" w:eastAsia="仿宋" w:cs="仿宋"/>
          <w:color w:val="000000"/>
          <w:kern w:val="0"/>
          <w:sz w:val="28"/>
          <w:szCs w:val="28"/>
          <w:highlight w:val="none"/>
        </w:rPr>
        <w:t>。</w:t>
      </w:r>
    </w:p>
    <w:p w14:paraId="292DAAE0">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（二）有关本合同条款的修改、补充和变更，均应以书面形式进行，经双方签字、盖章后生效。</w:t>
      </w:r>
    </w:p>
    <w:p w14:paraId="1B642394">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（三）甲方在签</w:t>
      </w:r>
      <w:r>
        <w:rPr>
          <w:rFonts w:hint="eastAsia" w:ascii="仿宋" w:hAnsi="仿宋" w:eastAsia="仿宋" w:cs="仿宋"/>
          <w:color w:val="000000"/>
          <w:kern w:val="0"/>
          <w:sz w:val="28"/>
          <w:szCs w:val="28"/>
          <w:highlight w:val="none"/>
          <w:lang w:val="en-US" w:eastAsia="zh-CN"/>
        </w:rPr>
        <w:t>订</w:t>
      </w:r>
      <w:r>
        <w:rPr>
          <w:rFonts w:hint="eastAsia" w:ascii="仿宋" w:hAnsi="仿宋" w:eastAsia="仿宋" w:cs="仿宋"/>
          <w:color w:val="000000"/>
          <w:kern w:val="0"/>
          <w:sz w:val="28"/>
          <w:szCs w:val="28"/>
          <w:highlight w:val="none"/>
        </w:rPr>
        <w:t>合同后的两年内，从乙方采购相同规格或型号的货物时，乙方保证销售的单价不超过本合同中所列货物单价的5％。</w:t>
      </w:r>
    </w:p>
    <w:p w14:paraId="53EBDED6">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（四）与履行本合同有关的下列文件，为本合同的组成部分，彼此相互解释，相互补充。为便于解释，组成合同的多个文件的优先支配地位的次序如下：</w:t>
      </w:r>
    </w:p>
    <w:p w14:paraId="0A3C36B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1、合同书</w:t>
      </w:r>
    </w:p>
    <w:p w14:paraId="030B7EA4">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2、合同补充条款</w:t>
      </w:r>
    </w:p>
    <w:p w14:paraId="49C7E140">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3、双方有关供货问题的协商、会议纪要等书面协议或文件视为本合同组成部分。</w:t>
      </w:r>
    </w:p>
    <w:p w14:paraId="27DBEF9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560" w:firstLineChars="200"/>
        <w:jc w:val="both"/>
        <w:textAlignment w:val="auto"/>
        <w:outlineLvl w:val="9"/>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（五）本合同自双方签字盖章后生效。</w:t>
      </w:r>
    </w:p>
    <w:p w14:paraId="7C5022C8">
      <w:pPr>
        <w:pStyle w:val="2"/>
        <w:keepNext w:val="0"/>
        <w:keepLines w:val="0"/>
        <w:pageBreakBefore w:val="0"/>
        <w:kinsoku/>
        <w:wordWrap/>
        <w:overflowPunct/>
        <w:topLinePunct w:val="0"/>
        <w:autoSpaceDE/>
        <w:autoSpaceDN/>
        <w:bidi w:val="0"/>
        <w:adjustRightInd/>
        <w:snapToGrid/>
        <w:spacing w:beforeAutospacing="0" w:after="0" w:afterAutospacing="0" w:line="480" w:lineRule="exact"/>
        <w:ind w:left="0" w:firstLine="560" w:firstLineChars="200"/>
        <w:jc w:val="both"/>
        <w:textAlignment w:val="auto"/>
        <w:outlineLvl w:val="9"/>
        <w:rPr>
          <w:rFonts w:hint="eastAsia" w:ascii="仿宋" w:hAnsi="仿宋" w:eastAsia="仿宋" w:cs="仿宋"/>
          <w:sz w:val="28"/>
          <w:szCs w:val="28"/>
          <w:highlight w:val="none"/>
        </w:rPr>
      </w:pPr>
    </w:p>
    <w:p w14:paraId="3E94E2EB">
      <w:pPr>
        <w:pStyle w:val="2"/>
        <w:keepNext w:val="0"/>
        <w:keepLines w:val="0"/>
        <w:pageBreakBefore w:val="0"/>
        <w:kinsoku/>
        <w:wordWrap/>
        <w:overflowPunct/>
        <w:topLinePunct w:val="0"/>
        <w:autoSpaceDE/>
        <w:autoSpaceDN/>
        <w:bidi w:val="0"/>
        <w:adjustRightInd/>
        <w:snapToGrid/>
        <w:spacing w:beforeAutospacing="0" w:after="0" w:afterAutospacing="0" w:line="480" w:lineRule="exact"/>
        <w:ind w:left="0" w:firstLine="560" w:firstLineChars="200"/>
        <w:jc w:val="both"/>
        <w:textAlignment w:val="auto"/>
        <w:outlineLvl w:val="9"/>
        <w:rPr>
          <w:rFonts w:hint="eastAsia" w:ascii="仿宋" w:hAnsi="仿宋" w:eastAsia="仿宋" w:cs="仿宋"/>
          <w:sz w:val="28"/>
          <w:szCs w:val="28"/>
          <w:highlight w:val="none"/>
        </w:rPr>
      </w:pPr>
    </w:p>
    <w:p w14:paraId="07FD38F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both"/>
        <w:textAlignment w:val="auto"/>
        <w:outlineLvl w:val="9"/>
        <w:rPr>
          <w:rFonts w:hint="eastAsia" w:ascii="仿宋" w:hAnsi="仿宋" w:eastAsia="仿宋" w:cs="仿宋"/>
          <w:color w:val="000000"/>
          <w:kern w:val="0"/>
          <w:sz w:val="28"/>
          <w:szCs w:val="28"/>
          <w:highlight w:val="none"/>
          <w:u w:val="none"/>
        </w:rPr>
      </w:pPr>
      <w:r>
        <w:rPr>
          <w:rFonts w:hint="eastAsia" w:ascii="仿宋" w:hAnsi="仿宋" w:eastAsia="仿宋" w:cs="仿宋"/>
          <w:color w:val="000000"/>
          <w:kern w:val="0"/>
          <w:sz w:val="28"/>
          <w:szCs w:val="28"/>
          <w:highlight w:val="none"/>
          <w:u w:val="none"/>
        </w:rPr>
        <w:t>甲方（签章）：威海市国家粮食储备库</w:t>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乙方（签章）：</w:t>
      </w:r>
    </w:p>
    <w:p w14:paraId="0E2561E6">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1960" w:firstLineChars="700"/>
        <w:jc w:val="both"/>
        <w:textAlignment w:val="auto"/>
        <w:outlineLvl w:val="9"/>
        <w:rPr>
          <w:rFonts w:hint="eastAsia" w:ascii="仿宋" w:hAnsi="仿宋" w:eastAsia="仿宋" w:cs="仿宋"/>
          <w:color w:val="000000"/>
          <w:kern w:val="0"/>
          <w:sz w:val="28"/>
          <w:szCs w:val="28"/>
          <w:highlight w:val="none"/>
          <w:u w:val="none"/>
        </w:rPr>
      </w:pPr>
      <w:r>
        <w:rPr>
          <w:rFonts w:hint="eastAsia" w:ascii="仿宋" w:hAnsi="仿宋" w:eastAsia="仿宋" w:cs="仿宋"/>
          <w:color w:val="000000"/>
          <w:kern w:val="0"/>
          <w:sz w:val="28"/>
          <w:szCs w:val="28"/>
          <w:highlight w:val="none"/>
          <w:u w:val="none"/>
        </w:rPr>
        <w:t>有限公司</w:t>
      </w:r>
    </w:p>
    <w:p w14:paraId="3F1BF7BF">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both"/>
        <w:textAlignment w:val="auto"/>
        <w:outlineLvl w:val="9"/>
        <w:rPr>
          <w:rFonts w:hint="eastAsia" w:ascii="仿宋" w:hAnsi="仿宋" w:eastAsia="仿宋" w:cs="仿宋"/>
          <w:color w:val="000000"/>
          <w:kern w:val="0"/>
          <w:sz w:val="28"/>
          <w:szCs w:val="28"/>
          <w:highlight w:val="none"/>
          <w:u w:val="none"/>
        </w:rPr>
      </w:pPr>
      <w:r>
        <w:rPr>
          <w:rFonts w:hint="eastAsia" w:ascii="仿宋" w:hAnsi="仿宋" w:eastAsia="仿宋" w:cs="仿宋"/>
          <w:color w:val="000000"/>
          <w:kern w:val="0"/>
          <w:sz w:val="28"/>
          <w:szCs w:val="28"/>
          <w:highlight w:val="none"/>
          <w:u w:val="none"/>
        </w:rPr>
        <w:t>甲方代表（签字）：</w:t>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 xml:space="preserve">乙方代表（签字）：           </w:t>
      </w:r>
    </w:p>
    <w:p w14:paraId="57F776FD">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both"/>
        <w:textAlignment w:val="auto"/>
        <w:outlineLvl w:val="9"/>
        <w:rPr>
          <w:rFonts w:hint="eastAsia" w:ascii="仿宋" w:hAnsi="仿宋" w:eastAsia="仿宋" w:cs="仿宋"/>
          <w:color w:val="000000"/>
          <w:kern w:val="0"/>
          <w:sz w:val="28"/>
          <w:szCs w:val="28"/>
          <w:highlight w:val="none"/>
          <w:u w:val="none"/>
        </w:rPr>
      </w:pPr>
      <w:r>
        <w:rPr>
          <w:rFonts w:hint="eastAsia" w:ascii="仿宋" w:hAnsi="仿宋" w:eastAsia="仿宋" w:cs="仿宋"/>
          <w:color w:val="000000"/>
          <w:kern w:val="0"/>
          <w:sz w:val="28"/>
          <w:szCs w:val="28"/>
          <w:highlight w:val="none"/>
          <w:u w:val="none"/>
        </w:rPr>
        <w:t>地址：山东省威海市临港经济技术</w:t>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地址：</w:t>
      </w:r>
    </w:p>
    <w:p w14:paraId="5440D754">
      <w:pPr>
        <w:pStyle w:val="2"/>
        <w:keepNext w:val="0"/>
        <w:keepLines w:val="0"/>
        <w:pageBreakBefore w:val="0"/>
        <w:kinsoku/>
        <w:wordWrap/>
        <w:overflowPunct/>
        <w:topLinePunct w:val="0"/>
        <w:autoSpaceDE/>
        <w:autoSpaceDN/>
        <w:bidi w:val="0"/>
        <w:adjustRightInd/>
        <w:snapToGrid/>
        <w:spacing w:beforeAutospacing="0" w:after="0" w:afterAutospacing="0" w:line="480" w:lineRule="exact"/>
        <w:ind w:left="0" w:firstLine="0" w:firstLineChars="0"/>
        <w:jc w:val="both"/>
        <w:textAlignment w:val="auto"/>
        <w:outlineLvl w:val="9"/>
        <w:rPr>
          <w:rFonts w:hint="eastAsia" w:ascii="仿宋" w:hAnsi="仿宋" w:eastAsia="仿宋" w:cs="仿宋"/>
          <w:color w:val="000000"/>
          <w:sz w:val="28"/>
          <w:szCs w:val="28"/>
          <w:highlight w:val="none"/>
          <w:u w:val="none"/>
          <w:lang w:val="en-US" w:eastAsia="zh-CN"/>
        </w:rPr>
      </w:pPr>
      <w:r>
        <w:rPr>
          <w:rFonts w:hint="eastAsia" w:ascii="仿宋" w:hAnsi="仿宋" w:eastAsia="仿宋" w:cs="仿宋"/>
          <w:color w:val="000000"/>
          <w:sz w:val="28"/>
          <w:szCs w:val="28"/>
          <w:highlight w:val="none"/>
          <w:u w:val="none"/>
          <w:lang w:val="en-US" w:eastAsia="zh-CN"/>
        </w:rPr>
        <w:t>开发区汪疃镇威浩路3号</w:t>
      </w:r>
    </w:p>
    <w:p w14:paraId="4AB3C1CF">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both"/>
        <w:textAlignment w:val="auto"/>
        <w:outlineLvl w:val="9"/>
        <w:rPr>
          <w:rFonts w:hint="eastAsia" w:ascii="仿宋" w:hAnsi="仿宋" w:eastAsia="仿宋" w:cs="仿宋"/>
          <w:color w:val="000000"/>
          <w:kern w:val="0"/>
          <w:sz w:val="28"/>
          <w:szCs w:val="28"/>
          <w:highlight w:val="none"/>
          <w:u w:val="none"/>
        </w:rPr>
      </w:pPr>
      <w:r>
        <w:rPr>
          <w:rFonts w:hint="eastAsia" w:ascii="仿宋" w:hAnsi="仿宋" w:eastAsia="仿宋" w:cs="仿宋"/>
          <w:color w:val="000000"/>
          <w:kern w:val="0"/>
          <w:sz w:val="28"/>
          <w:szCs w:val="28"/>
          <w:highlight w:val="none"/>
          <w:u w:val="none"/>
        </w:rPr>
        <w:t>电话：</w:t>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电话：</w:t>
      </w:r>
    </w:p>
    <w:p w14:paraId="1C21A9BE">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jc w:val="both"/>
        <w:textAlignment w:val="auto"/>
        <w:outlineLvl w:val="9"/>
        <w:rPr>
          <w:rFonts w:hint="eastAsia" w:ascii="仿宋" w:hAnsi="仿宋" w:eastAsia="仿宋" w:cs="仿宋"/>
          <w:sz w:val="28"/>
          <w:szCs w:val="28"/>
          <w:u w:val="none"/>
        </w:rPr>
      </w:pPr>
      <w:r>
        <w:rPr>
          <w:rFonts w:hint="eastAsia" w:ascii="仿宋" w:hAnsi="仿宋" w:eastAsia="仿宋" w:cs="仿宋"/>
          <w:color w:val="000000"/>
          <w:kern w:val="0"/>
          <w:sz w:val="28"/>
          <w:szCs w:val="28"/>
          <w:highlight w:val="none"/>
          <w:u w:val="none"/>
        </w:rPr>
        <w:t>签订日期：</w:t>
      </w:r>
      <w:r>
        <w:rPr>
          <w:rFonts w:hint="eastAsia" w:ascii="仿宋" w:hAnsi="仿宋" w:eastAsia="仿宋" w:cs="仿宋"/>
          <w:color w:val="000000"/>
          <w:kern w:val="0"/>
          <w:sz w:val="28"/>
          <w:szCs w:val="28"/>
          <w:highlight w:val="none"/>
          <w:u w:val="none"/>
          <w:lang w:val="en-US" w:eastAsia="zh-CN"/>
        </w:rPr>
        <w:t xml:space="preserve">    </w:t>
      </w:r>
      <w:r>
        <w:rPr>
          <w:rFonts w:hint="eastAsia" w:ascii="仿宋" w:hAnsi="仿宋" w:eastAsia="仿宋" w:cs="仿宋"/>
          <w:color w:val="000000"/>
          <w:kern w:val="0"/>
          <w:sz w:val="28"/>
          <w:szCs w:val="28"/>
          <w:highlight w:val="none"/>
          <w:u w:val="none"/>
        </w:rPr>
        <w:t>年</w:t>
      </w:r>
      <w:r>
        <w:rPr>
          <w:rFonts w:hint="eastAsia" w:ascii="仿宋" w:hAnsi="仿宋" w:eastAsia="仿宋" w:cs="仿宋"/>
          <w:color w:val="000000"/>
          <w:kern w:val="0"/>
          <w:sz w:val="28"/>
          <w:szCs w:val="28"/>
          <w:highlight w:val="none"/>
          <w:u w:val="none"/>
          <w:lang w:val="en-US" w:eastAsia="zh-CN"/>
        </w:rPr>
        <w:t xml:space="preserve">  </w:t>
      </w:r>
      <w:r>
        <w:rPr>
          <w:rFonts w:hint="eastAsia" w:ascii="仿宋" w:hAnsi="仿宋" w:eastAsia="仿宋" w:cs="仿宋"/>
          <w:color w:val="000000"/>
          <w:kern w:val="0"/>
          <w:sz w:val="28"/>
          <w:szCs w:val="28"/>
          <w:highlight w:val="none"/>
          <w:u w:val="none"/>
        </w:rPr>
        <w:t>月</w:t>
      </w:r>
      <w:r>
        <w:rPr>
          <w:rFonts w:hint="eastAsia" w:ascii="仿宋" w:hAnsi="仿宋" w:eastAsia="仿宋" w:cs="仿宋"/>
          <w:color w:val="000000"/>
          <w:kern w:val="0"/>
          <w:sz w:val="28"/>
          <w:szCs w:val="28"/>
          <w:highlight w:val="none"/>
          <w:u w:val="none"/>
          <w:lang w:val="en-US" w:eastAsia="zh-CN"/>
        </w:rPr>
        <w:t xml:space="preserve">  </w:t>
      </w:r>
      <w:r>
        <w:rPr>
          <w:rFonts w:hint="eastAsia" w:ascii="仿宋" w:hAnsi="仿宋" w:eastAsia="仿宋" w:cs="仿宋"/>
          <w:color w:val="000000"/>
          <w:kern w:val="0"/>
          <w:sz w:val="28"/>
          <w:szCs w:val="28"/>
          <w:highlight w:val="none"/>
          <w:u w:val="none"/>
        </w:rPr>
        <w:t>日</w:t>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rPr>
        <w:tab/>
      </w:r>
      <w:r>
        <w:rPr>
          <w:rFonts w:hint="eastAsia" w:ascii="仿宋" w:hAnsi="仿宋" w:eastAsia="仿宋" w:cs="仿宋"/>
          <w:color w:val="000000"/>
          <w:kern w:val="0"/>
          <w:sz w:val="28"/>
          <w:szCs w:val="28"/>
          <w:highlight w:val="none"/>
          <w:u w:val="none"/>
          <w:lang w:val="en-US" w:eastAsia="zh-CN"/>
        </w:rPr>
        <w:t xml:space="preserve">   </w:t>
      </w:r>
      <w:r>
        <w:rPr>
          <w:rFonts w:hint="eastAsia" w:ascii="仿宋" w:hAnsi="仿宋" w:eastAsia="仿宋" w:cs="仿宋"/>
          <w:color w:val="000000"/>
          <w:kern w:val="0"/>
          <w:sz w:val="28"/>
          <w:szCs w:val="28"/>
          <w:highlight w:val="none"/>
          <w:u w:val="none"/>
        </w:rPr>
        <w:t>签订日期：</w:t>
      </w:r>
      <w:r>
        <w:rPr>
          <w:rFonts w:hint="eastAsia" w:ascii="仿宋" w:hAnsi="仿宋" w:eastAsia="仿宋" w:cs="仿宋"/>
          <w:color w:val="000000"/>
          <w:kern w:val="0"/>
          <w:sz w:val="28"/>
          <w:szCs w:val="28"/>
          <w:highlight w:val="none"/>
          <w:u w:val="none"/>
          <w:lang w:val="en-US" w:eastAsia="zh-CN"/>
        </w:rPr>
        <w:t xml:space="preserve">    </w:t>
      </w:r>
      <w:r>
        <w:rPr>
          <w:rFonts w:hint="eastAsia" w:ascii="仿宋" w:hAnsi="仿宋" w:eastAsia="仿宋" w:cs="仿宋"/>
          <w:color w:val="000000"/>
          <w:kern w:val="0"/>
          <w:sz w:val="28"/>
          <w:szCs w:val="28"/>
          <w:highlight w:val="none"/>
          <w:u w:val="none"/>
        </w:rPr>
        <w:t>年</w:t>
      </w:r>
      <w:r>
        <w:rPr>
          <w:rFonts w:hint="eastAsia" w:ascii="仿宋" w:hAnsi="仿宋" w:eastAsia="仿宋" w:cs="仿宋"/>
          <w:color w:val="000000"/>
          <w:kern w:val="0"/>
          <w:sz w:val="28"/>
          <w:szCs w:val="28"/>
          <w:highlight w:val="none"/>
          <w:u w:val="none"/>
          <w:lang w:val="en-US" w:eastAsia="zh-CN"/>
        </w:rPr>
        <w:t xml:space="preserve">  </w:t>
      </w:r>
      <w:r>
        <w:rPr>
          <w:rFonts w:hint="eastAsia" w:ascii="仿宋" w:hAnsi="仿宋" w:eastAsia="仿宋" w:cs="仿宋"/>
          <w:color w:val="000000"/>
          <w:kern w:val="0"/>
          <w:sz w:val="28"/>
          <w:szCs w:val="28"/>
          <w:highlight w:val="none"/>
          <w:u w:val="none"/>
        </w:rPr>
        <w:t>月</w:t>
      </w:r>
      <w:r>
        <w:rPr>
          <w:rFonts w:hint="eastAsia" w:ascii="仿宋" w:hAnsi="仿宋" w:eastAsia="仿宋" w:cs="仿宋"/>
          <w:color w:val="000000"/>
          <w:kern w:val="0"/>
          <w:sz w:val="28"/>
          <w:szCs w:val="28"/>
          <w:highlight w:val="none"/>
          <w:u w:val="none"/>
          <w:lang w:val="en-US" w:eastAsia="zh-CN"/>
        </w:rPr>
        <w:t xml:space="preserve">  </w:t>
      </w:r>
      <w:r>
        <w:rPr>
          <w:rFonts w:hint="eastAsia" w:ascii="仿宋" w:hAnsi="仿宋" w:eastAsia="仿宋" w:cs="仿宋"/>
          <w:color w:val="000000"/>
          <w:kern w:val="0"/>
          <w:sz w:val="28"/>
          <w:szCs w:val="28"/>
          <w:highlight w:val="none"/>
          <w:u w:val="none"/>
        </w:rPr>
        <w:t>日</w:t>
      </w:r>
    </w:p>
    <w:sectPr>
      <w:headerReference r:id="rId15" w:type="default"/>
      <w:footerReference r:id="rId16" w:type="default"/>
      <w:pgSz w:w="11906" w:h="16838"/>
      <w:pgMar w:top="1440" w:right="1083" w:bottom="1440" w:left="1083" w:header="851" w:footer="992" w:gutter="0"/>
      <w:pgNumType w:fmt="decimal"/>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E5178">
    <w:pPr>
      <w:pStyle w:val="18"/>
      <w:jc w:val="center"/>
    </w:pPr>
    <w:r>
      <w:fldChar w:fldCharType="begin"/>
    </w:r>
    <w:r>
      <w:instrText xml:space="preserve">PAGE   \* MERGEFORMAT</w:instrText>
    </w:r>
    <w:r>
      <w:fldChar w:fldCharType="separate"/>
    </w:r>
    <w:r>
      <w:rPr>
        <w:lang w:val="zh-CN"/>
      </w:rPr>
      <w:t>1</w:t>
    </w:r>
    <w:r>
      <w:fldChar w:fldCharType="end"/>
    </w:r>
  </w:p>
  <w:p w14:paraId="4FC93E1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9844A">
    <w:pPr>
      <w:jc w:val="center"/>
    </w:pPr>
    <w:r>
      <w:rPr>
        <w:sz w:val="21"/>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AD6FA57">
                <w:pPr>
                  <w:jc w:val="center"/>
                </w:pPr>
                <w:r>
                  <w:fldChar w:fldCharType="begin"/>
                </w:r>
                <w:r>
                  <w:instrText xml:space="preserve"> PAGE   \* MERGEFORMAT </w:instrText>
                </w:r>
                <w:r>
                  <w:fldChar w:fldCharType="separate"/>
                </w:r>
                <w:r>
                  <w:rPr>
                    <w:lang w:val="zh-CN"/>
                  </w:rPr>
                  <w:t>1</w:t>
                </w:r>
                <w:r>
                  <w:rPr>
                    <w:lang w:val="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D03C9">
    <w:pPr>
      <w:pStyle w:val="18"/>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7EA1ABA">
                <w:pPr>
                  <w:pStyle w:val="18"/>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7C0C9">
    <w:pPr>
      <w:pStyle w:val="18"/>
      <w:jc w:val="center"/>
      <w:rPr>
        <w:rStyle w:val="106"/>
      </w:rP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2461FEB6">
                <w:pPr>
                  <w:pStyle w:val="18"/>
                  <w:jc w:val="center"/>
                </w:pPr>
                <w:r>
                  <w:fldChar w:fldCharType="begin"/>
                </w:r>
                <w:r>
                  <w:instrText xml:space="preserve">PAGE   \* MERGEFORMAT</w:instrText>
                </w:r>
                <w:r>
                  <w:fldChar w:fldCharType="separate"/>
                </w:r>
                <w:r>
                  <w:rPr>
                    <w:lang w:val="zh-CN"/>
                  </w:rPr>
                  <w:t>22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D4F36">
    <w:pPr>
      <w:jc w:val="center"/>
    </w:pPr>
    <w:r>
      <w:rPr>
        <w:sz w:val="21"/>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0E14DEAF">
                <w:pPr>
                  <w:jc w:val="center"/>
                </w:pPr>
                <w:r>
                  <w:fldChar w:fldCharType="begin"/>
                </w:r>
                <w:r>
                  <w:instrText xml:space="preserve"> PAGE   \* MERGEFORMAT </w:instrText>
                </w:r>
                <w:r>
                  <w:fldChar w:fldCharType="separate"/>
                </w:r>
                <w:r>
                  <w:rPr>
                    <w:lang w:val="zh-CN"/>
                  </w:rPr>
                  <w:t>48</w:t>
                </w:r>
                <w:r>
                  <w:rPr>
                    <w:lang w:val="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45DA">
    <w:pPr>
      <w:pStyle w:val="18"/>
      <w:jc w:val="center"/>
      <w:rPr>
        <w:rFonts w:hint="eastAsia"/>
      </w:rP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6923BF9">
                <w:pPr>
                  <w:pStyle w:val="18"/>
                  <w:jc w:val="center"/>
                </w:pPr>
                <w:r>
                  <w:fldChar w:fldCharType="begin"/>
                </w:r>
                <w:r>
                  <w:instrText xml:space="preserve">PAGE   \* MERGEFORMAT</w:instrText>
                </w:r>
                <w:r>
                  <w:fldChar w:fldCharType="separate"/>
                </w:r>
                <w:r>
                  <w:rPr>
                    <w:lang w:val="zh-CN"/>
                  </w:rPr>
                  <w:t>61</w:t>
                </w:r>
                <w:r>
                  <w:rPr>
                    <w:lang w:val="zh-CN"/>
                  </w:rPr>
                  <w:fldChar w:fldCharType="end"/>
                </w:r>
              </w:p>
            </w:txbxContent>
          </v:textbox>
        </v:shape>
      </w:pict>
    </w:r>
  </w:p>
  <w:p w14:paraId="7B79EFD9">
    <w:pPr>
      <w:pStyle w:val="2"/>
      <w:spacing w:line="14" w:lineRule="auto"/>
      <w:jc w:val="center"/>
      <w:rPr>
        <w:sz w:val="20"/>
        <w:szCs w:val="20"/>
      </w:rPr>
    </w:pPr>
  </w:p>
  <w:p w14:paraId="1BE8D0A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11C8">
    <w:pPr>
      <w:pStyle w:val="18"/>
      <w:jc w:val="center"/>
      <w:rPr>
        <w:rFonts w:hint="eastAsia" w:ascii="Times New Roman" w:hAnsi="Times New Roman" w:eastAsia="宋体" w:cs="Times New Roman"/>
      </w:rP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61D8C0AC">
                <w:pPr>
                  <w:pStyle w:val="1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81</w:t>
                </w:r>
                <w:r>
                  <w:rPr>
                    <w:rFonts w:ascii="Times New Roman" w:hAnsi="Times New Roman" w:eastAsia="宋体" w:cs="Times New Roman"/>
                    <w:lang w:val="zh-CN"/>
                  </w:rPr>
                  <w:fldChar w:fldCharType="end"/>
                </w:r>
              </w:p>
            </w:txbxContent>
          </v:textbox>
        </v:shape>
      </w:pict>
    </w:r>
  </w:p>
  <w:p w14:paraId="29C3D19A">
    <w:pPr>
      <w:pStyle w:val="2"/>
      <w:spacing w:line="14" w:lineRule="auto"/>
      <w:jc w:val="center"/>
      <w:rPr>
        <w:rFonts w:ascii="Times New Roman" w:hAnsi="Times New Roman" w:eastAsia="宋体" w:cs="Times New Roman"/>
        <w:sz w:val="20"/>
        <w:szCs w:val="20"/>
      </w:rPr>
    </w:pPr>
  </w:p>
  <w:p w14:paraId="019A829F">
    <w:pPr>
      <w:rPr>
        <w:rFonts w:ascii="Times New Roman" w:hAnsi="Times New Roman" w:eastAsia="宋体" w:cs="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78E82">
    <w:pPr>
      <w:jc w:val="center"/>
    </w:pPr>
    <w:r>
      <w:fldChar w:fldCharType="begin"/>
    </w:r>
    <w:r>
      <w:instrText xml:space="preserve"> PAGE   \* MERGEFORMAT </w:instrText>
    </w:r>
    <w:r>
      <w:fldChar w:fldCharType="separate"/>
    </w:r>
    <w:r>
      <w:rPr>
        <w:lang w:val="zh-CN"/>
      </w:rPr>
      <w:t>7</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FD01C">
    <w:pPr>
      <w:spacing w:after="120" w:afterLines="50" w:line="360" w:lineRule="auto"/>
      <w:jc w:val="left"/>
      <w:rPr>
        <w:rFonts w:ascii="方正小标宋简体" w:hAnsi="黑体" w:eastAsia="方正小标宋简体"/>
        <w:color w:val="808080"/>
      </w:rPr>
    </w:pPr>
    <w:r>
      <w:rPr>
        <w:rFonts w:hint="eastAsia" w:ascii="方正小标宋简体" w:hAnsi="黑体" w:eastAsia="方正小标宋简体"/>
        <w:color w:val="808080"/>
      </w:rPr>
      <w:fldChar w:fldCharType="begin"/>
    </w:r>
    <w:r>
      <w:rPr>
        <w:rFonts w:hint="eastAsia" w:ascii="方正小标宋简体" w:hAnsi="黑体" w:eastAsia="方正小标宋简体"/>
        <w:color w:val="808080"/>
      </w:rPr>
      <w:instrText xml:space="preserve">&lt;MK&gt; org.organname &lt;/MK&gt;</w:instrText>
    </w:r>
    <w:r>
      <w:rPr>
        <w:rFonts w:hint="eastAsia" w:ascii="方正小标宋简体" w:hAnsi="黑体" w:eastAsia="方正小标宋简体"/>
        <w:color w:val="80808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AA96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FFDF4">
    <w:pPr>
      <w:pStyle w:val="19"/>
      <w:pBdr>
        <w:top w:val="none" w:color="auto" w:sz="0" w:space="0"/>
        <w:left w:val="none" w:color="auto" w:sz="0" w:space="0"/>
        <w:bottom w:val="none" w:color="auto" w:sz="0" w:space="1"/>
        <w:right w:val="none" w:color="auto" w:sz="0" w:space="0"/>
        <w:between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26C2C">
    <w:pPr>
      <w:tabs>
        <w:tab w:val="left" w:pos="3135"/>
      </w:tabs>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FFBBA">
    <w:pPr>
      <w:tabs>
        <w:tab w:val="left" w:pos="3135"/>
      </w:tabs>
      <w:jc w:val="center"/>
      <w:rPr>
        <w:rFonts w:ascii="Times New Roman" w:hAnsi="Times New Roman" w:eastAsia="宋体" w:cs="Times New Roma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CF2D">
    <w:pPr>
      <w:tabs>
        <w:tab w:val="left" w:pos="3135"/>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hyphenationZone w:val="360"/>
  <w:drawingGridHorizontalSpacing w:val="210"/>
  <w:drawingGridVerticalSpacing w:val="157"/>
  <w:displayHorizontalDrawingGridEvery w:val="1"/>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9D1"/>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5526F6"/>
    <w:rsid w:val="01583B17"/>
    <w:rsid w:val="015D11CD"/>
    <w:rsid w:val="017A004D"/>
    <w:rsid w:val="018A171A"/>
    <w:rsid w:val="01AA467D"/>
    <w:rsid w:val="01AA7F44"/>
    <w:rsid w:val="01C37F52"/>
    <w:rsid w:val="01E43A29"/>
    <w:rsid w:val="01F86AA7"/>
    <w:rsid w:val="02137583"/>
    <w:rsid w:val="023467D6"/>
    <w:rsid w:val="029E5780"/>
    <w:rsid w:val="02A26D68"/>
    <w:rsid w:val="02E1657F"/>
    <w:rsid w:val="03317A82"/>
    <w:rsid w:val="037305E7"/>
    <w:rsid w:val="03C43FC1"/>
    <w:rsid w:val="03C47473"/>
    <w:rsid w:val="03EE5F86"/>
    <w:rsid w:val="03F540DB"/>
    <w:rsid w:val="03FA6D38"/>
    <w:rsid w:val="040E62F2"/>
    <w:rsid w:val="041760BD"/>
    <w:rsid w:val="049D062F"/>
    <w:rsid w:val="04A739A0"/>
    <w:rsid w:val="04B67568"/>
    <w:rsid w:val="04D37C42"/>
    <w:rsid w:val="04E02E3C"/>
    <w:rsid w:val="0502540D"/>
    <w:rsid w:val="05856057"/>
    <w:rsid w:val="05A722B6"/>
    <w:rsid w:val="05AA5499"/>
    <w:rsid w:val="05B02190"/>
    <w:rsid w:val="05E735C9"/>
    <w:rsid w:val="05EB65B6"/>
    <w:rsid w:val="068B2688"/>
    <w:rsid w:val="06A11014"/>
    <w:rsid w:val="06AC335E"/>
    <w:rsid w:val="06B7199F"/>
    <w:rsid w:val="06C70DC5"/>
    <w:rsid w:val="06E74B4A"/>
    <w:rsid w:val="06F038FC"/>
    <w:rsid w:val="07113AF6"/>
    <w:rsid w:val="0790271A"/>
    <w:rsid w:val="07AD09D8"/>
    <w:rsid w:val="07D9365B"/>
    <w:rsid w:val="07DE1CC2"/>
    <w:rsid w:val="07F13DD2"/>
    <w:rsid w:val="08147475"/>
    <w:rsid w:val="08375362"/>
    <w:rsid w:val="08393EE6"/>
    <w:rsid w:val="084B5F6D"/>
    <w:rsid w:val="08523C23"/>
    <w:rsid w:val="087578E8"/>
    <w:rsid w:val="087D58E7"/>
    <w:rsid w:val="088E0183"/>
    <w:rsid w:val="089C7DAA"/>
    <w:rsid w:val="08CA465E"/>
    <w:rsid w:val="08FC63B0"/>
    <w:rsid w:val="090754E0"/>
    <w:rsid w:val="0915338B"/>
    <w:rsid w:val="0943482A"/>
    <w:rsid w:val="095476B1"/>
    <w:rsid w:val="09587AD8"/>
    <w:rsid w:val="0975004C"/>
    <w:rsid w:val="097D0FA6"/>
    <w:rsid w:val="099B2330"/>
    <w:rsid w:val="09B9389A"/>
    <w:rsid w:val="09E54AF3"/>
    <w:rsid w:val="09F909CC"/>
    <w:rsid w:val="0A8235E3"/>
    <w:rsid w:val="0A9E1C57"/>
    <w:rsid w:val="0AAD1CF8"/>
    <w:rsid w:val="0AB7210A"/>
    <w:rsid w:val="0AC262AF"/>
    <w:rsid w:val="0AF01F15"/>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DE7230"/>
    <w:rsid w:val="0D1E248B"/>
    <w:rsid w:val="0D3E7BD1"/>
    <w:rsid w:val="0D75742F"/>
    <w:rsid w:val="0D7E57B7"/>
    <w:rsid w:val="0D83430F"/>
    <w:rsid w:val="0DF6797D"/>
    <w:rsid w:val="0E551719"/>
    <w:rsid w:val="0E656F40"/>
    <w:rsid w:val="0E732E9D"/>
    <w:rsid w:val="0E8025FB"/>
    <w:rsid w:val="0EAD7A30"/>
    <w:rsid w:val="0EB7321C"/>
    <w:rsid w:val="0EC3668B"/>
    <w:rsid w:val="0ED9130A"/>
    <w:rsid w:val="0EEE37B4"/>
    <w:rsid w:val="0EEE72F6"/>
    <w:rsid w:val="0EEF3B6D"/>
    <w:rsid w:val="0F18454D"/>
    <w:rsid w:val="0F563250"/>
    <w:rsid w:val="0F757274"/>
    <w:rsid w:val="0F7B6D86"/>
    <w:rsid w:val="0FA049C5"/>
    <w:rsid w:val="100A56E5"/>
    <w:rsid w:val="1015296A"/>
    <w:rsid w:val="107D0D91"/>
    <w:rsid w:val="10996E23"/>
    <w:rsid w:val="109C7836"/>
    <w:rsid w:val="10CD53CD"/>
    <w:rsid w:val="10D910AC"/>
    <w:rsid w:val="10DB2049"/>
    <w:rsid w:val="117008EA"/>
    <w:rsid w:val="119E784A"/>
    <w:rsid w:val="11CF58CD"/>
    <w:rsid w:val="11E93E30"/>
    <w:rsid w:val="120C5428"/>
    <w:rsid w:val="1215334A"/>
    <w:rsid w:val="1223540C"/>
    <w:rsid w:val="12470A0B"/>
    <w:rsid w:val="12541379"/>
    <w:rsid w:val="1280341C"/>
    <w:rsid w:val="12D84FD5"/>
    <w:rsid w:val="12E4664C"/>
    <w:rsid w:val="13323FAC"/>
    <w:rsid w:val="13456770"/>
    <w:rsid w:val="13C3798B"/>
    <w:rsid w:val="13F14325"/>
    <w:rsid w:val="13FC430A"/>
    <w:rsid w:val="14B35714"/>
    <w:rsid w:val="14EF355C"/>
    <w:rsid w:val="152768D8"/>
    <w:rsid w:val="15356A64"/>
    <w:rsid w:val="162B62E9"/>
    <w:rsid w:val="167B313B"/>
    <w:rsid w:val="16844339"/>
    <w:rsid w:val="16933C4A"/>
    <w:rsid w:val="169D721A"/>
    <w:rsid w:val="169E0698"/>
    <w:rsid w:val="16EB7FA4"/>
    <w:rsid w:val="177D3A9B"/>
    <w:rsid w:val="179B7A23"/>
    <w:rsid w:val="17AF6944"/>
    <w:rsid w:val="17BC13D2"/>
    <w:rsid w:val="17C42F60"/>
    <w:rsid w:val="17EB2972"/>
    <w:rsid w:val="17FC5942"/>
    <w:rsid w:val="180A4EFC"/>
    <w:rsid w:val="18153111"/>
    <w:rsid w:val="18293A62"/>
    <w:rsid w:val="1831127B"/>
    <w:rsid w:val="183F3BEF"/>
    <w:rsid w:val="186F6EC0"/>
    <w:rsid w:val="187D5EF8"/>
    <w:rsid w:val="189F488C"/>
    <w:rsid w:val="190E24E6"/>
    <w:rsid w:val="19134BD1"/>
    <w:rsid w:val="193E60EE"/>
    <w:rsid w:val="1996299E"/>
    <w:rsid w:val="19A228BF"/>
    <w:rsid w:val="19B619E8"/>
    <w:rsid w:val="19C95B31"/>
    <w:rsid w:val="19D61A27"/>
    <w:rsid w:val="19D91860"/>
    <w:rsid w:val="19E70A3A"/>
    <w:rsid w:val="19E814BD"/>
    <w:rsid w:val="19EE47F1"/>
    <w:rsid w:val="1A171DEC"/>
    <w:rsid w:val="1A3D688E"/>
    <w:rsid w:val="1A427461"/>
    <w:rsid w:val="1A4D58E6"/>
    <w:rsid w:val="1A9411A5"/>
    <w:rsid w:val="1A9D6100"/>
    <w:rsid w:val="1AB34E0F"/>
    <w:rsid w:val="1AC3220D"/>
    <w:rsid w:val="1AD67BC3"/>
    <w:rsid w:val="1AFD01FC"/>
    <w:rsid w:val="1AFD6AB0"/>
    <w:rsid w:val="1B0D38DF"/>
    <w:rsid w:val="1B20550F"/>
    <w:rsid w:val="1B40753A"/>
    <w:rsid w:val="1B440A44"/>
    <w:rsid w:val="1B660387"/>
    <w:rsid w:val="1B684210"/>
    <w:rsid w:val="1B7369D7"/>
    <w:rsid w:val="1B795F34"/>
    <w:rsid w:val="1B854334"/>
    <w:rsid w:val="1B870EF8"/>
    <w:rsid w:val="1BC94A3F"/>
    <w:rsid w:val="1BF508C5"/>
    <w:rsid w:val="1C227730"/>
    <w:rsid w:val="1C48610B"/>
    <w:rsid w:val="1C5A3C93"/>
    <w:rsid w:val="1C9D611F"/>
    <w:rsid w:val="1CE32A6B"/>
    <w:rsid w:val="1D18397A"/>
    <w:rsid w:val="1D1C1C5D"/>
    <w:rsid w:val="1D99336A"/>
    <w:rsid w:val="1DA557B9"/>
    <w:rsid w:val="1DC00260"/>
    <w:rsid w:val="1DC30D26"/>
    <w:rsid w:val="1DEB2616"/>
    <w:rsid w:val="1DEE0128"/>
    <w:rsid w:val="1DF467B3"/>
    <w:rsid w:val="1DFA1AA6"/>
    <w:rsid w:val="1DFA529B"/>
    <w:rsid w:val="1E6B1F65"/>
    <w:rsid w:val="1E6F248C"/>
    <w:rsid w:val="1E755389"/>
    <w:rsid w:val="1E782CFA"/>
    <w:rsid w:val="1E9A29BD"/>
    <w:rsid w:val="1EB7451C"/>
    <w:rsid w:val="1EDF7F79"/>
    <w:rsid w:val="1EE3240C"/>
    <w:rsid w:val="1EE3418D"/>
    <w:rsid w:val="1F012A08"/>
    <w:rsid w:val="1F422D48"/>
    <w:rsid w:val="1F456D0F"/>
    <w:rsid w:val="1F4758F7"/>
    <w:rsid w:val="1F495180"/>
    <w:rsid w:val="1F4B120E"/>
    <w:rsid w:val="1F656B41"/>
    <w:rsid w:val="1F6A589A"/>
    <w:rsid w:val="1FB217EE"/>
    <w:rsid w:val="1FE725CB"/>
    <w:rsid w:val="201F309C"/>
    <w:rsid w:val="204A197D"/>
    <w:rsid w:val="20C67CE1"/>
    <w:rsid w:val="21020DD9"/>
    <w:rsid w:val="21287AAE"/>
    <w:rsid w:val="21717559"/>
    <w:rsid w:val="2174661B"/>
    <w:rsid w:val="21BC7FE7"/>
    <w:rsid w:val="21C2460D"/>
    <w:rsid w:val="21F641C8"/>
    <w:rsid w:val="21FC3F25"/>
    <w:rsid w:val="220F0817"/>
    <w:rsid w:val="2216545C"/>
    <w:rsid w:val="22187A10"/>
    <w:rsid w:val="22463E3C"/>
    <w:rsid w:val="227B6E4F"/>
    <w:rsid w:val="23541D84"/>
    <w:rsid w:val="23AE0AFD"/>
    <w:rsid w:val="23BC6016"/>
    <w:rsid w:val="23D9227D"/>
    <w:rsid w:val="2406396D"/>
    <w:rsid w:val="24264B88"/>
    <w:rsid w:val="247A3B89"/>
    <w:rsid w:val="24A46CB3"/>
    <w:rsid w:val="24A829AF"/>
    <w:rsid w:val="24FD0384"/>
    <w:rsid w:val="25412BD2"/>
    <w:rsid w:val="25526E66"/>
    <w:rsid w:val="2561687F"/>
    <w:rsid w:val="258D1553"/>
    <w:rsid w:val="25994BCF"/>
    <w:rsid w:val="25DA3152"/>
    <w:rsid w:val="25E8386E"/>
    <w:rsid w:val="26000C3A"/>
    <w:rsid w:val="26024A18"/>
    <w:rsid w:val="26107CFC"/>
    <w:rsid w:val="261C45EC"/>
    <w:rsid w:val="263F51FE"/>
    <w:rsid w:val="26A111BC"/>
    <w:rsid w:val="26AD7626"/>
    <w:rsid w:val="27112091"/>
    <w:rsid w:val="27133AC9"/>
    <w:rsid w:val="276510B9"/>
    <w:rsid w:val="277749BC"/>
    <w:rsid w:val="2784604A"/>
    <w:rsid w:val="27AC65DA"/>
    <w:rsid w:val="27BD6278"/>
    <w:rsid w:val="28490AE1"/>
    <w:rsid w:val="284B0AFF"/>
    <w:rsid w:val="2850422B"/>
    <w:rsid w:val="28947F43"/>
    <w:rsid w:val="289E757B"/>
    <w:rsid w:val="28B626A3"/>
    <w:rsid w:val="28C66BE0"/>
    <w:rsid w:val="28C94F85"/>
    <w:rsid w:val="291729B3"/>
    <w:rsid w:val="293D4E4D"/>
    <w:rsid w:val="293E174E"/>
    <w:rsid w:val="294E39EE"/>
    <w:rsid w:val="29955175"/>
    <w:rsid w:val="29EC6114"/>
    <w:rsid w:val="2A233EC4"/>
    <w:rsid w:val="2A42504E"/>
    <w:rsid w:val="2A5F09D2"/>
    <w:rsid w:val="2A81520E"/>
    <w:rsid w:val="2A950CB9"/>
    <w:rsid w:val="2AA06070"/>
    <w:rsid w:val="2AE40825"/>
    <w:rsid w:val="2AE64F3B"/>
    <w:rsid w:val="2AE96D79"/>
    <w:rsid w:val="2B5F5D6D"/>
    <w:rsid w:val="2B8726F6"/>
    <w:rsid w:val="2BA467DB"/>
    <w:rsid w:val="2BAC0E1B"/>
    <w:rsid w:val="2BCD7688"/>
    <w:rsid w:val="2C2D32DE"/>
    <w:rsid w:val="2C32316E"/>
    <w:rsid w:val="2C546594"/>
    <w:rsid w:val="2CDD6D23"/>
    <w:rsid w:val="2CE439C5"/>
    <w:rsid w:val="2D074F37"/>
    <w:rsid w:val="2D473EB8"/>
    <w:rsid w:val="2D4D421D"/>
    <w:rsid w:val="2D4E11B8"/>
    <w:rsid w:val="2D4E1BC0"/>
    <w:rsid w:val="2D89591F"/>
    <w:rsid w:val="2D946C86"/>
    <w:rsid w:val="2DDE6D73"/>
    <w:rsid w:val="2DFB5192"/>
    <w:rsid w:val="2E395342"/>
    <w:rsid w:val="2E431036"/>
    <w:rsid w:val="2E6840C9"/>
    <w:rsid w:val="2E712B0A"/>
    <w:rsid w:val="2EB26BE3"/>
    <w:rsid w:val="2EF85E2C"/>
    <w:rsid w:val="2F233DFC"/>
    <w:rsid w:val="2F2A1FB0"/>
    <w:rsid w:val="2F4879D2"/>
    <w:rsid w:val="2F917C50"/>
    <w:rsid w:val="2FB03E01"/>
    <w:rsid w:val="2FD85612"/>
    <w:rsid w:val="2FDF308B"/>
    <w:rsid w:val="2FED31A4"/>
    <w:rsid w:val="2FED4C3D"/>
    <w:rsid w:val="301E69B0"/>
    <w:rsid w:val="30624425"/>
    <w:rsid w:val="307D33BC"/>
    <w:rsid w:val="309C4EE6"/>
    <w:rsid w:val="30A24262"/>
    <w:rsid w:val="31011CAB"/>
    <w:rsid w:val="3105069B"/>
    <w:rsid w:val="311C61EF"/>
    <w:rsid w:val="31330D53"/>
    <w:rsid w:val="31440242"/>
    <w:rsid w:val="31621E34"/>
    <w:rsid w:val="31703FE9"/>
    <w:rsid w:val="318D2525"/>
    <w:rsid w:val="318D57EA"/>
    <w:rsid w:val="31AD0696"/>
    <w:rsid w:val="31F302A2"/>
    <w:rsid w:val="320D4BA0"/>
    <w:rsid w:val="322341A3"/>
    <w:rsid w:val="32674EDB"/>
    <w:rsid w:val="32906254"/>
    <w:rsid w:val="329D3B01"/>
    <w:rsid w:val="32CB093C"/>
    <w:rsid w:val="32D01C91"/>
    <w:rsid w:val="331337DF"/>
    <w:rsid w:val="33402AB1"/>
    <w:rsid w:val="33CC0E26"/>
    <w:rsid w:val="33E36CF5"/>
    <w:rsid w:val="33F44BB3"/>
    <w:rsid w:val="340371D5"/>
    <w:rsid w:val="34C038D0"/>
    <w:rsid w:val="34D25CCA"/>
    <w:rsid w:val="34D96007"/>
    <w:rsid w:val="34ED14DC"/>
    <w:rsid w:val="34FE2A23"/>
    <w:rsid w:val="35065DD6"/>
    <w:rsid w:val="35086ADC"/>
    <w:rsid w:val="350C25E8"/>
    <w:rsid w:val="352A68C7"/>
    <w:rsid w:val="352D6AB2"/>
    <w:rsid w:val="353B4710"/>
    <w:rsid w:val="3544158D"/>
    <w:rsid w:val="354F4233"/>
    <w:rsid w:val="35592AAC"/>
    <w:rsid w:val="35724FEB"/>
    <w:rsid w:val="359D4998"/>
    <w:rsid w:val="36315381"/>
    <w:rsid w:val="367B7B47"/>
    <w:rsid w:val="36AD1BC9"/>
    <w:rsid w:val="36C844EB"/>
    <w:rsid w:val="37170C10"/>
    <w:rsid w:val="371E13E2"/>
    <w:rsid w:val="371F2785"/>
    <w:rsid w:val="37537346"/>
    <w:rsid w:val="375A0ADE"/>
    <w:rsid w:val="375D770A"/>
    <w:rsid w:val="375F25F9"/>
    <w:rsid w:val="37832D60"/>
    <w:rsid w:val="378D66A4"/>
    <w:rsid w:val="379B43B2"/>
    <w:rsid w:val="37A016B1"/>
    <w:rsid w:val="37AF5D39"/>
    <w:rsid w:val="37DD403B"/>
    <w:rsid w:val="380D6774"/>
    <w:rsid w:val="38283FC0"/>
    <w:rsid w:val="38684E44"/>
    <w:rsid w:val="38904518"/>
    <w:rsid w:val="38C04B0D"/>
    <w:rsid w:val="38C244F8"/>
    <w:rsid w:val="38E23656"/>
    <w:rsid w:val="39110A0C"/>
    <w:rsid w:val="3922119F"/>
    <w:rsid w:val="39674A58"/>
    <w:rsid w:val="39846C86"/>
    <w:rsid w:val="39A042F7"/>
    <w:rsid w:val="39CF4DFD"/>
    <w:rsid w:val="39CF7234"/>
    <w:rsid w:val="3A166C37"/>
    <w:rsid w:val="3A533760"/>
    <w:rsid w:val="3A561958"/>
    <w:rsid w:val="3A5D6F69"/>
    <w:rsid w:val="3AC74096"/>
    <w:rsid w:val="3ACC5038"/>
    <w:rsid w:val="3AFB08F6"/>
    <w:rsid w:val="3B4E3471"/>
    <w:rsid w:val="3BA72A7E"/>
    <w:rsid w:val="3BBC6705"/>
    <w:rsid w:val="3BC32214"/>
    <w:rsid w:val="3C082A5D"/>
    <w:rsid w:val="3C0B267B"/>
    <w:rsid w:val="3C340E6D"/>
    <w:rsid w:val="3C36282A"/>
    <w:rsid w:val="3C3F0A85"/>
    <w:rsid w:val="3C4A07B2"/>
    <w:rsid w:val="3C5617CC"/>
    <w:rsid w:val="3C766B03"/>
    <w:rsid w:val="3C817DC7"/>
    <w:rsid w:val="3C97266F"/>
    <w:rsid w:val="3D076F2B"/>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6018C4"/>
    <w:rsid w:val="3F677693"/>
    <w:rsid w:val="3F677A31"/>
    <w:rsid w:val="3F7E4976"/>
    <w:rsid w:val="3F880A18"/>
    <w:rsid w:val="3F9D7A12"/>
    <w:rsid w:val="3FA21671"/>
    <w:rsid w:val="3FA246A1"/>
    <w:rsid w:val="3FB632C7"/>
    <w:rsid w:val="3FC764F7"/>
    <w:rsid w:val="3FCE09AB"/>
    <w:rsid w:val="3FDF03F4"/>
    <w:rsid w:val="3FE659CA"/>
    <w:rsid w:val="3FE9035D"/>
    <w:rsid w:val="3FEEA4CB"/>
    <w:rsid w:val="3FF81933"/>
    <w:rsid w:val="40425B82"/>
    <w:rsid w:val="40460AEF"/>
    <w:rsid w:val="405269E6"/>
    <w:rsid w:val="40760CD9"/>
    <w:rsid w:val="4099611D"/>
    <w:rsid w:val="40D43E92"/>
    <w:rsid w:val="40FD3EC4"/>
    <w:rsid w:val="4106443B"/>
    <w:rsid w:val="410E76D9"/>
    <w:rsid w:val="410F79D5"/>
    <w:rsid w:val="412B09CA"/>
    <w:rsid w:val="41582EBC"/>
    <w:rsid w:val="41C9034C"/>
    <w:rsid w:val="41F160F2"/>
    <w:rsid w:val="42511A0D"/>
    <w:rsid w:val="4289725D"/>
    <w:rsid w:val="428A44BD"/>
    <w:rsid w:val="428C6C4F"/>
    <w:rsid w:val="42AD334B"/>
    <w:rsid w:val="42D276C6"/>
    <w:rsid w:val="42ED271E"/>
    <w:rsid w:val="43057965"/>
    <w:rsid w:val="431B7BEF"/>
    <w:rsid w:val="433D7244"/>
    <w:rsid w:val="43522735"/>
    <w:rsid w:val="436704BF"/>
    <w:rsid w:val="437368C4"/>
    <w:rsid w:val="438F2FC3"/>
    <w:rsid w:val="43D76424"/>
    <w:rsid w:val="443B052A"/>
    <w:rsid w:val="443C3663"/>
    <w:rsid w:val="4452236A"/>
    <w:rsid w:val="44534092"/>
    <w:rsid w:val="44BB1EB4"/>
    <w:rsid w:val="44CE4904"/>
    <w:rsid w:val="4534794B"/>
    <w:rsid w:val="457311A6"/>
    <w:rsid w:val="45B04CCB"/>
    <w:rsid w:val="46011184"/>
    <w:rsid w:val="4689334F"/>
    <w:rsid w:val="46BD1075"/>
    <w:rsid w:val="46EF46F6"/>
    <w:rsid w:val="470F0555"/>
    <w:rsid w:val="47140C94"/>
    <w:rsid w:val="47264254"/>
    <w:rsid w:val="47641572"/>
    <w:rsid w:val="47711830"/>
    <w:rsid w:val="477737C9"/>
    <w:rsid w:val="47947ED7"/>
    <w:rsid w:val="47EE0FE4"/>
    <w:rsid w:val="48333868"/>
    <w:rsid w:val="48377D91"/>
    <w:rsid w:val="4844740A"/>
    <w:rsid w:val="48480BDD"/>
    <w:rsid w:val="48BA4E3B"/>
    <w:rsid w:val="48D2342D"/>
    <w:rsid w:val="491D125E"/>
    <w:rsid w:val="492B0A3B"/>
    <w:rsid w:val="49374FBE"/>
    <w:rsid w:val="4938092B"/>
    <w:rsid w:val="495F103C"/>
    <w:rsid w:val="495F31B8"/>
    <w:rsid w:val="49685C25"/>
    <w:rsid w:val="49864A59"/>
    <w:rsid w:val="4991236B"/>
    <w:rsid w:val="49A35CF4"/>
    <w:rsid w:val="49C3733F"/>
    <w:rsid w:val="49CB139A"/>
    <w:rsid w:val="4A3B218B"/>
    <w:rsid w:val="4A7C7F8F"/>
    <w:rsid w:val="4B2F2836"/>
    <w:rsid w:val="4B5D77FE"/>
    <w:rsid w:val="4B662180"/>
    <w:rsid w:val="4B68502C"/>
    <w:rsid w:val="4B904744"/>
    <w:rsid w:val="4B976800"/>
    <w:rsid w:val="4BA03673"/>
    <w:rsid w:val="4BC85129"/>
    <w:rsid w:val="4BCF2E1C"/>
    <w:rsid w:val="4BDE0AD1"/>
    <w:rsid w:val="4BDF0D6C"/>
    <w:rsid w:val="4BF8070C"/>
    <w:rsid w:val="4C0C763A"/>
    <w:rsid w:val="4C2A312F"/>
    <w:rsid w:val="4C3C5DE2"/>
    <w:rsid w:val="4C525195"/>
    <w:rsid w:val="4C7376AB"/>
    <w:rsid w:val="4CB22D83"/>
    <w:rsid w:val="4CB410BA"/>
    <w:rsid w:val="4CC97324"/>
    <w:rsid w:val="4CCC75F4"/>
    <w:rsid w:val="4CDB5999"/>
    <w:rsid w:val="4CE70BAF"/>
    <w:rsid w:val="4CF642CA"/>
    <w:rsid w:val="4D32625D"/>
    <w:rsid w:val="4D9012EC"/>
    <w:rsid w:val="4D9466DF"/>
    <w:rsid w:val="4DBF477E"/>
    <w:rsid w:val="4DC04257"/>
    <w:rsid w:val="4DEF107C"/>
    <w:rsid w:val="4E1C0791"/>
    <w:rsid w:val="4E7611DE"/>
    <w:rsid w:val="4E85660D"/>
    <w:rsid w:val="4E8A0CBC"/>
    <w:rsid w:val="4E92194C"/>
    <w:rsid w:val="4EDF59AF"/>
    <w:rsid w:val="4EE40DDC"/>
    <w:rsid w:val="4F192B25"/>
    <w:rsid w:val="4F3F4BCC"/>
    <w:rsid w:val="4F40001A"/>
    <w:rsid w:val="4F47427C"/>
    <w:rsid w:val="4F6500C3"/>
    <w:rsid w:val="4F661F7E"/>
    <w:rsid w:val="4F9C3DCC"/>
    <w:rsid w:val="4FD1635E"/>
    <w:rsid w:val="4FDF52D5"/>
    <w:rsid w:val="4FED68DC"/>
    <w:rsid w:val="501C6439"/>
    <w:rsid w:val="50611F26"/>
    <w:rsid w:val="50664FBE"/>
    <w:rsid w:val="50742907"/>
    <w:rsid w:val="50A414E4"/>
    <w:rsid w:val="50DD1205"/>
    <w:rsid w:val="50F15D58"/>
    <w:rsid w:val="51093BB7"/>
    <w:rsid w:val="5146430B"/>
    <w:rsid w:val="516B5AFB"/>
    <w:rsid w:val="516D15EF"/>
    <w:rsid w:val="516F7A6A"/>
    <w:rsid w:val="51C274C6"/>
    <w:rsid w:val="526470E2"/>
    <w:rsid w:val="527F6064"/>
    <w:rsid w:val="52861EB7"/>
    <w:rsid w:val="528F2678"/>
    <w:rsid w:val="52C052D1"/>
    <w:rsid w:val="52D21236"/>
    <w:rsid w:val="52D95BAA"/>
    <w:rsid w:val="52FD45C2"/>
    <w:rsid w:val="53052749"/>
    <w:rsid w:val="5344299E"/>
    <w:rsid w:val="534F7763"/>
    <w:rsid w:val="53567FA9"/>
    <w:rsid w:val="537A4878"/>
    <w:rsid w:val="53884D49"/>
    <w:rsid w:val="53893EEA"/>
    <w:rsid w:val="539C626A"/>
    <w:rsid w:val="53CE00B8"/>
    <w:rsid w:val="5454568C"/>
    <w:rsid w:val="5473068E"/>
    <w:rsid w:val="54856274"/>
    <w:rsid w:val="54A9517E"/>
    <w:rsid w:val="54DE6C35"/>
    <w:rsid w:val="54E86B55"/>
    <w:rsid w:val="553116DC"/>
    <w:rsid w:val="553B3C48"/>
    <w:rsid w:val="554D3CEE"/>
    <w:rsid w:val="55772025"/>
    <w:rsid w:val="559E4E2C"/>
    <w:rsid w:val="55C51201"/>
    <w:rsid w:val="56085A32"/>
    <w:rsid w:val="56851442"/>
    <w:rsid w:val="56857E24"/>
    <w:rsid w:val="56891F7D"/>
    <w:rsid w:val="569E55ED"/>
    <w:rsid w:val="56DD102C"/>
    <w:rsid w:val="57036D60"/>
    <w:rsid w:val="57340B98"/>
    <w:rsid w:val="573E7448"/>
    <w:rsid w:val="576A4745"/>
    <w:rsid w:val="5782249F"/>
    <w:rsid w:val="57BD5E4D"/>
    <w:rsid w:val="57E835A4"/>
    <w:rsid w:val="57ED3B31"/>
    <w:rsid w:val="584118DE"/>
    <w:rsid w:val="58550366"/>
    <w:rsid w:val="58693E66"/>
    <w:rsid w:val="588C1193"/>
    <w:rsid w:val="58A322AF"/>
    <w:rsid w:val="59405516"/>
    <w:rsid w:val="594B0060"/>
    <w:rsid w:val="594B715D"/>
    <w:rsid w:val="598B4EA5"/>
    <w:rsid w:val="59D94150"/>
    <w:rsid w:val="59DD3B06"/>
    <w:rsid w:val="59FB24F3"/>
    <w:rsid w:val="5A504690"/>
    <w:rsid w:val="5A873F32"/>
    <w:rsid w:val="5A8F542C"/>
    <w:rsid w:val="5AA020E9"/>
    <w:rsid w:val="5B051E5B"/>
    <w:rsid w:val="5B095BF3"/>
    <w:rsid w:val="5B2F1989"/>
    <w:rsid w:val="5B6921A3"/>
    <w:rsid w:val="5B865977"/>
    <w:rsid w:val="5B9B5A43"/>
    <w:rsid w:val="5BA03029"/>
    <w:rsid w:val="5BBC43EF"/>
    <w:rsid w:val="5C130DBF"/>
    <w:rsid w:val="5C185B49"/>
    <w:rsid w:val="5C3133C9"/>
    <w:rsid w:val="5C4F1667"/>
    <w:rsid w:val="5C5D752A"/>
    <w:rsid w:val="5C9D1A2D"/>
    <w:rsid w:val="5D0224F7"/>
    <w:rsid w:val="5D0653C7"/>
    <w:rsid w:val="5D4D125B"/>
    <w:rsid w:val="5D773E9C"/>
    <w:rsid w:val="5D9F728B"/>
    <w:rsid w:val="5DB652C3"/>
    <w:rsid w:val="5DBE4DB2"/>
    <w:rsid w:val="5DC30428"/>
    <w:rsid w:val="5E032983"/>
    <w:rsid w:val="5E07476C"/>
    <w:rsid w:val="5E536126"/>
    <w:rsid w:val="5E6815AA"/>
    <w:rsid w:val="5E855EFC"/>
    <w:rsid w:val="5EAB75F6"/>
    <w:rsid w:val="5F1078D8"/>
    <w:rsid w:val="5F534870"/>
    <w:rsid w:val="5F5F147F"/>
    <w:rsid w:val="5F6B21B9"/>
    <w:rsid w:val="5F7B4BF2"/>
    <w:rsid w:val="5F8140E8"/>
    <w:rsid w:val="5FA111C0"/>
    <w:rsid w:val="5FD17D97"/>
    <w:rsid w:val="5FEC7770"/>
    <w:rsid w:val="5FEE44DB"/>
    <w:rsid w:val="5FF3306A"/>
    <w:rsid w:val="60796F62"/>
    <w:rsid w:val="60AB52CC"/>
    <w:rsid w:val="60E51090"/>
    <w:rsid w:val="610721DF"/>
    <w:rsid w:val="612F5D3F"/>
    <w:rsid w:val="61373E01"/>
    <w:rsid w:val="614B7400"/>
    <w:rsid w:val="615C3564"/>
    <w:rsid w:val="616E25C0"/>
    <w:rsid w:val="61756C9F"/>
    <w:rsid w:val="617E675E"/>
    <w:rsid w:val="618D52F4"/>
    <w:rsid w:val="61BF21CE"/>
    <w:rsid w:val="61ED531D"/>
    <w:rsid w:val="61FE23EC"/>
    <w:rsid w:val="62006664"/>
    <w:rsid w:val="620C6DA4"/>
    <w:rsid w:val="625857EF"/>
    <w:rsid w:val="6269217D"/>
    <w:rsid w:val="62AC30A7"/>
    <w:rsid w:val="62B9556C"/>
    <w:rsid w:val="62CC4571"/>
    <w:rsid w:val="62E21FE6"/>
    <w:rsid w:val="63071A4D"/>
    <w:rsid w:val="63477CBA"/>
    <w:rsid w:val="63562B36"/>
    <w:rsid w:val="63640AD8"/>
    <w:rsid w:val="63953886"/>
    <w:rsid w:val="639C3F43"/>
    <w:rsid w:val="63A95D0A"/>
    <w:rsid w:val="63CA64C2"/>
    <w:rsid w:val="63F51382"/>
    <w:rsid w:val="64006EFB"/>
    <w:rsid w:val="641E320A"/>
    <w:rsid w:val="642A296C"/>
    <w:rsid w:val="644F008D"/>
    <w:rsid w:val="646E681E"/>
    <w:rsid w:val="64925CF4"/>
    <w:rsid w:val="64AE1506"/>
    <w:rsid w:val="64CB5CBA"/>
    <w:rsid w:val="64FC55D6"/>
    <w:rsid w:val="65030064"/>
    <w:rsid w:val="65AF6083"/>
    <w:rsid w:val="65DA0D53"/>
    <w:rsid w:val="65F45A9C"/>
    <w:rsid w:val="65F52ED8"/>
    <w:rsid w:val="65F732C9"/>
    <w:rsid w:val="660410DC"/>
    <w:rsid w:val="6607729F"/>
    <w:rsid w:val="66107929"/>
    <w:rsid w:val="66144219"/>
    <w:rsid w:val="6627269B"/>
    <w:rsid w:val="66761E23"/>
    <w:rsid w:val="669E2EA4"/>
    <w:rsid w:val="66C8490B"/>
    <w:rsid w:val="66D94778"/>
    <w:rsid w:val="66E97B34"/>
    <w:rsid w:val="66ED6DB5"/>
    <w:rsid w:val="675F5D34"/>
    <w:rsid w:val="67623F7F"/>
    <w:rsid w:val="678C48DD"/>
    <w:rsid w:val="678D547D"/>
    <w:rsid w:val="67937917"/>
    <w:rsid w:val="67C357CB"/>
    <w:rsid w:val="67FD029A"/>
    <w:rsid w:val="680D6AB9"/>
    <w:rsid w:val="68173E42"/>
    <w:rsid w:val="68322A9D"/>
    <w:rsid w:val="68880AC0"/>
    <w:rsid w:val="688B0C3F"/>
    <w:rsid w:val="68954EE6"/>
    <w:rsid w:val="68CB6066"/>
    <w:rsid w:val="68EB00F5"/>
    <w:rsid w:val="692939E8"/>
    <w:rsid w:val="69341CD7"/>
    <w:rsid w:val="693C3C42"/>
    <w:rsid w:val="69482BED"/>
    <w:rsid w:val="695C789E"/>
    <w:rsid w:val="69974E79"/>
    <w:rsid w:val="69BB2F33"/>
    <w:rsid w:val="6A0F7DFB"/>
    <w:rsid w:val="6A125B38"/>
    <w:rsid w:val="6A2F781E"/>
    <w:rsid w:val="6A33746E"/>
    <w:rsid w:val="6A674144"/>
    <w:rsid w:val="6AA742DA"/>
    <w:rsid w:val="6AB6668F"/>
    <w:rsid w:val="6AE67343"/>
    <w:rsid w:val="6AE706D4"/>
    <w:rsid w:val="6AEA3B9E"/>
    <w:rsid w:val="6B6A7798"/>
    <w:rsid w:val="6B6E083F"/>
    <w:rsid w:val="6BC164C3"/>
    <w:rsid w:val="6BD630B3"/>
    <w:rsid w:val="6C147AB8"/>
    <w:rsid w:val="6C5601CC"/>
    <w:rsid w:val="6CBE2051"/>
    <w:rsid w:val="6D104378"/>
    <w:rsid w:val="6D331048"/>
    <w:rsid w:val="6D486EEA"/>
    <w:rsid w:val="6D7856B9"/>
    <w:rsid w:val="6D933DFA"/>
    <w:rsid w:val="6DAA35A7"/>
    <w:rsid w:val="6DD72EB8"/>
    <w:rsid w:val="6DDB19AD"/>
    <w:rsid w:val="6DDF4468"/>
    <w:rsid w:val="6E455050"/>
    <w:rsid w:val="6E6602AD"/>
    <w:rsid w:val="6E694D63"/>
    <w:rsid w:val="6EF563BF"/>
    <w:rsid w:val="6F010B22"/>
    <w:rsid w:val="6F076466"/>
    <w:rsid w:val="6F1352D6"/>
    <w:rsid w:val="6F337B84"/>
    <w:rsid w:val="6F5608CC"/>
    <w:rsid w:val="6F6C19FB"/>
    <w:rsid w:val="6F900364"/>
    <w:rsid w:val="6FA44543"/>
    <w:rsid w:val="6FB4066F"/>
    <w:rsid w:val="7048119C"/>
    <w:rsid w:val="70794EF2"/>
    <w:rsid w:val="70AB017A"/>
    <w:rsid w:val="70B749E1"/>
    <w:rsid w:val="70D35108"/>
    <w:rsid w:val="71041C36"/>
    <w:rsid w:val="710737E0"/>
    <w:rsid w:val="71341F63"/>
    <w:rsid w:val="714006FF"/>
    <w:rsid w:val="71654F43"/>
    <w:rsid w:val="719B7F30"/>
    <w:rsid w:val="71BE3339"/>
    <w:rsid w:val="72094297"/>
    <w:rsid w:val="721A5B61"/>
    <w:rsid w:val="726C70BA"/>
    <w:rsid w:val="727E2F3E"/>
    <w:rsid w:val="72824D48"/>
    <w:rsid w:val="72872E0A"/>
    <w:rsid w:val="729F75AC"/>
    <w:rsid w:val="72A5200B"/>
    <w:rsid w:val="72A970AA"/>
    <w:rsid w:val="72BF19FC"/>
    <w:rsid w:val="72E06788"/>
    <w:rsid w:val="72FC2DE6"/>
    <w:rsid w:val="730333BC"/>
    <w:rsid w:val="73393104"/>
    <w:rsid w:val="735F4A70"/>
    <w:rsid w:val="737D38DB"/>
    <w:rsid w:val="73907D5F"/>
    <w:rsid w:val="73F50ACA"/>
    <w:rsid w:val="73F62DEB"/>
    <w:rsid w:val="744D0491"/>
    <w:rsid w:val="74657E71"/>
    <w:rsid w:val="74714B88"/>
    <w:rsid w:val="747B09FF"/>
    <w:rsid w:val="74BF1B57"/>
    <w:rsid w:val="74F4070E"/>
    <w:rsid w:val="75004DD6"/>
    <w:rsid w:val="756E3B68"/>
    <w:rsid w:val="75A66501"/>
    <w:rsid w:val="75B37AE5"/>
    <w:rsid w:val="7601345D"/>
    <w:rsid w:val="76DF266D"/>
    <w:rsid w:val="76F4202E"/>
    <w:rsid w:val="772422D8"/>
    <w:rsid w:val="776D739B"/>
    <w:rsid w:val="777F42E9"/>
    <w:rsid w:val="778133BE"/>
    <w:rsid w:val="77967596"/>
    <w:rsid w:val="779D6F26"/>
    <w:rsid w:val="77AE2B60"/>
    <w:rsid w:val="77E208EC"/>
    <w:rsid w:val="77F0506C"/>
    <w:rsid w:val="781A6671"/>
    <w:rsid w:val="781E5E50"/>
    <w:rsid w:val="78484242"/>
    <w:rsid w:val="784B00C7"/>
    <w:rsid w:val="78603AA7"/>
    <w:rsid w:val="7874451D"/>
    <w:rsid w:val="788E0E7D"/>
    <w:rsid w:val="78991756"/>
    <w:rsid w:val="789F07E0"/>
    <w:rsid w:val="78BB1314"/>
    <w:rsid w:val="78D5554C"/>
    <w:rsid w:val="78E75D62"/>
    <w:rsid w:val="78F30E2A"/>
    <w:rsid w:val="7919561A"/>
    <w:rsid w:val="792D2861"/>
    <w:rsid w:val="794013BD"/>
    <w:rsid w:val="799A2454"/>
    <w:rsid w:val="7A1112B2"/>
    <w:rsid w:val="7A6B1F56"/>
    <w:rsid w:val="7AAB443C"/>
    <w:rsid w:val="7AC8338F"/>
    <w:rsid w:val="7AE34912"/>
    <w:rsid w:val="7AF1296F"/>
    <w:rsid w:val="7B1810B3"/>
    <w:rsid w:val="7B1B54D9"/>
    <w:rsid w:val="7B330D36"/>
    <w:rsid w:val="7B493D2C"/>
    <w:rsid w:val="7B4D3C76"/>
    <w:rsid w:val="7B9B5387"/>
    <w:rsid w:val="7BA65801"/>
    <w:rsid w:val="7BB3324B"/>
    <w:rsid w:val="7BCA11E7"/>
    <w:rsid w:val="7BCD518A"/>
    <w:rsid w:val="7C0B4190"/>
    <w:rsid w:val="7C160B8E"/>
    <w:rsid w:val="7C3B2AB5"/>
    <w:rsid w:val="7C43213F"/>
    <w:rsid w:val="7C681E92"/>
    <w:rsid w:val="7C935623"/>
    <w:rsid w:val="7CA222FE"/>
    <w:rsid w:val="7CDF55E4"/>
    <w:rsid w:val="7D06498F"/>
    <w:rsid w:val="7D3F7E6F"/>
    <w:rsid w:val="7D41260A"/>
    <w:rsid w:val="7D8C3B75"/>
    <w:rsid w:val="7D9B48E2"/>
    <w:rsid w:val="7DF75930"/>
    <w:rsid w:val="7E043B3E"/>
    <w:rsid w:val="7E2712B5"/>
    <w:rsid w:val="7E3C4FE2"/>
    <w:rsid w:val="7E740106"/>
    <w:rsid w:val="7FF333E4"/>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2">
    <w:name w:val="Body Text"/>
    <w:basedOn w:val="1"/>
    <w:link w:val="55"/>
    <w:autoRedefine/>
    <w:qFormat/>
    <w:uiPriority w:val="0"/>
    <w:pPr>
      <w:spacing w:after="120"/>
    </w:pPr>
    <w:rPr>
      <w:kern w:val="0"/>
      <w:sz w:val="24"/>
    </w:rPr>
  </w:style>
  <w:style w:type="paragraph" w:styleId="7">
    <w:name w:val="Normal Indent"/>
    <w:basedOn w:val="1"/>
    <w:link w:val="52"/>
    <w:autoRedefine/>
    <w:qFormat/>
    <w:uiPriority w:val="0"/>
    <w:pPr>
      <w:ind w:firstLine="420"/>
    </w:pPr>
    <w:rPr>
      <w:szCs w:val="21"/>
    </w:rPr>
  </w:style>
  <w:style w:type="paragraph" w:styleId="8">
    <w:name w:val="Document Map"/>
    <w:basedOn w:val="1"/>
    <w:link w:val="53"/>
    <w:autoRedefine/>
    <w:qFormat/>
    <w:uiPriority w:val="0"/>
    <w:pPr>
      <w:shd w:val="clear" w:color="auto" w:fill="000080"/>
    </w:pPr>
  </w:style>
  <w:style w:type="paragraph" w:styleId="9">
    <w:name w:val="annotation text"/>
    <w:basedOn w:val="1"/>
    <w:link w:val="54"/>
    <w:autoRedefine/>
    <w:qFormat/>
    <w:uiPriority w:val="0"/>
    <w:pPr>
      <w:jc w:val="left"/>
    </w:pPr>
  </w:style>
  <w:style w:type="paragraph" w:styleId="10">
    <w:name w:val="Body Text Indent"/>
    <w:basedOn w:val="1"/>
    <w:next w:val="11"/>
    <w:link w:val="56"/>
    <w:autoRedefine/>
    <w:qFormat/>
    <w:uiPriority w:val="0"/>
    <w:pPr>
      <w:ind w:firstLine="830" w:firstLineChars="352"/>
    </w:pPr>
    <w:rPr>
      <w:rFonts w:ascii="仿宋_GB2312" w:eastAsia="仿宋_GB2312"/>
      <w:kern w:val="0"/>
      <w:sz w:val="32"/>
      <w:szCs w:val="32"/>
    </w:rPr>
  </w:style>
  <w:style w:type="paragraph" w:styleId="11">
    <w:name w:val="Body Text First Indent 2"/>
    <w:basedOn w:val="10"/>
    <w:autoRedefine/>
    <w:qFormat/>
    <w:uiPriority w:val="0"/>
    <w:pPr>
      <w:spacing w:after="120" w:line="360" w:lineRule="auto"/>
      <w:ind w:left="420" w:leftChars="200" w:firstLine="210" w:firstLineChars="200"/>
    </w:pPr>
    <w:rPr>
      <w:sz w:val="21"/>
    </w:rPr>
  </w:style>
  <w:style w:type="paragraph" w:styleId="12">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3">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4">
    <w:name w:val="Plain Text"/>
    <w:basedOn w:val="1"/>
    <w:link w:val="176"/>
    <w:autoRedefine/>
    <w:qFormat/>
    <w:uiPriority w:val="0"/>
    <w:rPr>
      <w:rFonts w:ascii="宋体" w:hAnsi="Courier New"/>
      <w:kern w:val="0"/>
      <w:szCs w:val="21"/>
    </w:rPr>
  </w:style>
  <w:style w:type="paragraph" w:styleId="15">
    <w:name w:val="Date"/>
    <w:basedOn w:val="1"/>
    <w:next w:val="1"/>
    <w:link w:val="58"/>
    <w:autoRedefine/>
    <w:qFormat/>
    <w:uiPriority w:val="0"/>
    <w:pPr>
      <w:ind w:left="100" w:leftChars="2500"/>
    </w:pPr>
    <w:rPr>
      <w:rFonts w:ascii="宋体" w:hAnsi="Courier New"/>
      <w:kern w:val="0"/>
      <w:szCs w:val="21"/>
    </w:rPr>
  </w:style>
  <w:style w:type="paragraph" w:styleId="16">
    <w:name w:val="Body Text Indent 2"/>
    <w:basedOn w:val="1"/>
    <w:link w:val="59"/>
    <w:autoRedefine/>
    <w:qFormat/>
    <w:uiPriority w:val="0"/>
    <w:pPr>
      <w:spacing w:after="120" w:line="480" w:lineRule="auto"/>
      <w:ind w:left="420" w:leftChars="200"/>
    </w:pPr>
    <w:rPr>
      <w:kern w:val="0"/>
      <w:sz w:val="24"/>
    </w:rPr>
  </w:style>
  <w:style w:type="paragraph" w:styleId="17">
    <w:name w:val="Balloon Text"/>
    <w:basedOn w:val="1"/>
    <w:link w:val="60"/>
    <w:autoRedefine/>
    <w:qFormat/>
    <w:uiPriority w:val="0"/>
    <w:rPr>
      <w:sz w:val="18"/>
      <w:szCs w:val="18"/>
    </w:rPr>
  </w:style>
  <w:style w:type="paragraph" w:styleId="18">
    <w:name w:val="footer"/>
    <w:basedOn w:val="1"/>
    <w:link w:val="61"/>
    <w:autoRedefine/>
    <w:qFormat/>
    <w:uiPriority w:val="99"/>
    <w:pPr>
      <w:tabs>
        <w:tab w:val="center" w:pos="4153"/>
        <w:tab w:val="right" w:pos="8306"/>
      </w:tabs>
      <w:snapToGrid w:val="0"/>
      <w:jc w:val="left"/>
    </w:pPr>
    <w:rPr>
      <w:sz w:val="18"/>
      <w:szCs w:val="18"/>
    </w:rPr>
  </w:style>
  <w:style w:type="paragraph" w:styleId="19">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0"/>
    <w:pPr>
      <w:tabs>
        <w:tab w:val="right" w:leader="dot" w:pos="8834"/>
      </w:tabs>
      <w:spacing w:before="120" w:after="120"/>
      <w:jc w:val="left"/>
    </w:pPr>
    <w:rPr>
      <w:b/>
      <w:bCs/>
      <w:caps/>
      <w:sz w:val="28"/>
      <w:szCs w:val="28"/>
    </w:rPr>
  </w:style>
  <w:style w:type="paragraph" w:styleId="21">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2">
    <w:name w:val="footnote text"/>
    <w:basedOn w:val="1"/>
    <w:autoRedefine/>
    <w:qFormat/>
    <w:uiPriority w:val="0"/>
    <w:rPr>
      <w:sz w:val="18"/>
    </w:rPr>
  </w:style>
  <w:style w:type="paragraph" w:styleId="23">
    <w:name w:val="Body Text Indent 3"/>
    <w:basedOn w:val="1"/>
    <w:link w:val="64"/>
    <w:autoRedefine/>
    <w:qFormat/>
    <w:uiPriority w:val="0"/>
    <w:pPr>
      <w:spacing w:after="120"/>
      <w:ind w:left="420" w:leftChars="200"/>
    </w:pPr>
    <w:rPr>
      <w:kern w:val="0"/>
      <w:sz w:val="16"/>
      <w:szCs w:val="16"/>
    </w:rPr>
  </w:style>
  <w:style w:type="paragraph" w:styleId="24">
    <w:name w:val="toc 2"/>
    <w:basedOn w:val="1"/>
    <w:next w:val="1"/>
    <w:autoRedefine/>
    <w:qFormat/>
    <w:uiPriority w:val="0"/>
    <w:pPr>
      <w:ind w:left="420" w:leftChars="200"/>
    </w:pPr>
    <w:rPr>
      <w:szCs w:val="21"/>
    </w:rPr>
  </w:style>
  <w:style w:type="paragraph" w:styleId="25">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26">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7">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8">
    <w:name w:val="annotation subject"/>
    <w:basedOn w:val="9"/>
    <w:next w:val="9"/>
    <w:link w:val="68"/>
    <w:autoRedefine/>
    <w:qFormat/>
    <w:uiPriority w:val="0"/>
    <w:rPr>
      <w:b/>
      <w:bCs/>
      <w:szCs w:val="21"/>
    </w:rPr>
  </w:style>
  <w:style w:type="paragraph" w:styleId="29">
    <w:name w:val="Body Text First Indent"/>
    <w:basedOn w:val="2"/>
    <w:link w:val="69"/>
    <w:autoRedefine/>
    <w:qFormat/>
    <w:uiPriority w:val="0"/>
    <w:pPr>
      <w:spacing w:line="560" w:lineRule="exact"/>
      <w:ind w:firstLine="420" w:firstLineChars="100"/>
    </w:pPr>
    <w:rPr>
      <w:kern w:val="2"/>
      <w:sz w:val="21"/>
      <w:szCs w:val="22"/>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link w:val="102"/>
    <w:autoRedefine/>
    <w:qFormat/>
    <w:uiPriority w:val="0"/>
    <w:pPr>
      <w:ind w:firstLine="420" w:firstLineChars="200"/>
    </w:pPr>
    <w:rPr>
      <w:szCs w:val="21"/>
    </w:rPr>
  </w:style>
  <w:style w:type="character" w:customStyle="1" w:styleId="48">
    <w:name w:val="标题 1 Char"/>
    <w:link w:val="3"/>
    <w:autoRedefine/>
    <w:qFormat/>
    <w:uiPriority w:val="0"/>
    <w:rPr>
      <w:b/>
      <w:bCs/>
      <w:kern w:val="44"/>
      <w:sz w:val="44"/>
      <w:szCs w:val="44"/>
    </w:rPr>
  </w:style>
  <w:style w:type="character" w:customStyle="1" w:styleId="49">
    <w:name w:val="标题 2 Char"/>
    <w:link w:val="4"/>
    <w:autoRedefine/>
    <w:qFormat/>
    <w:uiPriority w:val="0"/>
    <w:rPr>
      <w:rFonts w:ascii="Arial" w:hAnsi="Arial" w:eastAsia="宋体"/>
      <w:b/>
      <w:bCs/>
      <w:kern w:val="2"/>
      <w:sz w:val="32"/>
      <w:szCs w:val="32"/>
      <w:lang w:val="en-US" w:eastAsia="zh-CN" w:bidi="ar-SA"/>
    </w:rPr>
  </w:style>
  <w:style w:type="character" w:customStyle="1" w:styleId="50">
    <w:name w:val="标题 3 Char"/>
    <w:link w:val="5"/>
    <w:autoRedefine/>
    <w:qFormat/>
    <w:uiPriority w:val="0"/>
    <w:rPr>
      <w:b/>
      <w:bCs/>
      <w:kern w:val="2"/>
      <w:sz w:val="32"/>
      <w:szCs w:val="32"/>
    </w:rPr>
  </w:style>
  <w:style w:type="character" w:customStyle="1" w:styleId="51">
    <w:name w:val="标题 4 Char"/>
    <w:link w:val="6"/>
    <w:autoRedefine/>
    <w:qFormat/>
    <w:uiPriority w:val="0"/>
    <w:rPr>
      <w:rFonts w:ascii="仿宋_GB2312" w:eastAsia="仿宋_GB2312" w:cs="仿宋_GB2312"/>
      <w:kern w:val="2"/>
      <w:sz w:val="28"/>
      <w:szCs w:val="28"/>
    </w:rPr>
  </w:style>
  <w:style w:type="character" w:customStyle="1" w:styleId="52">
    <w:name w:val="正文缩进 Char"/>
    <w:link w:val="7"/>
    <w:autoRedefine/>
    <w:qFormat/>
    <w:uiPriority w:val="0"/>
    <w:rPr>
      <w:kern w:val="2"/>
      <w:sz w:val="21"/>
      <w:szCs w:val="21"/>
    </w:rPr>
  </w:style>
  <w:style w:type="character" w:customStyle="1" w:styleId="53">
    <w:name w:val="文档结构图 Char"/>
    <w:link w:val="8"/>
    <w:autoRedefine/>
    <w:qFormat/>
    <w:uiPriority w:val="0"/>
    <w:rPr>
      <w:kern w:val="2"/>
      <w:sz w:val="21"/>
      <w:szCs w:val="24"/>
      <w:shd w:val="clear" w:color="auto" w:fill="000080"/>
    </w:rPr>
  </w:style>
  <w:style w:type="character" w:customStyle="1" w:styleId="54">
    <w:name w:val="批注文字 Char"/>
    <w:link w:val="9"/>
    <w:autoRedefine/>
    <w:qFormat/>
    <w:uiPriority w:val="0"/>
    <w:rPr>
      <w:kern w:val="2"/>
      <w:sz w:val="21"/>
      <w:szCs w:val="24"/>
    </w:rPr>
  </w:style>
  <w:style w:type="character" w:customStyle="1" w:styleId="55">
    <w:name w:val="正文文本 Char"/>
    <w:link w:val="2"/>
    <w:autoRedefine/>
    <w:qFormat/>
    <w:uiPriority w:val="0"/>
    <w:rPr>
      <w:sz w:val="24"/>
      <w:szCs w:val="24"/>
    </w:rPr>
  </w:style>
  <w:style w:type="character" w:customStyle="1" w:styleId="56">
    <w:name w:val="正文文本缩进 Char"/>
    <w:link w:val="10"/>
    <w:autoRedefine/>
    <w:qFormat/>
    <w:uiPriority w:val="0"/>
    <w:rPr>
      <w:rFonts w:ascii="仿宋_GB2312" w:eastAsia="仿宋_GB2312"/>
      <w:sz w:val="32"/>
      <w:szCs w:val="32"/>
    </w:rPr>
  </w:style>
  <w:style w:type="character" w:customStyle="1" w:styleId="57">
    <w:name w:val="纯文本 Char"/>
    <w:link w:val="14"/>
    <w:autoRedefine/>
    <w:qFormat/>
    <w:uiPriority w:val="0"/>
    <w:rPr>
      <w:rFonts w:ascii="宋体" w:hAnsi="Courier New"/>
      <w:sz w:val="21"/>
      <w:szCs w:val="21"/>
    </w:rPr>
  </w:style>
  <w:style w:type="character" w:customStyle="1" w:styleId="58">
    <w:name w:val="日期 Char"/>
    <w:link w:val="15"/>
    <w:autoRedefine/>
    <w:qFormat/>
    <w:uiPriority w:val="0"/>
    <w:rPr>
      <w:rFonts w:ascii="宋体" w:hAnsi="Courier New"/>
      <w:sz w:val="21"/>
      <w:szCs w:val="21"/>
    </w:rPr>
  </w:style>
  <w:style w:type="character" w:customStyle="1" w:styleId="59">
    <w:name w:val="正文文本缩进 2 Char"/>
    <w:link w:val="16"/>
    <w:autoRedefine/>
    <w:qFormat/>
    <w:uiPriority w:val="0"/>
    <w:rPr>
      <w:sz w:val="24"/>
      <w:szCs w:val="24"/>
    </w:rPr>
  </w:style>
  <w:style w:type="character" w:customStyle="1" w:styleId="60">
    <w:name w:val="批注框文本 Char"/>
    <w:link w:val="17"/>
    <w:autoRedefine/>
    <w:qFormat/>
    <w:uiPriority w:val="0"/>
    <w:rPr>
      <w:kern w:val="2"/>
      <w:sz w:val="18"/>
      <w:szCs w:val="18"/>
    </w:rPr>
  </w:style>
  <w:style w:type="character" w:customStyle="1" w:styleId="61">
    <w:name w:val="页脚 Char1"/>
    <w:link w:val="18"/>
    <w:autoRedefine/>
    <w:qFormat/>
    <w:uiPriority w:val="99"/>
    <w:rPr>
      <w:kern w:val="2"/>
      <w:sz w:val="18"/>
      <w:szCs w:val="18"/>
    </w:rPr>
  </w:style>
  <w:style w:type="character" w:customStyle="1" w:styleId="62">
    <w:name w:val="页眉 Char"/>
    <w:link w:val="19"/>
    <w:autoRedefine/>
    <w:qFormat/>
    <w:uiPriority w:val="0"/>
    <w:rPr>
      <w:kern w:val="2"/>
      <w:sz w:val="18"/>
      <w:szCs w:val="18"/>
    </w:rPr>
  </w:style>
  <w:style w:type="character" w:customStyle="1" w:styleId="63">
    <w:name w:val="副标题 Char"/>
    <w:link w:val="21"/>
    <w:autoRedefine/>
    <w:qFormat/>
    <w:uiPriority w:val="0"/>
    <w:rPr>
      <w:rFonts w:ascii="Cambria" w:hAnsi="Cambria" w:eastAsia="方正楷体简体"/>
      <w:kern w:val="28"/>
      <w:sz w:val="32"/>
      <w:szCs w:val="32"/>
    </w:rPr>
  </w:style>
  <w:style w:type="character" w:customStyle="1" w:styleId="64">
    <w:name w:val="正文文本缩进 3 Char"/>
    <w:link w:val="23"/>
    <w:autoRedefine/>
    <w:qFormat/>
    <w:uiPriority w:val="0"/>
    <w:rPr>
      <w:sz w:val="16"/>
      <w:szCs w:val="16"/>
    </w:rPr>
  </w:style>
  <w:style w:type="character" w:customStyle="1" w:styleId="65">
    <w:name w:val="HTML 预设格式 Char"/>
    <w:link w:val="25"/>
    <w:autoRedefine/>
    <w:qFormat/>
    <w:uiPriority w:val="0"/>
    <w:rPr>
      <w:rFonts w:ascii="Courier New" w:hAnsi="Courier New" w:cs="Courier New"/>
      <w:lang w:eastAsia="en-US"/>
    </w:rPr>
  </w:style>
  <w:style w:type="character" w:customStyle="1" w:styleId="66">
    <w:name w:val="普通(网站) Char"/>
    <w:link w:val="26"/>
    <w:autoRedefine/>
    <w:qFormat/>
    <w:uiPriority w:val="99"/>
    <w:rPr>
      <w:rFonts w:ascii="宋体" w:hAnsi="宋体" w:cs="宋体"/>
      <w:sz w:val="24"/>
      <w:szCs w:val="24"/>
    </w:rPr>
  </w:style>
  <w:style w:type="character" w:customStyle="1" w:styleId="67">
    <w:name w:val="标题 Char"/>
    <w:link w:val="27"/>
    <w:autoRedefine/>
    <w:qFormat/>
    <w:uiPriority w:val="0"/>
    <w:rPr>
      <w:rFonts w:ascii="Cambria" w:hAnsi="Cambria" w:eastAsia="方正小标宋简体"/>
      <w:b/>
      <w:bCs/>
      <w:kern w:val="2"/>
      <w:sz w:val="32"/>
      <w:szCs w:val="32"/>
    </w:rPr>
  </w:style>
  <w:style w:type="character" w:customStyle="1" w:styleId="68">
    <w:name w:val="批注主题 Char"/>
    <w:link w:val="28"/>
    <w:autoRedefine/>
    <w:qFormat/>
    <w:uiPriority w:val="0"/>
    <w:rPr>
      <w:b/>
      <w:bCs/>
      <w:kern w:val="2"/>
      <w:sz w:val="21"/>
      <w:szCs w:val="21"/>
    </w:rPr>
  </w:style>
  <w:style w:type="character" w:customStyle="1" w:styleId="69">
    <w:name w:val="正文首行缩进 Char"/>
    <w:link w:val="29"/>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5"/>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9"/>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5"/>
    <w:autoRedefine/>
    <w:qFormat/>
    <w:locked/>
    <w:uiPriority w:val="99"/>
    <w:rPr>
      <w:rFonts w:cs="Times New Roman"/>
      <w:b/>
      <w:sz w:val="32"/>
    </w:rPr>
  </w:style>
  <w:style w:type="character" w:customStyle="1" w:styleId="176">
    <w:name w:val="纯文本 字符"/>
    <w:link w:val="14"/>
    <w:qFormat/>
    <w:uiPriority w:val="99"/>
    <w:rPr>
      <w:rFonts w:ascii="宋体" w:hAnsi="Courier New" w:eastAsia="宋体"/>
      <w:kern w:val="2"/>
      <w:sz w:val="21"/>
      <w:lang w:val="en-US" w:eastAsia="zh-CN" w:bidi="ar-SA"/>
    </w:rPr>
  </w:style>
  <w:style w:type="paragraph" w:customStyle="1" w:styleId="177">
    <w:name w:val="Other|1"/>
    <w:basedOn w:val="1"/>
    <w:qFormat/>
    <w:uiPriority w:val="0"/>
    <w:rPr>
      <w:rFonts w:ascii="宋体" w:hAnsi="宋体" w:eastAsia="宋体" w:cs="宋体"/>
      <w:sz w:val="22"/>
      <w:lang w:val="zh-TW" w:eastAsia="zh-TW" w:bidi="zh-TW"/>
    </w:rPr>
  </w:style>
  <w:style w:type="paragraph" w:customStyle="1" w:styleId="178">
    <w:name w:val="列表段落1"/>
    <w:basedOn w:val="1"/>
    <w:next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8" textRotate="1"/>
    <customShpInfo spid="_x0000_s4097" textRotate="1"/>
    <customShpInfo spid="_x0000_s4099" textRotate="1"/>
    <customShpInfo spid="_x0000_s4100" textRotate="1"/>
    <customShpInfo spid="_x0000_s4101" textRotate="1"/>
    <customShpInfo spid="_x0000_s410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80</Pages>
  <Words>20105</Words>
  <Characters>21723</Characters>
  <Lines>257</Lines>
  <Paragraphs>72</Paragraphs>
  <TotalTime>9</TotalTime>
  <ScaleCrop>false</ScaleCrop>
  <LinksUpToDate>false</LinksUpToDate>
  <CharactersWithSpaces>21821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2026-05-06T02:47:57Z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68E8CCAB267344C9A8C96987D8FCAC23</vt:lpwstr>
  </property>
  <property fmtid="{D5CDD505-2E9C-101B-9397-08002B2CF9AE}" pid="4" name="KSOTemplateDocerSaveRecord">
    <vt:lpwstr>eyJoZGlkIjoiMGNiMmMyOTA3NDRjMjdlMGEwOTRiYzNlMTJjM2RkOWYiLCJ1c2VySWQiOiI2NjcxMzg3NjUifQ==</vt:lpwstr>
  </property>
</Properties>
</file>