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2D285">
      <w:pPr>
        <w:jc w:val="center"/>
        <w:rPr>
          <w:b/>
          <w:sz w:val="48"/>
          <w:szCs w:val="48"/>
        </w:rPr>
      </w:pPr>
      <w:r>
        <w:rPr>
          <w:rFonts w:hint="eastAsia"/>
          <w:b/>
          <w:sz w:val="48"/>
          <w:szCs w:val="48"/>
        </w:rPr>
        <w:t>清单总说明</w:t>
      </w:r>
    </w:p>
    <w:p w14:paraId="17334FF6">
      <w:pPr>
        <w:rPr>
          <w:rFonts w:ascii="宋体" w:hAnsi="宋体"/>
          <w:sz w:val="28"/>
          <w:szCs w:val="28"/>
        </w:rPr>
      </w:pPr>
      <w:r>
        <w:rPr>
          <w:rFonts w:hint="eastAsia" w:ascii="宋体" w:hAnsi="宋体"/>
          <w:sz w:val="28"/>
          <w:szCs w:val="28"/>
        </w:rPr>
        <w:t>工程名称</w:t>
      </w:r>
      <w:r>
        <w:rPr>
          <w:rFonts w:hint="eastAsia" w:ascii="宋体" w:hAnsi="宋体"/>
          <w:sz w:val="24"/>
        </w:rPr>
        <w:t>：</w:t>
      </w:r>
      <w:r>
        <w:rPr>
          <w:rFonts w:hint="eastAsia"/>
          <w:sz w:val="28"/>
          <w:szCs w:val="28"/>
          <w:highlight w:val="none"/>
          <w:lang w:val="en-US" w:eastAsia="zh-CN"/>
        </w:rPr>
        <w:t>2026年路灯精致管理项目工程</w:t>
      </w:r>
    </w:p>
    <w:tbl>
      <w:tblPr>
        <w:tblStyle w:val="7"/>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6D1D1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5CED0518">
            <w:pPr>
              <w:spacing w:line="360" w:lineRule="auto"/>
              <w:ind w:left="281" w:leftChars="134"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一、投标人须知</w:t>
            </w:r>
          </w:p>
          <w:p w14:paraId="0A88C6CA">
            <w:pPr>
              <w:spacing w:line="360" w:lineRule="auto"/>
              <w:ind w:left="281" w:leftChars="134"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1、应按工程量清单报价格式规定的内容进行编制、填写、签字、盖章。</w:t>
            </w:r>
          </w:p>
          <w:p w14:paraId="0045D32F">
            <w:pPr>
              <w:spacing w:line="360" w:lineRule="auto"/>
              <w:ind w:left="281" w:leftChars="134"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2、工程量清单及其报价格式中的任何内容不得随意删除或修改。</w:t>
            </w:r>
          </w:p>
          <w:p w14:paraId="4B9D45D0">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3、工程量清单报价格式中所有需要填报的单价和合价，投标人均应填报，未填报的单价和合价视为此项费用已包含在工程量清单的其他单价和合价中。</w:t>
            </w:r>
          </w:p>
          <w:p w14:paraId="036A5B6D">
            <w:pPr>
              <w:spacing w:line="360" w:lineRule="auto"/>
              <w:ind w:left="281" w:leftChars="134"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4、金额（价格）均应以人民币表示。</w:t>
            </w:r>
          </w:p>
          <w:p w14:paraId="4FB708EC">
            <w:pPr>
              <w:spacing w:line="360" w:lineRule="auto"/>
              <w:ind w:left="281" w:leftChars="134"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二、工程概况</w:t>
            </w:r>
          </w:p>
          <w:p w14:paraId="78C6C7DE">
            <w:pPr>
              <w:ind w:firstLine="560" w:firstLineChars="200"/>
              <w:rPr>
                <w:rFonts w:ascii="宋体" w:hAnsi="宋体"/>
                <w:sz w:val="28"/>
                <w:szCs w:val="28"/>
              </w:rPr>
            </w:pPr>
            <w:r>
              <w:rPr>
                <w:rFonts w:hint="eastAsia" w:ascii="宋体" w:hAnsi="宋体"/>
                <w:sz w:val="28"/>
                <w:szCs w:val="28"/>
                <w:highlight w:val="none"/>
                <w:lang w:val="en-US" w:eastAsia="zh-CN"/>
              </w:rPr>
              <w:t>1、</w:t>
            </w:r>
            <w:r>
              <w:rPr>
                <w:rFonts w:hint="eastAsia" w:ascii="宋体" w:hAnsi="宋体"/>
                <w:sz w:val="28"/>
                <w:szCs w:val="28"/>
                <w:highlight w:val="none"/>
              </w:rPr>
              <w:t>项目名称:</w:t>
            </w:r>
            <w:r>
              <w:rPr>
                <w:rFonts w:hint="eastAsia"/>
                <w:sz w:val="28"/>
                <w:szCs w:val="28"/>
                <w:highlight w:val="none"/>
                <w:lang w:val="en-US" w:eastAsia="zh-CN"/>
              </w:rPr>
              <w:t>2026年路灯精致管理项目工程</w:t>
            </w:r>
          </w:p>
          <w:p w14:paraId="74D25244">
            <w:pPr>
              <w:ind w:firstLine="548" w:firstLineChars="196"/>
              <w:jc w:val="left"/>
              <w:rPr>
                <w:rFonts w:hint="eastAsia" w:ascii="宋体" w:hAnsi="宋体"/>
                <w:sz w:val="28"/>
                <w:szCs w:val="28"/>
                <w:highlight w:val="none"/>
              </w:rPr>
            </w:pPr>
            <w:r>
              <w:rPr>
                <w:rFonts w:hint="eastAsia" w:ascii="宋体" w:hAnsi="宋体"/>
                <w:sz w:val="28"/>
                <w:szCs w:val="28"/>
                <w:highlight w:val="none"/>
                <w:lang w:val="en-US" w:eastAsia="zh-CN"/>
              </w:rPr>
              <w:t>2、</w:t>
            </w:r>
            <w:r>
              <w:rPr>
                <w:rFonts w:hint="eastAsia" w:ascii="宋体" w:hAnsi="宋体"/>
                <w:sz w:val="28"/>
                <w:szCs w:val="28"/>
                <w:highlight w:val="none"/>
              </w:rPr>
              <w:t>建筑地点:山东省</w:t>
            </w:r>
            <w:r>
              <w:rPr>
                <w:rFonts w:hint="eastAsia" w:ascii="宋体" w:hAnsi="宋体"/>
                <w:sz w:val="28"/>
                <w:szCs w:val="28"/>
                <w:highlight w:val="none"/>
                <w:lang w:val="en-US" w:eastAsia="zh-CN"/>
              </w:rPr>
              <w:t>乳山</w:t>
            </w:r>
            <w:r>
              <w:rPr>
                <w:rFonts w:hint="eastAsia" w:ascii="宋体" w:hAnsi="宋体"/>
                <w:sz w:val="28"/>
                <w:szCs w:val="28"/>
                <w:highlight w:val="none"/>
              </w:rPr>
              <w:t xml:space="preserve">市 </w:t>
            </w:r>
          </w:p>
          <w:p w14:paraId="5BDD61F6">
            <w:pPr>
              <w:ind w:firstLine="548" w:firstLineChars="196"/>
              <w:jc w:val="left"/>
              <w:rPr>
                <w:rFonts w:hint="eastAsia" w:ascii="宋体" w:hAnsi="宋体"/>
                <w:sz w:val="28"/>
                <w:szCs w:val="28"/>
                <w:highlight w:val="none"/>
              </w:rPr>
            </w:pPr>
            <w:r>
              <w:rPr>
                <w:rFonts w:hint="eastAsia" w:ascii="宋体" w:hAnsi="宋体"/>
                <w:sz w:val="28"/>
                <w:szCs w:val="28"/>
                <w:highlight w:val="none"/>
                <w:lang w:val="en-US" w:eastAsia="zh-CN"/>
              </w:rPr>
              <w:t>3、</w:t>
            </w:r>
            <w:r>
              <w:rPr>
                <w:rFonts w:hint="eastAsia" w:ascii="宋体" w:hAnsi="宋体"/>
                <w:sz w:val="28"/>
                <w:szCs w:val="28"/>
                <w:highlight w:val="none"/>
              </w:rPr>
              <w:t>工程规模:</w:t>
            </w:r>
            <w:r>
              <w:rPr>
                <w:rFonts w:hint="eastAsia" w:ascii="宋体" w:hAnsi="宋体"/>
                <w:sz w:val="28"/>
                <w:szCs w:val="28"/>
                <w:highlight w:val="none"/>
                <w:lang w:val="en-US" w:eastAsia="zh-CN"/>
              </w:rPr>
              <w:t>胜利街（炉上桥-市政界）、路灯土建零星维修及高压运维抢修路灯及配套管路线缆、工井及土方等工程，</w:t>
            </w:r>
            <w:r>
              <w:rPr>
                <w:rFonts w:hint="eastAsia" w:ascii="宋体" w:hAnsi="宋体"/>
                <w:sz w:val="28"/>
                <w:szCs w:val="28"/>
                <w:highlight w:val="none"/>
                <w:lang w:eastAsia="zh-CN"/>
              </w:rPr>
              <w:t>具体详见</w:t>
            </w:r>
            <w:r>
              <w:rPr>
                <w:rFonts w:hint="eastAsia" w:ascii="宋体" w:hAnsi="宋体"/>
                <w:sz w:val="28"/>
                <w:szCs w:val="28"/>
                <w:highlight w:val="none"/>
                <w:lang w:val="en-US" w:eastAsia="zh-CN"/>
              </w:rPr>
              <w:t>甲方提供的工程量。</w:t>
            </w:r>
          </w:p>
          <w:p w14:paraId="21E1E5C7">
            <w:pPr>
              <w:ind w:firstLine="548" w:firstLineChars="196"/>
              <w:jc w:val="left"/>
              <w:rPr>
                <w:rFonts w:asciiTheme="minorEastAsia" w:hAnsiTheme="minorEastAsia" w:eastAsiaTheme="minorEastAsia"/>
                <w:sz w:val="28"/>
                <w:szCs w:val="28"/>
              </w:rPr>
            </w:pPr>
            <w:r>
              <w:rPr>
                <w:rFonts w:hint="eastAsia" w:ascii="宋体" w:hAnsi="宋体"/>
                <w:sz w:val="28"/>
                <w:szCs w:val="28"/>
                <w:highlight w:val="none"/>
                <w:lang w:val="en-US" w:eastAsia="zh-CN"/>
              </w:rPr>
              <w:t>4、</w:t>
            </w:r>
            <w:r>
              <w:rPr>
                <w:rFonts w:hint="eastAsia" w:ascii="宋体" w:hAnsi="宋体"/>
                <w:sz w:val="28"/>
                <w:szCs w:val="28"/>
                <w:highlight w:val="none"/>
              </w:rPr>
              <w:t>其它详见招标文件。</w:t>
            </w:r>
          </w:p>
          <w:p w14:paraId="57D4CA89">
            <w:pPr>
              <w:spacing w:line="360" w:lineRule="auto"/>
              <w:ind w:left="281" w:leftChars="134" w:firstLine="280" w:firstLineChars="1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三、工程招标范围：</w:t>
            </w:r>
          </w:p>
          <w:p w14:paraId="09A10FF0">
            <w:pPr>
              <w:ind w:firstLine="548" w:firstLineChars="196"/>
              <w:jc w:val="left"/>
              <w:rPr>
                <w:rFonts w:hint="eastAsia" w:asciiTheme="minorEastAsia" w:hAnsiTheme="minorEastAsia" w:eastAsiaTheme="minorEastAsia"/>
                <w:sz w:val="28"/>
                <w:szCs w:val="28"/>
                <w:highlight w:val="none"/>
                <w:lang w:eastAsia="zh-CN"/>
              </w:rPr>
            </w:pPr>
            <w:r>
              <w:rPr>
                <w:rFonts w:hint="eastAsia" w:asciiTheme="minorEastAsia" w:hAnsiTheme="minorEastAsia" w:eastAsiaTheme="minorEastAsia"/>
                <w:sz w:val="28"/>
                <w:szCs w:val="28"/>
                <w:highlight w:val="none"/>
              </w:rPr>
              <w:t>1、工程范围内的全部内容</w:t>
            </w:r>
            <w:r>
              <w:rPr>
                <w:rFonts w:hint="eastAsia" w:asciiTheme="minorEastAsia" w:hAnsiTheme="minorEastAsia" w:eastAsiaTheme="minorEastAsia"/>
                <w:sz w:val="28"/>
                <w:szCs w:val="28"/>
                <w:highlight w:val="none"/>
                <w:lang w:eastAsia="zh-CN"/>
              </w:rPr>
              <w:t>，</w:t>
            </w:r>
            <w:r>
              <w:rPr>
                <w:rFonts w:hint="eastAsia" w:asciiTheme="minorEastAsia" w:hAnsiTheme="minorEastAsia" w:eastAsiaTheme="minorEastAsia"/>
                <w:sz w:val="28"/>
                <w:szCs w:val="28"/>
                <w:highlight w:val="none"/>
              </w:rPr>
              <w:t>主要有有</w:t>
            </w:r>
            <w:r>
              <w:rPr>
                <w:rFonts w:hint="eastAsia" w:ascii="宋体" w:hAnsi="宋体"/>
                <w:sz w:val="28"/>
                <w:szCs w:val="28"/>
                <w:highlight w:val="none"/>
                <w:lang w:val="en-US" w:eastAsia="zh-CN"/>
              </w:rPr>
              <w:t>胜利街（炉上桥-市政界）、路灯土建零星维修及高压运维抢修路灯及配套管路线缆、工井及土方等工程，</w:t>
            </w:r>
            <w:r>
              <w:rPr>
                <w:rFonts w:hint="eastAsia" w:ascii="宋体" w:hAnsi="宋体"/>
                <w:sz w:val="28"/>
                <w:szCs w:val="28"/>
                <w:highlight w:val="none"/>
                <w:lang w:eastAsia="zh-CN"/>
              </w:rPr>
              <w:t>具体详见</w:t>
            </w:r>
            <w:r>
              <w:rPr>
                <w:rFonts w:hint="eastAsia" w:ascii="宋体" w:hAnsi="宋体"/>
                <w:sz w:val="28"/>
                <w:szCs w:val="28"/>
                <w:highlight w:val="none"/>
                <w:lang w:val="en-US" w:eastAsia="zh-CN"/>
              </w:rPr>
              <w:t>甲方提供的工程量。</w:t>
            </w:r>
          </w:p>
          <w:p w14:paraId="02BC5DE0">
            <w:pPr>
              <w:spacing w:line="360" w:lineRule="auto"/>
              <w:ind w:left="281" w:leftChars="134"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四、工程量清单编制依据：</w:t>
            </w:r>
          </w:p>
          <w:p w14:paraId="280C6591">
            <w:pPr>
              <w:ind w:firstLine="540"/>
              <w:jc w:val="left"/>
              <w:rPr>
                <w:rFonts w:hint="eastAsia"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1、</w:t>
            </w:r>
            <w:r>
              <w:rPr>
                <w:rFonts w:hint="eastAsia" w:asciiTheme="minorEastAsia" w:hAnsiTheme="minorEastAsia" w:eastAsiaTheme="minorEastAsia"/>
                <w:sz w:val="28"/>
                <w:szCs w:val="28"/>
                <w:highlight w:val="none"/>
              </w:rPr>
              <w:t>《建设工程工程量清单计价规范》（GB50500-2013）、《山东省市政工程消耗量定额2016版》、《山东省建设工程费用项目组成及计价规则》（鲁建标字[2016]40号）及相应计价依据和办法、鲁建标字〔2019〕10号文</w:t>
            </w:r>
            <w:r>
              <w:rPr>
                <w:rFonts w:hint="eastAsia" w:asciiTheme="minorEastAsia" w:hAnsiTheme="minorEastAsia" w:eastAsiaTheme="minorEastAsia"/>
                <w:sz w:val="28"/>
                <w:szCs w:val="28"/>
                <w:highlight w:val="none"/>
                <w:lang w:eastAsia="zh-CN"/>
              </w:rPr>
              <w:t>、</w:t>
            </w:r>
            <w:r>
              <w:rPr>
                <w:rFonts w:hint="eastAsia" w:asciiTheme="minorEastAsia" w:hAnsiTheme="minorEastAsia" w:eastAsiaTheme="minorEastAsia"/>
                <w:sz w:val="28"/>
                <w:szCs w:val="28"/>
                <w:highlight w:val="none"/>
              </w:rPr>
              <w:t>鲁建标字〔</w:t>
            </w:r>
            <w:r>
              <w:rPr>
                <w:rFonts w:hint="eastAsia" w:asciiTheme="minorEastAsia" w:hAnsiTheme="minorEastAsia" w:eastAsiaTheme="minorEastAsia"/>
                <w:sz w:val="28"/>
                <w:szCs w:val="28"/>
                <w:highlight w:val="none"/>
                <w:lang w:val="en-US" w:eastAsia="zh-CN"/>
              </w:rPr>
              <w:t>2020</w:t>
            </w:r>
            <w:r>
              <w:rPr>
                <w:rFonts w:hint="eastAsia"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lang w:val="en-US" w:eastAsia="zh-CN"/>
              </w:rPr>
              <w:t>24</w:t>
            </w:r>
            <w:r>
              <w:rPr>
                <w:rFonts w:hint="eastAsia" w:asciiTheme="minorEastAsia" w:hAnsiTheme="minorEastAsia" w:eastAsiaTheme="minorEastAsia"/>
                <w:sz w:val="28"/>
                <w:szCs w:val="28"/>
                <w:highlight w:val="none"/>
              </w:rPr>
              <w:t>号文。</w:t>
            </w:r>
          </w:p>
          <w:p w14:paraId="1E4797CF">
            <w:pPr>
              <w:ind w:firstLine="540"/>
              <w:jc w:val="left"/>
              <w:rPr>
                <w:rFonts w:hint="eastAsia"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2、</w:t>
            </w:r>
            <w:r>
              <w:rPr>
                <w:rFonts w:hint="eastAsia" w:ascii="宋体" w:hAnsi="宋体"/>
                <w:sz w:val="28"/>
                <w:szCs w:val="28"/>
                <w:highlight w:val="none"/>
                <w:lang w:val="en-US" w:eastAsia="zh-CN"/>
              </w:rPr>
              <w:t>甲方提供的工程量</w:t>
            </w:r>
            <w:r>
              <w:rPr>
                <w:rFonts w:hint="eastAsia" w:asciiTheme="minorEastAsia" w:hAnsiTheme="minorEastAsia" w:eastAsiaTheme="minorEastAsia"/>
                <w:sz w:val="28"/>
                <w:szCs w:val="28"/>
                <w:highlight w:val="none"/>
              </w:rPr>
              <w:t>及与建设项目有关的标准、规范、技术资料等。</w:t>
            </w:r>
          </w:p>
          <w:p w14:paraId="7AF0A4BA">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五、投标人应按山东省清单计价办法规定的统一格式，提供“单项工程费汇总表”、“单位工程费汇总表</w:t>
            </w:r>
            <w:r>
              <w:rPr>
                <w:rFonts w:asciiTheme="minorEastAsia" w:hAnsiTheme="minorEastAsia" w:eastAsiaTheme="minorEastAsia"/>
                <w:sz w:val="28"/>
                <w:szCs w:val="28"/>
              </w:rPr>
              <w:t>”</w:t>
            </w:r>
            <w:r>
              <w:rPr>
                <w:rFonts w:hint="eastAsia" w:asciiTheme="minorEastAsia" w:hAnsiTheme="minorEastAsia" w:eastAsiaTheme="minorEastAsia"/>
                <w:sz w:val="28"/>
                <w:szCs w:val="28"/>
              </w:rPr>
              <w:t>、“分部分项工程量清单计价表”、“措施项目清单计价表”、“其他项目清单计价表”、“规费、税金项目清单与计价表”、“分部分项工程量清单综合单价分析表”、“人材机汇总表”、“措施项目费分析表”、“主要材料价格表”。</w:t>
            </w:r>
          </w:p>
          <w:p w14:paraId="11A86D9B">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六、“措施项目清单”投标人应根据施工方案和施工组织设计及自身企业情况结合工程实际，充分考虑施工过程中发生的所有费用。</w:t>
            </w:r>
          </w:p>
          <w:p w14:paraId="49B33550">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七、投标人填报之清单综合单价应包含完成对应项目所发生的人工费、材料费、机械费、管理费、利润及完成该工程项目所需的所有费用。（特别应充分考虑施工期间人工、材料、机械等价格上涨可能带来的各项风险因素以及当地运输等费用，以后不再调整）。投标报价优惠应体现在综合单价中，不得汇总报价后再进行优惠下浮。</w:t>
            </w:r>
          </w:p>
          <w:p w14:paraId="3574DF44">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八</w:t>
            </w:r>
            <w:r>
              <w:rPr>
                <w:rFonts w:hint="eastAsia" w:asciiTheme="minorEastAsia" w:hAnsiTheme="minorEastAsia" w:eastAsiaTheme="minorEastAsia"/>
                <w:sz w:val="28"/>
                <w:szCs w:val="28"/>
              </w:rPr>
              <w:t>、本工程施工要求及所用材料在工程量清单中未做详细表述的，均以施工规范要求为准。</w:t>
            </w:r>
          </w:p>
          <w:p w14:paraId="62E2689E">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九</w:t>
            </w:r>
            <w:r>
              <w:rPr>
                <w:rFonts w:hint="eastAsia" w:asciiTheme="minorEastAsia" w:hAnsiTheme="minorEastAsia" w:eastAsiaTheme="minorEastAsia"/>
                <w:sz w:val="28"/>
                <w:szCs w:val="28"/>
              </w:rPr>
              <w:t>、垃圾外运、处置费由投标人负责办理，所需费用列入投标报价中，结算时不再调整。</w:t>
            </w:r>
          </w:p>
          <w:p w14:paraId="048E6E1D">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十、临时</w:t>
            </w:r>
            <w:r>
              <w:rPr>
                <w:rFonts w:hint="eastAsia" w:asciiTheme="minorEastAsia" w:hAnsiTheme="minorEastAsia" w:eastAsiaTheme="minorEastAsia"/>
                <w:sz w:val="28"/>
                <w:szCs w:val="28"/>
                <w:lang w:eastAsia="zh-CN"/>
              </w:rPr>
              <w:t>设施</w:t>
            </w:r>
            <w:r>
              <w:rPr>
                <w:rFonts w:hint="eastAsia" w:asciiTheme="minorEastAsia" w:hAnsiTheme="minorEastAsia" w:eastAsiaTheme="minorEastAsia"/>
                <w:sz w:val="28"/>
                <w:szCs w:val="28"/>
              </w:rPr>
              <w:t>由投标人自行解决，其费用在措施费中自主报价，结算时不再调整。</w:t>
            </w:r>
          </w:p>
          <w:p w14:paraId="3C35D5D9">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十</w:t>
            </w:r>
            <w:r>
              <w:rPr>
                <w:rFonts w:hint="eastAsia" w:asciiTheme="minorEastAsia" w:hAnsiTheme="minorEastAsia" w:eastAsiaTheme="minorEastAsia"/>
                <w:sz w:val="28"/>
                <w:szCs w:val="28"/>
                <w:lang w:eastAsia="zh-CN"/>
              </w:rPr>
              <w:t>一</w:t>
            </w:r>
            <w:r>
              <w:rPr>
                <w:rFonts w:hint="eastAsia" w:asciiTheme="minorEastAsia" w:hAnsiTheme="minorEastAsia" w:eastAsiaTheme="minorEastAsia"/>
                <w:sz w:val="28"/>
                <w:szCs w:val="28"/>
              </w:rPr>
              <w:t>、其他需要说明的问题</w:t>
            </w:r>
          </w:p>
          <w:p w14:paraId="51F542BA">
            <w:pPr>
              <w:pStyle w:val="9"/>
              <w:tabs>
                <w:tab w:val="left" w:pos="709"/>
              </w:tabs>
              <w:spacing w:line="520" w:lineRule="exact"/>
              <w:ind w:firstLine="560" w:firstLineChars="200"/>
              <w:jc w:val="left"/>
              <w:rPr>
                <w:rFonts w:hint="eastAsia" w:cs="Times New Roman" w:asciiTheme="minorEastAsia" w:hAnsiTheme="minorEastAsia" w:eastAsiaTheme="minorEastAsia"/>
                <w:kern w:val="2"/>
                <w:sz w:val="28"/>
                <w:szCs w:val="28"/>
                <w:highlight w:val="none"/>
                <w:lang w:val="en-US" w:eastAsia="zh-CN" w:bidi="ar-SA"/>
              </w:rPr>
            </w:pPr>
            <w:r>
              <w:rPr>
                <w:rFonts w:hint="eastAsia" w:cs="Times New Roman" w:asciiTheme="minorEastAsia" w:hAnsiTheme="minorEastAsia" w:eastAsiaTheme="minorEastAsia"/>
                <w:kern w:val="2"/>
                <w:sz w:val="28"/>
                <w:szCs w:val="28"/>
                <w:highlight w:val="none"/>
                <w:lang w:val="en-US" w:eastAsia="zh-CN" w:bidi="ar-SA"/>
              </w:rPr>
              <w:t>1、社会保障费已计入本次清单控制价。</w:t>
            </w:r>
          </w:p>
          <w:p w14:paraId="388CA5F1">
            <w:pPr>
              <w:spacing w:line="520" w:lineRule="exact"/>
              <w:ind w:firstLine="560" w:firstLineChars="200"/>
              <w:rPr>
                <w:rFonts w:hint="eastAsia" w:cs="Times New Roman" w:asciiTheme="minorEastAsia" w:hAnsiTheme="minorEastAsia" w:eastAsiaTheme="minorEastAsia"/>
                <w:kern w:val="2"/>
                <w:sz w:val="28"/>
                <w:szCs w:val="28"/>
                <w:highlight w:val="none"/>
                <w:lang w:val="en-US" w:eastAsia="zh-CN" w:bidi="ar-SA"/>
              </w:rPr>
            </w:pPr>
            <w:r>
              <w:rPr>
                <w:rFonts w:hint="eastAsia" w:cs="Times New Roman" w:asciiTheme="minorEastAsia" w:hAnsiTheme="minorEastAsia" w:eastAsiaTheme="minorEastAsia"/>
                <w:kern w:val="2"/>
                <w:sz w:val="28"/>
                <w:szCs w:val="28"/>
                <w:highlight w:val="none"/>
                <w:lang w:val="en-US" w:eastAsia="zh-CN" w:bidi="ar-SA"/>
              </w:rPr>
              <w:t>2、本工程控制价按照增值税模式考虑计价，税率9%。</w:t>
            </w:r>
          </w:p>
          <w:p w14:paraId="3FFE1400">
            <w:pPr>
              <w:spacing w:line="480" w:lineRule="exact"/>
              <w:jc w:val="left"/>
              <w:rPr>
                <w:rFonts w:hint="eastAsia" w:cs="Times New Roman" w:asciiTheme="minorEastAsia" w:hAnsiTheme="minorEastAsia" w:eastAsiaTheme="minorEastAsia"/>
                <w:kern w:val="2"/>
                <w:sz w:val="28"/>
                <w:szCs w:val="28"/>
                <w:highlight w:val="none"/>
                <w:lang w:val="en-US" w:eastAsia="zh-CN" w:bidi="ar-SA"/>
              </w:rPr>
            </w:pPr>
            <w:r>
              <w:rPr>
                <w:rFonts w:hint="eastAsia" w:cs="Times New Roman" w:asciiTheme="minorEastAsia" w:hAnsiTheme="minorEastAsia" w:eastAsiaTheme="minorEastAsia"/>
                <w:kern w:val="2"/>
                <w:sz w:val="28"/>
                <w:szCs w:val="28"/>
                <w:highlight w:val="none"/>
                <w:lang w:val="en-US" w:eastAsia="zh-CN" w:bidi="ar-SA"/>
              </w:rPr>
              <w:t xml:space="preserve"> </w:t>
            </w:r>
          </w:p>
          <w:p w14:paraId="6ECE6659">
            <w:pPr>
              <w:numPr>
                <w:ilvl w:val="0"/>
                <w:numId w:val="0"/>
              </w:numPr>
              <w:ind w:firstLine="560" w:firstLineChars="200"/>
              <w:jc w:val="left"/>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    </w:t>
            </w:r>
          </w:p>
          <w:p w14:paraId="6CA94656">
            <w:pPr>
              <w:numPr>
                <w:ilvl w:val="0"/>
                <w:numId w:val="0"/>
              </w:numPr>
              <w:ind w:firstLine="560" w:firstLineChars="200"/>
              <w:jc w:val="left"/>
              <w:rPr>
                <w:rFonts w:hint="eastAsia" w:asciiTheme="minorEastAsia" w:hAnsiTheme="minorEastAsia" w:eastAsiaTheme="minorEastAsia"/>
                <w:sz w:val="28"/>
                <w:szCs w:val="28"/>
                <w:lang w:val="en-US" w:eastAsia="zh-CN"/>
              </w:rPr>
            </w:pPr>
          </w:p>
          <w:p w14:paraId="1A94AD9A">
            <w:pPr>
              <w:numPr>
                <w:ilvl w:val="0"/>
                <w:numId w:val="0"/>
              </w:numPr>
              <w:ind w:firstLine="560" w:firstLineChars="200"/>
              <w:jc w:val="left"/>
              <w:rPr>
                <w:rFonts w:hint="eastAsia" w:asciiTheme="minorEastAsia" w:hAnsiTheme="minorEastAsia" w:eastAsiaTheme="minorEastAsia"/>
                <w:sz w:val="28"/>
                <w:szCs w:val="28"/>
                <w:lang w:val="en-US" w:eastAsia="zh-CN"/>
              </w:rPr>
            </w:pPr>
          </w:p>
          <w:p w14:paraId="3BADDC0B">
            <w:pPr>
              <w:numPr>
                <w:ilvl w:val="0"/>
                <w:numId w:val="0"/>
              </w:numPr>
              <w:ind w:firstLine="560" w:firstLineChars="200"/>
              <w:jc w:val="left"/>
              <w:rPr>
                <w:rFonts w:hint="eastAsia" w:asciiTheme="minorEastAsia" w:hAnsiTheme="minorEastAsia" w:eastAsiaTheme="minorEastAsia"/>
                <w:sz w:val="28"/>
                <w:szCs w:val="28"/>
                <w:lang w:val="en-US" w:eastAsia="zh-CN"/>
              </w:rPr>
            </w:pPr>
          </w:p>
          <w:p w14:paraId="2EAB391C">
            <w:pPr>
              <w:numPr>
                <w:ilvl w:val="0"/>
                <w:numId w:val="0"/>
              </w:numPr>
              <w:ind w:firstLine="560" w:firstLineChars="200"/>
              <w:jc w:val="left"/>
              <w:rPr>
                <w:rFonts w:hint="eastAsia" w:asciiTheme="minorEastAsia" w:hAnsiTheme="minorEastAsia" w:eastAsiaTheme="minorEastAsia"/>
                <w:sz w:val="28"/>
                <w:szCs w:val="28"/>
                <w:lang w:val="en-US" w:eastAsia="zh-CN"/>
              </w:rPr>
            </w:pPr>
          </w:p>
          <w:p w14:paraId="413DFAE9">
            <w:pPr>
              <w:numPr>
                <w:ilvl w:val="0"/>
                <w:numId w:val="0"/>
              </w:numPr>
              <w:ind w:firstLine="560" w:firstLineChars="200"/>
              <w:jc w:val="left"/>
              <w:rPr>
                <w:rFonts w:hint="eastAsia" w:asciiTheme="minorEastAsia" w:hAnsiTheme="minorEastAsia" w:eastAsiaTheme="minorEastAsia"/>
                <w:sz w:val="28"/>
                <w:szCs w:val="28"/>
                <w:lang w:val="en-US" w:eastAsia="zh-CN"/>
              </w:rPr>
            </w:pPr>
          </w:p>
          <w:p w14:paraId="428A3CD4">
            <w:pPr>
              <w:numPr>
                <w:ilvl w:val="0"/>
                <w:numId w:val="0"/>
              </w:numPr>
              <w:ind w:firstLine="560" w:firstLineChars="200"/>
              <w:jc w:val="left"/>
              <w:rPr>
                <w:rFonts w:hint="eastAsia" w:asciiTheme="minorEastAsia" w:hAnsiTheme="minorEastAsia" w:eastAsiaTheme="minorEastAsia"/>
                <w:sz w:val="28"/>
                <w:szCs w:val="28"/>
                <w:lang w:val="en-US" w:eastAsia="zh-CN"/>
              </w:rPr>
            </w:pPr>
          </w:p>
          <w:p w14:paraId="2D062261">
            <w:pPr>
              <w:numPr>
                <w:ilvl w:val="0"/>
                <w:numId w:val="0"/>
              </w:numPr>
              <w:ind w:firstLine="560" w:firstLineChars="200"/>
              <w:jc w:val="left"/>
              <w:rPr>
                <w:rFonts w:hint="eastAsia" w:asciiTheme="minorEastAsia" w:hAnsiTheme="minorEastAsia" w:eastAsiaTheme="minorEastAsia"/>
                <w:sz w:val="28"/>
                <w:szCs w:val="28"/>
                <w:lang w:val="en-US" w:eastAsia="zh-CN"/>
              </w:rPr>
            </w:pPr>
          </w:p>
          <w:p w14:paraId="47EC0402">
            <w:pPr>
              <w:numPr>
                <w:ilvl w:val="0"/>
                <w:numId w:val="0"/>
              </w:numPr>
              <w:ind w:firstLine="560" w:firstLineChars="200"/>
              <w:jc w:val="left"/>
              <w:rPr>
                <w:rFonts w:hint="eastAsia" w:asciiTheme="minorEastAsia" w:hAnsiTheme="minorEastAsia" w:eastAsiaTheme="minorEastAsia"/>
                <w:sz w:val="28"/>
                <w:szCs w:val="28"/>
                <w:lang w:val="en-US" w:eastAsia="zh-CN"/>
              </w:rPr>
            </w:pPr>
          </w:p>
          <w:p w14:paraId="3A10FEC1">
            <w:pPr>
              <w:numPr>
                <w:ilvl w:val="0"/>
                <w:numId w:val="0"/>
              </w:numPr>
              <w:ind w:firstLine="560" w:firstLineChars="200"/>
              <w:jc w:val="left"/>
              <w:rPr>
                <w:rFonts w:hint="eastAsia" w:asciiTheme="minorEastAsia" w:hAnsiTheme="minorEastAsia" w:eastAsiaTheme="minorEastAsia"/>
                <w:sz w:val="28"/>
                <w:szCs w:val="28"/>
                <w:lang w:val="en-US" w:eastAsia="zh-CN"/>
              </w:rPr>
            </w:pPr>
          </w:p>
          <w:p w14:paraId="73C9F206">
            <w:pPr>
              <w:numPr>
                <w:ilvl w:val="0"/>
                <w:numId w:val="0"/>
              </w:numPr>
              <w:ind w:firstLine="560" w:firstLineChars="200"/>
              <w:jc w:val="left"/>
              <w:rPr>
                <w:rFonts w:hint="eastAsia" w:asciiTheme="minorEastAsia" w:hAnsiTheme="minorEastAsia" w:eastAsiaTheme="minorEastAsia"/>
                <w:sz w:val="28"/>
                <w:szCs w:val="28"/>
                <w:lang w:val="en-US" w:eastAsia="zh-CN"/>
              </w:rPr>
            </w:pPr>
          </w:p>
          <w:p w14:paraId="67CF1CFF">
            <w:pPr>
              <w:numPr>
                <w:ilvl w:val="0"/>
                <w:numId w:val="0"/>
              </w:numPr>
              <w:ind w:firstLine="560" w:firstLineChars="200"/>
              <w:jc w:val="left"/>
              <w:rPr>
                <w:rFonts w:hint="eastAsia" w:asciiTheme="minorEastAsia" w:hAnsiTheme="minorEastAsia" w:eastAsiaTheme="minorEastAsia"/>
                <w:sz w:val="28"/>
                <w:szCs w:val="28"/>
                <w:lang w:val="en-US" w:eastAsia="zh-CN"/>
              </w:rPr>
            </w:pPr>
          </w:p>
          <w:p w14:paraId="6C174AB0">
            <w:pPr>
              <w:numPr>
                <w:ilvl w:val="0"/>
                <w:numId w:val="0"/>
              </w:numPr>
              <w:ind w:firstLine="560" w:firstLineChars="200"/>
              <w:jc w:val="left"/>
              <w:rPr>
                <w:rFonts w:hint="eastAsia" w:asciiTheme="minorEastAsia" w:hAnsiTheme="minorEastAsia" w:eastAsiaTheme="minorEastAsia"/>
                <w:sz w:val="28"/>
                <w:szCs w:val="28"/>
                <w:lang w:val="en-US" w:eastAsia="zh-CN"/>
              </w:rPr>
            </w:pPr>
          </w:p>
          <w:p w14:paraId="5286CD1F">
            <w:pPr>
              <w:numPr>
                <w:ilvl w:val="0"/>
                <w:numId w:val="0"/>
              </w:numPr>
              <w:ind w:firstLine="560" w:firstLineChars="200"/>
              <w:jc w:val="left"/>
              <w:rPr>
                <w:rFonts w:hint="eastAsia" w:asciiTheme="minorEastAsia" w:hAnsiTheme="minorEastAsia" w:eastAsiaTheme="minorEastAsia"/>
                <w:sz w:val="28"/>
                <w:szCs w:val="28"/>
                <w:lang w:val="en-US" w:eastAsia="zh-CN"/>
              </w:rPr>
            </w:pPr>
          </w:p>
          <w:p w14:paraId="751DB351">
            <w:pPr>
              <w:numPr>
                <w:ilvl w:val="0"/>
                <w:numId w:val="0"/>
              </w:numPr>
              <w:ind w:firstLine="560" w:firstLineChars="200"/>
              <w:jc w:val="left"/>
              <w:rPr>
                <w:rFonts w:hint="eastAsia" w:asciiTheme="minorEastAsia" w:hAnsiTheme="minorEastAsia" w:eastAsiaTheme="minorEastAsia"/>
                <w:sz w:val="28"/>
                <w:szCs w:val="28"/>
                <w:lang w:val="en-US" w:eastAsia="zh-CN"/>
              </w:rPr>
            </w:pPr>
          </w:p>
          <w:p w14:paraId="05D446DD">
            <w:pPr>
              <w:numPr>
                <w:ilvl w:val="0"/>
                <w:numId w:val="0"/>
              </w:numPr>
              <w:jc w:val="left"/>
              <w:rPr>
                <w:rFonts w:hint="eastAsia" w:asciiTheme="minorEastAsia" w:hAnsiTheme="minorEastAsia" w:eastAsiaTheme="minorEastAsia"/>
                <w:sz w:val="28"/>
                <w:szCs w:val="28"/>
                <w:lang w:val="en-US" w:eastAsia="zh-CN"/>
              </w:rPr>
            </w:pPr>
          </w:p>
          <w:p w14:paraId="414E9861">
            <w:pPr>
              <w:numPr>
                <w:ilvl w:val="0"/>
                <w:numId w:val="0"/>
              </w:numPr>
              <w:jc w:val="left"/>
              <w:rPr>
                <w:rFonts w:hint="eastAsia" w:asciiTheme="minorEastAsia" w:hAnsiTheme="minorEastAsia" w:eastAsiaTheme="minorEastAsia"/>
                <w:sz w:val="28"/>
                <w:szCs w:val="28"/>
                <w:lang w:val="en-US" w:eastAsia="zh-CN"/>
              </w:rPr>
            </w:pPr>
            <w:bookmarkStart w:id="0" w:name="_GoBack"/>
            <w:bookmarkEnd w:id="0"/>
          </w:p>
          <w:p w14:paraId="797DFAF1">
            <w:pPr>
              <w:numPr>
                <w:ilvl w:val="0"/>
                <w:numId w:val="0"/>
              </w:numPr>
              <w:jc w:val="left"/>
              <w:rPr>
                <w:rFonts w:hint="default" w:asciiTheme="minorEastAsia" w:hAnsiTheme="minorEastAsia" w:eastAsiaTheme="minorEastAsia"/>
                <w:sz w:val="28"/>
                <w:szCs w:val="28"/>
                <w:lang w:val="en-US" w:eastAsia="zh-CN"/>
              </w:rPr>
            </w:pPr>
          </w:p>
        </w:tc>
      </w:tr>
    </w:tbl>
    <w:p w14:paraId="5E0C99CE">
      <w:pPr>
        <w:spacing w:line="400" w:lineRule="exact"/>
        <w:rPr>
          <w:sz w:val="24"/>
        </w:rPr>
      </w:pPr>
    </w:p>
    <w:sectPr>
      <w:headerReference r:id="rId3" w:type="default"/>
      <w:pgSz w:w="11906" w:h="16838"/>
      <w:pgMar w:top="1440" w:right="1418" w:bottom="1361"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AC933">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jYTA3MTMyOTM5OGRmNmM0OGYxZTkzMTcwNTA5ZjcifQ=="/>
  </w:docVars>
  <w:rsids>
    <w:rsidRoot w:val="00721B8A"/>
    <w:rsid w:val="00006068"/>
    <w:rsid w:val="00040E15"/>
    <w:rsid w:val="00044869"/>
    <w:rsid w:val="0005284D"/>
    <w:rsid w:val="00055195"/>
    <w:rsid w:val="000579FE"/>
    <w:rsid w:val="00077EDE"/>
    <w:rsid w:val="000A27B2"/>
    <w:rsid w:val="000C082D"/>
    <w:rsid w:val="000C2D55"/>
    <w:rsid w:val="000D6E75"/>
    <w:rsid w:val="000F5AEF"/>
    <w:rsid w:val="000F65F8"/>
    <w:rsid w:val="00106262"/>
    <w:rsid w:val="00126E74"/>
    <w:rsid w:val="001310C8"/>
    <w:rsid w:val="00140900"/>
    <w:rsid w:val="00152202"/>
    <w:rsid w:val="001569C6"/>
    <w:rsid w:val="00174C8F"/>
    <w:rsid w:val="001958D7"/>
    <w:rsid w:val="001969C5"/>
    <w:rsid w:val="001A109C"/>
    <w:rsid w:val="001D0CFE"/>
    <w:rsid w:val="001D3860"/>
    <w:rsid w:val="001D72AD"/>
    <w:rsid w:val="001D7DDD"/>
    <w:rsid w:val="001F1A5A"/>
    <w:rsid w:val="00212B00"/>
    <w:rsid w:val="002174AE"/>
    <w:rsid w:val="00220BCB"/>
    <w:rsid w:val="002345AA"/>
    <w:rsid w:val="002425B5"/>
    <w:rsid w:val="0025331B"/>
    <w:rsid w:val="00262B18"/>
    <w:rsid w:val="002675C1"/>
    <w:rsid w:val="002767E4"/>
    <w:rsid w:val="00277FA7"/>
    <w:rsid w:val="00283B7C"/>
    <w:rsid w:val="0029465C"/>
    <w:rsid w:val="002A3693"/>
    <w:rsid w:val="002A6450"/>
    <w:rsid w:val="002B3FEE"/>
    <w:rsid w:val="002B7CA4"/>
    <w:rsid w:val="002C474F"/>
    <w:rsid w:val="002C48CE"/>
    <w:rsid w:val="002D4076"/>
    <w:rsid w:val="002E6F6D"/>
    <w:rsid w:val="002F3E49"/>
    <w:rsid w:val="00302E2C"/>
    <w:rsid w:val="00314333"/>
    <w:rsid w:val="00325A82"/>
    <w:rsid w:val="00343657"/>
    <w:rsid w:val="00345A07"/>
    <w:rsid w:val="00346B87"/>
    <w:rsid w:val="00354277"/>
    <w:rsid w:val="00395C42"/>
    <w:rsid w:val="003D4D1E"/>
    <w:rsid w:val="003F2419"/>
    <w:rsid w:val="003F43EA"/>
    <w:rsid w:val="00404ACE"/>
    <w:rsid w:val="004076FF"/>
    <w:rsid w:val="00412CCB"/>
    <w:rsid w:val="0043253A"/>
    <w:rsid w:val="0043588B"/>
    <w:rsid w:val="004360C1"/>
    <w:rsid w:val="00436C2D"/>
    <w:rsid w:val="00437E50"/>
    <w:rsid w:val="00441BDB"/>
    <w:rsid w:val="0045126B"/>
    <w:rsid w:val="004522BF"/>
    <w:rsid w:val="0045741D"/>
    <w:rsid w:val="00461C3B"/>
    <w:rsid w:val="004650CA"/>
    <w:rsid w:val="0046695C"/>
    <w:rsid w:val="004719B9"/>
    <w:rsid w:val="00474558"/>
    <w:rsid w:val="00480E80"/>
    <w:rsid w:val="004A1077"/>
    <w:rsid w:val="004A71AA"/>
    <w:rsid w:val="004B5D8F"/>
    <w:rsid w:val="004D0E11"/>
    <w:rsid w:val="005353A8"/>
    <w:rsid w:val="00542A71"/>
    <w:rsid w:val="005700A9"/>
    <w:rsid w:val="00572029"/>
    <w:rsid w:val="00572878"/>
    <w:rsid w:val="005807BD"/>
    <w:rsid w:val="00582954"/>
    <w:rsid w:val="005868B5"/>
    <w:rsid w:val="005978D8"/>
    <w:rsid w:val="00597DF9"/>
    <w:rsid w:val="005A182D"/>
    <w:rsid w:val="005A705D"/>
    <w:rsid w:val="005C624F"/>
    <w:rsid w:val="005D5D2F"/>
    <w:rsid w:val="006240A8"/>
    <w:rsid w:val="00631347"/>
    <w:rsid w:val="0063362C"/>
    <w:rsid w:val="00647F1E"/>
    <w:rsid w:val="00656F7E"/>
    <w:rsid w:val="006704DC"/>
    <w:rsid w:val="00677921"/>
    <w:rsid w:val="00682984"/>
    <w:rsid w:val="006866BB"/>
    <w:rsid w:val="00694F7D"/>
    <w:rsid w:val="006A2661"/>
    <w:rsid w:val="006A7A88"/>
    <w:rsid w:val="006C0AE1"/>
    <w:rsid w:val="006D2C34"/>
    <w:rsid w:val="006E5D92"/>
    <w:rsid w:val="006F5C4A"/>
    <w:rsid w:val="00702017"/>
    <w:rsid w:val="007047C0"/>
    <w:rsid w:val="00704B32"/>
    <w:rsid w:val="00704C2B"/>
    <w:rsid w:val="007159CB"/>
    <w:rsid w:val="00721B8A"/>
    <w:rsid w:val="00723419"/>
    <w:rsid w:val="0074224A"/>
    <w:rsid w:val="00745428"/>
    <w:rsid w:val="007470CC"/>
    <w:rsid w:val="00772960"/>
    <w:rsid w:val="00780AFF"/>
    <w:rsid w:val="007B1876"/>
    <w:rsid w:val="007E7248"/>
    <w:rsid w:val="007E72F8"/>
    <w:rsid w:val="007F2BD9"/>
    <w:rsid w:val="00841719"/>
    <w:rsid w:val="00875E20"/>
    <w:rsid w:val="008C1788"/>
    <w:rsid w:val="008C5C54"/>
    <w:rsid w:val="008C7F08"/>
    <w:rsid w:val="008D358F"/>
    <w:rsid w:val="008E1BD0"/>
    <w:rsid w:val="008E2D89"/>
    <w:rsid w:val="008E419F"/>
    <w:rsid w:val="008F27A7"/>
    <w:rsid w:val="008F7CF8"/>
    <w:rsid w:val="00907DC9"/>
    <w:rsid w:val="00910723"/>
    <w:rsid w:val="00912B2D"/>
    <w:rsid w:val="00916FE9"/>
    <w:rsid w:val="0093216E"/>
    <w:rsid w:val="009348B5"/>
    <w:rsid w:val="00935F29"/>
    <w:rsid w:val="00941F86"/>
    <w:rsid w:val="00944C75"/>
    <w:rsid w:val="00951349"/>
    <w:rsid w:val="009604E7"/>
    <w:rsid w:val="00963D43"/>
    <w:rsid w:val="00970929"/>
    <w:rsid w:val="00971E11"/>
    <w:rsid w:val="00974D3D"/>
    <w:rsid w:val="009823EF"/>
    <w:rsid w:val="009957D2"/>
    <w:rsid w:val="009A6F41"/>
    <w:rsid w:val="009A7E6A"/>
    <w:rsid w:val="009B2D33"/>
    <w:rsid w:val="009B6A89"/>
    <w:rsid w:val="009C3596"/>
    <w:rsid w:val="009C50CA"/>
    <w:rsid w:val="009C7E6B"/>
    <w:rsid w:val="009D2776"/>
    <w:rsid w:val="009E3780"/>
    <w:rsid w:val="009E601A"/>
    <w:rsid w:val="009E60EF"/>
    <w:rsid w:val="009E7C17"/>
    <w:rsid w:val="009E7D44"/>
    <w:rsid w:val="009F31A1"/>
    <w:rsid w:val="009F39EF"/>
    <w:rsid w:val="009F44D9"/>
    <w:rsid w:val="00A1125F"/>
    <w:rsid w:val="00A154C3"/>
    <w:rsid w:val="00A1600D"/>
    <w:rsid w:val="00A23D83"/>
    <w:rsid w:val="00A33646"/>
    <w:rsid w:val="00A347F6"/>
    <w:rsid w:val="00A41680"/>
    <w:rsid w:val="00A62754"/>
    <w:rsid w:val="00A9415D"/>
    <w:rsid w:val="00A9484C"/>
    <w:rsid w:val="00AC29F4"/>
    <w:rsid w:val="00AC3F0D"/>
    <w:rsid w:val="00AC73CC"/>
    <w:rsid w:val="00AD1D2A"/>
    <w:rsid w:val="00AE623C"/>
    <w:rsid w:val="00B03040"/>
    <w:rsid w:val="00B05F41"/>
    <w:rsid w:val="00B130D6"/>
    <w:rsid w:val="00B2316A"/>
    <w:rsid w:val="00B315B0"/>
    <w:rsid w:val="00B36049"/>
    <w:rsid w:val="00B36069"/>
    <w:rsid w:val="00B45147"/>
    <w:rsid w:val="00B85554"/>
    <w:rsid w:val="00B904DD"/>
    <w:rsid w:val="00B906FC"/>
    <w:rsid w:val="00B90B32"/>
    <w:rsid w:val="00B93539"/>
    <w:rsid w:val="00B950BF"/>
    <w:rsid w:val="00B97491"/>
    <w:rsid w:val="00B97CDE"/>
    <w:rsid w:val="00BA0F5D"/>
    <w:rsid w:val="00BB0EB9"/>
    <w:rsid w:val="00BB1D26"/>
    <w:rsid w:val="00BD6C7E"/>
    <w:rsid w:val="00BD72D4"/>
    <w:rsid w:val="00BF046D"/>
    <w:rsid w:val="00BF25E4"/>
    <w:rsid w:val="00C120EA"/>
    <w:rsid w:val="00C24395"/>
    <w:rsid w:val="00C3088F"/>
    <w:rsid w:val="00C407C0"/>
    <w:rsid w:val="00C438EF"/>
    <w:rsid w:val="00C52B9A"/>
    <w:rsid w:val="00C5305B"/>
    <w:rsid w:val="00C920EA"/>
    <w:rsid w:val="00CB4434"/>
    <w:rsid w:val="00CC7FB3"/>
    <w:rsid w:val="00CD7A1A"/>
    <w:rsid w:val="00CE04A7"/>
    <w:rsid w:val="00CE36EA"/>
    <w:rsid w:val="00CE75AD"/>
    <w:rsid w:val="00CF5BF3"/>
    <w:rsid w:val="00CF69CA"/>
    <w:rsid w:val="00D014A5"/>
    <w:rsid w:val="00D0195B"/>
    <w:rsid w:val="00D10D2B"/>
    <w:rsid w:val="00D2021D"/>
    <w:rsid w:val="00D34150"/>
    <w:rsid w:val="00D418C4"/>
    <w:rsid w:val="00D4659A"/>
    <w:rsid w:val="00D47E8E"/>
    <w:rsid w:val="00D52FD9"/>
    <w:rsid w:val="00D571E0"/>
    <w:rsid w:val="00D6445B"/>
    <w:rsid w:val="00D649CC"/>
    <w:rsid w:val="00D831E3"/>
    <w:rsid w:val="00D85ECE"/>
    <w:rsid w:val="00D868D9"/>
    <w:rsid w:val="00D86E4F"/>
    <w:rsid w:val="00DA00AF"/>
    <w:rsid w:val="00DA1420"/>
    <w:rsid w:val="00DA24DD"/>
    <w:rsid w:val="00DA534D"/>
    <w:rsid w:val="00DB0719"/>
    <w:rsid w:val="00DB2F1F"/>
    <w:rsid w:val="00DB38C0"/>
    <w:rsid w:val="00DB6B76"/>
    <w:rsid w:val="00DC0BAD"/>
    <w:rsid w:val="00DD4F38"/>
    <w:rsid w:val="00DE59D0"/>
    <w:rsid w:val="00E23342"/>
    <w:rsid w:val="00E24497"/>
    <w:rsid w:val="00E3299A"/>
    <w:rsid w:val="00E362B8"/>
    <w:rsid w:val="00E43E7E"/>
    <w:rsid w:val="00E45924"/>
    <w:rsid w:val="00E63722"/>
    <w:rsid w:val="00E771C8"/>
    <w:rsid w:val="00E851EA"/>
    <w:rsid w:val="00E86930"/>
    <w:rsid w:val="00EB67BC"/>
    <w:rsid w:val="00EC333A"/>
    <w:rsid w:val="00ED5A22"/>
    <w:rsid w:val="00EF0F01"/>
    <w:rsid w:val="00F00145"/>
    <w:rsid w:val="00F00946"/>
    <w:rsid w:val="00F01D2C"/>
    <w:rsid w:val="00F16CC9"/>
    <w:rsid w:val="00F16DFE"/>
    <w:rsid w:val="00F24128"/>
    <w:rsid w:val="00F34E50"/>
    <w:rsid w:val="00F564A7"/>
    <w:rsid w:val="00F673A4"/>
    <w:rsid w:val="00F86C32"/>
    <w:rsid w:val="00F919D5"/>
    <w:rsid w:val="00FA33A1"/>
    <w:rsid w:val="00FB2AAA"/>
    <w:rsid w:val="00FB356A"/>
    <w:rsid w:val="00FB4A78"/>
    <w:rsid w:val="00FB68A4"/>
    <w:rsid w:val="00FD0EBD"/>
    <w:rsid w:val="00FD1E41"/>
    <w:rsid w:val="00FD45E9"/>
    <w:rsid w:val="00FD5113"/>
    <w:rsid w:val="00FD6CCD"/>
    <w:rsid w:val="00FE3D9A"/>
    <w:rsid w:val="00FF0662"/>
    <w:rsid w:val="03B13470"/>
    <w:rsid w:val="0622465D"/>
    <w:rsid w:val="07912DBC"/>
    <w:rsid w:val="08C92E8D"/>
    <w:rsid w:val="09866228"/>
    <w:rsid w:val="0D5F0BB5"/>
    <w:rsid w:val="10F2426C"/>
    <w:rsid w:val="121E20C7"/>
    <w:rsid w:val="122A4FB6"/>
    <w:rsid w:val="13B06C58"/>
    <w:rsid w:val="16192D99"/>
    <w:rsid w:val="1D8E2C4E"/>
    <w:rsid w:val="1E02107A"/>
    <w:rsid w:val="1EAA5A45"/>
    <w:rsid w:val="21B11DBA"/>
    <w:rsid w:val="21B4362D"/>
    <w:rsid w:val="22C734CC"/>
    <w:rsid w:val="255C2042"/>
    <w:rsid w:val="28F35B0E"/>
    <w:rsid w:val="2A087D88"/>
    <w:rsid w:val="2A93423D"/>
    <w:rsid w:val="2E57097A"/>
    <w:rsid w:val="35BD3081"/>
    <w:rsid w:val="3A5B3A6E"/>
    <w:rsid w:val="3C7C3CC1"/>
    <w:rsid w:val="42CA2B88"/>
    <w:rsid w:val="458E6BFE"/>
    <w:rsid w:val="46994E97"/>
    <w:rsid w:val="48DF5C6E"/>
    <w:rsid w:val="4C0300DA"/>
    <w:rsid w:val="4E11341F"/>
    <w:rsid w:val="4E7D0616"/>
    <w:rsid w:val="4F91104E"/>
    <w:rsid w:val="4FEB2089"/>
    <w:rsid w:val="5311048C"/>
    <w:rsid w:val="5393033A"/>
    <w:rsid w:val="53DC440A"/>
    <w:rsid w:val="572C6C02"/>
    <w:rsid w:val="5A9C4251"/>
    <w:rsid w:val="5BA52633"/>
    <w:rsid w:val="6126706E"/>
    <w:rsid w:val="65592721"/>
    <w:rsid w:val="6B30727D"/>
    <w:rsid w:val="6B956A93"/>
    <w:rsid w:val="6BA21012"/>
    <w:rsid w:val="6D6B6DA2"/>
    <w:rsid w:val="6FC60388"/>
    <w:rsid w:val="77BA53CE"/>
    <w:rsid w:val="7B7E6F7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iPriority="0"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autoRedefine/>
    <w:qFormat/>
    <w:locked/>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alloon Text"/>
    <w:basedOn w:val="1"/>
    <w:link w:val="12"/>
    <w:autoRedefine/>
    <w:semiHidden/>
    <w:unhideWhenUsed/>
    <w:qFormat/>
    <w:uiPriority w:val="0"/>
    <w:rPr>
      <w:sz w:val="18"/>
      <w:szCs w:val="18"/>
    </w:rPr>
  </w:style>
  <w:style w:type="paragraph" w:styleId="4">
    <w:name w:val="footer"/>
    <w:basedOn w:val="1"/>
    <w:link w:val="10"/>
    <w:autoRedefine/>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列出段落1"/>
    <w:basedOn w:val="1"/>
    <w:qFormat/>
    <w:uiPriority w:val="99"/>
    <w:pPr>
      <w:ind w:firstLine="420" w:firstLineChars="200"/>
    </w:pPr>
  </w:style>
  <w:style w:type="character" w:customStyle="1" w:styleId="10">
    <w:name w:val="页脚 Char"/>
    <w:link w:val="4"/>
    <w:autoRedefine/>
    <w:semiHidden/>
    <w:qFormat/>
    <w:locked/>
    <w:uiPriority w:val="99"/>
    <w:rPr>
      <w:rFonts w:cs="Times New Roman"/>
      <w:kern w:val="2"/>
      <w:sz w:val="18"/>
      <w:szCs w:val="18"/>
    </w:rPr>
  </w:style>
  <w:style w:type="character" w:customStyle="1" w:styleId="11">
    <w:name w:val="页眉 Char"/>
    <w:link w:val="5"/>
    <w:autoRedefine/>
    <w:semiHidden/>
    <w:qFormat/>
    <w:locked/>
    <w:uiPriority w:val="99"/>
    <w:rPr>
      <w:rFonts w:cs="Times New Roman"/>
      <w:kern w:val="2"/>
      <w:sz w:val="18"/>
      <w:szCs w:val="18"/>
    </w:rPr>
  </w:style>
  <w:style w:type="character" w:customStyle="1" w:styleId="12">
    <w:name w:val="批注框文本 Char"/>
    <w:basedOn w:val="8"/>
    <w:link w:val="3"/>
    <w:semiHidden/>
    <w:qFormat/>
    <w:uiPriority w:val="0"/>
    <w:rPr>
      <w:kern w:val="2"/>
      <w:sz w:val="18"/>
      <w:szCs w:val="18"/>
    </w:rPr>
  </w:style>
  <w:style w:type="character" w:customStyle="1" w:styleId="13">
    <w:name w:val="标题 1 Char"/>
    <w:basedOn w:val="8"/>
    <w:link w:val="2"/>
    <w:autoRedefine/>
    <w:qFormat/>
    <w:uiPriority w:val="9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037C120-717C-45A5-8967-87AE9613517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3</Pages>
  <Words>1065</Words>
  <Characters>1102</Characters>
  <Lines>12</Lines>
  <Paragraphs>3</Paragraphs>
  <TotalTime>0</TotalTime>
  <ScaleCrop>false</ScaleCrop>
  <LinksUpToDate>false</LinksUpToDate>
  <CharactersWithSpaces>1108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2015-02-09T01:55:00Z</dcterms:created>
  <dc:creator>bst</dc:creator>
  <cp:lastModifiedBy>15266533027</cp:lastModifiedBy>
  <cp:lastPrinted>2026-03-10T02:33:00Z</cp:lastPrinted>
  <dcterms:modified xsi:type="dcterms:W3CDTF">2026-03-10T02:55:26Z</dcterms:modified>
  <dc:title>山海南路清单总说明</dc:title>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A625DA7E1E984DDDA1A51F90236B5DAA_13</vt:lpwstr>
  </property>
  <property fmtid="{D5CDD505-2E9C-101B-9397-08002B2CF9AE}" pid="4" name="KSOTemplateDocerSaveRecord">
    <vt:lpwstr>eyJoZGlkIjoiYTczNmUwMDMyZjExM2JhYWQ4MTJhMjU3Yzg2OGM2ZWYiLCJ1c2VySWQiOiI4NzI0ODI4OTYifQ==</vt:lpwstr>
  </property>
</Properties>
</file>