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A7632">
      <w:pPr>
        <w:tabs>
          <w:tab w:val="left" w:pos="7740"/>
        </w:tabs>
        <w:jc w:val="center"/>
        <w:rPr>
          <w:rFonts w:ascii="仿宋_GB2312" w:hAnsi="宋体" w:eastAsia="仿宋_GB2312"/>
          <w:color w:val="000000" w:themeColor="text1"/>
          <w:sz w:val="52"/>
          <w14:textFill>
            <w14:solidFill>
              <w14:schemeClr w14:val="tx1"/>
            </w14:solidFill>
          </w14:textFill>
        </w:rPr>
      </w:pPr>
      <w:bookmarkStart w:id="0" w:name="_Hlk44653633"/>
    </w:p>
    <w:p w14:paraId="01051D35">
      <w:pPr>
        <w:tabs>
          <w:tab w:val="left" w:pos="7740"/>
        </w:tabs>
        <w:jc w:val="center"/>
        <w:rPr>
          <w:rFonts w:ascii="仿宋_GB2312" w:hAnsi="宋体" w:eastAsia="仿宋_GB2312"/>
          <w:color w:val="000000" w:themeColor="text1"/>
          <w:sz w:val="52"/>
          <w14:textFill>
            <w14:solidFill>
              <w14:schemeClr w14:val="tx1"/>
            </w14:solidFill>
          </w14:textFill>
        </w:rPr>
      </w:pPr>
    </w:p>
    <w:bookmarkEnd w:id="0"/>
    <w:p w14:paraId="3C3E20D8">
      <w:pPr>
        <w:tabs>
          <w:tab w:val="left" w:pos="7740"/>
        </w:tabs>
        <w:jc w:val="center"/>
        <w:rPr>
          <w:rFonts w:ascii="仿宋_GB2312" w:hAnsi="宋体" w:eastAsia="仿宋_GB2312"/>
          <w:b/>
          <w:bCs/>
          <w:color w:val="000000" w:themeColor="text1"/>
          <w:sz w:val="84"/>
          <w14:textFill>
            <w14:solidFill>
              <w14:schemeClr w14:val="tx1"/>
            </w14:solidFill>
          </w14:textFill>
        </w:rPr>
      </w:pPr>
      <w:r>
        <w:rPr>
          <w:rFonts w:hint="eastAsia" w:ascii="仿宋_GB2312" w:hAnsi="宋体" w:eastAsia="仿宋_GB2312"/>
          <w:color w:val="000000" w:themeColor="text1"/>
          <w:sz w:val="52"/>
          <w14:textFill>
            <w14:solidFill>
              <w14:schemeClr w14:val="tx1"/>
            </w14:solidFill>
          </w14:textFill>
        </w:rPr>
        <w:t>威海海高园园林建设有限公司</w:t>
      </w:r>
      <w:r>
        <w:rPr>
          <w:rFonts w:hint="eastAsia" w:ascii="仿宋_GB2312" w:hAnsi="宋体" w:eastAsia="仿宋_GB2312"/>
          <w:color w:val="000000" w:themeColor="text1"/>
          <w:sz w:val="52"/>
          <w14:textFill>
            <w14:solidFill>
              <w14:schemeClr w14:val="tx1"/>
            </w14:solidFill>
          </w14:textFill>
        </w:rPr>
        <w:cr/>
      </w:r>
      <w:r>
        <w:rPr>
          <w:rFonts w:hint="eastAsia" w:ascii="仿宋_GB2312" w:hAnsi="宋体" w:eastAsia="仿宋_GB2312"/>
          <w:b/>
          <w:bCs/>
          <w:color w:val="000000" w:themeColor="text1"/>
          <w:sz w:val="84"/>
          <w14:textFill>
            <w14:solidFill>
              <w14:schemeClr w14:val="tx1"/>
            </w14:solidFill>
          </w14:textFill>
        </w:rPr>
        <w:t>招 标 文 件</w:t>
      </w:r>
      <w:r>
        <w:rPr>
          <w:rFonts w:hint="eastAsia" w:ascii="仿宋_GB2312" w:hAnsi="宋体" w:eastAsia="仿宋_GB2312"/>
          <w:b/>
          <w:bCs/>
          <w:color w:val="000000" w:themeColor="text1"/>
          <w:sz w:val="84"/>
          <w14:textFill>
            <w14:solidFill>
              <w14:schemeClr w14:val="tx1"/>
            </w14:solidFill>
          </w14:textFill>
        </w:rPr>
        <w:cr/>
      </w:r>
    </w:p>
    <w:p w14:paraId="367EC6DA">
      <w:pPr>
        <w:tabs>
          <w:tab w:val="left" w:pos="7740"/>
        </w:tabs>
        <w:ind w:left="1436" w:leftChars="684" w:firstLine="5040" w:firstLineChars="700"/>
        <w:jc w:val="left"/>
        <w:rPr>
          <w:rFonts w:ascii="仿宋_GB2312" w:hAnsi="宋体" w:eastAsia="仿宋_GB2312"/>
          <w:bCs/>
          <w:color w:val="000000" w:themeColor="text1"/>
          <w:sz w:val="36"/>
          <w14:textFill>
            <w14:solidFill>
              <w14:schemeClr w14:val="tx1"/>
            </w14:solidFill>
          </w14:textFill>
        </w:rPr>
      </w:pPr>
      <w:r>
        <w:rPr>
          <w:rFonts w:hint="eastAsia" w:ascii="仿宋_GB2312" w:hAnsi="宋体" w:eastAsia="仿宋_GB2312"/>
          <w:color w:val="000000" w:themeColor="text1"/>
          <w:sz w:val="72"/>
          <w14:textFill>
            <w14:solidFill>
              <w14:schemeClr w14:val="tx1"/>
            </w14:solidFill>
          </w14:textFill>
        </w:rPr>
        <w:cr/>
      </w:r>
      <w:r>
        <w:rPr>
          <w:rFonts w:hint="eastAsia" w:ascii="仿宋_GB2312" w:hAnsi="宋体" w:eastAsia="仿宋_GB2312"/>
          <w:b/>
          <w:bCs/>
          <w:color w:val="000000" w:themeColor="text1"/>
          <w:sz w:val="36"/>
          <w14:textFill>
            <w14:solidFill>
              <w14:schemeClr w14:val="tx1"/>
            </w14:solidFill>
          </w14:textFill>
        </w:rPr>
        <w:t>采购编号</w:t>
      </w:r>
      <w:r>
        <w:rPr>
          <w:rFonts w:hint="eastAsia" w:ascii="仿宋_GB2312" w:hAnsi="宋体" w:eastAsia="仿宋_GB2312"/>
          <w:b/>
          <w:bCs/>
          <w:color w:val="000000" w:themeColor="text1"/>
          <w:sz w:val="36"/>
          <w:highlight w:val="none"/>
          <w14:textFill>
            <w14:solidFill>
              <w14:schemeClr w14:val="tx1"/>
            </w14:solidFill>
          </w14:textFill>
        </w:rPr>
        <w:t>：</w:t>
      </w:r>
      <w:r>
        <w:rPr>
          <w:rFonts w:hint="eastAsia" w:ascii="仿宋_GB2312" w:hAnsi="宋体" w:eastAsia="仿宋_GB2312"/>
          <w:bCs/>
          <w:color w:val="000000" w:themeColor="text1"/>
          <w:sz w:val="36"/>
          <w:highlight w:val="none"/>
          <w:lang w:eastAsia="zh-CN"/>
          <w14:textFill>
            <w14:solidFill>
              <w14:schemeClr w14:val="tx1"/>
            </w14:solidFill>
          </w14:textFill>
        </w:rPr>
        <w:t>WHHGYSDGQ2026-10</w:t>
      </w:r>
      <w:r>
        <w:rPr>
          <w:rFonts w:hint="eastAsia" w:ascii="仿宋_GB2312" w:hAnsi="宋体" w:eastAsia="仿宋_GB2312"/>
          <w:color w:val="000000" w:themeColor="text1"/>
          <w:sz w:val="36"/>
          <w:highlight w:val="none"/>
          <w14:textFill>
            <w14:solidFill>
              <w14:schemeClr w14:val="tx1"/>
            </w14:solidFill>
          </w14:textFill>
        </w:rPr>
        <w:cr/>
      </w:r>
      <w:r>
        <w:rPr>
          <w:rFonts w:hint="eastAsia" w:ascii="仿宋_GB2312" w:hAnsi="宋体" w:eastAsia="仿宋_GB2312"/>
          <w:b/>
          <w:bCs/>
          <w:color w:val="000000" w:themeColor="text1"/>
          <w:sz w:val="36"/>
          <w14:textFill>
            <w14:solidFill>
              <w14:schemeClr w14:val="tx1"/>
            </w14:solidFill>
          </w14:textFill>
        </w:rPr>
        <w:t>采购项目：</w:t>
      </w:r>
      <w:r>
        <w:rPr>
          <w:rFonts w:hint="eastAsia" w:ascii="仿宋_GB2312" w:hAnsi="宋体" w:eastAsia="仿宋_GB2312"/>
          <w:bCs/>
          <w:color w:val="000000" w:themeColor="text1"/>
          <w:sz w:val="36"/>
          <w14:textFill>
            <w14:solidFill>
              <w14:schemeClr w14:val="tx1"/>
            </w14:solidFill>
          </w14:textFill>
        </w:rPr>
        <w:t>2026年农药化肥</w:t>
      </w:r>
    </w:p>
    <w:p w14:paraId="56B12197">
      <w:pPr>
        <w:tabs>
          <w:tab w:val="left" w:pos="7740"/>
        </w:tabs>
        <w:ind w:firstLine="1428" w:firstLineChars="395"/>
        <w:jc w:val="left"/>
        <w:rPr>
          <w:rFonts w:ascii="仿宋_GB2312" w:hAnsi="宋体" w:eastAsia="仿宋_GB2312"/>
          <w:color w:val="000000" w:themeColor="text1"/>
          <w:sz w:val="44"/>
          <w14:textFill>
            <w14:solidFill>
              <w14:schemeClr w14:val="tx1"/>
            </w14:solidFill>
          </w14:textFill>
        </w:rPr>
      </w:pPr>
      <w:r>
        <w:rPr>
          <w:rFonts w:hint="eastAsia" w:ascii="仿宋_GB2312" w:hAnsi="宋体" w:eastAsia="仿宋_GB2312"/>
          <w:b/>
          <w:bCs/>
          <w:color w:val="000000" w:themeColor="text1"/>
          <w:sz w:val="36"/>
          <w14:textFill>
            <w14:solidFill>
              <w14:schemeClr w14:val="tx1"/>
            </w14:solidFill>
          </w14:textFill>
        </w:rPr>
        <w:t>采购方式：</w:t>
      </w:r>
      <w:r>
        <w:rPr>
          <w:rFonts w:hint="eastAsia" w:ascii="仿宋_GB2312" w:hAnsi="宋体" w:eastAsia="仿宋_GB2312"/>
          <w:color w:val="000000" w:themeColor="text1"/>
          <w:sz w:val="36"/>
          <w14:textFill>
            <w14:solidFill>
              <w14:schemeClr w14:val="tx1"/>
            </w14:solidFill>
          </w14:textFill>
        </w:rPr>
        <w:t>公开招标</w:t>
      </w:r>
      <w:r>
        <w:rPr>
          <w:rFonts w:hint="eastAsia" w:ascii="仿宋_GB2312" w:hAnsi="宋体" w:eastAsia="仿宋_GB2312"/>
          <w:color w:val="000000" w:themeColor="text1"/>
          <w:sz w:val="36"/>
          <w14:textFill>
            <w14:solidFill>
              <w14:schemeClr w14:val="tx1"/>
            </w14:solidFill>
          </w14:textFill>
        </w:rPr>
        <w:cr/>
      </w:r>
      <w:r>
        <w:rPr>
          <w:rFonts w:hint="eastAsia" w:ascii="仿宋_GB2312" w:hAnsi="宋体" w:eastAsia="仿宋_GB2312"/>
          <w:color w:val="000000" w:themeColor="text1"/>
          <w:sz w:val="44"/>
          <w14:textFill>
            <w14:solidFill>
              <w14:schemeClr w14:val="tx1"/>
            </w14:solidFill>
          </w14:textFill>
        </w:rPr>
        <w:cr/>
      </w:r>
    </w:p>
    <w:p w14:paraId="6462772B">
      <w:pPr>
        <w:pStyle w:val="2"/>
        <w:rPr>
          <w:color w:val="000000" w:themeColor="text1"/>
          <w14:textFill>
            <w14:solidFill>
              <w14:schemeClr w14:val="tx1"/>
            </w14:solidFill>
          </w14:textFill>
        </w:rPr>
      </w:pPr>
    </w:p>
    <w:p w14:paraId="30829A3E">
      <w:pPr>
        <w:pStyle w:val="2"/>
        <w:rPr>
          <w:color w:val="000000" w:themeColor="text1"/>
          <w14:textFill>
            <w14:solidFill>
              <w14:schemeClr w14:val="tx1"/>
            </w14:solidFill>
          </w14:textFill>
        </w:rPr>
      </w:pPr>
    </w:p>
    <w:p w14:paraId="1D640C66">
      <w:pPr>
        <w:pStyle w:val="2"/>
        <w:rPr>
          <w:color w:val="000000" w:themeColor="text1"/>
          <w14:textFill>
            <w14:solidFill>
              <w14:schemeClr w14:val="tx1"/>
            </w14:solidFill>
          </w14:textFill>
        </w:rPr>
      </w:pPr>
    </w:p>
    <w:p w14:paraId="223C70A9">
      <w:pPr>
        <w:pStyle w:val="2"/>
        <w:ind w:firstLine="0"/>
        <w:rPr>
          <w:color w:val="000000" w:themeColor="text1"/>
          <w14:textFill>
            <w14:solidFill>
              <w14:schemeClr w14:val="tx1"/>
            </w14:solidFill>
          </w14:textFill>
        </w:rPr>
      </w:pPr>
    </w:p>
    <w:p w14:paraId="03BAC170">
      <w:pPr>
        <w:ind w:firstLine="2160" w:firstLineChars="600"/>
        <w:rPr>
          <w:rFonts w:ascii="仿宋_GB2312" w:hAnsi="宋体" w:eastAsia="仿宋_GB2312"/>
          <w:color w:val="000000" w:themeColor="text1"/>
          <w:sz w:val="36"/>
          <w14:textFill>
            <w14:solidFill>
              <w14:schemeClr w14:val="tx1"/>
            </w14:solidFill>
          </w14:textFill>
        </w:rPr>
      </w:pPr>
      <w:r>
        <w:rPr>
          <w:rFonts w:hint="eastAsia" w:ascii="仿宋_GB2312" w:hAnsi="宋体" w:eastAsia="仿宋_GB2312"/>
          <w:color w:val="000000" w:themeColor="text1"/>
          <w:sz w:val="36"/>
          <w14:textFill>
            <w14:solidFill>
              <w14:schemeClr w14:val="tx1"/>
            </w14:solidFill>
          </w14:textFill>
        </w:rPr>
        <w:t>山东志诚工程咨询管理有限公司</w:t>
      </w:r>
      <w:r>
        <w:rPr>
          <w:rFonts w:hint="eastAsia" w:ascii="仿宋_GB2312" w:hAnsi="宋体" w:eastAsia="仿宋_GB2312"/>
          <w:color w:val="000000" w:themeColor="text1"/>
          <w:sz w:val="36"/>
          <w14:textFill>
            <w14:solidFill>
              <w14:schemeClr w14:val="tx1"/>
            </w14:solidFill>
          </w14:textFill>
        </w:rPr>
        <w:cr/>
      </w:r>
      <w:r>
        <w:rPr>
          <w:rFonts w:hint="eastAsia" w:ascii="仿宋_GB2312" w:hAnsi="宋体" w:eastAsia="仿宋_GB2312"/>
          <w:color w:val="000000" w:themeColor="text1"/>
          <w:sz w:val="36"/>
          <w14:textFill>
            <w14:solidFill>
              <w14:schemeClr w14:val="tx1"/>
            </w14:solidFill>
          </w14:textFill>
        </w:rPr>
        <w:t xml:space="preserve">                     2026年3月</w:t>
      </w:r>
      <w:r>
        <w:rPr>
          <w:rFonts w:hint="eastAsia" w:ascii="仿宋_GB2312" w:hAnsi="宋体" w:eastAsia="仿宋_GB2312"/>
          <w:color w:val="000000" w:themeColor="text1"/>
          <w:sz w:val="36"/>
          <w14:textFill>
            <w14:solidFill>
              <w14:schemeClr w14:val="tx1"/>
            </w14:solidFill>
          </w14:textFill>
        </w:rPr>
        <w:cr/>
      </w:r>
    </w:p>
    <w:p w14:paraId="2E9BA873">
      <w:pPr>
        <w:ind w:firstLine="3534" w:firstLineChars="800"/>
        <w:rPr>
          <w:rFonts w:ascii="宋体" w:hAnsi="宋体"/>
          <w:b/>
          <w:color w:val="000000" w:themeColor="text1"/>
          <w:sz w:val="44"/>
          <w:szCs w:val="44"/>
          <w14:textFill>
            <w14:solidFill>
              <w14:schemeClr w14:val="tx1"/>
            </w14:solidFill>
          </w14:textFill>
        </w:rPr>
      </w:pPr>
    </w:p>
    <w:p w14:paraId="53CAF4DC">
      <w:pPr>
        <w:widowControl/>
        <w:jc w:val="left"/>
        <w:rPr>
          <w:rFonts w:ascii="宋体" w:hAnsi="宋体"/>
          <w:b/>
          <w:color w:val="000000" w:themeColor="text1"/>
          <w:sz w:val="44"/>
          <w:szCs w:val="44"/>
          <w14:textFill>
            <w14:solidFill>
              <w14:schemeClr w14:val="tx1"/>
            </w14:solidFill>
          </w14:textFill>
        </w:rPr>
      </w:pPr>
      <w:r>
        <w:rPr>
          <w:rFonts w:ascii="宋体" w:hAnsi="宋体"/>
          <w:b/>
          <w:color w:val="000000" w:themeColor="text1"/>
          <w:sz w:val="44"/>
          <w:szCs w:val="44"/>
          <w14:textFill>
            <w14:solidFill>
              <w14:schemeClr w14:val="tx1"/>
            </w14:solidFill>
          </w14:textFill>
        </w:rPr>
        <w:br w:type="page"/>
      </w:r>
    </w:p>
    <w:p w14:paraId="249A178D">
      <w:pPr>
        <w:ind w:firstLine="3534" w:firstLineChars="800"/>
        <w:rPr>
          <w:rFonts w:ascii="仿宋_GB2312" w:hAnsi="宋体" w:eastAsia="仿宋_GB2312"/>
          <w:color w:val="000000" w:themeColor="text1"/>
          <w:sz w:val="28"/>
          <w14:textFill>
            <w14:solidFill>
              <w14:schemeClr w14:val="tx1"/>
            </w14:solidFill>
          </w14:textFill>
        </w:rPr>
      </w:pPr>
      <w:r>
        <w:rPr>
          <w:rFonts w:hint="eastAsia" w:ascii="宋体" w:hAnsi="宋体"/>
          <w:b/>
          <w:color w:val="000000" w:themeColor="text1"/>
          <w:sz w:val="44"/>
          <w:szCs w:val="44"/>
          <w14:textFill>
            <w14:solidFill>
              <w14:schemeClr w14:val="tx1"/>
            </w14:solidFill>
          </w14:textFill>
        </w:rPr>
        <w:t xml:space="preserve"> 目　录</w:t>
      </w:r>
      <w:r>
        <w:rPr>
          <w:rFonts w:hint="eastAsia" w:ascii="宋体" w:hAnsi="宋体"/>
          <w:b/>
          <w:color w:val="000000" w:themeColor="text1"/>
          <w:sz w:val="44"/>
          <w:szCs w:val="44"/>
          <w14:textFill>
            <w14:solidFill>
              <w14:schemeClr w14:val="tx1"/>
            </w14:solidFill>
          </w14:textFill>
        </w:rPr>
        <w:cr/>
      </w:r>
    </w:p>
    <w:p w14:paraId="4686328C">
      <w:pPr>
        <w:spacing w:line="700" w:lineRule="exact"/>
        <w:ind w:firstLine="562" w:firstLineChars="200"/>
        <w:jc w:val="left"/>
        <w:rPr>
          <w:rFonts w:ascii="宋体" w:hAnsi="宋体" w:cs="宋体"/>
          <w:color w:val="000000" w:themeColor="text1"/>
          <w:sz w:val="24"/>
          <w:szCs w:val="44"/>
          <w14:textFill>
            <w14:solidFill>
              <w14:schemeClr w14:val="tx1"/>
            </w14:solidFill>
          </w14:textFill>
        </w:rPr>
      </w:pPr>
      <w:r>
        <w:rPr>
          <w:rFonts w:hint="eastAsia" w:ascii="仿宋_GB2312" w:hAnsi="黑体" w:eastAsia="仿宋_GB2312" w:cs="宋体"/>
          <w:b/>
          <w:bCs/>
          <w:caps/>
          <w:color w:val="000000" w:themeColor="text1"/>
          <w:sz w:val="28"/>
          <w:szCs w:val="28"/>
          <w14:textFill>
            <w14:solidFill>
              <w14:schemeClr w14:val="tx1"/>
            </w14:solidFill>
          </w14:textFill>
        </w:rPr>
        <w:t>第一章   招标公告</w:t>
      </w:r>
    </w:p>
    <w:p w14:paraId="254DF2C9">
      <w:pPr>
        <w:spacing w:line="700" w:lineRule="exact"/>
        <w:ind w:firstLine="565" w:firstLineChars="201"/>
        <w:jc w:val="left"/>
        <w:rPr>
          <w:rFonts w:ascii="仿宋_GB2312" w:hAnsi="黑体" w:eastAsia="仿宋_GB2312" w:cs="宋体"/>
          <w:b/>
          <w:bCs/>
          <w:caps/>
          <w:color w:val="000000" w:themeColor="text1"/>
          <w:sz w:val="28"/>
          <w:szCs w:val="28"/>
          <w14:textFill>
            <w14:solidFill>
              <w14:schemeClr w14:val="tx1"/>
            </w14:solidFill>
          </w14:textFill>
        </w:rPr>
      </w:pPr>
      <w:r>
        <w:rPr>
          <w:rFonts w:hint="eastAsia" w:ascii="仿宋_GB2312" w:hAnsi="黑体" w:eastAsia="仿宋_GB2312" w:cs="宋体"/>
          <w:b/>
          <w:bCs/>
          <w:caps/>
          <w:color w:val="000000" w:themeColor="text1"/>
          <w:sz w:val="28"/>
          <w:szCs w:val="28"/>
          <w14:textFill>
            <w14:solidFill>
              <w14:schemeClr w14:val="tx1"/>
            </w14:solidFill>
          </w14:textFill>
        </w:rPr>
        <w:t>第二章   投标须知</w:t>
      </w:r>
    </w:p>
    <w:p w14:paraId="3A67DF43">
      <w:pPr>
        <w:spacing w:line="700" w:lineRule="exact"/>
        <w:ind w:firstLine="565" w:firstLineChars="201"/>
        <w:jc w:val="left"/>
        <w:rPr>
          <w:rFonts w:ascii="仿宋_GB2312" w:hAnsi="黑体" w:eastAsia="仿宋_GB2312" w:cs="宋体"/>
          <w:b/>
          <w:bCs/>
          <w:caps/>
          <w:color w:val="000000" w:themeColor="text1"/>
          <w:sz w:val="28"/>
          <w:szCs w:val="28"/>
          <w14:textFill>
            <w14:solidFill>
              <w14:schemeClr w14:val="tx1"/>
            </w14:solidFill>
          </w14:textFill>
        </w:rPr>
      </w:pPr>
      <w:r>
        <w:rPr>
          <w:rFonts w:hint="eastAsia" w:ascii="仿宋_GB2312" w:hAnsi="黑体" w:eastAsia="仿宋_GB2312" w:cs="宋体"/>
          <w:b/>
          <w:bCs/>
          <w:caps/>
          <w:color w:val="000000" w:themeColor="text1"/>
          <w:sz w:val="28"/>
          <w:szCs w:val="28"/>
          <w14:textFill>
            <w14:solidFill>
              <w14:schemeClr w14:val="tx1"/>
            </w14:solidFill>
          </w14:textFill>
        </w:rPr>
        <w:t>第三章   采购内容与要求</w:t>
      </w:r>
    </w:p>
    <w:p w14:paraId="3DECE9CD">
      <w:pPr>
        <w:spacing w:line="700" w:lineRule="exact"/>
        <w:ind w:firstLine="565" w:firstLineChars="201"/>
        <w:jc w:val="left"/>
        <w:rPr>
          <w:rFonts w:ascii="仿宋_GB2312" w:hAnsi="黑体" w:eastAsia="仿宋_GB2312" w:cs="宋体"/>
          <w:b/>
          <w:bCs/>
          <w:caps/>
          <w:color w:val="000000" w:themeColor="text1"/>
          <w:sz w:val="28"/>
          <w:szCs w:val="28"/>
          <w14:textFill>
            <w14:solidFill>
              <w14:schemeClr w14:val="tx1"/>
            </w14:solidFill>
          </w14:textFill>
        </w:rPr>
      </w:pPr>
      <w:r>
        <w:rPr>
          <w:rFonts w:hint="eastAsia" w:ascii="仿宋_GB2312" w:hAnsi="黑体" w:eastAsia="仿宋_GB2312" w:cs="宋体"/>
          <w:b/>
          <w:bCs/>
          <w:caps/>
          <w:color w:val="000000" w:themeColor="text1"/>
          <w:sz w:val="28"/>
          <w:szCs w:val="28"/>
          <w14:textFill>
            <w14:solidFill>
              <w14:schemeClr w14:val="tx1"/>
            </w14:solidFill>
          </w14:textFill>
        </w:rPr>
        <w:t>第四章   评标原则和方法</w:t>
      </w:r>
    </w:p>
    <w:p w14:paraId="44D23CDB">
      <w:pPr>
        <w:spacing w:line="700" w:lineRule="exact"/>
        <w:ind w:firstLine="565" w:firstLineChars="201"/>
        <w:jc w:val="left"/>
        <w:rPr>
          <w:rFonts w:ascii="仿宋_GB2312" w:hAnsi="黑体" w:eastAsia="仿宋_GB2312" w:cs="宋体"/>
          <w:b/>
          <w:bCs/>
          <w:caps/>
          <w:color w:val="000000" w:themeColor="text1"/>
          <w:sz w:val="28"/>
          <w:szCs w:val="28"/>
          <w14:textFill>
            <w14:solidFill>
              <w14:schemeClr w14:val="tx1"/>
            </w14:solidFill>
          </w14:textFill>
        </w:rPr>
      </w:pPr>
      <w:r>
        <w:rPr>
          <w:rFonts w:hint="eastAsia" w:ascii="仿宋_GB2312" w:hAnsi="黑体" w:eastAsia="仿宋_GB2312" w:cs="宋体"/>
          <w:b/>
          <w:bCs/>
          <w:caps/>
          <w:color w:val="000000" w:themeColor="text1"/>
          <w:sz w:val="28"/>
          <w:szCs w:val="28"/>
          <w14:textFill>
            <w14:solidFill>
              <w14:schemeClr w14:val="tx1"/>
            </w14:solidFill>
          </w14:textFill>
        </w:rPr>
        <w:t>第五章   投标文件格式与要求</w:t>
      </w:r>
    </w:p>
    <w:p w14:paraId="5075802A">
      <w:pPr>
        <w:spacing w:line="700" w:lineRule="exact"/>
        <w:ind w:firstLine="562" w:firstLineChars="200"/>
        <w:rPr>
          <w:rFonts w:ascii="仿宋_GB2312" w:hAnsi="宋体" w:eastAsia="仿宋_GB2312"/>
          <w:color w:val="000000" w:themeColor="text1"/>
          <w:sz w:val="28"/>
          <w14:textFill>
            <w14:solidFill>
              <w14:schemeClr w14:val="tx1"/>
            </w14:solidFill>
          </w14:textFill>
        </w:rPr>
      </w:pPr>
      <w:r>
        <w:rPr>
          <w:rFonts w:hint="eastAsia" w:ascii="仿宋_GB2312" w:hAnsi="黑体" w:eastAsia="仿宋_GB2312" w:cs="宋体"/>
          <w:b/>
          <w:bCs/>
          <w:caps/>
          <w:color w:val="000000" w:themeColor="text1"/>
          <w:sz w:val="28"/>
          <w:szCs w:val="28"/>
          <w14:textFill>
            <w14:solidFill>
              <w14:schemeClr w14:val="tx1"/>
            </w14:solidFill>
          </w14:textFill>
        </w:rPr>
        <w:t>第六章   采购合同（范本）</w:t>
      </w:r>
      <w:r>
        <w:rPr>
          <w:rFonts w:hint="eastAsia" w:ascii="仿宋_GB2312" w:hAnsi="宋体" w:eastAsia="仿宋_GB2312"/>
          <w:color w:val="000000" w:themeColor="text1"/>
          <w:sz w:val="28"/>
          <w14:textFill>
            <w14:solidFill>
              <w14:schemeClr w14:val="tx1"/>
            </w14:solidFill>
          </w14:textFill>
        </w:rPr>
        <w:cr/>
      </w:r>
      <w:r>
        <w:rPr>
          <w:rFonts w:hint="eastAsia" w:ascii="仿宋_GB2312" w:hAnsi="宋体" w:eastAsia="仿宋_GB2312"/>
          <w:color w:val="000000" w:themeColor="text1"/>
          <w:sz w:val="28"/>
          <w14:textFill>
            <w14:solidFill>
              <w14:schemeClr w14:val="tx1"/>
            </w14:solidFill>
          </w14:textFill>
        </w:rPr>
        <w:cr/>
      </w:r>
      <w:r>
        <w:rPr>
          <w:rFonts w:hint="eastAsia" w:ascii="仿宋_GB2312" w:hAnsi="宋体" w:eastAsia="仿宋_GB2312"/>
          <w:color w:val="000000" w:themeColor="text1"/>
          <w:sz w:val="28"/>
          <w14:textFill>
            <w14:solidFill>
              <w14:schemeClr w14:val="tx1"/>
            </w14:solidFill>
          </w14:textFill>
        </w:rPr>
        <w:cr/>
      </w:r>
    </w:p>
    <w:p w14:paraId="46C2A698">
      <w:pPr>
        <w:spacing w:line="360" w:lineRule="auto"/>
        <w:ind w:firstLine="422" w:firstLineChars="201"/>
        <w:jc w:val="center"/>
        <w:rPr>
          <w:color w:val="000000" w:themeColor="text1"/>
          <w:kern w:val="0"/>
          <w14:textFill>
            <w14:solidFill>
              <w14:schemeClr w14:val="tx1"/>
            </w14:solidFill>
          </w14:textFill>
        </w:rPr>
      </w:pPr>
    </w:p>
    <w:p w14:paraId="347DFF2B">
      <w:pPr>
        <w:rPr>
          <w:color w:val="000000" w:themeColor="text1"/>
          <w14:textFill>
            <w14:solidFill>
              <w14:schemeClr w14:val="tx1"/>
            </w14:solidFill>
          </w14:textFill>
        </w:rPr>
        <w:sectPr>
          <w:headerReference r:id="rId3" w:type="default"/>
          <w:footerReference r:id="rId4" w:type="default"/>
          <w:pgSz w:w="11906" w:h="16838"/>
          <w:pgMar w:top="1440" w:right="1080" w:bottom="1440" w:left="1080" w:header="851" w:footer="992" w:gutter="0"/>
          <w:cols w:space="425" w:num="1"/>
          <w:docGrid w:type="lines" w:linePitch="312" w:charSpace="0"/>
        </w:sectPr>
      </w:pPr>
    </w:p>
    <w:p w14:paraId="60B2E850">
      <w:pPr>
        <w:pStyle w:val="41"/>
        <w:rPr>
          <w:rFonts w:ascii="宋体" w:hAnsi="宋体" w:cs="宋体"/>
          <w:color w:val="000000" w:themeColor="text1"/>
          <w:kern w:val="36"/>
          <w14:textFill>
            <w14:solidFill>
              <w14:schemeClr w14:val="tx1"/>
            </w14:solidFill>
          </w14:textFill>
        </w:rPr>
      </w:pPr>
      <w:r>
        <w:rPr>
          <w:rFonts w:hint="eastAsia" w:ascii="宋体" w:hAnsi="宋体" w:cs="宋体"/>
          <w:color w:val="000000" w:themeColor="text1"/>
          <w14:textFill>
            <w14:solidFill>
              <w14:schemeClr w14:val="tx1"/>
            </w14:solidFill>
          </w14:textFill>
        </w:rPr>
        <w:t>第一章</w:t>
      </w:r>
      <w:r>
        <w:rPr>
          <w:rFonts w:hint="eastAsia" w:ascii="宋体" w:hAnsi="宋体" w:cs="宋体"/>
          <w:color w:val="000000" w:themeColor="text1"/>
          <w:kern w:val="36"/>
          <w14:textFill>
            <w14:solidFill>
              <w14:schemeClr w14:val="tx1"/>
            </w14:solidFill>
          </w14:textFill>
        </w:rPr>
        <w:t>招标公告</w:t>
      </w:r>
    </w:p>
    <w:p w14:paraId="4A874125">
      <w:pPr>
        <w:spacing w:line="360" w:lineRule="auto"/>
        <w:jc w:val="center"/>
        <w:rPr>
          <w:rFonts w:ascii="方正小标宋简体" w:hAnsi="Cambria" w:eastAsia="方正小标宋简体"/>
          <w:b/>
          <w:bCs/>
          <w:color w:val="000000" w:themeColor="text1"/>
          <w:sz w:val="30"/>
          <w:szCs w:val="30"/>
          <w14:textFill>
            <w14:solidFill>
              <w14:schemeClr w14:val="tx1"/>
            </w14:solidFill>
          </w14:textFill>
        </w:rPr>
      </w:pPr>
      <w:bookmarkStart w:id="1" w:name="_Hlk129270754"/>
      <w:r>
        <w:rPr>
          <w:rFonts w:hint="eastAsia" w:ascii="方正小标宋简体" w:hAnsi="Cambria" w:eastAsia="方正小标宋简体"/>
          <w:b/>
          <w:bCs/>
          <w:color w:val="000000" w:themeColor="text1"/>
          <w:sz w:val="30"/>
          <w:szCs w:val="30"/>
          <w14:textFill>
            <w14:solidFill>
              <w14:schemeClr w14:val="tx1"/>
            </w14:solidFill>
          </w14:textFill>
        </w:rPr>
        <w:t>威海海高园园林建设有限公司2026年农药化肥公开招标公告</w:t>
      </w:r>
    </w:p>
    <w:p w14:paraId="41DAFA7D">
      <w:pPr>
        <w:pBdr>
          <w:top w:val="single" w:color="auto" w:sz="4" w:space="1"/>
          <w:left w:val="single" w:color="auto" w:sz="4" w:space="4"/>
          <w:bottom w:val="single" w:color="auto" w:sz="4" w:space="1"/>
          <w:right w:val="single" w:color="auto" w:sz="4" w:space="4"/>
        </w:pBdr>
        <w:spacing w:line="360" w:lineRule="auto"/>
        <w:rPr>
          <w:rFonts w:ascii="黑体" w:hAnsi="黑体" w:eastAsia="黑体" w:cs="宋体"/>
          <w:color w:val="000000" w:themeColor="text1"/>
          <w:sz w:val="28"/>
          <w:szCs w:val="28"/>
          <w14:textFill>
            <w14:solidFill>
              <w14:schemeClr w14:val="tx1"/>
            </w14:solidFill>
          </w14:textFill>
        </w:rPr>
      </w:pPr>
      <w:r>
        <w:rPr>
          <w:rFonts w:hint="eastAsia" w:ascii="黑体" w:hAnsi="黑体" w:eastAsia="黑体" w:cs="宋体"/>
          <w:color w:val="000000" w:themeColor="text1"/>
          <w:sz w:val="28"/>
          <w:szCs w:val="28"/>
          <w14:textFill>
            <w14:solidFill>
              <w14:schemeClr w14:val="tx1"/>
            </w14:solidFill>
          </w14:textFill>
        </w:rPr>
        <w:t>项目概况</w:t>
      </w:r>
    </w:p>
    <w:p w14:paraId="08C86348">
      <w:pPr>
        <w:widowControl/>
        <w:pBdr>
          <w:top w:val="single" w:color="auto" w:sz="4" w:space="1"/>
          <w:left w:val="single" w:color="auto" w:sz="4" w:space="4"/>
          <w:bottom w:val="single" w:color="auto" w:sz="4" w:space="1"/>
          <w:right w:val="single" w:color="auto" w:sz="4" w:space="4"/>
        </w:pBdr>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14:textFill>
            <w14:solidFill>
              <w14:schemeClr w14:val="tx1"/>
            </w14:solidFill>
          </w14:textFill>
        </w:rPr>
        <w:t>2026年农药化肥招标项目的潜在投标人应在威海市国有企业电子化服务平台（威海市公共资源交易网（荣成市）右侧“交易服务一网通办系统-</w:t>
      </w:r>
      <w:r>
        <w:rPr>
          <w:rFonts w:hint="eastAsia" w:ascii="仿宋_GB2312" w:hAnsi="仿宋" w:eastAsia="仿宋_GB2312" w:cs="宋体"/>
          <w:color w:val="000000" w:themeColor="text1"/>
          <w:spacing w:val="8"/>
          <w:sz w:val="28"/>
          <w:szCs w:val="28"/>
          <w:highlight w:val="none"/>
          <w14:textFill>
            <w14:solidFill>
              <w14:schemeClr w14:val="tx1"/>
            </w14:solidFill>
          </w14:textFill>
        </w:rPr>
        <w:t>（新版）一网通办系统”进行平台切换点击“国企采购”）获取采购文件，并于</w:t>
      </w:r>
      <w:r>
        <w:rPr>
          <w:rFonts w:hint="eastAsia" w:ascii="仿宋_GB2312" w:hAnsi="仿宋" w:eastAsia="仿宋_GB2312" w:cs="宋体"/>
          <w:color w:val="000000" w:themeColor="text1"/>
          <w:spacing w:val="8"/>
          <w:sz w:val="28"/>
          <w:szCs w:val="28"/>
          <w:highlight w:val="none"/>
          <w:u w:val="single"/>
          <w14:textFill>
            <w14:solidFill>
              <w14:schemeClr w14:val="tx1"/>
            </w14:solidFill>
          </w14:textFill>
        </w:rPr>
        <w:t>2026年03月26日9:00</w:t>
      </w:r>
      <w:r>
        <w:rPr>
          <w:rFonts w:hint="eastAsia" w:ascii="仿宋_GB2312" w:hAnsi="仿宋" w:eastAsia="仿宋_GB2312" w:cs="宋体"/>
          <w:color w:val="000000" w:themeColor="text1"/>
          <w:spacing w:val="8"/>
          <w:sz w:val="28"/>
          <w:szCs w:val="28"/>
          <w:highlight w:val="none"/>
          <w14:textFill>
            <w14:solidFill>
              <w14:schemeClr w14:val="tx1"/>
            </w14:solidFill>
          </w14:textFill>
        </w:rPr>
        <w:t>（北京时间）前递交投标文件。</w:t>
      </w:r>
    </w:p>
    <w:p w14:paraId="0A957AC8">
      <w:pPr>
        <w:spacing w:line="360" w:lineRule="auto"/>
        <w:ind w:firstLine="560" w:firstLineChars="20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一、项目基本情况</w:t>
      </w:r>
    </w:p>
    <w:p w14:paraId="2393F1EC">
      <w:pPr>
        <w:widowControl/>
        <w:adjustRightInd w:val="0"/>
        <w:spacing w:line="360" w:lineRule="auto"/>
        <w:ind w:firstLine="592" w:firstLineChars="200"/>
        <w:jc w:val="left"/>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项目编号：</w:t>
      </w:r>
      <w:r>
        <w:rPr>
          <w:rFonts w:hint="eastAsia" w:ascii="仿宋_GB2312" w:hAnsi="仿宋" w:eastAsia="仿宋_GB2312" w:cs="宋体"/>
          <w:color w:val="000000" w:themeColor="text1"/>
          <w:spacing w:val="8"/>
          <w:sz w:val="28"/>
          <w:szCs w:val="28"/>
          <w:highlight w:val="none"/>
          <w:lang w:eastAsia="zh-CN"/>
          <w14:textFill>
            <w14:solidFill>
              <w14:schemeClr w14:val="tx1"/>
            </w14:solidFill>
          </w14:textFill>
        </w:rPr>
        <w:t>WHHGYSDGQ2026-10</w:t>
      </w:r>
    </w:p>
    <w:p w14:paraId="7DB4A51A">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项目名称：2026年农药化肥</w:t>
      </w:r>
    </w:p>
    <w:p w14:paraId="162EC365">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采购项目分包情况：</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2113"/>
        <w:gridCol w:w="851"/>
        <w:gridCol w:w="1701"/>
        <w:gridCol w:w="1701"/>
        <w:gridCol w:w="1417"/>
        <w:gridCol w:w="1349"/>
      </w:tblGrid>
      <w:tr w14:paraId="2F233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830" w:type="dxa"/>
            <w:shd w:val="clear" w:color="auto" w:fill="auto"/>
            <w:vAlign w:val="center"/>
          </w:tcPr>
          <w:p w14:paraId="1B0AB15E">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标包</w:t>
            </w:r>
          </w:p>
        </w:tc>
        <w:tc>
          <w:tcPr>
            <w:tcW w:w="2113" w:type="dxa"/>
            <w:shd w:val="clear" w:color="auto" w:fill="auto"/>
            <w:vAlign w:val="center"/>
          </w:tcPr>
          <w:p w14:paraId="0443150E">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货物\服务名称</w:t>
            </w:r>
          </w:p>
        </w:tc>
        <w:tc>
          <w:tcPr>
            <w:tcW w:w="851" w:type="dxa"/>
            <w:shd w:val="clear" w:color="auto" w:fill="auto"/>
            <w:vAlign w:val="center"/>
          </w:tcPr>
          <w:p w14:paraId="1C8B6C84">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数量</w:t>
            </w:r>
          </w:p>
        </w:tc>
        <w:tc>
          <w:tcPr>
            <w:tcW w:w="1701" w:type="dxa"/>
            <w:shd w:val="clear" w:color="auto" w:fill="auto"/>
            <w:vAlign w:val="center"/>
          </w:tcPr>
          <w:p w14:paraId="2BCEC0CC">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包预算金额</w:t>
            </w:r>
            <w:r>
              <w:rPr>
                <w:rFonts w:hint="eastAsia" w:ascii="仿宋_GB2312" w:hAnsi="宋体" w:eastAsia="仿宋_GB2312" w:cs="宋体"/>
                <w:b/>
                <w:color w:val="000000" w:themeColor="text1"/>
                <w:sz w:val="28"/>
                <w:highlight w:val="none"/>
                <w14:textFill>
                  <w14:solidFill>
                    <w14:schemeClr w14:val="tx1"/>
                  </w14:solidFill>
                </w14:textFill>
              </w:rPr>
              <w:br w:type="textWrapping"/>
            </w:r>
            <w:r>
              <w:rPr>
                <w:rFonts w:hint="eastAsia" w:ascii="仿宋_GB2312" w:hAnsi="宋体" w:eastAsia="仿宋_GB2312" w:cs="宋体"/>
                <w:b/>
                <w:color w:val="000000" w:themeColor="text1"/>
                <w:sz w:val="28"/>
                <w:highlight w:val="none"/>
                <w14:textFill>
                  <w14:solidFill>
                    <w14:schemeClr w14:val="tx1"/>
                  </w14:solidFill>
                </w14:textFill>
              </w:rPr>
              <w:t>（元）</w:t>
            </w:r>
          </w:p>
        </w:tc>
        <w:tc>
          <w:tcPr>
            <w:tcW w:w="1701" w:type="dxa"/>
            <w:shd w:val="clear" w:color="auto" w:fill="auto"/>
            <w:vAlign w:val="center"/>
          </w:tcPr>
          <w:p w14:paraId="35C71878">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最高限价</w:t>
            </w:r>
          </w:p>
          <w:p w14:paraId="32027C93">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（元）</w:t>
            </w:r>
          </w:p>
        </w:tc>
        <w:tc>
          <w:tcPr>
            <w:tcW w:w="1417" w:type="dxa"/>
            <w:shd w:val="clear" w:color="auto" w:fill="auto"/>
            <w:vAlign w:val="center"/>
          </w:tcPr>
          <w:p w14:paraId="2471EA19">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采购需求</w:t>
            </w:r>
          </w:p>
        </w:tc>
        <w:tc>
          <w:tcPr>
            <w:tcW w:w="1349" w:type="dxa"/>
            <w:shd w:val="clear" w:color="auto" w:fill="auto"/>
            <w:vAlign w:val="center"/>
          </w:tcPr>
          <w:p w14:paraId="412E7AA1">
            <w:pPr>
              <w:widowControl/>
              <w:adjustRightInd w:val="0"/>
              <w:spacing w:line="360" w:lineRule="auto"/>
              <w:jc w:val="center"/>
              <w:rPr>
                <w:rFonts w:ascii="仿宋_GB2312" w:hAnsi="宋体" w:eastAsia="仿宋_GB2312" w:cs="宋体"/>
                <w:b/>
                <w:color w:val="000000" w:themeColor="text1"/>
                <w:sz w:val="28"/>
                <w:highlight w:val="none"/>
                <w14:textFill>
                  <w14:solidFill>
                    <w14:schemeClr w14:val="tx1"/>
                  </w14:solidFill>
                </w14:textFill>
              </w:rPr>
            </w:pPr>
            <w:r>
              <w:rPr>
                <w:rFonts w:hint="eastAsia" w:ascii="仿宋_GB2312" w:hAnsi="宋体" w:eastAsia="仿宋_GB2312" w:cs="宋体"/>
                <w:b/>
                <w:color w:val="000000" w:themeColor="text1"/>
                <w:sz w:val="28"/>
                <w:highlight w:val="none"/>
                <w14:textFill>
                  <w14:solidFill>
                    <w14:schemeClr w14:val="tx1"/>
                  </w14:solidFill>
                </w14:textFill>
              </w:rPr>
              <w:t>合同履行期限</w:t>
            </w:r>
          </w:p>
        </w:tc>
      </w:tr>
      <w:tr w14:paraId="7C591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830" w:type="dxa"/>
            <w:shd w:val="clear" w:color="auto" w:fill="auto"/>
            <w:vAlign w:val="center"/>
          </w:tcPr>
          <w:p w14:paraId="7554254B">
            <w:pPr>
              <w:jc w:val="center"/>
              <w:rPr>
                <w:rFonts w:ascii="仿宋_GB2312" w:hAnsi="宋体" w:eastAsia="仿宋_GB2312" w:cs="宋体"/>
                <w:color w:val="000000" w:themeColor="text1"/>
                <w:sz w:val="24"/>
                <w:highlight w:val="none"/>
                <w14:textFill>
                  <w14:solidFill>
                    <w14:schemeClr w14:val="tx1"/>
                  </w14:solidFill>
                </w14:textFill>
              </w:rPr>
            </w:pPr>
            <w:r>
              <w:rPr>
                <w:rFonts w:ascii="仿宋_GB2312" w:hAnsi="宋体" w:eastAsia="仿宋_GB2312" w:cs="宋体"/>
                <w:color w:val="000000" w:themeColor="text1"/>
                <w:sz w:val="24"/>
                <w:highlight w:val="none"/>
                <w14:textFill>
                  <w14:solidFill>
                    <w14:schemeClr w14:val="tx1"/>
                  </w14:solidFill>
                </w14:textFill>
              </w:rPr>
              <w:t>A</w:t>
            </w:r>
          </w:p>
        </w:tc>
        <w:tc>
          <w:tcPr>
            <w:tcW w:w="2113" w:type="dxa"/>
            <w:shd w:val="clear" w:color="auto" w:fill="auto"/>
            <w:vAlign w:val="center"/>
          </w:tcPr>
          <w:p w14:paraId="38279AD1">
            <w:pPr>
              <w:jc w:val="center"/>
              <w:rPr>
                <w:rFonts w:ascii="仿宋_GB2312" w:hAnsi="宋体" w:eastAsia="仿宋_GB2312" w:cs="宋体"/>
                <w:color w:val="000000" w:themeColor="text1"/>
                <w:sz w:val="24"/>
                <w:highlight w:val="none"/>
                <w14:textFill>
                  <w14:solidFill>
                    <w14:schemeClr w14:val="tx1"/>
                  </w14:solidFill>
                </w14:textFill>
              </w:rPr>
            </w:pPr>
            <w:bookmarkStart w:id="2" w:name="OLE_LINK4"/>
            <w:r>
              <w:rPr>
                <w:rFonts w:hint="eastAsia" w:ascii="仿宋_GB2312" w:hAnsi="宋体" w:eastAsia="仿宋_GB2312" w:cs="宋体"/>
                <w:color w:val="000000" w:themeColor="text1"/>
                <w:sz w:val="24"/>
                <w:highlight w:val="none"/>
                <w14:textFill>
                  <w14:solidFill>
                    <w14:schemeClr w14:val="tx1"/>
                  </w14:solidFill>
                </w14:textFill>
              </w:rPr>
              <w:t>农药A</w:t>
            </w:r>
            <w:bookmarkEnd w:id="2"/>
          </w:p>
        </w:tc>
        <w:tc>
          <w:tcPr>
            <w:tcW w:w="851" w:type="dxa"/>
            <w:shd w:val="clear" w:color="auto" w:fill="auto"/>
            <w:vAlign w:val="center"/>
          </w:tcPr>
          <w:p w14:paraId="626B2568">
            <w:pPr>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1宗</w:t>
            </w:r>
          </w:p>
        </w:tc>
        <w:tc>
          <w:tcPr>
            <w:tcW w:w="1701" w:type="dxa"/>
            <w:shd w:val="clear" w:color="auto" w:fill="auto"/>
            <w:vAlign w:val="center"/>
          </w:tcPr>
          <w:p w14:paraId="4386ECAF">
            <w:pPr>
              <w:jc w:val="center"/>
              <w:rPr>
                <w:rFonts w:ascii="仿宋_GB2312" w:hAnsi="宋体" w:eastAsia="仿宋_GB2312" w:cs="宋体"/>
                <w:sz w:val="24"/>
                <w:highlight w:val="none"/>
              </w:rPr>
            </w:pPr>
            <w:r>
              <w:rPr>
                <w:rFonts w:hint="eastAsia" w:ascii="仿宋_GB2312" w:hAnsi="宋体" w:eastAsia="仿宋_GB2312" w:cs="宋体"/>
                <w:sz w:val="24"/>
                <w:highlight w:val="none"/>
              </w:rPr>
              <w:t>1328520.00</w:t>
            </w:r>
          </w:p>
        </w:tc>
        <w:tc>
          <w:tcPr>
            <w:tcW w:w="1701" w:type="dxa"/>
            <w:shd w:val="clear" w:color="auto" w:fill="auto"/>
            <w:vAlign w:val="center"/>
          </w:tcPr>
          <w:p w14:paraId="2A32D09D">
            <w:pPr>
              <w:jc w:val="center"/>
              <w:rPr>
                <w:rFonts w:ascii="仿宋_GB2312" w:hAnsi="宋体" w:eastAsia="仿宋_GB2312" w:cs="宋体"/>
                <w:sz w:val="24"/>
                <w:highlight w:val="none"/>
              </w:rPr>
            </w:pPr>
            <w:r>
              <w:rPr>
                <w:rFonts w:hint="eastAsia" w:ascii="仿宋_GB2312" w:hAnsi="宋体" w:eastAsia="仿宋_GB2312" w:cs="宋体"/>
                <w:sz w:val="24"/>
                <w:highlight w:val="none"/>
              </w:rPr>
              <w:t>1328520.00</w:t>
            </w:r>
          </w:p>
        </w:tc>
        <w:tc>
          <w:tcPr>
            <w:tcW w:w="1417" w:type="dxa"/>
            <w:shd w:val="clear" w:color="auto" w:fill="auto"/>
            <w:vAlign w:val="center"/>
          </w:tcPr>
          <w:p w14:paraId="7A79E51B">
            <w:pPr>
              <w:widowControl/>
              <w:adjustRightInd w:val="0"/>
              <w:spacing w:line="360" w:lineRule="auto"/>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详见</w:t>
            </w:r>
            <w:r>
              <w:rPr>
                <w:rFonts w:hint="eastAsia" w:ascii="仿宋_GB2312" w:hAnsi="宋体" w:eastAsia="仿宋_GB2312" w:cs="宋体"/>
                <w:color w:val="000000" w:themeColor="text1"/>
                <w:sz w:val="24"/>
                <w:highlight w:val="none"/>
                <w14:textFill>
                  <w14:solidFill>
                    <w14:schemeClr w14:val="tx1"/>
                  </w14:solidFill>
                </w14:textFill>
              </w:rPr>
              <w:br w:type="textWrapping"/>
            </w:r>
            <w:r>
              <w:rPr>
                <w:rFonts w:hint="eastAsia" w:ascii="仿宋_GB2312" w:hAnsi="宋体" w:eastAsia="仿宋_GB2312" w:cs="宋体"/>
                <w:color w:val="000000" w:themeColor="text1"/>
                <w:sz w:val="24"/>
                <w:highlight w:val="none"/>
                <w14:textFill>
                  <w14:solidFill>
                    <w14:schemeClr w14:val="tx1"/>
                  </w14:solidFill>
                </w14:textFill>
              </w:rPr>
              <w:t>招标文件</w:t>
            </w:r>
          </w:p>
        </w:tc>
        <w:tc>
          <w:tcPr>
            <w:tcW w:w="1349" w:type="dxa"/>
            <w:shd w:val="clear" w:color="auto" w:fill="auto"/>
            <w:vAlign w:val="center"/>
          </w:tcPr>
          <w:p w14:paraId="3157475A">
            <w:pPr>
              <w:widowControl/>
              <w:adjustRightInd w:val="0"/>
              <w:spacing w:line="360" w:lineRule="auto"/>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详见</w:t>
            </w:r>
            <w:r>
              <w:rPr>
                <w:rFonts w:hint="eastAsia" w:ascii="仿宋_GB2312" w:hAnsi="宋体" w:eastAsia="仿宋_GB2312" w:cs="宋体"/>
                <w:color w:val="000000" w:themeColor="text1"/>
                <w:sz w:val="24"/>
                <w:highlight w:val="none"/>
                <w14:textFill>
                  <w14:solidFill>
                    <w14:schemeClr w14:val="tx1"/>
                  </w14:solidFill>
                </w14:textFill>
              </w:rPr>
              <w:br w:type="textWrapping"/>
            </w:r>
            <w:r>
              <w:rPr>
                <w:rFonts w:hint="eastAsia" w:ascii="仿宋_GB2312" w:hAnsi="宋体" w:eastAsia="仿宋_GB2312" w:cs="宋体"/>
                <w:color w:val="000000" w:themeColor="text1"/>
                <w:sz w:val="24"/>
                <w:highlight w:val="none"/>
                <w14:textFill>
                  <w14:solidFill>
                    <w14:schemeClr w14:val="tx1"/>
                  </w14:solidFill>
                </w14:textFill>
              </w:rPr>
              <w:t>招标文件</w:t>
            </w:r>
          </w:p>
        </w:tc>
      </w:tr>
      <w:tr w14:paraId="4F128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830" w:type="dxa"/>
            <w:shd w:val="clear" w:color="auto" w:fill="auto"/>
            <w:vAlign w:val="center"/>
          </w:tcPr>
          <w:p w14:paraId="4C98CB10">
            <w:pPr>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B</w:t>
            </w:r>
          </w:p>
        </w:tc>
        <w:tc>
          <w:tcPr>
            <w:tcW w:w="2113" w:type="dxa"/>
            <w:shd w:val="clear" w:color="auto" w:fill="auto"/>
            <w:vAlign w:val="center"/>
          </w:tcPr>
          <w:p w14:paraId="1CB31402">
            <w:pPr>
              <w:jc w:val="center"/>
              <w:rPr>
                <w:rFonts w:ascii="仿宋_GB2312" w:hAnsi="宋体" w:eastAsia="仿宋_GB2312" w:cs="宋体"/>
                <w:color w:val="000000" w:themeColor="text1"/>
                <w:sz w:val="24"/>
                <w:highlight w:val="none"/>
                <w14:textFill>
                  <w14:solidFill>
                    <w14:schemeClr w14:val="tx1"/>
                  </w14:solidFill>
                </w14:textFill>
              </w:rPr>
            </w:pPr>
            <w:bookmarkStart w:id="3" w:name="OLE_LINK7"/>
            <w:bookmarkStart w:id="4" w:name="OLE_LINK6"/>
            <w:r>
              <w:rPr>
                <w:rFonts w:hint="eastAsia" w:ascii="仿宋_GB2312" w:hAnsi="宋体" w:eastAsia="仿宋_GB2312" w:cs="宋体"/>
                <w:color w:val="000000" w:themeColor="text1"/>
                <w:sz w:val="24"/>
                <w:highlight w:val="none"/>
                <w14:textFill>
                  <w14:solidFill>
                    <w14:schemeClr w14:val="tx1"/>
                  </w14:solidFill>
                </w14:textFill>
              </w:rPr>
              <w:t>农药B</w:t>
            </w:r>
            <w:bookmarkEnd w:id="3"/>
            <w:bookmarkEnd w:id="4"/>
          </w:p>
        </w:tc>
        <w:tc>
          <w:tcPr>
            <w:tcW w:w="851" w:type="dxa"/>
            <w:shd w:val="clear" w:color="auto" w:fill="auto"/>
            <w:vAlign w:val="center"/>
          </w:tcPr>
          <w:p w14:paraId="1D13597C">
            <w:pPr>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1宗</w:t>
            </w:r>
          </w:p>
        </w:tc>
        <w:tc>
          <w:tcPr>
            <w:tcW w:w="1701" w:type="dxa"/>
            <w:shd w:val="clear" w:color="auto" w:fill="auto"/>
            <w:vAlign w:val="center"/>
          </w:tcPr>
          <w:p w14:paraId="0A5CABD6">
            <w:pPr>
              <w:jc w:val="center"/>
              <w:rPr>
                <w:rFonts w:ascii="仿宋_GB2312" w:hAnsi="宋体" w:eastAsia="仿宋_GB2312" w:cs="宋体"/>
                <w:sz w:val="24"/>
                <w:highlight w:val="none"/>
              </w:rPr>
            </w:pPr>
            <w:r>
              <w:rPr>
                <w:rFonts w:ascii="仿宋_GB2312" w:hAnsi="宋体" w:eastAsia="仿宋_GB2312" w:cs="宋体"/>
                <w:sz w:val="24"/>
                <w:highlight w:val="none"/>
              </w:rPr>
              <w:t>286000.00</w:t>
            </w:r>
          </w:p>
        </w:tc>
        <w:tc>
          <w:tcPr>
            <w:tcW w:w="1701" w:type="dxa"/>
            <w:shd w:val="clear" w:color="auto" w:fill="auto"/>
            <w:vAlign w:val="center"/>
          </w:tcPr>
          <w:p w14:paraId="2038F6A7">
            <w:pPr>
              <w:jc w:val="center"/>
              <w:rPr>
                <w:rFonts w:ascii="仿宋_GB2312" w:hAnsi="宋体" w:eastAsia="仿宋_GB2312" w:cs="宋体"/>
                <w:sz w:val="24"/>
                <w:highlight w:val="none"/>
              </w:rPr>
            </w:pPr>
            <w:r>
              <w:rPr>
                <w:rFonts w:ascii="仿宋_GB2312" w:hAnsi="宋体" w:eastAsia="仿宋_GB2312" w:cs="宋体"/>
                <w:sz w:val="24"/>
                <w:highlight w:val="none"/>
              </w:rPr>
              <w:t>286000.00</w:t>
            </w:r>
          </w:p>
        </w:tc>
        <w:tc>
          <w:tcPr>
            <w:tcW w:w="1417" w:type="dxa"/>
            <w:shd w:val="clear" w:color="auto" w:fill="auto"/>
            <w:vAlign w:val="center"/>
          </w:tcPr>
          <w:p w14:paraId="445B2A34">
            <w:pPr>
              <w:widowControl/>
              <w:adjustRightInd w:val="0"/>
              <w:spacing w:line="360" w:lineRule="auto"/>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详见</w:t>
            </w:r>
            <w:r>
              <w:rPr>
                <w:rFonts w:hint="eastAsia" w:ascii="仿宋_GB2312" w:hAnsi="宋体" w:eastAsia="仿宋_GB2312" w:cs="宋体"/>
                <w:color w:val="000000" w:themeColor="text1"/>
                <w:sz w:val="24"/>
                <w:highlight w:val="none"/>
                <w14:textFill>
                  <w14:solidFill>
                    <w14:schemeClr w14:val="tx1"/>
                  </w14:solidFill>
                </w14:textFill>
              </w:rPr>
              <w:br w:type="textWrapping"/>
            </w:r>
            <w:r>
              <w:rPr>
                <w:rFonts w:hint="eastAsia" w:ascii="仿宋_GB2312" w:hAnsi="宋体" w:eastAsia="仿宋_GB2312" w:cs="宋体"/>
                <w:color w:val="000000" w:themeColor="text1"/>
                <w:sz w:val="24"/>
                <w:highlight w:val="none"/>
                <w14:textFill>
                  <w14:solidFill>
                    <w14:schemeClr w14:val="tx1"/>
                  </w14:solidFill>
                </w14:textFill>
              </w:rPr>
              <w:t>招标文件</w:t>
            </w:r>
          </w:p>
        </w:tc>
        <w:tc>
          <w:tcPr>
            <w:tcW w:w="1349" w:type="dxa"/>
            <w:shd w:val="clear" w:color="auto" w:fill="auto"/>
            <w:vAlign w:val="center"/>
          </w:tcPr>
          <w:p w14:paraId="786ED5F1">
            <w:pPr>
              <w:widowControl/>
              <w:adjustRightInd w:val="0"/>
              <w:spacing w:line="360" w:lineRule="auto"/>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详见</w:t>
            </w:r>
            <w:r>
              <w:rPr>
                <w:rFonts w:hint="eastAsia" w:ascii="仿宋_GB2312" w:hAnsi="宋体" w:eastAsia="仿宋_GB2312" w:cs="宋体"/>
                <w:color w:val="000000" w:themeColor="text1"/>
                <w:sz w:val="24"/>
                <w:highlight w:val="none"/>
                <w14:textFill>
                  <w14:solidFill>
                    <w14:schemeClr w14:val="tx1"/>
                  </w14:solidFill>
                </w14:textFill>
              </w:rPr>
              <w:br w:type="textWrapping"/>
            </w:r>
            <w:r>
              <w:rPr>
                <w:rFonts w:hint="eastAsia" w:ascii="仿宋_GB2312" w:hAnsi="宋体" w:eastAsia="仿宋_GB2312" w:cs="宋体"/>
                <w:color w:val="000000" w:themeColor="text1"/>
                <w:sz w:val="24"/>
                <w:highlight w:val="none"/>
                <w14:textFill>
                  <w14:solidFill>
                    <w14:schemeClr w14:val="tx1"/>
                  </w14:solidFill>
                </w14:textFill>
              </w:rPr>
              <w:t>招标文件</w:t>
            </w:r>
          </w:p>
        </w:tc>
      </w:tr>
      <w:tr w14:paraId="5F4B2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830" w:type="dxa"/>
            <w:shd w:val="clear" w:color="auto" w:fill="auto"/>
            <w:vAlign w:val="center"/>
          </w:tcPr>
          <w:p w14:paraId="721EE1A9">
            <w:pPr>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C</w:t>
            </w:r>
          </w:p>
        </w:tc>
        <w:tc>
          <w:tcPr>
            <w:tcW w:w="2113" w:type="dxa"/>
            <w:shd w:val="clear" w:color="auto" w:fill="auto"/>
            <w:vAlign w:val="center"/>
          </w:tcPr>
          <w:p w14:paraId="25C4074F">
            <w:pPr>
              <w:jc w:val="center"/>
              <w:rPr>
                <w:rFonts w:ascii="仿宋_GB2312" w:hAnsi="宋体" w:eastAsia="仿宋_GB2312" w:cs="宋体"/>
                <w:color w:val="000000" w:themeColor="text1"/>
                <w:sz w:val="24"/>
                <w:highlight w:val="none"/>
                <w14:textFill>
                  <w14:solidFill>
                    <w14:schemeClr w14:val="tx1"/>
                  </w14:solidFill>
                </w14:textFill>
              </w:rPr>
            </w:pPr>
            <w:bookmarkStart w:id="5" w:name="OLE_LINK8"/>
            <w:bookmarkStart w:id="6" w:name="OLE_LINK9"/>
            <w:r>
              <w:rPr>
                <w:rFonts w:hint="eastAsia" w:ascii="仿宋_GB2312" w:hAnsi="宋体" w:eastAsia="仿宋_GB2312" w:cs="宋体"/>
                <w:color w:val="000000" w:themeColor="text1"/>
                <w:sz w:val="24"/>
                <w:highlight w:val="none"/>
                <w14:textFill>
                  <w14:solidFill>
                    <w14:schemeClr w14:val="tx1"/>
                  </w14:solidFill>
                </w14:textFill>
              </w:rPr>
              <w:t>化肥</w:t>
            </w:r>
            <w:bookmarkEnd w:id="5"/>
            <w:bookmarkEnd w:id="6"/>
          </w:p>
        </w:tc>
        <w:tc>
          <w:tcPr>
            <w:tcW w:w="851" w:type="dxa"/>
            <w:shd w:val="clear" w:color="auto" w:fill="auto"/>
            <w:vAlign w:val="center"/>
          </w:tcPr>
          <w:p w14:paraId="6C591F5D">
            <w:pPr>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1宗</w:t>
            </w:r>
          </w:p>
        </w:tc>
        <w:tc>
          <w:tcPr>
            <w:tcW w:w="1701" w:type="dxa"/>
            <w:shd w:val="clear" w:color="auto" w:fill="auto"/>
            <w:vAlign w:val="center"/>
          </w:tcPr>
          <w:p w14:paraId="32151F6F">
            <w:pPr>
              <w:jc w:val="center"/>
              <w:rPr>
                <w:rFonts w:ascii="仿宋_GB2312" w:hAnsi="宋体" w:eastAsia="仿宋_GB2312" w:cs="宋体"/>
                <w:sz w:val="24"/>
                <w:highlight w:val="none"/>
              </w:rPr>
            </w:pPr>
            <w:r>
              <w:rPr>
                <w:rFonts w:hint="eastAsia" w:ascii="仿宋_GB2312" w:hAnsi="宋体" w:eastAsia="仿宋_GB2312" w:cs="宋体"/>
                <w:sz w:val="24"/>
                <w:highlight w:val="none"/>
              </w:rPr>
              <w:t>212000.00</w:t>
            </w:r>
          </w:p>
        </w:tc>
        <w:tc>
          <w:tcPr>
            <w:tcW w:w="1701" w:type="dxa"/>
            <w:shd w:val="clear" w:color="auto" w:fill="auto"/>
            <w:vAlign w:val="center"/>
          </w:tcPr>
          <w:p w14:paraId="6F63A755">
            <w:pPr>
              <w:jc w:val="center"/>
              <w:rPr>
                <w:rFonts w:ascii="仿宋_GB2312" w:hAnsi="宋体" w:eastAsia="仿宋_GB2312" w:cs="宋体"/>
                <w:sz w:val="24"/>
                <w:highlight w:val="none"/>
              </w:rPr>
            </w:pPr>
            <w:r>
              <w:rPr>
                <w:rFonts w:hint="eastAsia" w:ascii="仿宋_GB2312" w:hAnsi="宋体" w:eastAsia="仿宋_GB2312" w:cs="宋体"/>
                <w:sz w:val="24"/>
                <w:highlight w:val="none"/>
              </w:rPr>
              <w:t>212000.00</w:t>
            </w:r>
          </w:p>
        </w:tc>
        <w:tc>
          <w:tcPr>
            <w:tcW w:w="1417" w:type="dxa"/>
            <w:shd w:val="clear" w:color="auto" w:fill="auto"/>
            <w:vAlign w:val="center"/>
          </w:tcPr>
          <w:p w14:paraId="5D17690E">
            <w:pPr>
              <w:widowControl/>
              <w:adjustRightInd w:val="0"/>
              <w:spacing w:line="360" w:lineRule="auto"/>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详见</w:t>
            </w:r>
            <w:r>
              <w:rPr>
                <w:rFonts w:hint="eastAsia" w:ascii="仿宋_GB2312" w:hAnsi="宋体" w:eastAsia="仿宋_GB2312" w:cs="宋体"/>
                <w:color w:val="000000" w:themeColor="text1"/>
                <w:sz w:val="24"/>
                <w:highlight w:val="none"/>
                <w14:textFill>
                  <w14:solidFill>
                    <w14:schemeClr w14:val="tx1"/>
                  </w14:solidFill>
                </w14:textFill>
              </w:rPr>
              <w:br w:type="textWrapping"/>
            </w:r>
            <w:r>
              <w:rPr>
                <w:rFonts w:hint="eastAsia" w:ascii="仿宋_GB2312" w:hAnsi="宋体" w:eastAsia="仿宋_GB2312" w:cs="宋体"/>
                <w:color w:val="000000" w:themeColor="text1"/>
                <w:sz w:val="24"/>
                <w:highlight w:val="none"/>
                <w14:textFill>
                  <w14:solidFill>
                    <w14:schemeClr w14:val="tx1"/>
                  </w14:solidFill>
                </w14:textFill>
              </w:rPr>
              <w:t>招标文件</w:t>
            </w:r>
          </w:p>
        </w:tc>
        <w:tc>
          <w:tcPr>
            <w:tcW w:w="1349" w:type="dxa"/>
            <w:shd w:val="clear" w:color="auto" w:fill="auto"/>
            <w:vAlign w:val="center"/>
          </w:tcPr>
          <w:p w14:paraId="66261D9E">
            <w:pPr>
              <w:widowControl/>
              <w:adjustRightInd w:val="0"/>
              <w:spacing w:line="360" w:lineRule="auto"/>
              <w:jc w:val="center"/>
              <w:rPr>
                <w:rFonts w:ascii="仿宋_GB2312" w:hAnsi="宋体" w:eastAsia="仿宋_GB2312" w:cs="宋体"/>
                <w:color w:val="000000" w:themeColor="text1"/>
                <w:sz w:val="24"/>
                <w:highlight w:val="none"/>
                <w14:textFill>
                  <w14:solidFill>
                    <w14:schemeClr w14:val="tx1"/>
                  </w14:solidFill>
                </w14:textFill>
              </w:rPr>
            </w:pPr>
            <w:r>
              <w:rPr>
                <w:rFonts w:hint="eastAsia" w:ascii="仿宋_GB2312" w:hAnsi="宋体" w:eastAsia="仿宋_GB2312" w:cs="宋体"/>
                <w:color w:val="000000" w:themeColor="text1"/>
                <w:sz w:val="24"/>
                <w:highlight w:val="none"/>
                <w14:textFill>
                  <w14:solidFill>
                    <w14:schemeClr w14:val="tx1"/>
                  </w14:solidFill>
                </w14:textFill>
              </w:rPr>
              <w:t>详见</w:t>
            </w:r>
            <w:r>
              <w:rPr>
                <w:rFonts w:hint="eastAsia" w:ascii="仿宋_GB2312" w:hAnsi="宋体" w:eastAsia="仿宋_GB2312" w:cs="宋体"/>
                <w:color w:val="000000" w:themeColor="text1"/>
                <w:sz w:val="24"/>
                <w:highlight w:val="none"/>
                <w14:textFill>
                  <w14:solidFill>
                    <w14:schemeClr w14:val="tx1"/>
                  </w14:solidFill>
                </w14:textFill>
              </w:rPr>
              <w:br w:type="textWrapping"/>
            </w:r>
            <w:r>
              <w:rPr>
                <w:rFonts w:hint="eastAsia" w:ascii="仿宋_GB2312" w:hAnsi="宋体" w:eastAsia="仿宋_GB2312" w:cs="宋体"/>
                <w:color w:val="000000" w:themeColor="text1"/>
                <w:sz w:val="24"/>
                <w:highlight w:val="none"/>
                <w14:textFill>
                  <w14:solidFill>
                    <w14:schemeClr w14:val="tx1"/>
                  </w14:solidFill>
                </w14:textFill>
              </w:rPr>
              <w:t>招标文件</w:t>
            </w:r>
          </w:p>
        </w:tc>
      </w:tr>
    </w:tbl>
    <w:p w14:paraId="0193A004">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本项目不接受联合体投标</w:t>
      </w:r>
    </w:p>
    <w:p w14:paraId="176E6A89">
      <w:pPr>
        <w:spacing w:line="360" w:lineRule="auto"/>
        <w:ind w:firstLine="560" w:firstLineChars="20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二、申请人的资格要求：</w:t>
      </w:r>
    </w:p>
    <w:p w14:paraId="01F9BC47">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1.具有独立承担民事责任的能力；</w:t>
      </w:r>
    </w:p>
    <w:p w14:paraId="64B898BD">
      <w:pPr>
        <w:pStyle w:val="2"/>
        <w:ind w:firstLine="565" w:firstLineChars="191"/>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2.具有良好的商业信誉和健全的财务会计制度；</w:t>
      </w:r>
    </w:p>
    <w:p w14:paraId="18C881EA">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3.具有履行合同所必须设备和专业技术能力，并能提供优质的服务；</w:t>
      </w:r>
    </w:p>
    <w:p w14:paraId="5F2CA860">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4.具有依法缴纳税收和社会保障资金的良好记录；</w:t>
      </w:r>
    </w:p>
    <w:p w14:paraId="37FEC16F">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ascii="仿宋_GB2312" w:hAnsi="仿宋" w:eastAsia="仿宋_GB2312" w:cs="宋体"/>
          <w:color w:val="000000" w:themeColor="text1"/>
          <w:spacing w:val="8"/>
          <w:sz w:val="28"/>
          <w:szCs w:val="28"/>
          <w:highlight w:val="none"/>
          <w14:textFill>
            <w14:solidFill>
              <w14:schemeClr w14:val="tx1"/>
            </w14:solidFill>
          </w14:textFill>
        </w:rPr>
        <w:t>5</w:t>
      </w:r>
      <w:r>
        <w:rPr>
          <w:rFonts w:hint="eastAsia" w:ascii="仿宋_GB2312" w:hAnsi="仿宋" w:eastAsia="仿宋_GB2312" w:cs="宋体"/>
          <w:color w:val="000000" w:themeColor="text1"/>
          <w:spacing w:val="8"/>
          <w:sz w:val="28"/>
          <w:szCs w:val="28"/>
          <w:highlight w:val="none"/>
          <w14:textFill>
            <w14:solidFill>
              <w14:schemeClr w14:val="tx1"/>
            </w14:solidFill>
          </w14:textFill>
        </w:rPr>
        <w:t>.农药、化肥产品须具有农业部或省农业厅颁发的在有效期内的登记证；（政策规定肥料不需要登记证除外，如高浓度复合肥、磷酸二氢钾、尿素等,详见农业部“肥料管理条例”）</w:t>
      </w:r>
    </w:p>
    <w:p w14:paraId="434F842F">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ascii="仿宋_GB2312" w:hAnsi="仿宋" w:eastAsia="仿宋_GB2312" w:cs="宋体"/>
          <w:color w:val="000000" w:themeColor="text1"/>
          <w:spacing w:val="8"/>
          <w:sz w:val="28"/>
          <w:szCs w:val="28"/>
          <w:highlight w:val="none"/>
          <w14:textFill>
            <w14:solidFill>
              <w14:schemeClr w14:val="tx1"/>
            </w14:solidFill>
          </w14:textFill>
        </w:rPr>
        <w:t>6</w:t>
      </w:r>
      <w:r>
        <w:rPr>
          <w:rFonts w:hint="eastAsia" w:ascii="仿宋_GB2312" w:hAnsi="仿宋" w:eastAsia="仿宋_GB2312" w:cs="宋体"/>
          <w:color w:val="000000" w:themeColor="text1"/>
          <w:spacing w:val="8"/>
          <w:sz w:val="28"/>
          <w:szCs w:val="28"/>
          <w:highlight w:val="none"/>
          <w14:textFill>
            <w14:solidFill>
              <w14:schemeClr w14:val="tx1"/>
            </w14:solidFill>
          </w14:textFill>
        </w:rPr>
        <w:t>.农药、化肥产品须具有省级农业行政部门颁发的在有效期内的生产许可证；（微生物菌剂，枯草芽孢杆菌，复合微生物肥等含菌肥料,水溶性肥料等产品不需要颁发“生产许可证”)</w:t>
      </w:r>
    </w:p>
    <w:p w14:paraId="5C8ED624">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ascii="仿宋_GB2312" w:hAnsi="仿宋" w:eastAsia="仿宋_GB2312" w:cs="宋体"/>
          <w:color w:val="000000" w:themeColor="text1"/>
          <w:spacing w:val="8"/>
          <w:sz w:val="28"/>
          <w:szCs w:val="28"/>
          <w:highlight w:val="none"/>
          <w14:textFill>
            <w14:solidFill>
              <w14:schemeClr w14:val="tx1"/>
            </w14:solidFill>
          </w14:textFill>
        </w:rPr>
        <w:t>7</w:t>
      </w:r>
      <w:r>
        <w:rPr>
          <w:rFonts w:hint="eastAsia" w:ascii="仿宋_GB2312" w:hAnsi="仿宋" w:eastAsia="仿宋_GB2312" w:cs="宋体"/>
          <w:color w:val="000000" w:themeColor="text1"/>
          <w:spacing w:val="8"/>
          <w:sz w:val="28"/>
          <w:szCs w:val="28"/>
          <w:highlight w:val="none"/>
          <w14:textFill>
            <w14:solidFill>
              <w14:schemeClr w14:val="tx1"/>
            </w14:solidFill>
          </w14:textFill>
        </w:rPr>
        <w:t>.“执行质量标准备案证”农药、化肥产品须具有国家标准委员会或质量监督局颁发的在有效期内的执行质量标准备案证；</w:t>
      </w:r>
    </w:p>
    <w:p w14:paraId="6EB9FF76">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注：农药、化肥登记证和生产许可证必须是同一生产企业；</w:t>
      </w:r>
    </w:p>
    <w:p w14:paraId="27F25E40">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ascii="仿宋_GB2312" w:hAnsi="仿宋" w:eastAsia="仿宋_GB2312" w:cs="宋体"/>
          <w:color w:val="000000" w:themeColor="text1"/>
          <w:spacing w:val="8"/>
          <w:sz w:val="28"/>
          <w:szCs w:val="28"/>
          <w:highlight w:val="none"/>
          <w14:textFill>
            <w14:solidFill>
              <w14:schemeClr w14:val="tx1"/>
            </w14:solidFill>
          </w14:textFill>
        </w:rPr>
        <w:t>8</w:t>
      </w:r>
      <w:r>
        <w:rPr>
          <w:rFonts w:hint="eastAsia" w:ascii="仿宋_GB2312" w:hAnsi="仿宋" w:eastAsia="仿宋_GB2312" w:cs="宋体"/>
          <w:color w:val="000000" w:themeColor="text1"/>
          <w:spacing w:val="8"/>
          <w:sz w:val="28"/>
          <w:szCs w:val="28"/>
          <w:highlight w:val="none"/>
          <w14:textFill>
            <w14:solidFill>
              <w14:schemeClr w14:val="tx1"/>
            </w14:solidFill>
          </w14:textFill>
        </w:rPr>
        <w:t>.如投标人为产品经营单位还需提供“农药经营许可证”；</w:t>
      </w:r>
    </w:p>
    <w:p w14:paraId="4F4457D2">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ascii="仿宋_GB2312" w:hAnsi="仿宋" w:eastAsia="仿宋_GB2312" w:cs="宋体"/>
          <w:color w:val="000000" w:themeColor="text1"/>
          <w:spacing w:val="8"/>
          <w:sz w:val="28"/>
          <w:szCs w:val="28"/>
          <w:highlight w:val="none"/>
          <w14:textFill>
            <w14:solidFill>
              <w14:schemeClr w14:val="tx1"/>
            </w14:solidFill>
          </w14:textFill>
        </w:rPr>
        <w:t>9</w:t>
      </w:r>
      <w:r>
        <w:rPr>
          <w:rFonts w:hint="eastAsia" w:ascii="仿宋_GB2312" w:hAnsi="仿宋" w:eastAsia="仿宋_GB2312" w:cs="宋体"/>
          <w:color w:val="000000" w:themeColor="text1"/>
          <w:spacing w:val="8"/>
          <w:sz w:val="28"/>
          <w:szCs w:val="28"/>
          <w:highlight w:val="none"/>
          <w14:textFill>
            <w14:solidFill>
              <w14:schemeClr w14:val="tx1"/>
            </w14:solidFill>
          </w14:textFill>
        </w:rPr>
        <w:t>.参加本次采购活动前三年内，在经营活动中没有重大违法记录；</w:t>
      </w:r>
    </w:p>
    <w:p w14:paraId="0BE9F12D">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ascii="仿宋_GB2312" w:hAnsi="仿宋" w:eastAsia="仿宋_GB2312" w:cs="宋体"/>
          <w:color w:val="000000" w:themeColor="text1"/>
          <w:spacing w:val="8"/>
          <w:sz w:val="28"/>
          <w:szCs w:val="28"/>
          <w:highlight w:val="none"/>
          <w14:textFill>
            <w14:solidFill>
              <w14:schemeClr w14:val="tx1"/>
            </w14:solidFill>
          </w14:textFill>
        </w:rPr>
        <w:t>10</w:t>
      </w:r>
      <w:r>
        <w:rPr>
          <w:rFonts w:hint="eastAsia" w:ascii="仿宋_GB2312" w:hAnsi="仿宋" w:eastAsia="仿宋_GB2312" w:cs="宋体"/>
          <w:color w:val="000000" w:themeColor="text1"/>
          <w:spacing w:val="8"/>
          <w:sz w:val="28"/>
          <w:szCs w:val="28"/>
          <w:highlight w:val="none"/>
          <w14:textFill>
            <w14:solidFill>
              <w14:schemeClr w14:val="tx1"/>
            </w14:solidFill>
          </w14:textFill>
        </w:rPr>
        <w:t>.法律、行政法规及招标文件规定的其他要求；</w:t>
      </w:r>
    </w:p>
    <w:p w14:paraId="28D615AE">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ascii="仿宋_GB2312" w:hAnsi="仿宋" w:eastAsia="仿宋_GB2312" w:cs="宋体"/>
          <w:color w:val="000000" w:themeColor="text1"/>
          <w:spacing w:val="8"/>
          <w:sz w:val="28"/>
          <w:szCs w:val="28"/>
          <w:highlight w:val="none"/>
          <w14:textFill>
            <w14:solidFill>
              <w14:schemeClr w14:val="tx1"/>
            </w14:solidFill>
          </w14:textFill>
        </w:rPr>
        <w:t>11.</w:t>
      </w:r>
      <w:r>
        <w:rPr>
          <w:rFonts w:hint="eastAsia" w:ascii="仿宋_GB2312" w:hAnsi="仿宋" w:eastAsia="仿宋_GB2312" w:cs="宋体"/>
          <w:color w:val="000000" w:themeColor="text1"/>
          <w:spacing w:val="8"/>
          <w:sz w:val="28"/>
          <w:szCs w:val="28"/>
          <w:highlight w:val="none"/>
          <w14:textFill>
            <w14:solidFill>
              <w14:schemeClr w14:val="tx1"/>
            </w14:solidFill>
          </w14:textFill>
        </w:rPr>
        <w:t>本项目不接受联合体投标。</w:t>
      </w:r>
    </w:p>
    <w:p w14:paraId="380A6EE1">
      <w:pPr>
        <w:spacing w:line="360" w:lineRule="auto"/>
        <w:ind w:firstLine="560" w:firstLineChars="20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三、获取招标文件</w:t>
      </w:r>
    </w:p>
    <w:p w14:paraId="034C9033">
      <w:pPr>
        <w:widowControl/>
        <w:shd w:val="clear" w:color="auto" w:fill="FFFFFF"/>
        <w:spacing w:line="360" w:lineRule="auto"/>
        <w:ind w:firstLine="539"/>
        <w:rPr>
          <w:rFonts w:ascii="仿宋_GB2312" w:hAnsi="黑体" w:eastAsia="仿宋_GB2312" w:cs="宋体"/>
          <w:color w:val="000000" w:themeColor="text1"/>
          <w:spacing w:val="8"/>
          <w:sz w:val="28"/>
          <w:szCs w:val="28"/>
          <w:highlight w:val="none"/>
          <w14:textFill>
            <w14:solidFill>
              <w14:schemeClr w14:val="tx1"/>
            </w14:solidFill>
          </w14:textFill>
        </w:rPr>
      </w:pPr>
      <w:r>
        <w:rPr>
          <w:rFonts w:hint="eastAsia" w:ascii="仿宋_GB2312" w:hAnsi="黑体" w:eastAsia="仿宋_GB2312" w:cs="宋体"/>
          <w:color w:val="000000" w:themeColor="text1"/>
          <w:spacing w:val="8"/>
          <w:sz w:val="28"/>
          <w:szCs w:val="28"/>
          <w:highlight w:val="none"/>
          <w14:textFill>
            <w14:solidFill>
              <w14:schemeClr w14:val="tx1"/>
            </w14:solidFill>
          </w14:textFill>
        </w:rPr>
        <w:t>1.时间：2026年03月16日17时00分至2026年03月21日17时00分（北京时间）</w:t>
      </w:r>
    </w:p>
    <w:p w14:paraId="3C5A4A65">
      <w:pPr>
        <w:widowControl/>
        <w:shd w:val="clear" w:color="auto" w:fill="FFFFFF"/>
        <w:spacing w:line="360" w:lineRule="auto"/>
        <w:ind w:firstLine="539"/>
        <w:rPr>
          <w:rFonts w:ascii="仿宋_GB2312" w:hAnsi="黑体" w:eastAsia="仿宋_GB2312" w:cs="宋体"/>
          <w:color w:val="000000" w:themeColor="text1"/>
          <w:spacing w:val="8"/>
          <w:sz w:val="28"/>
          <w:szCs w:val="28"/>
          <w:highlight w:val="none"/>
          <w14:textFill>
            <w14:solidFill>
              <w14:schemeClr w14:val="tx1"/>
            </w14:solidFill>
          </w14:textFill>
        </w:rPr>
      </w:pPr>
      <w:r>
        <w:rPr>
          <w:rFonts w:hint="eastAsia" w:ascii="仿宋_GB2312" w:hAnsi="黑体" w:eastAsia="仿宋_GB2312" w:cs="宋体"/>
          <w:color w:val="000000" w:themeColor="text1"/>
          <w:spacing w:val="8"/>
          <w:sz w:val="28"/>
          <w:szCs w:val="28"/>
          <w:highlight w:val="none"/>
          <w14:textFill>
            <w14:solidFill>
              <w14:schemeClr w14:val="tx1"/>
            </w14:solidFill>
          </w14:textFill>
        </w:rPr>
        <w:t>2.地点登录“威海市公共资源交易网”首页右侧“交易服务一网通办系统-（新版）一网通办系统”进行“平台切换”，点击“国企采购”进入国企阳光采购平台获取文件(网址：http://ggzyjy.weihai.cn/)。逾期无法从威海市国有企业阳光采购电子化服务平台中获取文件，未在规定时间内从系统中获取招标文件的投标人将无法递交电子投标文件。交易服务一网通办系统-（新版）技术支持电话：0631-5311569（受理问题：系统登录、CA锁绑定、平台切换），一网通办技术支持QQ群：1143439694；CA锁办理咨询电话：0631-5307028；国企采购技术支持电话：17863029936，国企采购技术支持QQ群（报价单位）：1046971257。</w:t>
      </w:r>
    </w:p>
    <w:p w14:paraId="0210D582">
      <w:pPr>
        <w:widowControl/>
        <w:shd w:val="clear" w:color="auto" w:fill="FFFFFF"/>
        <w:spacing w:line="360" w:lineRule="auto"/>
        <w:ind w:firstLine="539"/>
        <w:rPr>
          <w:rFonts w:ascii="仿宋_GB2312" w:hAnsi="黑体" w:eastAsia="仿宋_GB2312" w:cs="宋体"/>
          <w:color w:val="000000" w:themeColor="text1"/>
          <w:spacing w:val="8"/>
          <w:sz w:val="28"/>
          <w:szCs w:val="28"/>
          <w:highlight w:val="none"/>
          <w14:textFill>
            <w14:solidFill>
              <w14:schemeClr w14:val="tx1"/>
            </w14:solidFill>
          </w14:textFill>
        </w:rPr>
      </w:pPr>
      <w:r>
        <w:rPr>
          <w:rFonts w:hint="eastAsia" w:ascii="仿宋_GB2312" w:hAnsi="黑体" w:eastAsia="仿宋_GB2312" w:cs="宋体"/>
          <w:color w:val="000000" w:themeColor="text1"/>
          <w:spacing w:val="8"/>
          <w:sz w:val="28"/>
          <w:szCs w:val="28"/>
          <w:highlight w:val="none"/>
          <w14:textFill>
            <w14:solidFill>
              <w14:schemeClr w14:val="tx1"/>
            </w14:solidFill>
          </w14:textFill>
        </w:rPr>
        <w:t>注：未注册用户请先免费注册。在“威海市国有企业阳光采购电子化服务平台”（威海市公共资源交易网（荣成市）首页右侧“交易服务一网通办系统-（新版）一网通办系统”进行平台切换点击“国企采购”进入国有企业阳光采购电子化服务平台）登录端口注册登记，并办理“安全证书（CA）”和“电子签章”进行获取文件。“安全证书（CA）”和“电子签章”办理请按照“威海市公共资源交易网（荣成市）”右侧“CA办理”中“CA证书办理介绍”进行办理。</w:t>
      </w:r>
    </w:p>
    <w:p w14:paraId="5ADB9FD0">
      <w:pPr>
        <w:spacing w:line="360" w:lineRule="auto"/>
        <w:ind w:firstLine="560" w:firstLineChars="20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四、提交投标文件截止时间、开标时间和地点</w:t>
      </w:r>
    </w:p>
    <w:p w14:paraId="368EC243">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1.提交投标文件时间：2026年03月16日18时00分 至2026年03月26日09时00分</w:t>
      </w:r>
    </w:p>
    <w:p w14:paraId="1DBF4AB3">
      <w:pPr>
        <w:widowControl/>
        <w:adjustRightInd w:val="0"/>
        <w:spacing w:line="360" w:lineRule="auto"/>
        <w:ind w:firstLine="592" w:firstLineChars="200"/>
        <w:jc w:val="left"/>
        <w:rPr>
          <w:rFonts w:ascii="仿宋_GB2312" w:hAnsi="仿宋" w:eastAsia="仿宋_GB2312" w:cs="宋体"/>
          <w:color w:val="000000" w:themeColor="text1"/>
          <w:spacing w:val="8"/>
          <w:kern w:val="0"/>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2.地点：</w:t>
      </w:r>
      <w:r>
        <w:rPr>
          <w:rFonts w:hint="eastAsia" w:ascii="仿宋_GB2312" w:hAnsi="仿宋" w:eastAsia="仿宋_GB2312" w:cs="宋体"/>
          <w:color w:val="000000" w:themeColor="text1"/>
          <w:spacing w:val="8"/>
          <w:kern w:val="0"/>
          <w:sz w:val="28"/>
          <w:szCs w:val="28"/>
          <w:highlight w:val="none"/>
          <w14:textFill>
            <w14:solidFill>
              <w14:schemeClr w14:val="tx1"/>
            </w14:solidFill>
          </w14:textFill>
        </w:rPr>
        <w:t>通过“威海市公共资源交易网（荣成市）”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14:paraId="4EA17E02">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3.开标时间：2026年03月26日9:00（北京时间）</w:t>
      </w:r>
    </w:p>
    <w:p w14:paraId="246BE96C">
      <w:pPr>
        <w:widowControl/>
        <w:adjustRightInd w:val="0"/>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4.开标地点：威海市公共资源交易中心荣成分中心（荣成市河阳东路81号荣成市经济开发区热电厂东200米路南）三楼第</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三</w:t>
      </w:r>
      <w:r>
        <w:rPr>
          <w:rFonts w:hint="eastAsia" w:ascii="仿宋_GB2312" w:hAnsi="仿宋" w:eastAsia="仿宋_GB2312" w:cs="宋体"/>
          <w:color w:val="000000" w:themeColor="text1"/>
          <w:spacing w:val="8"/>
          <w:sz w:val="28"/>
          <w:szCs w:val="28"/>
          <w:highlight w:val="none"/>
          <w14:textFill>
            <w14:solidFill>
              <w14:schemeClr w14:val="tx1"/>
            </w14:solidFill>
          </w14:textFill>
        </w:rPr>
        <w:t>开标室。</w:t>
      </w:r>
    </w:p>
    <w:p w14:paraId="5AE68DC7">
      <w:pPr>
        <w:spacing w:line="360" w:lineRule="auto"/>
        <w:ind w:firstLine="560" w:firstLineChars="20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五、开启</w:t>
      </w:r>
    </w:p>
    <w:p w14:paraId="59D9F850">
      <w:pPr>
        <w:pStyle w:val="2"/>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时间：2026年03月26日9:00（北京时间）</w:t>
      </w:r>
    </w:p>
    <w:p w14:paraId="1A17F9EB">
      <w:pPr>
        <w:pStyle w:val="2"/>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地点：威海市公共资源交易中心荣成分中心（荣成市河阳东路81号荣成市经济开发区热电厂东200米路南）三楼第</w:t>
      </w:r>
      <w:r>
        <w:rPr>
          <w:rFonts w:hint="eastAsia" w:ascii="仿宋_GB2312" w:hAnsi="仿宋" w:eastAsia="仿宋_GB2312" w:cs="宋体"/>
          <w:color w:val="000000" w:themeColor="text1"/>
          <w:spacing w:val="8"/>
          <w:sz w:val="28"/>
          <w:szCs w:val="28"/>
          <w:highlight w:val="none"/>
          <w:lang w:val="en-US" w:eastAsia="zh-CN"/>
          <w14:textFill>
            <w14:solidFill>
              <w14:schemeClr w14:val="tx1"/>
            </w14:solidFill>
          </w14:textFill>
        </w:rPr>
        <w:t>三</w:t>
      </w:r>
      <w:r>
        <w:rPr>
          <w:rFonts w:hint="eastAsia" w:ascii="仿宋_GB2312" w:hAnsi="仿宋" w:eastAsia="仿宋_GB2312" w:cs="宋体"/>
          <w:color w:val="000000" w:themeColor="text1"/>
          <w:spacing w:val="8"/>
          <w:sz w:val="28"/>
          <w:szCs w:val="28"/>
          <w:highlight w:val="none"/>
          <w14:textFill>
            <w14:solidFill>
              <w14:schemeClr w14:val="tx1"/>
            </w14:solidFill>
          </w14:textFill>
        </w:rPr>
        <w:t>开标室。</w:t>
      </w:r>
    </w:p>
    <w:p w14:paraId="24DB7295">
      <w:pPr>
        <w:spacing w:line="360" w:lineRule="auto"/>
        <w:ind w:firstLine="560" w:firstLineChars="200"/>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六、其他补充事宜</w:t>
      </w:r>
    </w:p>
    <w:p w14:paraId="11C7792D">
      <w:pPr>
        <w:widowControl/>
        <w:shd w:val="clear" w:color="auto" w:fill="FFFFFF"/>
        <w:spacing w:line="360" w:lineRule="auto"/>
        <w:ind w:firstLine="556"/>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本项目实行全流程电子化，实行远程解密，投标人无需到现场，并保持通讯畅通，提前在个人电脑上进行测试确保音频、视频功能可正常使用。因通讯不畅造成的一切后果由供应商自行承担。</w:t>
      </w:r>
    </w:p>
    <w:p w14:paraId="2C806BEC">
      <w:pPr>
        <w:spacing w:line="360" w:lineRule="auto"/>
        <w:ind w:firstLine="560" w:firstLineChars="200"/>
        <w:rPr>
          <w:rFonts w:ascii="黑体" w:hAnsi="黑体" w:eastAsia="黑体" w:cs="宋体"/>
          <w:color w:val="000000" w:themeColor="text1"/>
          <w:sz w:val="28"/>
          <w:szCs w:val="28"/>
          <w:highlight w:val="none"/>
          <w14:textFill>
            <w14:solidFill>
              <w14:schemeClr w14:val="tx1"/>
            </w14:solidFill>
          </w14:textFill>
        </w:rPr>
      </w:pPr>
      <w:r>
        <w:rPr>
          <w:rFonts w:hint="eastAsia" w:ascii="黑体" w:hAnsi="黑体" w:eastAsia="黑体" w:cs="宋体"/>
          <w:color w:val="000000" w:themeColor="text1"/>
          <w:sz w:val="28"/>
          <w:szCs w:val="28"/>
          <w:highlight w:val="none"/>
          <w14:textFill>
            <w14:solidFill>
              <w14:schemeClr w14:val="tx1"/>
            </w14:solidFill>
          </w14:textFill>
        </w:rPr>
        <w:t>七、对本次招标提出询问，请按以下方式联系。</w:t>
      </w:r>
    </w:p>
    <w:p w14:paraId="55B8F587">
      <w:pPr>
        <w:widowControl/>
        <w:shd w:val="clear" w:color="auto" w:fill="FFFFFF"/>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1.采购人信息</w:t>
      </w:r>
    </w:p>
    <w:p w14:paraId="33B0301C">
      <w:pPr>
        <w:widowControl/>
        <w:shd w:val="clear" w:color="auto" w:fill="FFFFFF"/>
        <w:spacing w:line="360" w:lineRule="auto"/>
        <w:ind w:firstLine="592" w:firstLineChars="200"/>
        <w:jc w:val="left"/>
        <w:rPr>
          <w:rFonts w:ascii="仿宋_GB2312" w:hAnsi="仿宋" w:eastAsia="仿宋_GB2312" w:cs="宋体"/>
          <w:color w:val="000000" w:themeColor="text1"/>
          <w:spacing w:val="8"/>
          <w:sz w:val="28"/>
          <w:szCs w:val="28"/>
          <w:highlight w:val="none"/>
          <w14:textFill>
            <w14:solidFill>
              <w14:schemeClr w14:val="tx1"/>
            </w14:solidFill>
          </w14:textFill>
        </w:rPr>
      </w:pPr>
      <w:r>
        <w:rPr>
          <w:rFonts w:hint="eastAsia" w:ascii="仿宋_GB2312" w:hAnsi="仿宋" w:eastAsia="仿宋_GB2312" w:cs="宋体"/>
          <w:color w:val="000000" w:themeColor="text1"/>
          <w:spacing w:val="8"/>
          <w:sz w:val="28"/>
          <w:szCs w:val="28"/>
          <w:highlight w:val="none"/>
          <w14:textFill>
            <w14:solidFill>
              <w14:schemeClr w14:val="tx1"/>
            </w14:solidFill>
          </w14:textFill>
        </w:rPr>
        <w:t>名  称：威海海高园园林建设有限公司</w:t>
      </w:r>
    </w:p>
    <w:p w14:paraId="09326383">
      <w:pPr>
        <w:widowControl/>
        <w:shd w:val="clear" w:color="auto" w:fill="FFFFFF"/>
        <w:spacing w:line="360" w:lineRule="auto"/>
        <w:ind w:firstLine="592" w:firstLineChars="200"/>
        <w:jc w:val="left"/>
        <w:rPr>
          <w:rFonts w:ascii="仿宋_GB2312" w:hAnsi="仿宋" w:eastAsia="仿宋_GB2312" w:cs="宋体"/>
          <w:spacing w:val="8"/>
          <w:sz w:val="28"/>
          <w:szCs w:val="28"/>
          <w:highlight w:val="none"/>
        </w:rPr>
      </w:pPr>
      <w:r>
        <w:rPr>
          <w:rFonts w:hint="eastAsia" w:ascii="仿宋_GB2312" w:hAnsi="仿宋" w:eastAsia="仿宋_GB2312" w:cs="宋体"/>
          <w:spacing w:val="8"/>
          <w:sz w:val="28"/>
          <w:szCs w:val="28"/>
          <w:highlight w:val="none"/>
        </w:rPr>
        <w:t>地  址：山东威海荣成东山街道龙雨路40号</w:t>
      </w:r>
    </w:p>
    <w:p w14:paraId="6D205B0C">
      <w:pPr>
        <w:widowControl/>
        <w:shd w:val="clear" w:color="auto" w:fill="FFFFFF"/>
        <w:spacing w:line="360" w:lineRule="auto"/>
        <w:ind w:firstLine="592" w:firstLineChars="200"/>
        <w:jc w:val="left"/>
        <w:rPr>
          <w:rFonts w:ascii="仿宋_GB2312" w:hAnsi="仿宋" w:eastAsia="仿宋_GB2312" w:cs="宋体"/>
          <w:spacing w:val="8"/>
          <w:sz w:val="28"/>
          <w:szCs w:val="28"/>
        </w:rPr>
      </w:pPr>
      <w:r>
        <w:rPr>
          <w:rFonts w:hint="eastAsia" w:ascii="仿宋_GB2312" w:hAnsi="仿宋" w:eastAsia="仿宋_GB2312" w:cs="宋体"/>
          <w:spacing w:val="8"/>
          <w:sz w:val="28"/>
          <w:szCs w:val="28"/>
        </w:rPr>
        <w:t>联系方式：0</w:t>
      </w:r>
      <w:r>
        <w:rPr>
          <w:rFonts w:ascii="仿宋_GB2312" w:hAnsi="仿宋" w:eastAsia="仿宋_GB2312" w:cs="宋体"/>
          <w:spacing w:val="8"/>
          <w:sz w:val="28"/>
          <w:szCs w:val="28"/>
        </w:rPr>
        <w:t>631-7382366</w:t>
      </w:r>
    </w:p>
    <w:p w14:paraId="0D51DFFC">
      <w:pPr>
        <w:widowControl/>
        <w:shd w:val="clear" w:color="auto" w:fill="FFFFFF"/>
        <w:spacing w:line="360" w:lineRule="auto"/>
        <w:ind w:firstLine="592" w:firstLineChars="200"/>
        <w:jc w:val="left"/>
        <w:rPr>
          <w:rFonts w:ascii="仿宋_GB2312" w:hAnsi="仿宋" w:eastAsia="仿宋_GB2312" w:cs="宋体"/>
          <w:color w:val="000000" w:themeColor="text1"/>
          <w:spacing w:val="8"/>
          <w:sz w:val="28"/>
          <w:szCs w:val="28"/>
          <w14:textFill>
            <w14:solidFill>
              <w14:schemeClr w14:val="tx1"/>
            </w14:solidFill>
          </w14:textFill>
        </w:rPr>
      </w:pPr>
      <w:r>
        <w:rPr>
          <w:rFonts w:hint="eastAsia" w:ascii="仿宋_GB2312" w:hAnsi="仿宋" w:eastAsia="仿宋_GB2312" w:cs="宋体"/>
          <w:color w:val="000000" w:themeColor="text1"/>
          <w:spacing w:val="8"/>
          <w:sz w:val="28"/>
          <w:szCs w:val="28"/>
          <w14:textFill>
            <w14:solidFill>
              <w14:schemeClr w14:val="tx1"/>
            </w14:solidFill>
          </w14:textFill>
        </w:rPr>
        <w:t>2.采购代理机构信息</w:t>
      </w:r>
    </w:p>
    <w:p w14:paraId="190A8D82">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14:textFill>
            <w14:solidFill>
              <w14:schemeClr w14:val="tx1"/>
            </w14:solidFill>
          </w14:textFill>
        </w:rPr>
      </w:pPr>
      <w:r>
        <w:rPr>
          <w:rFonts w:hint="eastAsia" w:ascii="仿宋_GB2312" w:hAnsi="仿宋" w:eastAsia="仿宋_GB2312" w:cs="宋体"/>
          <w:color w:val="000000" w:themeColor="text1"/>
          <w:spacing w:val="8"/>
          <w:sz w:val="28"/>
          <w:szCs w:val="28"/>
          <w14:textFill>
            <w14:solidFill>
              <w14:schemeClr w14:val="tx1"/>
            </w14:solidFill>
          </w14:textFill>
        </w:rPr>
        <w:t>名  称：山东志诚工程咨询管理有限公司</w:t>
      </w:r>
    </w:p>
    <w:p w14:paraId="44E3683A">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14:textFill>
            <w14:solidFill>
              <w14:schemeClr w14:val="tx1"/>
            </w14:solidFill>
          </w14:textFill>
        </w:rPr>
      </w:pPr>
      <w:r>
        <w:rPr>
          <w:rFonts w:hint="eastAsia" w:ascii="仿宋_GB2312" w:hAnsi="仿宋" w:eastAsia="仿宋_GB2312" w:cs="宋体"/>
          <w:color w:val="000000" w:themeColor="text1"/>
          <w:spacing w:val="8"/>
          <w:sz w:val="28"/>
          <w:szCs w:val="28"/>
          <w14:textFill>
            <w14:solidFill>
              <w14:schemeClr w14:val="tx1"/>
            </w14:solidFill>
          </w14:textFill>
        </w:rPr>
        <w:t>地  址：荣成市观海中路16号</w:t>
      </w:r>
    </w:p>
    <w:p w14:paraId="63225528">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14:textFill>
            <w14:solidFill>
              <w14:schemeClr w14:val="tx1"/>
            </w14:solidFill>
          </w14:textFill>
        </w:rPr>
      </w:pPr>
      <w:r>
        <w:rPr>
          <w:rFonts w:hint="eastAsia" w:ascii="仿宋_GB2312" w:hAnsi="仿宋" w:eastAsia="仿宋_GB2312" w:cs="宋体"/>
          <w:color w:val="000000" w:themeColor="text1"/>
          <w:spacing w:val="8"/>
          <w:sz w:val="28"/>
          <w:szCs w:val="28"/>
          <w14:textFill>
            <w14:solidFill>
              <w14:schemeClr w14:val="tx1"/>
            </w14:solidFill>
          </w14:textFill>
        </w:rPr>
        <w:t>联系方式：</w:t>
      </w:r>
      <w:r>
        <w:rPr>
          <w:rFonts w:ascii="仿宋_GB2312" w:hAnsi="仿宋" w:eastAsia="仿宋_GB2312" w:cs="宋体"/>
          <w:color w:val="000000" w:themeColor="text1"/>
          <w:spacing w:val="8"/>
          <w:sz w:val="28"/>
          <w:szCs w:val="28"/>
          <w14:textFill>
            <w14:solidFill>
              <w14:schemeClr w14:val="tx1"/>
            </w14:solidFill>
          </w14:textFill>
        </w:rPr>
        <w:t>18963185161</w:t>
      </w:r>
    </w:p>
    <w:p w14:paraId="3729C270">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14:textFill>
            <w14:solidFill>
              <w14:schemeClr w14:val="tx1"/>
            </w14:solidFill>
          </w14:textFill>
        </w:rPr>
      </w:pPr>
      <w:r>
        <w:rPr>
          <w:rFonts w:hint="eastAsia" w:ascii="仿宋_GB2312" w:hAnsi="仿宋" w:eastAsia="仿宋_GB2312" w:cs="宋体"/>
          <w:color w:val="000000" w:themeColor="text1"/>
          <w:spacing w:val="8"/>
          <w:sz w:val="28"/>
          <w:szCs w:val="28"/>
          <w14:textFill>
            <w14:solidFill>
              <w14:schemeClr w14:val="tx1"/>
            </w14:solidFill>
          </w14:textFill>
        </w:rPr>
        <w:t>3.项目联系方式</w:t>
      </w:r>
    </w:p>
    <w:p w14:paraId="58151389">
      <w:pPr>
        <w:widowControl/>
        <w:shd w:val="clear" w:color="auto" w:fill="FFFFFF"/>
        <w:spacing w:line="360" w:lineRule="auto"/>
        <w:ind w:firstLine="592" w:firstLineChars="200"/>
        <w:rPr>
          <w:rFonts w:ascii="仿宋_GB2312" w:hAnsi="仿宋" w:eastAsia="仿宋_GB2312" w:cs="宋体"/>
          <w:color w:val="000000" w:themeColor="text1"/>
          <w:spacing w:val="8"/>
          <w:sz w:val="28"/>
          <w:szCs w:val="28"/>
          <w14:textFill>
            <w14:solidFill>
              <w14:schemeClr w14:val="tx1"/>
            </w14:solidFill>
          </w14:textFill>
        </w:rPr>
      </w:pPr>
      <w:r>
        <w:rPr>
          <w:rFonts w:hint="eastAsia" w:ascii="仿宋_GB2312" w:hAnsi="仿宋" w:eastAsia="仿宋_GB2312" w:cs="宋体"/>
          <w:color w:val="000000" w:themeColor="text1"/>
          <w:spacing w:val="8"/>
          <w:sz w:val="28"/>
          <w:szCs w:val="28"/>
          <w14:textFill>
            <w14:solidFill>
              <w14:schemeClr w14:val="tx1"/>
            </w14:solidFill>
          </w14:textFill>
        </w:rPr>
        <w:t>项目联系人：曲凌枫</w:t>
      </w:r>
    </w:p>
    <w:p w14:paraId="3B9B483C">
      <w:pPr>
        <w:widowControl/>
        <w:adjustRightInd w:val="0"/>
        <w:spacing w:line="360" w:lineRule="auto"/>
        <w:ind w:firstLine="592" w:firstLineChars="200"/>
        <w:jc w:val="left"/>
        <w:rPr>
          <w:rFonts w:ascii="仿宋_GB2312" w:hAnsi="仿宋" w:eastAsia="仿宋_GB2312" w:cs="宋体"/>
          <w:color w:val="000000" w:themeColor="text1"/>
          <w:spacing w:val="8"/>
          <w:sz w:val="28"/>
          <w:szCs w:val="28"/>
          <w14:textFill>
            <w14:solidFill>
              <w14:schemeClr w14:val="tx1"/>
            </w14:solidFill>
          </w14:textFill>
        </w:rPr>
      </w:pPr>
      <w:r>
        <w:rPr>
          <w:rFonts w:hint="eastAsia" w:ascii="仿宋_GB2312" w:hAnsi="仿宋" w:eastAsia="仿宋_GB2312" w:cs="宋体"/>
          <w:color w:val="000000" w:themeColor="text1"/>
          <w:spacing w:val="8"/>
          <w:sz w:val="28"/>
          <w:szCs w:val="28"/>
          <w14:textFill>
            <w14:solidFill>
              <w14:schemeClr w14:val="tx1"/>
            </w14:solidFill>
          </w14:textFill>
        </w:rPr>
        <w:t>电  话：</w:t>
      </w:r>
      <w:r>
        <w:rPr>
          <w:rFonts w:ascii="仿宋_GB2312" w:hAnsi="仿宋" w:eastAsia="仿宋_GB2312" w:cs="宋体"/>
          <w:color w:val="000000" w:themeColor="text1"/>
          <w:spacing w:val="8"/>
          <w:sz w:val="28"/>
          <w:szCs w:val="28"/>
          <w14:textFill>
            <w14:solidFill>
              <w14:schemeClr w14:val="tx1"/>
            </w14:solidFill>
          </w14:textFill>
        </w:rPr>
        <w:t>18963185161</w:t>
      </w:r>
    </w:p>
    <w:p w14:paraId="4F2EFAFD">
      <w:pPr>
        <w:pStyle w:val="2"/>
        <w:rPr>
          <w:rFonts w:ascii="黑体" w:hAnsi="黑体" w:eastAsia="黑体" w:cs="宋体"/>
          <w:color w:val="000000" w:themeColor="text1"/>
          <w:sz w:val="28"/>
          <w:szCs w:val="28"/>
          <w14:textFill>
            <w14:solidFill>
              <w14:schemeClr w14:val="tx1"/>
            </w14:solidFill>
          </w14:textFill>
        </w:rPr>
      </w:pPr>
      <w:r>
        <w:rPr>
          <w:rFonts w:hint="eastAsia" w:ascii="黑体" w:hAnsi="黑体" w:eastAsia="黑体" w:cs="宋体"/>
          <w:color w:val="000000" w:themeColor="text1"/>
          <w:sz w:val="28"/>
          <w:szCs w:val="28"/>
          <w14:textFill>
            <w14:solidFill>
              <w14:schemeClr w14:val="tx1"/>
            </w14:solidFill>
          </w14:textFill>
        </w:rPr>
        <w:t>八、发布公告的媒介</w:t>
      </w:r>
    </w:p>
    <w:p w14:paraId="585FA9E7">
      <w:pPr>
        <w:pStyle w:val="2"/>
        <w:rPr>
          <w:rFonts w:ascii="仿宋_GB2312" w:hAnsi="仿宋" w:eastAsia="仿宋_GB2312" w:cs="宋体"/>
          <w:color w:val="000000" w:themeColor="text1"/>
          <w:spacing w:val="8"/>
          <w:sz w:val="28"/>
          <w:szCs w:val="28"/>
          <w14:textFill>
            <w14:solidFill>
              <w14:schemeClr w14:val="tx1"/>
            </w14:solidFill>
          </w14:textFill>
        </w:rPr>
      </w:pPr>
      <w:r>
        <w:rPr>
          <w:rFonts w:hint="eastAsia" w:ascii="仿宋_GB2312" w:hAnsi="仿宋" w:eastAsia="仿宋_GB2312" w:cs="宋体"/>
          <w:color w:val="000000" w:themeColor="text1"/>
          <w:spacing w:val="8"/>
          <w:sz w:val="28"/>
          <w:szCs w:val="28"/>
          <w14:textFill>
            <w14:solidFill>
              <w14:schemeClr w14:val="tx1"/>
            </w14:solidFill>
          </w14:textFill>
        </w:rPr>
        <w:t>本次公告在中国招标投标公共服务平台（www.cebpubservice.com）、威海市公共资源交易网（http://ggzyjy.weihai.cn/）威海市公共资源交易网（荣成市）（http://ggzyjy.weihai.cn/rongcheng/）同时发布，其它媒介转发无效。</w:t>
      </w:r>
    </w:p>
    <w:p w14:paraId="6905F5A2">
      <w:pPr>
        <w:spacing w:line="360" w:lineRule="auto"/>
        <w:jc w:val="righ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发布人：山东志诚工程咨询管理有限公司</w:t>
      </w:r>
    </w:p>
    <w:p w14:paraId="24AD2537">
      <w:pPr>
        <w:widowControl/>
        <w:adjustRightInd w:val="0"/>
        <w:spacing w:line="360" w:lineRule="auto"/>
        <w:ind w:left="-240"/>
        <w:jc w:val="right"/>
        <w:rPr>
          <w:rFonts w:ascii="宋体" w:hAnsi="宋体" w:cs="宋体"/>
          <w:color w:val="000000" w:themeColor="text1"/>
          <w:sz w:val="28"/>
          <w14:textFill>
            <w14:solidFill>
              <w14:schemeClr w14:val="tx1"/>
            </w14:solidFill>
          </w14:textFill>
        </w:rPr>
      </w:pPr>
      <w:r>
        <w:rPr>
          <w:rFonts w:hint="eastAsia" w:ascii="仿宋_GB2312" w:hAnsi="宋体" w:eastAsia="仿宋_GB2312" w:cs="宋体"/>
          <w:color w:val="000000" w:themeColor="text1"/>
          <w:sz w:val="28"/>
          <w:szCs w:val="28"/>
          <w14:textFill>
            <w14:solidFill>
              <w14:schemeClr w14:val="tx1"/>
            </w14:solidFill>
          </w14:textFill>
        </w:rPr>
        <w:t>发布时间：</w:t>
      </w:r>
      <w:r>
        <w:rPr>
          <w:rFonts w:ascii="仿宋_GB2312" w:hAnsi="宋体" w:eastAsia="仿宋_GB2312" w:cs="宋体"/>
          <w:color w:val="000000" w:themeColor="text1"/>
          <w:sz w:val="28"/>
          <w:szCs w:val="28"/>
          <w14:textFill>
            <w14:solidFill>
              <w14:schemeClr w14:val="tx1"/>
            </w14:solidFill>
          </w14:textFill>
        </w:rPr>
        <w:t>202</w:t>
      </w:r>
      <w:r>
        <w:rPr>
          <w:rFonts w:hint="eastAsia" w:ascii="仿宋_GB2312" w:hAnsi="宋体" w:eastAsia="仿宋_GB2312" w:cs="宋体"/>
          <w:color w:val="000000" w:themeColor="text1"/>
          <w:sz w:val="28"/>
          <w:szCs w:val="28"/>
          <w:lang w:val="en-US" w:eastAsia="zh-CN"/>
          <w14:textFill>
            <w14:solidFill>
              <w14:schemeClr w14:val="tx1"/>
            </w14:solidFill>
          </w14:textFill>
        </w:rPr>
        <w:t>6</w:t>
      </w:r>
      <w:r>
        <w:rPr>
          <w:rFonts w:ascii="仿宋_GB2312" w:hAnsi="宋体" w:eastAsia="仿宋_GB2312" w:cs="宋体"/>
          <w:color w:val="000000" w:themeColor="text1"/>
          <w:sz w:val="28"/>
          <w:szCs w:val="28"/>
          <w14:textFill>
            <w14:solidFill>
              <w14:schemeClr w14:val="tx1"/>
            </w14:solidFill>
          </w14:textFill>
        </w:rPr>
        <w:t>年</w:t>
      </w:r>
      <w:r>
        <w:rPr>
          <w:rFonts w:hint="eastAsia" w:ascii="仿宋_GB2312" w:hAnsi="宋体" w:eastAsia="仿宋_GB2312" w:cs="宋体"/>
          <w:color w:val="000000" w:themeColor="text1"/>
          <w:sz w:val="28"/>
          <w:szCs w:val="28"/>
          <w14:textFill>
            <w14:solidFill>
              <w14:schemeClr w14:val="tx1"/>
            </w14:solidFill>
          </w14:textFill>
        </w:rPr>
        <w:t>03月</w:t>
      </w:r>
      <w:r>
        <w:rPr>
          <w:rFonts w:hint="eastAsia" w:ascii="仿宋_GB2312" w:hAnsi="宋体" w:eastAsia="仿宋_GB2312" w:cs="宋体"/>
          <w:color w:val="000000" w:themeColor="text1"/>
          <w:sz w:val="28"/>
          <w:szCs w:val="28"/>
          <w:lang w:val="en-US" w:eastAsia="zh-CN"/>
          <w14:textFill>
            <w14:solidFill>
              <w14:schemeClr w14:val="tx1"/>
            </w14:solidFill>
          </w14:textFill>
        </w:rPr>
        <w:t>16</w:t>
      </w:r>
      <w:bookmarkStart w:id="14" w:name="_GoBack"/>
      <w:bookmarkEnd w:id="14"/>
      <w:r>
        <w:rPr>
          <w:rFonts w:hint="eastAsia" w:ascii="仿宋_GB2312" w:hAnsi="宋体" w:eastAsia="仿宋_GB2312" w:cs="宋体"/>
          <w:color w:val="000000" w:themeColor="text1"/>
          <w:sz w:val="28"/>
          <w:szCs w:val="28"/>
          <w14:textFill>
            <w14:solidFill>
              <w14:schemeClr w14:val="tx1"/>
            </w14:solidFill>
          </w14:textFill>
        </w:rPr>
        <w:t>日</w:t>
      </w:r>
    </w:p>
    <w:bookmarkEnd w:id="1"/>
    <w:p w14:paraId="21796EE6">
      <w:pPr>
        <w:rPr>
          <w:color w:val="000000" w:themeColor="text1"/>
          <w14:textFill>
            <w14:solidFill>
              <w14:schemeClr w14:val="tx1"/>
            </w14:solidFill>
          </w14:textFill>
        </w:rPr>
        <w:sectPr>
          <w:headerReference r:id="rId5" w:type="default"/>
          <w:footerReference r:id="rId6" w:type="default"/>
          <w:pgSz w:w="11906" w:h="16838"/>
          <w:pgMar w:top="1440" w:right="1080" w:bottom="1440" w:left="1080" w:header="851" w:footer="992" w:gutter="0"/>
          <w:cols w:space="425" w:num="1"/>
          <w:docGrid w:type="lines" w:linePitch="312" w:charSpace="0"/>
        </w:sectPr>
      </w:pPr>
    </w:p>
    <w:p w14:paraId="4AA01EB5">
      <w:pPr>
        <w:pStyle w:val="41"/>
        <w:spacing w:before="0" w:after="0" w:line="360" w:lineRule="auto"/>
        <w:ind w:firstLine="646" w:firstLineChars="201"/>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第二章投标须知</w:t>
      </w:r>
    </w:p>
    <w:p w14:paraId="7BC6E595">
      <w:pPr>
        <w:pStyle w:val="41"/>
        <w:spacing w:before="0" w:after="0" w:line="360" w:lineRule="auto"/>
        <w:ind w:firstLine="646" w:firstLineChars="201"/>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投标须知前附表</w:t>
      </w:r>
    </w:p>
    <w:p w14:paraId="1862918C">
      <w:pPr>
        <w:ind w:firstLine="643" w:firstLineChars="201"/>
        <w:jc w:val="center"/>
        <w:rPr>
          <w:rFonts w:ascii="宋体" w:hAnsi="宋体"/>
          <w:color w:val="000000" w:themeColor="text1"/>
          <w:sz w:val="32"/>
          <w:szCs w:val="32"/>
          <w14:textFill>
            <w14:solidFill>
              <w14:schemeClr w14:val="tx1"/>
            </w14:solidFill>
          </w14:textFill>
        </w:rPr>
      </w:pPr>
    </w:p>
    <w:tbl>
      <w:tblPr>
        <w:tblStyle w:val="4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625"/>
      </w:tblGrid>
      <w:tr w14:paraId="388A1D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8766AA0">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11E52989">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项    目</w:t>
            </w:r>
          </w:p>
        </w:tc>
        <w:tc>
          <w:tcPr>
            <w:tcW w:w="6625" w:type="dxa"/>
            <w:tcBorders>
              <w:top w:val="single" w:color="auto" w:sz="4" w:space="0"/>
              <w:left w:val="single" w:color="auto" w:sz="4" w:space="0"/>
              <w:bottom w:val="single" w:color="auto" w:sz="4" w:space="0"/>
            </w:tcBorders>
            <w:vAlign w:val="center"/>
          </w:tcPr>
          <w:p w14:paraId="1F772318">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内           容</w:t>
            </w:r>
          </w:p>
        </w:tc>
      </w:tr>
      <w:tr w14:paraId="235301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25A01930">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w:t>
            </w:r>
          </w:p>
        </w:tc>
        <w:tc>
          <w:tcPr>
            <w:tcW w:w="2155" w:type="dxa"/>
            <w:tcBorders>
              <w:top w:val="single" w:color="auto" w:sz="4" w:space="0"/>
              <w:left w:val="single" w:color="auto" w:sz="4" w:space="0"/>
              <w:bottom w:val="single" w:color="auto" w:sz="4" w:space="0"/>
              <w:right w:val="single" w:color="auto" w:sz="4" w:space="0"/>
            </w:tcBorders>
            <w:vAlign w:val="center"/>
          </w:tcPr>
          <w:p w14:paraId="09F2FC8A">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项目名称</w:t>
            </w:r>
          </w:p>
        </w:tc>
        <w:tc>
          <w:tcPr>
            <w:tcW w:w="6625" w:type="dxa"/>
            <w:tcBorders>
              <w:top w:val="single" w:color="auto" w:sz="4" w:space="0"/>
              <w:left w:val="single" w:color="auto" w:sz="4" w:space="0"/>
              <w:bottom w:val="single" w:color="auto" w:sz="4" w:space="0"/>
            </w:tcBorders>
            <w:vAlign w:val="center"/>
          </w:tcPr>
          <w:p w14:paraId="49CEF327">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bCs/>
                <w:color w:val="000000" w:themeColor="text1"/>
                <w:sz w:val="28"/>
                <w:szCs w:val="28"/>
                <w14:textFill>
                  <w14:solidFill>
                    <w14:schemeClr w14:val="tx1"/>
                  </w14:solidFill>
                </w14:textFill>
              </w:rPr>
              <w:t>2026年农药化肥</w:t>
            </w:r>
          </w:p>
        </w:tc>
      </w:tr>
      <w:tr w14:paraId="3203D5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4277E444">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w:t>
            </w:r>
          </w:p>
        </w:tc>
        <w:tc>
          <w:tcPr>
            <w:tcW w:w="2155" w:type="dxa"/>
            <w:tcBorders>
              <w:top w:val="single" w:color="auto" w:sz="4" w:space="0"/>
              <w:left w:val="single" w:color="auto" w:sz="4" w:space="0"/>
              <w:bottom w:val="single" w:color="auto" w:sz="4" w:space="0"/>
              <w:right w:val="single" w:color="auto" w:sz="4" w:space="0"/>
            </w:tcBorders>
            <w:vAlign w:val="center"/>
          </w:tcPr>
          <w:p w14:paraId="0C7CEEA8">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项目编号</w:t>
            </w:r>
          </w:p>
        </w:tc>
        <w:tc>
          <w:tcPr>
            <w:tcW w:w="6625" w:type="dxa"/>
            <w:tcBorders>
              <w:top w:val="single" w:color="auto" w:sz="4" w:space="0"/>
              <w:left w:val="single" w:color="auto" w:sz="4" w:space="0"/>
              <w:bottom w:val="single" w:color="auto" w:sz="4" w:space="0"/>
            </w:tcBorders>
            <w:vAlign w:val="center"/>
          </w:tcPr>
          <w:p w14:paraId="2FDC505D">
            <w:pPr>
              <w:spacing w:line="560" w:lineRule="exact"/>
              <w:rPr>
                <w:rFonts w:hint="eastAsia" w:ascii="仿宋_GB2312" w:hAnsi="宋体" w:eastAsia="仿宋_GB2312"/>
                <w:color w:val="000000" w:themeColor="text1"/>
                <w:sz w:val="28"/>
                <w:szCs w:val="28"/>
                <w:lang w:eastAsia="zh-CN"/>
                <w14:textFill>
                  <w14:solidFill>
                    <w14:schemeClr w14:val="tx1"/>
                  </w14:solidFill>
                </w14:textFill>
              </w:rPr>
            </w:pPr>
            <w:r>
              <w:rPr>
                <w:rFonts w:hint="eastAsia" w:ascii="仿宋_GB2312" w:hAnsi="宋体" w:eastAsia="仿宋_GB2312"/>
                <w:color w:val="000000" w:themeColor="text1"/>
                <w:sz w:val="28"/>
                <w:szCs w:val="28"/>
                <w:lang w:eastAsia="zh-CN"/>
                <w14:textFill>
                  <w14:solidFill>
                    <w14:schemeClr w14:val="tx1"/>
                  </w14:solidFill>
                </w14:textFill>
              </w:rPr>
              <w:t>WHHGYSDGQ2026-10</w:t>
            </w:r>
          </w:p>
        </w:tc>
      </w:tr>
      <w:tr w14:paraId="740B40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582287E9">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3</w:t>
            </w:r>
          </w:p>
        </w:tc>
        <w:tc>
          <w:tcPr>
            <w:tcW w:w="2155" w:type="dxa"/>
            <w:tcBorders>
              <w:top w:val="single" w:color="auto" w:sz="4" w:space="0"/>
              <w:left w:val="single" w:color="auto" w:sz="4" w:space="0"/>
              <w:bottom w:val="single" w:color="auto" w:sz="4" w:space="0"/>
              <w:right w:val="single" w:color="auto" w:sz="4" w:space="0"/>
            </w:tcBorders>
            <w:vAlign w:val="center"/>
          </w:tcPr>
          <w:p w14:paraId="3FC4CB83">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采购人</w:t>
            </w:r>
          </w:p>
        </w:tc>
        <w:tc>
          <w:tcPr>
            <w:tcW w:w="6625" w:type="dxa"/>
            <w:tcBorders>
              <w:top w:val="single" w:color="auto" w:sz="4" w:space="0"/>
              <w:left w:val="single" w:color="auto" w:sz="4" w:space="0"/>
              <w:bottom w:val="single" w:color="auto" w:sz="4" w:space="0"/>
            </w:tcBorders>
            <w:vAlign w:val="center"/>
          </w:tcPr>
          <w:p w14:paraId="7BC04092">
            <w:pPr>
              <w:spacing w:line="560" w:lineRule="exact"/>
              <w:rPr>
                <w:rFonts w:ascii="仿宋_GB2312" w:hAnsi="宋体" w:eastAsia="仿宋_GB2312"/>
                <w:sz w:val="28"/>
                <w:szCs w:val="28"/>
              </w:rPr>
            </w:pPr>
            <w:r>
              <w:rPr>
                <w:rFonts w:hint="eastAsia" w:ascii="仿宋_GB2312" w:hAnsi="宋体" w:eastAsia="仿宋_GB2312"/>
                <w:sz w:val="28"/>
                <w:szCs w:val="28"/>
              </w:rPr>
              <w:t>单位名称：威海海高园园林建设有限公司</w:t>
            </w:r>
          </w:p>
          <w:p w14:paraId="197A1508">
            <w:pPr>
              <w:spacing w:line="560" w:lineRule="exact"/>
              <w:rPr>
                <w:rFonts w:ascii="仿宋_GB2312" w:hAnsi="宋体" w:eastAsia="仿宋_GB2312"/>
                <w:sz w:val="28"/>
                <w:szCs w:val="28"/>
              </w:rPr>
            </w:pPr>
            <w:r>
              <w:rPr>
                <w:rFonts w:hint="eastAsia" w:ascii="仿宋_GB2312" w:hAnsi="宋体" w:eastAsia="仿宋_GB2312"/>
                <w:sz w:val="28"/>
                <w:szCs w:val="28"/>
              </w:rPr>
              <w:t>地    址：山东威海荣成东山街道龙雨路40号</w:t>
            </w:r>
          </w:p>
          <w:p w14:paraId="7B858E46">
            <w:pPr>
              <w:spacing w:line="560" w:lineRule="exact"/>
              <w:rPr>
                <w:rFonts w:ascii="仿宋_GB2312" w:hAnsi="宋体" w:eastAsia="仿宋_GB2312"/>
                <w:sz w:val="28"/>
                <w:szCs w:val="28"/>
              </w:rPr>
            </w:pPr>
            <w:r>
              <w:rPr>
                <w:rFonts w:hint="eastAsia" w:ascii="仿宋_GB2312" w:hAnsi="宋体" w:eastAsia="仿宋_GB2312"/>
                <w:sz w:val="28"/>
                <w:szCs w:val="28"/>
              </w:rPr>
              <w:t>联 系 人：刘金峰</w:t>
            </w:r>
          </w:p>
          <w:p w14:paraId="4DB00060">
            <w:pPr>
              <w:spacing w:line="560" w:lineRule="exact"/>
              <w:rPr>
                <w:rFonts w:ascii="仿宋_GB2312" w:hAnsi="宋体" w:eastAsia="仿宋_GB2312"/>
                <w:sz w:val="28"/>
                <w:szCs w:val="28"/>
              </w:rPr>
            </w:pPr>
            <w:r>
              <w:rPr>
                <w:rFonts w:hint="eastAsia" w:ascii="仿宋_GB2312" w:hAnsi="宋体" w:eastAsia="仿宋_GB2312"/>
                <w:sz w:val="28"/>
                <w:szCs w:val="28"/>
              </w:rPr>
              <w:t>联系电话：</w:t>
            </w:r>
            <w:r>
              <w:rPr>
                <w:rFonts w:ascii="仿宋_GB2312" w:hAnsi="宋体" w:eastAsia="仿宋_GB2312"/>
                <w:sz w:val="28"/>
                <w:szCs w:val="28"/>
              </w:rPr>
              <w:t>0631-7382366</w:t>
            </w:r>
          </w:p>
        </w:tc>
      </w:tr>
      <w:tr w14:paraId="03F3D2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6EC602E8">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4</w:t>
            </w:r>
          </w:p>
        </w:tc>
        <w:tc>
          <w:tcPr>
            <w:tcW w:w="2155" w:type="dxa"/>
            <w:tcBorders>
              <w:top w:val="single" w:color="auto" w:sz="4" w:space="0"/>
              <w:left w:val="single" w:color="auto" w:sz="4" w:space="0"/>
              <w:bottom w:val="single" w:color="auto" w:sz="4" w:space="0"/>
              <w:right w:val="single" w:color="auto" w:sz="4" w:space="0"/>
            </w:tcBorders>
            <w:vAlign w:val="center"/>
          </w:tcPr>
          <w:p w14:paraId="3D6A7D96">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采购代理机构</w:t>
            </w:r>
          </w:p>
        </w:tc>
        <w:tc>
          <w:tcPr>
            <w:tcW w:w="6625" w:type="dxa"/>
            <w:tcBorders>
              <w:top w:val="single" w:color="auto" w:sz="4" w:space="0"/>
              <w:left w:val="single" w:color="auto" w:sz="4" w:space="0"/>
              <w:bottom w:val="single" w:color="auto" w:sz="4" w:space="0"/>
            </w:tcBorders>
            <w:vAlign w:val="center"/>
          </w:tcPr>
          <w:p w14:paraId="3960AE59">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机构名称：山东志诚工程咨询管理有限公司</w:t>
            </w:r>
          </w:p>
          <w:p w14:paraId="4D0D516A">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单位地址：荣成市观海中路16号</w:t>
            </w:r>
          </w:p>
          <w:p w14:paraId="12F93B7C">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联系人：曲凌枫</w:t>
            </w:r>
          </w:p>
          <w:p w14:paraId="7E6BADB4">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联系电话：18963185161</w:t>
            </w:r>
          </w:p>
        </w:tc>
      </w:tr>
      <w:tr w14:paraId="0CBD47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3BD7637C">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5</w:t>
            </w:r>
          </w:p>
        </w:tc>
        <w:tc>
          <w:tcPr>
            <w:tcW w:w="2155" w:type="dxa"/>
            <w:tcBorders>
              <w:top w:val="single" w:color="auto" w:sz="4" w:space="0"/>
              <w:left w:val="single" w:color="auto" w:sz="4" w:space="0"/>
              <w:bottom w:val="single" w:color="auto" w:sz="4" w:space="0"/>
              <w:right w:val="single" w:color="auto" w:sz="4" w:space="0"/>
            </w:tcBorders>
            <w:vAlign w:val="center"/>
          </w:tcPr>
          <w:p w14:paraId="51105686">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电子投标</w:t>
            </w:r>
          </w:p>
          <w:p w14:paraId="7AD441A5">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特别提示</w:t>
            </w:r>
          </w:p>
        </w:tc>
        <w:tc>
          <w:tcPr>
            <w:tcW w:w="6625" w:type="dxa"/>
            <w:tcBorders>
              <w:top w:val="single" w:color="auto" w:sz="4" w:space="0"/>
              <w:left w:val="single" w:color="auto" w:sz="4" w:space="0"/>
              <w:bottom w:val="single" w:color="auto" w:sz="4" w:space="0"/>
            </w:tcBorders>
            <w:vAlign w:val="center"/>
          </w:tcPr>
          <w:p w14:paraId="1B49C6D6">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登录威海市公共资源交易网（荣成市）（http://ggzyjy.weihai.cn/rongcheng/）首页右侧“交易服务一网通办系统”进行平台切换点击“国企采购”进入国有企业阳光采购电子化服务平台“进行注册，取得用户名和密码（已经完成注册无须重复注册）；首次注册的投标人应及时办理安全证书（CA锁）及电子签章。</w:t>
            </w:r>
          </w:p>
          <w:p w14:paraId="56D6137C">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0FAE16CF">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3．电子投标文件制作及递交等有关操作见本文件及威海市公共资源交易网）办事指南栏目-国企采购专区-《威海国企阳光采购电子化服务平台投标人操作视频教程》，网址: http://ggzyjy.weihai.cn/bszn/005005/20200902/98115c60-a132-4b41-b609-6b7c08ad502b.html、交易服务一网通办系统-（新版）技术支持电话：0631-5311569（受理问题：系统登录、CA锁绑定、平台切换），一网通办技术支持QQ群：1143439694；CA锁办理咨询电话：0631-5307028；国企采购技术支持电话：17863029936，国企采购技术支持QQ群（报价单位）：1046971257。</w:t>
            </w:r>
          </w:p>
          <w:p w14:paraId="7B83CFAA">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62619BCD">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3A04BD8">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7E2E6D42">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7．投标人投标文件中的相关扫描件应保证清晰度，无法辨认的评审时受到影响的，由投标人自行承担相应责任。</w:t>
            </w:r>
          </w:p>
          <w:p w14:paraId="1E9D1F0F">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8．投标人应充分考虑到网上递交投标文件会发生的故障和风险。对发生的任何故障和风险造成投标人报价内容不一致或利益受损或投标失败的，采购人及招标代理机构不承担任何责任。</w:t>
            </w:r>
          </w:p>
        </w:tc>
      </w:tr>
      <w:tr w14:paraId="76E5BE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5473D81E">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6</w:t>
            </w:r>
          </w:p>
        </w:tc>
        <w:tc>
          <w:tcPr>
            <w:tcW w:w="2155" w:type="dxa"/>
            <w:tcBorders>
              <w:top w:val="single" w:color="auto" w:sz="4" w:space="0"/>
              <w:left w:val="single" w:color="auto" w:sz="4" w:space="0"/>
              <w:bottom w:val="single" w:color="auto" w:sz="4" w:space="0"/>
              <w:right w:val="single" w:color="auto" w:sz="4" w:space="0"/>
            </w:tcBorders>
            <w:vAlign w:val="center"/>
          </w:tcPr>
          <w:p w14:paraId="7B36E50A">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资质证明</w:t>
            </w:r>
          </w:p>
          <w:p w14:paraId="03FDB14A">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文件原件</w:t>
            </w:r>
          </w:p>
        </w:tc>
        <w:tc>
          <w:tcPr>
            <w:tcW w:w="6625" w:type="dxa"/>
            <w:tcBorders>
              <w:top w:val="single" w:color="auto" w:sz="4" w:space="0"/>
              <w:left w:val="single" w:color="auto" w:sz="4" w:space="0"/>
              <w:bottom w:val="single" w:color="auto" w:sz="4" w:space="0"/>
            </w:tcBorders>
            <w:vAlign w:val="center"/>
          </w:tcPr>
          <w:p w14:paraId="368712B7">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无</w:t>
            </w:r>
          </w:p>
        </w:tc>
      </w:tr>
      <w:tr w14:paraId="2F9E5A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66BB2AE3">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7</w:t>
            </w:r>
          </w:p>
        </w:tc>
        <w:tc>
          <w:tcPr>
            <w:tcW w:w="2155" w:type="dxa"/>
            <w:tcBorders>
              <w:top w:val="single" w:color="auto" w:sz="4" w:space="0"/>
              <w:left w:val="single" w:color="auto" w:sz="4" w:space="0"/>
              <w:bottom w:val="single" w:color="auto" w:sz="4" w:space="0"/>
              <w:right w:val="single" w:color="auto" w:sz="4" w:space="0"/>
            </w:tcBorders>
            <w:vAlign w:val="center"/>
          </w:tcPr>
          <w:p w14:paraId="356923E7">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投标文件份数</w:t>
            </w:r>
          </w:p>
        </w:tc>
        <w:tc>
          <w:tcPr>
            <w:tcW w:w="6625" w:type="dxa"/>
            <w:tcBorders>
              <w:top w:val="single" w:color="auto" w:sz="4" w:space="0"/>
              <w:left w:val="single" w:color="auto" w:sz="4" w:space="0"/>
              <w:bottom w:val="single" w:color="auto" w:sz="4" w:space="0"/>
            </w:tcBorders>
            <w:vAlign w:val="center"/>
          </w:tcPr>
          <w:p w14:paraId="1D931BCD">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电子投标文件1份（网上按时递交）。</w:t>
            </w:r>
          </w:p>
        </w:tc>
      </w:tr>
      <w:tr w14:paraId="51C097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6910D6DB">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8</w:t>
            </w:r>
          </w:p>
        </w:tc>
        <w:tc>
          <w:tcPr>
            <w:tcW w:w="2155" w:type="dxa"/>
            <w:tcBorders>
              <w:top w:val="single" w:color="auto" w:sz="4" w:space="0"/>
              <w:left w:val="single" w:color="auto" w:sz="4" w:space="0"/>
              <w:bottom w:val="single" w:color="auto" w:sz="4" w:space="0"/>
              <w:right w:val="single" w:color="auto" w:sz="4" w:space="0"/>
            </w:tcBorders>
            <w:vAlign w:val="center"/>
          </w:tcPr>
          <w:p w14:paraId="460F7217">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实物样品</w:t>
            </w:r>
          </w:p>
        </w:tc>
        <w:tc>
          <w:tcPr>
            <w:tcW w:w="6625" w:type="dxa"/>
            <w:tcBorders>
              <w:top w:val="single" w:color="auto" w:sz="4" w:space="0"/>
              <w:left w:val="single" w:color="auto" w:sz="4" w:space="0"/>
              <w:bottom w:val="single" w:color="auto" w:sz="4" w:space="0"/>
            </w:tcBorders>
            <w:vAlign w:val="center"/>
          </w:tcPr>
          <w:p w14:paraId="5998B0B9">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无</w:t>
            </w:r>
          </w:p>
        </w:tc>
      </w:tr>
      <w:tr w14:paraId="585C45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6478521D">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9</w:t>
            </w:r>
          </w:p>
        </w:tc>
        <w:tc>
          <w:tcPr>
            <w:tcW w:w="2155" w:type="dxa"/>
            <w:tcBorders>
              <w:top w:val="single" w:color="auto" w:sz="4" w:space="0"/>
              <w:left w:val="single" w:color="auto" w:sz="4" w:space="0"/>
              <w:bottom w:val="single" w:color="auto" w:sz="4" w:space="0"/>
              <w:right w:val="single" w:color="auto" w:sz="4" w:space="0"/>
            </w:tcBorders>
            <w:vAlign w:val="center"/>
          </w:tcPr>
          <w:p w14:paraId="76F2FBC6">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现场踏勘</w:t>
            </w:r>
          </w:p>
        </w:tc>
        <w:tc>
          <w:tcPr>
            <w:tcW w:w="6625" w:type="dxa"/>
            <w:tcBorders>
              <w:top w:val="single" w:color="auto" w:sz="4" w:space="0"/>
              <w:left w:val="single" w:color="auto" w:sz="4" w:space="0"/>
              <w:bottom w:val="single" w:color="auto" w:sz="4" w:space="0"/>
            </w:tcBorders>
            <w:vAlign w:val="center"/>
          </w:tcPr>
          <w:p w14:paraId="62B1C194">
            <w:pPr>
              <w:spacing w:line="560" w:lineRule="exact"/>
              <w:textAlignment w:val="top"/>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否。</w:t>
            </w:r>
          </w:p>
        </w:tc>
      </w:tr>
      <w:tr w14:paraId="09175B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66DA6798">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10</w:t>
            </w:r>
          </w:p>
        </w:tc>
        <w:tc>
          <w:tcPr>
            <w:tcW w:w="2155" w:type="dxa"/>
            <w:tcBorders>
              <w:top w:val="single" w:color="auto" w:sz="4" w:space="0"/>
              <w:left w:val="single" w:color="auto" w:sz="4" w:space="0"/>
              <w:bottom w:val="single" w:color="auto" w:sz="4" w:space="0"/>
              <w:right w:val="single" w:color="auto" w:sz="4" w:space="0"/>
            </w:tcBorders>
            <w:vAlign w:val="center"/>
          </w:tcPr>
          <w:p w14:paraId="63C511E6">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现场演示</w:t>
            </w:r>
          </w:p>
        </w:tc>
        <w:tc>
          <w:tcPr>
            <w:tcW w:w="6625" w:type="dxa"/>
            <w:tcBorders>
              <w:top w:val="single" w:color="auto" w:sz="4" w:space="0"/>
              <w:left w:val="single" w:color="auto" w:sz="4" w:space="0"/>
              <w:bottom w:val="single" w:color="auto" w:sz="4" w:space="0"/>
            </w:tcBorders>
            <w:vAlign w:val="center"/>
          </w:tcPr>
          <w:p w14:paraId="1A4CA309">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 xml:space="preserve">无 </w:t>
            </w:r>
          </w:p>
        </w:tc>
      </w:tr>
      <w:tr w14:paraId="3BFAF1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600F9FB5">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11</w:t>
            </w:r>
          </w:p>
        </w:tc>
        <w:tc>
          <w:tcPr>
            <w:tcW w:w="2155" w:type="dxa"/>
            <w:tcBorders>
              <w:top w:val="single" w:color="auto" w:sz="4" w:space="0"/>
              <w:left w:val="single" w:color="auto" w:sz="4" w:space="0"/>
              <w:bottom w:val="single" w:color="auto" w:sz="4" w:space="0"/>
              <w:right w:val="single" w:color="auto" w:sz="4" w:space="0"/>
            </w:tcBorders>
            <w:vAlign w:val="center"/>
          </w:tcPr>
          <w:p w14:paraId="526ECEBA">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投标有效期</w:t>
            </w:r>
          </w:p>
        </w:tc>
        <w:tc>
          <w:tcPr>
            <w:tcW w:w="6625" w:type="dxa"/>
            <w:tcBorders>
              <w:top w:val="single" w:color="auto" w:sz="4" w:space="0"/>
              <w:left w:val="single" w:color="auto" w:sz="4" w:space="0"/>
              <w:bottom w:val="single" w:color="auto" w:sz="4" w:space="0"/>
            </w:tcBorders>
            <w:vAlign w:val="center"/>
          </w:tcPr>
          <w:p w14:paraId="7FFD8597">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开标之日起90天</w:t>
            </w:r>
          </w:p>
        </w:tc>
      </w:tr>
      <w:tr w14:paraId="68AADC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25197BB7">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12</w:t>
            </w:r>
          </w:p>
        </w:tc>
        <w:tc>
          <w:tcPr>
            <w:tcW w:w="2155" w:type="dxa"/>
            <w:tcBorders>
              <w:top w:val="single" w:color="auto" w:sz="4" w:space="0"/>
              <w:left w:val="single" w:color="auto" w:sz="4" w:space="0"/>
              <w:bottom w:val="single" w:color="auto" w:sz="4" w:space="0"/>
              <w:right w:val="single" w:color="auto" w:sz="4" w:space="0"/>
            </w:tcBorders>
            <w:vAlign w:val="center"/>
          </w:tcPr>
          <w:p w14:paraId="5DABE5F5">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投标文件递交时间及地点</w:t>
            </w:r>
          </w:p>
        </w:tc>
        <w:tc>
          <w:tcPr>
            <w:tcW w:w="6625" w:type="dxa"/>
            <w:tcBorders>
              <w:top w:val="single" w:color="auto" w:sz="4" w:space="0"/>
              <w:left w:val="single" w:color="auto" w:sz="4" w:space="0"/>
              <w:bottom w:val="single" w:color="auto" w:sz="4" w:space="0"/>
            </w:tcBorders>
            <w:vAlign w:val="center"/>
          </w:tcPr>
          <w:p w14:paraId="26A1D6F9">
            <w:pPr>
              <w:spacing w:line="560" w:lineRule="exact"/>
              <w:ind w:left="280" w:hanging="280" w:hanging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电子投标文件递交时间：详见第一章采购公告</w:t>
            </w:r>
          </w:p>
          <w:p w14:paraId="29C0E8AC">
            <w:pPr>
              <w:spacing w:line="560" w:lineRule="exact"/>
              <w:ind w:left="280" w:hanging="280" w:hanging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递交地点：详见第一章采购公告</w:t>
            </w:r>
          </w:p>
        </w:tc>
      </w:tr>
      <w:tr w14:paraId="493501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908" w:type="dxa"/>
            <w:tcBorders>
              <w:top w:val="single" w:color="auto" w:sz="4" w:space="0"/>
              <w:bottom w:val="single" w:color="auto" w:sz="4" w:space="0"/>
              <w:right w:val="single" w:color="auto" w:sz="4" w:space="0"/>
            </w:tcBorders>
            <w:vAlign w:val="center"/>
          </w:tcPr>
          <w:p w14:paraId="7DDF1DFF">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13</w:t>
            </w:r>
          </w:p>
        </w:tc>
        <w:tc>
          <w:tcPr>
            <w:tcW w:w="2155" w:type="dxa"/>
            <w:tcBorders>
              <w:top w:val="single" w:color="auto" w:sz="4" w:space="0"/>
              <w:left w:val="single" w:color="auto" w:sz="4" w:space="0"/>
              <w:bottom w:val="single" w:color="auto" w:sz="4" w:space="0"/>
              <w:right w:val="single" w:color="auto" w:sz="4" w:space="0"/>
            </w:tcBorders>
            <w:vAlign w:val="center"/>
          </w:tcPr>
          <w:p w14:paraId="738EB618">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开标时间</w:t>
            </w:r>
          </w:p>
        </w:tc>
        <w:tc>
          <w:tcPr>
            <w:tcW w:w="6625" w:type="dxa"/>
            <w:tcBorders>
              <w:top w:val="single" w:color="auto" w:sz="4" w:space="0"/>
              <w:left w:val="single" w:color="auto" w:sz="4" w:space="0"/>
              <w:bottom w:val="single" w:color="auto" w:sz="4" w:space="0"/>
            </w:tcBorders>
            <w:vAlign w:val="center"/>
          </w:tcPr>
          <w:p w14:paraId="44ECBDAA">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详见第一章采购公告</w:t>
            </w:r>
          </w:p>
        </w:tc>
      </w:tr>
      <w:tr w14:paraId="3DD2FA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11948234">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14</w:t>
            </w:r>
          </w:p>
        </w:tc>
        <w:tc>
          <w:tcPr>
            <w:tcW w:w="2155" w:type="dxa"/>
            <w:tcBorders>
              <w:top w:val="single" w:color="auto" w:sz="4" w:space="0"/>
              <w:left w:val="single" w:color="auto" w:sz="4" w:space="0"/>
              <w:bottom w:val="single" w:color="auto" w:sz="4" w:space="0"/>
              <w:right w:val="single" w:color="auto" w:sz="4" w:space="0"/>
            </w:tcBorders>
            <w:vAlign w:val="center"/>
          </w:tcPr>
          <w:p w14:paraId="0953CA5A">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开标地点</w:t>
            </w:r>
          </w:p>
        </w:tc>
        <w:tc>
          <w:tcPr>
            <w:tcW w:w="6625" w:type="dxa"/>
            <w:tcBorders>
              <w:top w:val="single" w:color="auto" w:sz="4" w:space="0"/>
              <w:left w:val="single" w:color="auto" w:sz="4" w:space="0"/>
              <w:bottom w:val="single" w:color="auto" w:sz="4" w:space="0"/>
            </w:tcBorders>
            <w:vAlign w:val="center"/>
          </w:tcPr>
          <w:p w14:paraId="6E86A0C8">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详见第一章采购公告</w:t>
            </w:r>
          </w:p>
        </w:tc>
      </w:tr>
      <w:tr w14:paraId="3262DE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61DE762C">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15</w:t>
            </w:r>
          </w:p>
        </w:tc>
        <w:tc>
          <w:tcPr>
            <w:tcW w:w="2155" w:type="dxa"/>
            <w:tcBorders>
              <w:top w:val="single" w:color="auto" w:sz="4" w:space="0"/>
              <w:left w:val="single" w:color="auto" w:sz="4" w:space="0"/>
              <w:bottom w:val="single" w:color="auto" w:sz="4" w:space="0"/>
              <w:right w:val="single" w:color="auto" w:sz="4" w:space="0"/>
            </w:tcBorders>
            <w:vAlign w:val="center"/>
          </w:tcPr>
          <w:p w14:paraId="2E686DDF">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开标方式</w:t>
            </w:r>
          </w:p>
        </w:tc>
        <w:tc>
          <w:tcPr>
            <w:tcW w:w="6625" w:type="dxa"/>
            <w:tcBorders>
              <w:top w:val="single" w:color="auto" w:sz="4" w:space="0"/>
              <w:left w:val="single" w:color="auto" w:sz="4" w:space="0"/>
              <w:bottom w:val="single" w:color="auto" w:sz="4" w:space="0"/>
            </w:tcBorders>
            <w:vAlign w:val="center"/>
          </w:tcPr>
          <w:p w14:paraId="774BCF76">
            <w:pPr>
              <w:spacing w:line="560" w:lineRule="exact"/>
              <w:rPr>
                <w:rFonts w:ascii="仿宋_GB2312" w:hAnsi="宋体" w:eastAsia="仿宋_GB2312"/>
                <w:sz w:val="28"/>
                <w:szCs w:val="28"/>
              </w:rPr>
            </w:pPr>
            <w:r>
              <w:rPr>
                <w:rFonts w:hint="eastAsia" w:ascii="仿宋_GB2312" w:eastAsia="仿宋_GB2312"/>
                <w:sz w:val="28"/>
                <w:szCs w:val="28"/>
              </w:rPr>
              <w:t>本项目实行全流程电子化，实行远程解密，投标人无需到现场，并保持通讯畅通，提前在个人电脑上进行测试确保音频、视频功能可正常使用。因通讯不畅造成的一切后果由供应商自行承担。</w:t>
            </w:r>
          </w:p>
        </w:tc>
      </w:tr>
      <w:tr w14:paraId="2E7063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1606442F">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16</w:t>
            </w:r>
          </w:p>
        </w:tc>
        <w:tc>
          <w:tcPr>
            <w:tcW w:w="2155" w:type="dxa"/>
            <w:tcBorders>
              <w:top w:val="single" w:color="auto" w:sz="4" w:space="0"/>
              <w:left w:val="single" w:color="auto" w:sz="4" w:space="0"/>
              <w:bottom w:val="single" w:color="auto" w:sz="4" w:space="0"/>
              <w:right w:val="single" w:color="auto" w:sz="4" w:space="0"/>
            </w:tcBorders>
            <w:vAlign w:val="center"/>
          </w:tcPr>
          <w:p w14:paraId="097279AC">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开标程序</w:t>
            </w:r>
          </w:p>
        </w:tc>
        <w:tc>
          <w:tcPr>
            <w:tcW w:w="6625" w:type="dxa"/>
            <w:tcBorders>
              <w:top w:val="single" w:color="auto" w:sz="4" w:space="0"/>
              <w:left w:val="single" w:color="auto" w:sz="4" w:space="0"/>
              <w:bottom w:val="single" w:color="auto" w:sz="4" w:space="0"/>
            </w:tcBorders>
            <w:vAlign w:val="center"/>
          </w:tcPr>
          <w:p w14:paraId="07B2709D">
            <w:pPr>
              <w:spacing w:line="560" w:lineRule="exact"/>
              <w:rPr>
                <w:rFonts w:ascii="仿宋_GB2312" w:hAnsi="宋体" w:eastAsia="仿宋_GB2312"/>
                <w:sz w:val="28"/>
                <w:szCs w:val="28"/>
              </w:rPr>
            </w:pPr>
            <w:r>
              <w:rPr>
                <w:rFonts w:hint="eastAsia" w:ascii="仿宋_GB2312" w:hAnsi="宋体" w:eastAsia="仿宋_GB2312"/>
                <w:sz w:val="28"/>
                <w:szCs w:val="28"/>
              </w:rPr>
              <w:t>签到时间：开标时间前30分钟内完成</w:t>
            </w:r>
          </w:p>
          <w:p w14:paraId="6396E231">
            <w:pPr>
              <w:spacing w:line="560" w:lineRule="exact"/>
              <w:rPr>
                <w:rFonts w:ascii="仿宋_GB2312" w:hAnsi="宋体" w:eastAsia="仿宋_GB2312"/>
                <w:sz w:val="28"/>
                <w:szCs w:val="28"/>
              </w:rPr>
            </w:pPr>
            <w:r>
              <w:rPr>
                <w:rFonts w:hint="eastAsia" w:ascii="仿宋_GB2312" w:hAnsi="宋体" w:eastAsia="仿宋_GB2312"/>
                <w:sz w:val="28"/>
                <w:szCs w:val="28"/>
              </w:rPr>
              <w:t>解密时间：开始解密后15分钟内完成</w:t>
            </w:r>
          </w:p>
        </w:tc>
      </w:tr>
      <w:tr w14:paraId="602A0D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38" w:hRule="atLeast"/>
          <w:jc w:val="center"/>
        </w:trPr>
        <w:tc>
          <w:tcPr>
            <w:tcW w:w="908" w:type="dxa"/>
            <w:tcBorders>
              <w:top w:val="single" w:color="auto" w:sz="4" w:space="0"/>
              <w:bottom w:val="single" w:color="auto" w:sz="4" w:space="0"/>
              <w:right w:val="single" w:color="auto" w:sz="4" w:space="0"/>
            </w:tcBorders>
            <w:vAlign w:val="center"/>
          </w:tcPr>
          <w:p w14:paraId="28AA7ADE">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17</w:t>
            </w:r>
          </w:p>
        </w:tc>
        <w:tc>
          <w:tcPr>
            <w:tcW w:w="2155" w:type="dxa"/>
            <w:tcBorders>
              <w:top w:val="single" w:color="auto" w:sz="4" w:space="0"/>
              <w:left w:val="single" w:color="auto" w:sz="4" w:space="0"/>
              <w:bottom w:val="single" w:color="auto" w:sz="4" w:space="0"/>
              <w:right w:val="single" w:color="auto" w:sz="4" w:space="0"/>
            </w:tcBorders>
            <w:vAlign w:val="center"/>
          </w:tcPr>
          <w:p w14:paraId="2F3861A7">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交货期及地点</w:t>
            </w:r>
          </w:p>
        </w:tc>
        <w:tc>
          <w:tcPr>
            <w:tcW w:w="6625" w:type="dxa"/>
            <w:tcBorders>
              <w:top w:val="single" w:color="auto" w:sz="4" w:space="0"/>
              <w:left w:val="single" w:color="auto" w:sz="4" w:space="0"/>
              <w:bottom w:val="single" w:color="auto" w:sz="4" w:space="0"/>
            </w:tcBorders>
            <w:vAlign w:val="center"/>
          </w:tcPr>
          <w:p w14:paraId="210716B1">
            <w:pPr>
              <w:spacing w:line="560" w:lineRule="exact"/>
              <w:rPr>
                <w:rFonts w:ascii="仿宋_GB2312" w:hAnsi="宋体" w:eastAsia="仿宋_GB2312"/>
                <w:sz w:val="28"/>
                <w:szCs w:val="28"/>
              </w:rPr>
            </w:pPr>
            <w:r>
              <w:rPr>
                <w:rFonts w:hint="eastAsia" w:ascii="仿宋_GB2312" w:hAnsi="宋体" w:eastAsia="仿宋_GB2312"/>
                <w:sz w:val="28"/>
                <w:szCs w:val="28"/>
              </w:rPr>
              <w:t>供货完毕时间：按采购人要求分批供货，接到采购人通知后，7日内到货。</w:t>
            </w:r>
          </w:p>
          <w:p w14:paraId="27FE41AB">
            <w:pPr>
              <w:pStyle w:val="2"/>
              <w:ind w:firstLine="0"/>
              <w:rPr>
                <w:rFonts w:ascii="仿宋_GB2312" w:hAnsi="宋体" w:eastAsia="仿宋_GB2312"/>
                <w:sz w:val="28"/>
                <w:szCs w:val="28"/>
              </w:rPr>
            </w:pPr>
            <w:r>
              <w:rPr>
                <w:rFonts w:hint="eastAsia" w:ascii="仿宋_GB2312" w:hAnsi="宋体" w:eastAsia="仿宋_GB2312"/>
                <w:sz w:val="28"/>
                <w:szCs w:val="28"/>
              </w:rPr>
              <w:t>地点：采购人指定地点</w:t>
            </w:r>
          </w:p>
        </w:tc>
      </w:tr>
      <w:tr w14:paraId="59A83B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908" w:type="dxa"/>
            <w:tcBorders>
              <w:top w:val="single" w:color="auto" w:sz="4" w:space="0"/>
              <w:bottom w:val="single" w:color="auto" w:sz="4" w:space="0"/>
              <w:right w:val="single" w:color="auto" w:sz="4" w:space="0"/>
            </w:tcBorders>
            <w:vAlign w:val="center"/>
          </w:tcPr>
          <w:p w14:paraId="4863DCB0">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18</w:t>
            </w:r>
          </w:p>
        </w:tc>
        <w:tc>
          <w:tcPr>
            <w:tcW w:w="2155" w:type="dxa"/>
            <w:tcBorders>
              <w:top w:val="single" w:color="auto" w:sz="4" w:space="0"/>
              <w:left w:val="single" w:color="auto" w:sz="4" w:space="0"/>
              <w:bottom w:val="single" w:color="auto" w:sz="4" w:space="0"/>
              <w:right w:val="single" w:color="auto" w:sz="4" w:space="0"/>
            </w:tcBorders>
            <w:vAlign w:val="center"/>
          </w:tcPr>
          <w:p w14:paraId="3A162541">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质保期</w:t>
            </w:r>
          </w:p>
        </w:tc>
        <w:tc>
          <w:tcPr>
            <w:tcW w:w="6625" w:type="dxa"/>
            <w:tcBorders>
              <w:top w:val="single" w:color="auto" w:sz="4" w:space="0"/>
              <w:left w:val="single" w:color="auto" w:sz="4" w:space="0"/>
              <w:bottom w:val="single" w:color="auto" w:sz="4" w:space="0"/>
            </w:tcBorders>
            <w:vAlign w:val="center"/>
          </w:tcPr>
          <w:p w14:paraId="7E9FF5DE">
            <w:pPr>
              <w:spacing w:line="560" w:lineRule="exact"/>
              <w:rPr>
                <w:rFonts w:ascii="仿宋_GB2312" w:hAnsi="宋体" w:eastAsia="仿宋_GB2312"/>
                <w:sz w:val="28"/>
                <w:szCs w:val="28"/>
              </w:rPr>
            </w:pPr>
            <w:r>
              <w:rPr>
                <w:rFonts w:hint="eastAsia" w:ascii="仿宋_GB2312" w:hAnsi="宋体" w:eastAsia="仿宋_GB2312"/>
                <w:sz w:val="28"/>
                <w:szCs w:val="28"/>
              </w:rPr>
              <w:t>质保期：由投标人提供最长的质保年限，不得低于2年（质保期从验收合格之日起算起），否则投标无效。</w:t>
            </w:r>
          </w:p>
        </w:tc>
      </w:tr>
      <w:tr w14:paraId="3418C8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260E3F38">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19</w:t>
            </w:r>
          </w:p>
        </w:tc>
        <w:tc>
          <w:tcPr>
            <w:tcW w:w="2155" w:type="dxa"/>
            <w:tcBorders>
              <w:top w:val="single" w:color="auto" w:sz="4" w:space="0"/>
              <w:left w:val="single" w:color="auto" w:sz="4" w:space="0"/>
              <w:bottom w:val="single" w:color="auto" w:sz="4" w:space="0"/>
              <w:right w:val="single" w:color="auto" w:sz="4" w:space="0"/>
            </w:tcBorders>
            <w:vAlign w:val="center"/>
          </w:tcPr>
          <w:p w14:paraId="0B9C1353">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评标办法</w:t>
            </w:r>
          </w:p>
        </w:tc>
        <w:tc>
          <w:tcPr>
            <w:tcW w:w="6625" w:type="dxa"/>
            <w:tcBorders>
              <w:top w:val="single" w:color="auto" w:sz="4" w:space="0"/>
              <w:left w:val="single" w:color="auto" w:sz="4" w:space="0"/>
              <w:bottom w:val="single" w:color="auto" w:sz="4" w:space="0"/>
            </w:tcBorders>
            <w:vAlign w:val="center"/>
          </w:tcPr>
          <w:p w14:paraId="7D9E11AB">
            <w:pPr>
              <w:spacing w:line="560" w:lineRule="exact"/>
              <w:rPr>
                <w:rFonts w:ascii="仿宋_GB2312" w:hAnsi="宋体" w:eastAsia="仿宋_GB2312"/>
                <w:sz w:val="28"/>
                <w:szCs w:val="28"/>
              </w:rPr>
            </w:pPr>
            <w:r>
              <w:rPr>
                <w:rFonts w:hint="eastAsia" w:ascii="仿宋_GB2312" w:hAnsi="宋体" w:eastAsia="仿宋_GB2312"/>
                <w:sz w:val="28"/>
                <w:szCs w:val="28"/>
              </w:rPr>
              <w:t>综合评分法</w:t>
            </w:r>
          </w:p>
        </w:tc>
      </w:tr>
      <w:tr w14:paraId="687499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35BDA402">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20</w:t>
            </w:r>
          </w:p>
        </w:tc>
        <w:tc>
          <w:tcPr>
            <w:tcW w:w="2155" w:type="dxa"/>
            <w:tcBorders>
              <w:top w:val="single" w:color="auto" w:sz="4" w:space="0"/>
              <w:left w:val="single" w:color="auto" w:sz="4" w:space="0"/>
              <w:bottom w:val="single" w:color="auto" w:sz="4" w:space="0"/>
              <w:right w:val="single" w:color="auto" w:sz="4" w:space="0"/>
            </w:tcBorders>
            <w:vAlign w:val="center"/>
          </w:tcPr>
          <w:p w14:paraId="4749ABCE">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联合体投标</w:t>
            </w:r>
          </w:p>
        </w:tc>
        <w:tc>
          <w:tcPr>
            <w:tcW w:w="6625" w:type="dxa"/>
            <w:tcBorders>
              <w:top w:val="single" w:color="auto" w:sz="4" w:space="0"/>
              <w:left w:val="single" w:color="auto" w:sz="4" w:space="0"/>
              <w:bottom w:val="single" w:color="auto" w:sz="4" w:space="0"/>
            </w:tcBorders>
            <w:vAlign w:val="center"/>
          </w:tcPr>
          <w:p w14:paraId="7050D7D2">
            <w:pPr>
              <w:spacing w:line="560" w:lineRule="exact"/>
              <w:rPr>
                <w:rFonts w:ascii="仿宋_GB2312" w:hAnsi="宋体" w:eastAsia="仿宋_GB2312"/>
                <w:sz w:val="28"/>
                <w:szCs w:val="28"/>
              </w:rPr>
            </w:pPr>
            <w:r>
              <w:rPr>
                <w:rFonts w:hint="eastAsia" w:ascii="仿宋_GB2312" w:hAnsi="宋体" w:eastAsia="仿宋_GB2312"/>
                <w:sz w:val="28"/>
                <w:szCs w:val="28"/>
              </w:rPr>
              <w:t>不接受</w:t>
            </w:r>
          </w:p>
        </w:tc>
      </w:tr>
      <w:tr w14:paraId="4BF931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5C28707C">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21</w:t>
            </w:r>
          </w:p>
        </w:tc>
        <w:tc>
          <w:tcPr>
            <w:tcW w:w="2155" w:type="dxa"/>
            <w:tcBorders>
              <w:top w:val="single" w:color="auto" w:sz="4" w:space="0"/>
              <w:left w:val="single" w:color="auto" w:sz="4" w:space="0"/>
              <w:bottom w:val="single" w:color="auto" w:sz="4" w:space="0"/>
              <w:right w:val="single" w:color="auto" w:sz="4" w:space="0"/>
            </w:tcBorders>
            <w:vAlign w:val="center"/>
          </w:tcPr>
          <w:p w14:paraId="16703A63">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履约保证金</w:t>
            </w:r>
          </w:p>
        </w:tc>
        <w:tc>
          <w:tcPr>
            <w:tcW w:w="6625" w:type="dxa"/>
            <w:tcBorders>
              <w:top w:val="single" w:color="auto" w:sz="4" w:space="0"/>
              <w:left w:val="single" w:color="auto" w:sz="4" w:space="0"/>
              <w:bottom w:val="single" w:color="auto" w:sz="4" w:space="0"/>
            </w:tcBorders>
            <w:vAlign w:val="center"/>
          </w:tcPr>
          <w:p w14:paraId="6A7CACAC">
            <w:pPr>
              <w:spacing w:line="560" w:lineRule="exact"/>
              <w:rPr>
                <w:rFonts w:ascii="仿宋_GB2312" w:hAnsi="宋体" w:eastAsia="仿宋_GB2312"/>
                <w:sz w:val="28"/>
                <w:szCs w:val="28"/>
              </w:rPr>
            </w:pPr>
            <w:r>
              <w:rPr>
                <w:rFonts w:hint="eastAsia" w:ascii="仿宋_GB2312" w:hAnsi="宋体" w:eastAsia="仿宋_GB2312"/>
                <w:sz w:val="28"/>
                <w:szCs w:val="28"/>
              </w:rPr>
              <w:t>本项目不收取履约保证金</w:t>
            </w:r>
          </w:p>
        </w:tc>
      </w:tr>
      <w:tr w14:paraId="588CF5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31FF2873">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22</w:t>
            </w:r>
          </w:p>
        </w:tc>
        <w:tc>
          <w:tcPr>
            <w:tcW w:w="2155" w:type="dxa"/>
            <w:tcBorders>
              <w:top w:val="single" w:color="auto" w:sz="4" w:space="0"/>
              <w:left w:val="single" w:color="auto" w:sz="4" w:space="0"/>
              <w:bottom w:val="single" w:color="auto" w:sz="4" w:space="0"/>
              <w:right w:val="single" w:color="auto" w:sz="4" w:space="0"/>
            </w:tcBorders>
            <w:vAlign w:val="center"/>
          </w:tcPr>
          <w:p w14:paraId="24BF9B72">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付款方式</w:t>
            </w:r>
          </w:p>
        </w:tc>
        <w:tc>
          <w:tcPr>
            <w:tcW w:w="6625" w:type="dxa"/>
            <w:tcBorders>
              <w:top w:val="single" w:color="auto" w:sz="4" w:space="0"/>
              <w:left w:val="single" w:color="auto" w:sz="4" w:space="0"/>
              <w:bottom w:val="single" w:color="auto" w:sz="4" w:space="0"/>
            </w:tcBorders>
            <w:vAlign w:val="center"/>
          </w:tcPr>
          <w:p w14:paraId="0C6C478F">
            <w:pPr>
              <w:spacing w:line="560" w:lineRule="exact"/>
              <w:rPr>
                <w:rFonts w:ascii="仿宋_GB2312" w:hAnsi="宋体" w:eastAsia="仿宋_GB2312"/>
                <w:sz w:val="28"/>
                <w:szCs w:val="28"/>
              </w:rPr>
            </w:pPr>
            <w:r>
              <w:rPr>
                <w:rFonts w:hint="eastAsia" w:ascii="仿宋_GB2312" w:hAnsi="宋体" w:eastAsia="仿宋_GB2312"/>
                <w:sz w:val="28"/>
                <w:szCs w:val="28"/>
              </w:rPr>
              <w:t>项目供货完毕并验收合格后，第一年年底前将总价款的50%支付给成交供应商，第二年年底前总价款的30%支付给成交供应商，第三年年底前将剩余价款一次性付清。中标人必须在采购人规定的时间内提供本单位的税务发票。</w:t>
            </w:r>
          </w:p>
          <w:p w14:paraId="65BB2BD2">
            <w:pPr>
              <w:spacing w:line="560" w:lineRule="exact"/>
              <w:rPr>
                <w:rFonts w:ascii="仿宋_GB2312" w:hAnsi="宋体" w:eastAsia="仿宋_GB2312"/>
                <w:sz w:val="28"/>
                <w:szCs w:val="28"/>
              </w:rPr>
            </w:pPr>
            <w:r>
              <w:rPr>
                <w:rFonts w:hint="eastAsia" w:ascii="仿宋_GB2312" w:hAnsi="宋体" w:eastAsia="仿宋_GB2312"/>
                <w:sz w:val="28"/>
                <w:szCs w:val="28"/>
              </w:rPr>
              <w:t>本次招标数量为预估，作为投标参考使用，最终根据采购人实际需求量及实际供货数量进行结算。</w:t>
            </w:r>
          </w:p>
        </w:tc>
      </w:tr>
      <w:tr w14:paraId="63EE2F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vAlign w:val="center"/>
          </w:tcPr>
          <w:p w14:paraId="5B741524">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w:t>
            </w:r>
            <w:r>
              <w:rPr>
                <w:rFonts w:ascii="仿宋_GB2312" w:hAnsi="宋体" w:eastAsia="仿宋_GB2312"/>
                <w:color w:val="000000" w:themeColor="text1"/>
                <w:sz w:val="28"/>
                <w:szCs w:val="28"/>
                <w14:textFill>
                  <w14:solidFill>
                    <w14:schemeClr w14:val="tx1"/>
                  </w14:solidFill>
                </w14:textFill>
              </w:rPr>
              <w:t>3</w:t>
            </w:r>
          </w:p>
        </w:tc>
        <w:tc>
          <w:tcPr>
            <w:tcW w:w="2155" w:type="dxa"/>
            <w:tcBorders>
              <w:top w:val="single" w:color="auto" w:sz="4" w:space="0"/>
              <w:left w:val="single" w:color="auto" w:sz="4" w:space="0"/>
              <w:bottom w:val="single" w:color="auto" w:sz="4" w:space="0"/>
              <w:right w:val="single" w:color="auto" w:sz="4" w:space="0"/>
            </w:tcBorders>
            <w:vAlign w:val="center"/>
          </w:tcPr>
          <w:p w14:paraId="0F5BF8CC">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是否允许兼投兼中</w:t>
            </w:r>
          </w:p>
        </w:tc>
        <w:tc>
          <w:tcPr>
            <w:tcW w:w="6625" w:type="dxa"/>
            <w:tcBorders>
              <w:top w:val="single" w:color="auto" w:sz="4" w:space="0"/>
              <w:left w:val="single" w:color="auto" w:sz="4" w:space="0"/>
              <w:bottom w:val="single" w:color="auto" w:sz="4" w:space="0"/>
            </w:tcBorders>
            <w:vAlign w:val="center"/>
          </w:tcPr>
          <w:p w14:paraId="5664611B">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允许</w:t>
            </w:r>
          </w:p>
        </w:tc>
      </w:tr>
      <w:tr w14:paraId="4C5608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vAlign w:val="center"/>
          </w:tcPr>
          <w:p w14:paraId="32A3A9CF">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w:t>
            </w:r>
            <w:r>
              <w:rPr>
                <w:rFonts w:ascii="仿宋_GB2312" w:hAnsi="宋体" w:eastAsia="仿宋_GB2312"/>
                <w:color w:val="000000" w:themeColor="text1"/>
                <w:sz w:val="28"/>
                <w:szCs w:val="28"/>
                <w14:textFill>
                  <w14:solidFill>
                    <w14:schemeClr w14:val="tx1"/>
                  </w14:solidFill>
                </w14:textFill>
              </w:rPr>
              <w:t>4</w:t>
            </w:r>
          </w:p>
        </w:tc>
        <w:tc>
          <w:tcPr>
            <w:tcW w:w="2155" w:type="dxa"/>
            <w:tcBorders>
              <w:top w:val="single" w:color="auto" w:sz="4" w:space="0"/>
              <w:left w:val="single" w:color="auto" w:sz="4" w:space="0"/>
              <w:bottom w:val="single" w:color="auto" w:sz="4" w:space="0"/>
              <w:right w:val="single" w:color="auto" w:sz="4" w:space="0"/>
            </w:tcBorders>
            <w:vAlign w:val="center"/>
          </w:tcPr>
          <w:p w14:paraId="4BB628FD">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资金来源</w:t>
            </w:r>
          </w:p>
        </w:tc>
        <w:tc>
          <w:tcPr>
            <w:tcW w:w="6625" w:type="dxa"/>
            <w:tcBorders>
              <w:top w:val="single" w:color="auto" w:sz="4" w:space="0"/>
              <w:left w:val="single" w:color="auto" w:sz="4" w:space="0"/>
              <w:bottom w:val="single" w:color="auto" w:sz="4" w:space="0"/>
            </w:tcBorders>
            <w:vAlign w:val="center"/>
          </w:tcPr>
          <w:p w14:paraId="264F53FE">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专项资金</w:t>
            </w:r>
          </w:p>
        </w:tc>
      </w:tr>
      <w:tr w14:paraId="68D6D5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908" w:type="dxa"/>
            <w:tcBorders>
              <w:top w:val="single" w:color="auto" w:sz="4" w:space="0"/>
              <w:bottom w:val="single" w:color="auto" w:sz="4" w:space="0"/>
              <w:right w:val="single" w:color="auto" w:sz="4" w:space="0"/>
            </w:tcBorders>
            <w:vAlign w:val="center"/>
          </w:tcPr>
          <w:p w14:paraId="1B854699">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w:t>
            </w:r>
            <w:r>
              <w:rPr>
                <w:rFonts w:ascii="仿宋_GB2312" w:hAnsi="宋体" w:eastAsia="仿宋_GB2312"/>
                <w:color w:val="000000" w:themeColor="text1"/>
                <w:sz w:val="28"/>
                <w:szCs w:val="28"/>
                <w14:textFill>
                  <w14:solidFill>
                    <w14:schemeClr w14:val="tx1"/>
                  </w14:solidFill>
                </w14:textFill>
              </w:rPr>
              <w:t>5</w:t>
            </w:r>
          </w:p>
        </w:tc>
        <w:tc>
          <w:tcPr>
            <w:tcW w:w="2155" w:type="dxa"/>
            <w:tcBorders>
              <w:top w:val="single" w:color="auto" w:sz="4" w:space="0"/>
              <w:left w:val="single" w:color="auto" w:sz="4" w:space="0"/>
              <w:bottom w:val="single" w:color="auto" w:sz="4" w:space="0"/>
              <w:right w:val="single" w:color="auto" w:sz="4" w:space="0"/>
            </w:tcBorders>
            <w:vAlign w:val="center"/>
          </w:tcPr>
          <w:p w14:paraId="62F22CA7">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落实情况</w:t>
            </w:r>
          </w:p>
        </w:tc>
        <w:tc>
          <w:tcPr>
            <w:tcW w:w="6625" w:type="dxa"/>
            <w:tcBorders>
              <w:top w:val="single" w:color="auto" w:sz="4" w:space="0"/>
              <w:left w:val="single" w:color="auto" w:sz="4" w:space="0"/>
              <w:bottom w:val="single" w:color="auto" w:sz="4" w:space="0"/>
            </w:tcBorders>
            <w:vAlign w:val="center"/>
          </w:tcPr>
          <w:p w14:paraId="7FA7F109">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已落实</w:t>
            </w:r>
          </w:p>
        </w:tc>
      </w:tr>
      <w:tr w14:paraId="31822D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14C7FEFD">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w:t>
            </w:r>
            <w:r>
              <w:rPr>
                <w:rFonts w:ascii="仿宋_GB2312" w:hAnsi="宋体" w:eastAsia="仿宋_GB2312"/>
                <w:color w:val="000000" w:themeColor="text1"/>
                <w:sz w:val="28"/>
                <w:szCs w:val="28"/>
                <w14:textFill>
                  <w14:solidFill>
                    <w14:schemeClr w14:val="tx1"/>
                  </w14:solidFill>
                </w14:textFill>
              </w:rPr>
              <w:t>6</w:t>
            </w:r>
          </w:p>
        </w:tc>
        <w:tc>
          <w:tcPr>
            <w:tcW w:w="2155" w:type="dxa"/>
            <w:tcBorders>
              <w:top w:val="single" w:color="auto" w:sz="4" w:space="0"/>
              <w:left w:val="single" w:color="auto" w:sz="4" w:space="0"/>
              <w:bottom w:val="single" w:color="auto" w:sz="4" w:space="0"/>
              <w:right w:val="single" w:color="auto" w:sz="4" w:space="0"/>
            </w:tcBorders>
            <w:vAlign w:val="center"/>
          </w:tcPr>
          <w:p w14:paraId="578DF1B2">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其他</w:t>
            </w:r>
          </w:p>
        </w:tc>
        <w:tc>
          <w:tcPr>
            <w:tcW w:w="6625" w:type="dxa"/>
            <w:tcBorders>
              <w:top w:val="single" w:color="auto" w:sz="4" w:space="0"/>
              <w:left w:val="single" w:color="auto" w:sz="4" w:space="0"/>
              <w:bottom w:val="single" w:color="auto" w:sz="4" w:space="0"/>
            </w:tcBorders>
            <w:vAlign w:val="center"/>
          </w:tcPr>
          <w:p w14:paraId="7B7E25EF">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本项目按货物类以公开招标方式实施采购</w:t>
            </w:r>
          </w:p>
        </w:tc>
      </w:tr>
      <w:tr w14:paraId="5C590A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6A20DB43">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w:t>
            </w:r>
            <w:r>
              <w:rPr>
                <w:rFonts w:ascii="仿宋_GB2312" w:hAnsi="宋体" w:eastAsia="仿宋_GB2312"/>
                <w:color w:val="000000" w:themeColor="text1"/>
                <w:sz w:val="28"/>
                <w:szCs w:val="28"/>
                <w14:textFill>
                  <w14:solidFill>
                    <w14:schemeClr w14:val="tx1"/>
                  </w14:solidFill>
                </w14:textFill>
              </w:rPr>
              <w:t>7</w:t>
            </w:r>
          </w:p>
        </w:tc>
        <w:tc>
          <w:tcPr>
            <w:tcW w:w="2155" w:type="dxa"/>
            <w:tcBorders>
              <w:top w:val="single" w:color="auto" w:sz="4" w:space="0"/>
              <w:left w:val="single" w:color="auto" w:sz="4" w:space="0"/>
              <w:bottom w:val="single" w:color="auto" w:sz="4" w:space="0"/>
              <w:right w:val="single" w:color="auto" w:sz="4" w:space="0"/>
            </w:tcBorders>
            <w:vAlign w:val="center"/>
          </w:tcPr>
          <w:p w14:paraId="09887701">
            <w:pPr>
              <w:spacing w:line="560" w:lineRule="exact"/>
              <w:jc w:val="center"/>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代理服务费</w:t>
            </w:r>
          </w:p>
        </w:tc>
        <w:tc>
          <w:tcPr>
            <w:tcW w:w="6625" w:type="dxa"/>
            <w:tcBorders>
              <w:top w:val="single" w:color="auto" w:sz="4" w:space="0"/>
              <w:left w:val="single" w:color="auto" w:sz="4" w:space="0"/>
              <w:bottom w:val="single" w:color="auto" w:sz="4" w:space="0"/>
            </w:tcBorders>
            <w:vAlign w:val="center"/>
          </w:tcPr>
          <w:p w14:paraId="534A16C9">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本项目代理服务费参照《招标代理服务收费管理暂行办法》规定的货物类收费标准收取，由中标供应商签订合同时向招标公司全额交纳。</w:t>
            </w:r>
          </w:p>
        </w:tc>
      </w:tr>
    </w:tbl>
    <w:p w14:paraId="5EF165D7">
      <w:pPr>
        <w:pStyle w:val="2"/>
        <w:ind w:firstLine="0"/>
        <w:rPr>
          <w:color w:val="000000" w:themeColor="text1"/>
          <w14:textFill>
            <w14:solidFill>
              <w14:schemeClr w14:val="tx1"/>
            </w14:solidFill>
          </w14:textFill>
        </w:rPr>
      </w:pPr>
    </w:p>
    <w:p w14:paraId="6DDCC112">
      <w:pPr>
        <w:pStyle w:val="2"/>
        <w:ind w:firstLine="0"/>
        <w:rPr>
          <w:color w:val="000000" w:themeColor="text1"/>
          <w14:textFill>
            <w14:solidFill>
              <w14:schemeClr w14:val="tx1"/>
            </w14:solidFill>
          </w14:textFill>
        </w:rPr>
      </w:pPr>
    </w:p>
    <w:p w14:paraId="48E7B2D2">
      <w:pPr>
        <w:spacing w:line="560" w:lineRule="exact"/>
        <w:ind w:firstLine="643" w:firstLineChars="201"/>
        <w:jc w:val="center"/>
        <w:rPr>
          <w:rFonts w:eastAsia="黑体"/>
          <w:color w:val="000000" w:themeColor="text1"/>
          <w:sz w:val="32"/>
          <w:szCs w:val="32"/>
          <w14:textFill>
            <w14:solidFill>
              <w14:schemeClr w14:val="tx1"/>
            </w14:solidFill>
          </w14:textFill>
        </w:rPr>
      </w:pPr>
    </w:p>
    <w:p w14:paraId="7BC3EFB0">
      <w:pPr>
        <w:pStyle w:val="2"/>
        <w:rPr>
          <w:color w:val="000000" w:themeColor="text1"/>
          <w14:textFill>
            <w14:solidFill>
              <w14:schemeClr w14:val="tx1"/>
            </w14:solidFill>
          </w14:textFill>
        </w:rPr>
      </w:pPr>
    </w:p>
    <w:p w14:paraId="26CF2521">
      <w:pPr>
        <w:pStyle w:val="2"/>
        <w:rPr>
          <w:color w:val="000000" w:themeColor="text1"/>
          <w14:textFill>
            <w14:solidFill>
              <w14:schemeClr w14:val="tx1"/>
            </w14:solidFill>
          </w14:textFill>
        </w:rPr>
      </w:pPr>
    </w:p>
    <w:p w14:paraId="73D035EE">
      <w:pPr>
        <w:pStyle w:val="2"/>
        <w:rPr>
          <w:color w:val="000000" w:themeColor="text1"/>
          <w14:textFill>
            <w14:solidFill>
              <w14:schemeClr w14:val="tx1"/>
            </w14:solidFill>
          </w14:textFill>
        </w:rPr>
      </w:pPr>
    </w:p>
    <w:p w14:paraId="15B1EE97">
      <w:pPr>
        <w:pStyle w:val="2"/>
        <w:rPr>
          <w:color w:val="000000" w:themeColor="text1"/>
          <w14:textFill>
            <w14:solidFill>
              <w14:schemeClr w14:val="tx1"/>
            </w14:solidFill>
          </w14:textFill>
        </w:rPr>
      </w:pPr>
    </w:p>
    <w:p w14:paraId="661AC589">
      <w:pPr>
        <w:pStyle w:val="2"/>
        <w:rPr>
          <w:color w:val="000000" w:themeColor="text1"/>
          <w14:textFill>
            <w14:solidFill>
              <w14:schemeClr w14:val="tx1"/>
            </w14:solidFill>
          </w14:textFill>
        </w:rPr>
      </w:pPr>
    </w:p>
    <w:p w14:paraId="2C18F8D4">
      <w:pPr>
        <w:widowControl/>
        <w:jc w:val="left"/>
        <w:rPr>
          <w:rFonts w:ascii="等线" w:hAnsi="等线" w:eastAsia="等线"/>
          <w:color w:val="000000" w:themeColor="text1"/>
          <w:szCs w:val="22"/>
          <w14:textFill>
            <w14:solidFill>
              <w14:schemeClr w14:val="tx1"/>
            </w14:solidFill>
          </w14:textFill>
        </w:rPr>
      </w:pPr>
      <w:r>
        <w:rPr>
          <w:color w:val="000000" w:themeColor="text1"/>
          <w14:textFill>
            <w14:solidFill>
              <w14:schemeClr w14:val="tx1"/>
            </w14:solidFill>
          </w14:textFill>
        </w:rPr>
        <w:br w:type="page"/>
      </w:r>
    </w:p>
    <w:p w14:paraId="550EB19C">
      <w:pPr>
        <w:pStyle w:val="2"/>
        <w:rPr>
          <w:color w:val="000000" w:themeColor="text1"/>
          <w14:textFill>
            <w14:solidFill>
              <w14:schemeClr w14:val="tx1"/>
            </w14:solidFill>
          </w14:textFill>
        </w:rPr>
      </w:pPr>
    </w:p>
    <w:p w14:paraId="2FC08A49">
      <w:pPr>
        <w:spacing w:line="560" w:lineRule="exact"/>
        <w:ind w:firstLine="643" w:firstLineChars="201"/>
        <w:jc w:val="center"/>
        <w:rPr>
          <w:rFonts w:eastAsia="黑体"/>
          <w:color w:val="000000" w:themeColor="text1"/>
          <w:sz w:val="32"/>
          <w:szCs w:val="32"/>
          <w14:textFill>
            <w14:solidFill>
              <w14:schemeClr w14:val="tx1"/>
            </w14:solidFill>
          </w14:textFill>
        </w:rPr>
      </w:pPr>
      <w:r>
        <w:rPr>
          <w:rFonts w:hint="eastAsia" w:eastAsia="黑体"/>
          <w:color w:val="000000" w:themeColor="text1"/>
          <w:sz w:val="32"/>
          <w:szCs w:val="32"/>
          <w14:textFill>
            <w14:solidFill>
              <w14:schemeClr w14:val="tx1"/>
            </w14:solidFill>
          </w14:textFill>
        </w:rPr>
        <w:t>《实质性条款一览表》</w:t>
      </w:r>
    </w:p>
    <w:p w14:paraId="0885D97B">
      <w:pPr>
        <w:snapToGrid w:val="0"/>
        <w:spacing w:line="500" w:lineRule="exact"/>
        <w:ind w:firstLine="561"/>
        <w:jc w:val="left"/>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说明：本表系招标文件及修改性文件中涉及的所有实质性条款的汇总。不允许有任何负偏离，否则投标将被否决。</w:t>
      </w:r>
    </w:p>
    <w:tbl>
      <w:tblPr>
        <w:tblStyle w:val="4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070"/>
      </w:tblGrid>
      <w:tr w14:paraId="4AEF48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1F4F7B0">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7DCED0A8">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项目名称</w:t>
            </w:r>
          </w:p>
        </w:tc>
        <w:tc>
          <w:tcPr>
            <w:tcW w:w="6070" w:type="dxa"/>
            <w:tcBorders>
              <w:top w:val="single" w:color="auto" w:sz="4" w:space="0"/>
              <w:left w:val="single" w:color="auto" w:sz="4" w:space="0"/>
              <w:bottom w:val="single" w:color="auto" w:sz="4" w:space="0"/>
            </w:tcBorders>
            <w:vAlign w:val="center"/>
          </w:tcPr>
          <w:p w14:paraId="0227C64E">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内       容</w:t>
            </w:r>
          </w:p>
        </w:tc>
      </w:tr>
      <w:tr w14:paraId="1B4973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58C979C1">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w:t>
            </w:r>
          </w:p>
        </w:tc>
        <w:tc>
          <w:tcPr>
            <w:tcW w:w="2155" w:type="dxa"/>
            <w:tcBorders>
              <w:top w:val="single" w:color="auto" w:sz="4" w:space="0"/>
              <w:left w:val="single" w:color="auto" w:sz="4" w:space="0"/>
              <w:bottom w:val="single" w:color="auto" w:sz="4" w:space="0"/>
              <w:right w:val="single" w:color="auto" w:sz="4" w:space="0"/>
            </w:tcBorders>
            <w:vAlign w:val="center"/>
          </w:tcPr>
          <w:p w14:paraId="4450CD4F">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资格性核查</w:t>
            </w:r>
          </w:p>
        </w:tc>
        <w:tc>
          <w:tcPr>
            <w:tcW w:w="6070" w:type="dxa"/>
            <w:tcBorders>
              <w:top w:val="single" w:color="auto" w:sz="4" w:space="0"/>
              <w:left w:val="single" w:color="auto" w:sz="4" w:space="0"/>
              <w:bottom w:val="single" w:color="auto" w:sz="4" w:space="0"/>
            </w:tcBorders>
          </w:tcPr>
          <w:p w14:paraId="6AE134A0">
            <w:pPr>
              <w:pStyle w:val="126"/>
              <w:numPr>
                <w:ilvl w:val="0"/>
                <w:numId w:val="4"/>
              </w:numPr>
              <w:spacing w:line="560" w:lineRule="exact"/>
              <w:rPr>
                <w:rFonts w:ascii="仿宋_GB2312" w:hAnsi="宋体" w:eastAsia="仿宋_GB2312"/>
                <w:sz w:val="28"/>
                <w:szCs w:val="28"/>
              </w:rPr>
            </w:pPr>
            <w:r>
              <w:rPr>
                <w:rFonts w:hint="eastAsia" w:ascii="仿宋_GB2312" w:hAnsi="宋体" w:eastAsia="仿宋_GB2312"/>
                <w:sz w:val="28"/>
                <w:szCs w:val="28"/>
              </w:rPr>
              <w:t>有效的营业执照副本扫描件；</w:t>
            </w:r>
            <w:r>
              <w:rPr>
                <w:rFonts w:ascii="仿宋_GB2312" w:hAnsi="宋体" w:eastAsia="仿宋_GB2312"/>
                <w:sz w:val="28"/>
                <w:szCs w:val="28"/>
              </w:rPr>
              <w:t xml:space="preserve"> </w:t>
            </w:r>
          </w:p>
          <w:p w14:paraId="5CACD1AA">
            <w:pPr>
              <w:spacing w:line="560" w:lineRule="exact"/>
              <w:rPr>
                <w:rFonts w:ascii="仿宋_GB2312" w:hAnsi="宋体" w:eastAsia="仿宋_GB2312"/>
                <w:sz w:val="28"/>
                <w:szCs w:val="28"/>
              </w:rPr>
            </w:pPr>
            <w:r>
              <w:rPr>
                <w:rFonts w:hint="eastAsia" w:ascii="仿宋_GB2312" w:hAnsi="宋体" w:eastAsia="仿宋_GB2312"/>
                <w:sz w:val="28"/>
                <w:szCs w:val="28"/>
              </w:rPr>
              <w:t>2.法人授权委托书、被授权人身份证扫描件；</w:t>
            </w:r>
            <w:r>
              <w:rPr>
                <w:rFonts w:ascii="仿宋_GB2312" w:hAnsi="宋体" w:eastAsia="仿宋_GB2312"/>
                <w:sz w:val="28"/>
                <w:szCs w:val="28"/>
              </w:rPr>
              <w:t xml:space="preserve"> </w:t>
            </w:r>
          </w:p>
          <w:p w14:paraId="6CF44431">
            <w:pPr>
              <w:spacing w:line="560" w:lineRule="exact"/>
              <w:rPr>
                <w:rFonts w:ascii="仿宋_GB2312" w:hAnsi="宋体" w:eastAsia="仿宋_GB2312"/>
                <w:sz w:val="28"/>
                <w:szCs w:val="28"/>
              </w:rPr>
            </w:pPr>
            <w:r>
              <w:rPr>
                <w:rFonts w:hint="eastAsia" w:ascii="仿宋_GB2312" w:hAnsi="宋体" w:eastAsia="仿宋_GB2312"/>
                <w:sz w:val="28"/>
                <w:szCs w:val="28"/>
              </w:rPr>
              <w:t>3.农药、化肥产品须具有</w:t>
            </w:r>
            <w:bookmarkStart w:id="7" w:name="OLE_LINK2"/>
            <w:r>
              <w:rPr>
                <w:rFonts w:hint="eastAsia" w:ascii="仿宋_GB2312" w:hAnsi="宋体" w:eastAsia="仿宋_GB2312"/>
                <w:sz w:val="28"/>
                <w:szCs w:val="28"/>
              </w:rPr>
              <w:t>农业部</w:t>
            </w:r>
            <w:bookmarkEnd w:id="7"/>
            <w:r>
              <w:rPr>
                <w:rFonts w:hint="eastAsia" w:ascii="仿宋_GB2312" w:hAnsi="宋体" w:eastAsia="仿宋_GB2312"/>
                <w:sz w:val="28"/>
                <w:szCs w:val="28"/>
              </w:rPr>
              <w:t>或</w:t>
            </w:r>
            <w:bookmarkStart w:id="8" w:name="OLE_LINK5"/>
            <w:r>
              <w:rPr>
                <w:rFonts w:hint="eastAsia" w:ascii="仿宋_GB2312" w:hAnsi="宋体" w:eastAsia="仿宋_GB2312"/>
                <w:sz w:val="28"/>
                <w:szCs w:val="28"/>
              </w:rPr>
              <w:t>省农业厅</w:t>
            </w:r>
            <w:bookmarkEnd w:id="8"/>
            <w:r>
              <w:rPr>
                <w:rFonts w:hint="eastAsia" w:ascii="仿宋_GB2312" w:hAnsi="宋体" w:eastAsia="仿宋_GB2312"/>
                <w:sz w:val="28"/>
                <w:szCs w:val="28"/>
              </w:rPr>
              <w:t>颁发的在有效期内的登记证扫描件；（政策规定肥料不需要登记证除外，如高浓度复合肥、磷酸二氢钾、尿素等,详见农业部“肥料管理条例”）；</w:t>
            </w:r>
          </w:p>
          <w:p w14:paraId="71E8F90B">
            <w:pPr>
              <w:spacing w:line="560" w:lineRule="exact"/>
              <w:rPr>
                <w:rFonts w:ascii="仿宋_GB2312" w:hAnsi="宋体" w:eastAsia="仿宋_GB2312"/>
                <w:sz w:val="28"/>
                <w:szCs w:val="28"/>
              </w:rPr>
            </w:pPr>
            <w:r>
              <w:rPr>
                <w:rFonts w:hint="eastAsia" w:ascii="仿宋_GB2312" w:hAnsi="宋体" w:eastAsia="仿宋_GB2312"/>
                <w:sz w:val="28"/>
                <w:szCs w:val="28"/>
              </w:rPr>
              <w:t>4.农药、化肥产品须具有省级农业行政部门颁发的在有效期内的生产许可证扫描件；（</w:t>
            </w:r>
            <w:bookmarkStart w:id="9" w:name="OLE_LINK14"/>
            <w:r>
              <w:rPr>
                <w:rFonts w:hint="eastAsia" w:ascii="仿宋_GB2312" w:hAnsi="宋体" w:eastAsia="仿宋_GB2312"/>
                <w:sz w:val="28"/>
                <w:szCs w:val="28"/>
              </w:rPr>
              <w:t>微生物</w:t>
            </w:r>
            <w:bookmarkStart w:id="10" w:name="OLE_LINK10"/>
            <w:r>
              <w:rPr>
                <w:rFonts w:hint="eastAsia" w:ascii="仿宋_GB2312" w:hAnsi="宋体" w:eastAsia="仿宋_GB2312"/>
                <w:sz w:val="28"/>
                <w:szCs w:val="28"/>
              </w:rPr>
              <w:t>菌</w:t>
            </w:r>
            <w:bookmarkEnd w:id="10"/>
            <w:r>
              <w:rPr>
                <w:rFonts w:hint="eastAsia" w:ascii="仿宋_GB2312" w:hAnsi="宋体" w:eastAsia="仿宋_GB2312"/>
                <w:sz w:val="28"/>
                <w:szCs w:val="28"/>
              </w:rPr>
              <w:t>剂，枯草芽孢杆菌，复合微生物肥等含菌肥料,水溶性肥料等产品不需要颁发“生产许可证”)；</w:t>
            </w:r>
            <w:r>
              <w:rPr>
                <w:rFonts w:ascii="仿宋_GB2312" w:hAnsi="宋体" w:eastAsia="仿宋_GB2312"/>
                <w:sz w:val="28"/>
                <w:szCs w:val="28"/>
              </w:rPr>
              <w:t xml:space="preserve"> </w:t>
            </w:r>
          </w:p>
          <w:bookmarkEnd w:id="9"/>
          <w:p w14:paraId="11A714E8">
            <w:pPr>
              <w:spacing w:line="560" w:lineRule="exact"/>
              <w:rPr>
                <w:rFonts w:ascii="仿宋_GB2312" w:hAnsi="宋体" w:eastAsia="仿宋_GB2312"/>
                <w:sz w:val="28"/>
                <w:szCs w:val="28"/>
              </w:rPr>
            </w:pPr>
            <w:r>
              <w:rPr>
                <w:rFonts w:hint="eastAsia" w:ascii="仿宋_GB2312" w:hAnsi="宋体" w:eastAsia="仿宋_GB2312"/>
                <w:sz w:val="28"/>
                <w:szCs w:val="28"/>
              </w:rPr>
              <w:t>5.“执行质量标准备案证”农药、化肥产品须具有国家标准委员会或质量监督局颁发的在有效期内的执行</w:t>
            </w:r>
            <w:bookmarkStart w:id="11" w:name="OLE_LINK11"/>
            <w:r>
              <w:rPr>
                <w:rFonts w:hint="eastAsia" w:ascii="仿宋_GB2312" w:hAnsi="宋体" w:eastAsia="仿宋_GB2312"/>
                <w:sz w:val="28"/>
                <w:szCs w:val="28"/>
              </w:rPr>
              <w:t>质量标准</w:t>
            </w:r>
            <w:bookmarkEnd w:id="11"/>
            <w:r>
              <w:rPr>
                <w:rFonts w:hint="eastAsia" w:ascii="仿宋_GB2312" w:hAnsi="宋体" w:eastAsia="仿宋_GB2312"/>
                <w:sz w:val="28"/>
                <w:szCs w:val="28"/>
              </w:rPr>
              <w:t>备案证扫描件；</w:t>
            </w:r>
            <w:r>
              <w:rPr>
                <w:rFonts w:ascii="仿宋_GB2312" w:hAnsi="宋体" w:eastAsia="仿宋_GB2312"/>
                <w:sz w:val="28"/>
                <w:szCs w:val="28"/>
              </w:rPr>
              <w:t xml:space="preserve"> </w:t>
            </w:r>
          </w:p>
          <w:p w14:paraId="51D9D023">
            <w:pPr>
              <w:spacing w:line="560" w:lineRule="exact"/>
              <w:rPr>
                <w:rFonts w:ascii="仿宋_GB2312" w:hAnsi="宋体" w:eastAsia="仿宋_GB2312"/>
                <w:sz w:val="28"/>
                <w:szCs w:val="28"/>
              </w:rPr>
            </w:pPr>
            <w:r>
              <w:rPr>
                <w:rFonts w:hint="eastAsia" w:ascii="仿宋_GB2312" w:hAnsi="宋体" w:eastAsia="仿宋_GB2312"/>
                <w:sz w:val="28"/>
                <w:szCs w:val="28"/>
              </w:rPr>
              <w:t>注：农药、化肥登记证和生产许可证必须是同一生产企业。</w:t>
            </w:r>
          </w:p>
          <w:p w14:paraId="2C12AFF9">
            <w:pPr>
              <w:spacing w:line="560" w:lineRule="exact"/>
              <w:rPr>
                <w:rFonts w:ascii="仿宋_GB2312" w:hAnsi="宋体" w:eastAsia="仿宋_GB2312"/>
                <w:sz w:val="28"/>
                <w:szCs w:val="28"/>
              </w:rPr>
            </w:pPr>
            <w:r>
              <w:rPr>
                <w:rFonts w:hint="eastAsia" w:ascii="仿宋_GB2312" w:hAnsi="宋体" w:eastAsia="仿宋_GB2312"/>
                <w:sz w:val="28"/>
                <w:szCs w:val="28"/>
              </w:rPr>
              <w:t>6.如投标人为产品经营单位还需提供“农药经营许可证”扫描件；</w:t>
            </w:r>
            <w:r>
              <w:rPr>
                <w:rFonts w:ascii="仿宋_GB2312" w:hAnsi="宋体" w:eastAsia="仿宋_GB2312"/>
                <w:sz w:val="28"/>
                <w:szCs w:val="28"/>
              </w:rPr>
              <w:t xml:space="preserve"> </w:t>
            </w:r>
          </w:p>
          <w:p w14:paraId="63F5B474">
            <w:pPr>
              <w:spacing w:line="560" w:lineRule="exact"/>
              <w:rPr>
                <w:rFonts w:ascii="仿宋_GB2312" w:hAnsi="宋体" w:eastAsia="仿宋_GB2312"/>
                <w:sz w:val="28"/>
                <w:szCs w:val="28"/>
              </w:rPr>
            </w:pPr>
            <w:r>
              <w:rPr>
                <w:rFonts w:hint="eastAsia" w:ascii="仿宋_GB2312" w:hAnsi="宋体" w:eastAsia="仿宋_GB2312"/>
                <w:sz w:val="28"/>
                <w:szCs w:val="28"/>
              </w:rPr>
              <w:t>7.投标人的依法缴纳税收声明和社会保障资金的声明；近期的完税凭证扫描件及交纳社保资金凭证的扫描件；</w:t>
            </w:r>
            <w:r>
              <w:rPr>
                <w:rFonts w:ascii="仿宋_GB2312" w:hAnsi="宋体" w:eastAsia="仿宋_GB2312"/>
                <w:sz w:val="28"/>
                <w:szCs w:val="28"/>
              </w:rPr>
              <w:t xml:space="preserve"> </w:t>
            </w:r>
          </w:p>
          <w:p w14:paraId="6418AD8A">
            <w:pPr>
              <w:spacing w:line="560" w:lineRule="exact"/>
              <w:rPr>
                <w:rFonts w:ascii="仿宋_GB2312" w:hAnsi="宋体" w:eastAsia="仿宋_GB2312"/>
                <w:sz w:val="28"/>
                <w:szCs w:val="28"/>
              </w:rPr>
            </w:pPr>
            <w:r>
              <w:rPr>
                <w:rFonts w:hint="eastAsia" w:ascii="仿宋_GB2312" w:hAnsi="宋体" w:eastAsia="仿宋_GB2312"/>
                <w:sz w:val="28"/>
                <w:szCs w:val="28"/>
              </w:rPr>
              <w:t>8.投标人参加本项目投标前三年内无重大违法违纪行为声明；</w:t>
            </w:r>
            <w:r>
              <w:rPr>
                <w:rFonts w:ascii="仿宋_GB2312" w:hAnsi="宋体" w:eastAsia="仿宋_GB2312"/>
                <w:sz w:val="28"/>
                <w:szCs w:val="28"/>
              </w:rPr>
              <w:t xml:space="preserve"> </w:t>
            </w:r>
          </w:p>
          <w:p w14:paraId="21C67A73">
            <w:pPr>
              <w:spacing w:line="560" w:lineRule="exact"/>
              <w:rPr>
                <w:rFonts w:ascii="仿宋_GB2312" w:hAnsi="宋体" w:eastAsia="仿宋_GB2312"/>
                <w:sz w:val="28"/>
                <w:szCs w:val="28"/>
              </w:rPr>
            </w:pPr>
            <w:r>
              <w:rPr>
                <w:rFonts w:hint="eastAsia" w:ascii="仿宋_GB2312" w:hAnsi="宋体" w:eastAsia="仿宋_GB2312"/>
                <w:sz w:val="28"/>
                <w:szCs w:val="28"/>
              </w:rPr>
              <w:t>9.</w:t>
            </w:r>
            <w:r>
              <w:rPr>
                <w:rFonts w:hint="eastAsia" w:ascii="仿宋" w:hAnsi="仿宋" w:eastAsia="仿宋" w:cs="宋体"/>
                <w:sz w:val="28"/>
                <w:szCs w:val="28"/>
              </w:rPr>
              <w:t>投标人自行编制的近一年度公司财务报表或由中介机构出具的2024或2025年度财务审计报告书扫描件</w:t>
            </w:r>
            <w:r>
              <w:rPr>
                <w:rFonts w:hint="eastAsia" w:ascii="仿宋_GB2312" w:hAnsi="宋体" w:eastAsia="仿宋_GB2312"/>
                <w:sz w:val="28"/>
                <w:szCs w:val="28"/>
              </w:rPr>
              <w:t>； B.银行出具的有效期内的资信证明扫描件。注：A、B两项提供任意一项均可；</w:t>
            </w:r>
            <w:r>
              <w:rPr>
                <w:rFonts w:ascii="仿宋_GB2312" w:hAnsi="宋体" w:eastAsia="仿宋_GB2312"/>
                <w:sz w:val="28"/>
                <w:szCs w:val="28"/>
              </w:rPr>
              <w:t xml:space="preserve"> </w:t>
            </w:r>
          </w:p>
          <w:p w14:paraId="56545628">
            <w:pPr>
              <w:spacing w:line="560" w:lineRule="exact"/>
              <w:rPr>
                <w:rFonts w:ascii="仿宋_GB2312" w:hAnsi="宋体" w:eastAsia="仿宋_GB2312"/>
                <w:sz w:val="28"/>
                <w:szCs w:val="28"/>
              </w:rPr>
            </w:pPr>
            <w:r>
              <w:rPr>
                <w:rFonts w:hint="eastAsia" w:ascii="仿宋_GB2312" w:hAnsi="宋体" w:eastAsia="仿宋_GB2312"/>
                <w:sz w:val="28"/>
                <w:szCs w:val="28"/>
              </w:rPr>
              <w:t>10.投标人、法定代表人、授权委托人未被最高法院列入失信被执行人；</w:t>
            </w:r>
            <w:r>
              <w:rPr>
                <w:rFonts w:ascii="仿宋_GB2312" w:hAnsi="宋体" w:eastAsia="仿宋_GB2312"/>
                <w:sz w:val="28"/>
                <w:szCs w:val="28"/>
              </w:rPr>
              <w:t xml:space="preserve"> </w:t>
            </w:r>
          </w:p>
          <w:p w14:paraId="7C7A2833">
            <w:pPr>
              <w:spacing w:line="560" w:lineRule="exact"/>
              <w:rPr>
                <w:rFonts w:ascii="仿宋_GB2312" w:hAnsi="宋体" w:eastAsia="仿宋_GB2312"/>
                <w:sz w:val="28"/>
                <w:szCs w:val="28"/>
              </w:rPr>
            </w:pPr>
            <w:r>
              <w:rPr>
                <w:rFonts w:hint="eastAsia" w:ascii="仿宋_GB2312" w:hAnsi="宋体" w:eastAsia="仿宋_GB2312"/>
                <w:sz w:val="28"/>
                <w:szCs w:val="28"/>
              </w:rPr>
              <w:t>11.国家或行业主管部门规定必须具有的资质、资格证书及其认证测试报告等扫描件；</w:t>
            </w:r>
            <w:r>
              <w:rPr>
                <w:rFonts w:ascii="仿宋_GB2312" w:hAnsi="宋体" w:eastAsia="仿宋_GB2312"/>
                <w:sz w:val="28"/>
                <w:szCs w:val="28"/>
              </w:rPr>
              <w:t xml:space="preserve"> </w:t>
            </w:r>
          </w:p>
          <w:p w14:paraId="75652D67">
            <w:pPr>
              <w:spacing w:line="560" w:lineRule="exact"/>
              <w:rPr>
                <w:rFonts w:ascii="仿宋_GB2312" w:hAnsi="宋体" w:eastAsia="仿宋_GB2312"/>
                <w:sz w:val="28"/>
                <w:szCs w:val="28"/>
              </w:rPr>
            </w:pPr>
            <w:r>
              <w:rPr>
                <w:rFonts w:hint="eastAsia" w:ascii="仿宋_GB2312" w:hAnsi="宋体" w:eastAsia="仿宋_GB2312"/>
                <w:sz w:val="28"/>
                <w:szCs w:val="28"/>
              </w:rPr>
              <w:t>12.招标文件第四部分“采购项目说明”要求的有关资质资格文件扫描件；</w:t>
            </w:r>
            <w:r>
              <w:rPr>
                <w:rFonts w:ascii="仿宋_GB2312" w:hAnsi="宋体" w:eastAsia="仿宋_GB2312"/>
                <w:sz w:val="28"/>
                <w:szCs w:val="28"/>
              </w:rPr>
              <w:t xml:space="preserve"> </w:t>
            </w:r>
          </w:p>
          <w:p w14:paraId="458BB271">
            <w:pPr>
              <w:spacing w:line="560" w:lineRule="exact"/>
              <w:rPr>
                <w:rFonts w:ascii="仿宋_GB2312" w:hAnsi="宋体" w:eastAsia="仿宋_GB2312"/>
                <w:sz w:val="28"/>
                <w:szCs w:val="28"/>
              </w:rPr>
            </w:pPr>
            <w:r>
              <w:rPr>
                <w:rFonts w:hint="eastAsia" w:ascii="仿宋_GB2312" w:hAnsi="宋体" w:eastAsia="仿宋_GB2312"/>
                <w:sz w:val="28"/>
                <w:szCs w:val="28"/>
              </w:rPr>
              <w:t>13.投标人认为需要提供的其它资质资格证明文件扫描件。</w:t>
            </w:r>
          </w:p>
        </w:tc>
      </w:tr>
      <w:tr w14:paraId="2C11D2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6BEBE4F2">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w:t>
            </w:r>
          </w:p>
        </w:tc>
        <w:tc>
          <w:tcPr>
            <w:tcW w:w="2155" w:type="dxa"/>
            <w:tcBorders>
              <w:top w:val="single" w:color="auto" w:sz="4" w:space="0"/>
              <w:left w:val="single" w:color="auto" w:sz="4" w:space="0"/>
              <w:bottom w:val="single" w:color="auto" w:sz="4" w:space="0"/>
              <w:right w:val="single" w:color="auto" w:sz="4" w:space="0"/>
            </w:tcBorders>
            <w:vAlign w:val="center"/>
          </w:tcPr>
          <w:p w14:paraId="53BB0C94">
            <w:pPr>
              <w:spacing w:line="560" w:lineRule="exact"/>
              <w:ind w:firstLine="280" w:firstLineChars="100"/>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符合性检查</w:t>
            </w:r>
          </w:p>
        </w:tc>
        <w:tc>
          <w:tcPr>
            <w:tcW w:w="6070" w:type="dxa"/>
            <w:tcBorders>
              <w:top w:val="single" w:color="auto" w:sz="4" w:space="0"/>
              <w:left w:val="single" w:color="auto" w:sz="4" w:space="0"/>
              <w:bottom w:val="single" w:color="auto" w:sz="4" w:space="0"/>
            </w:tcBorders>
            <w:vAlign w:val="center"/>
          </w:tcPr>
          <w:p w14:paraId="49DE5C90">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1.单价超出上限控制单价或预算的。</w:t>
            </w:r>
          </w:p>
          <w:p w14:paraId="7291CF22">
            <w:pPr>
              <w:spacing w:line="560" w:lineRule="exact"/>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2.存在招标文件24.3的关于投标人串通投标的物情形及其他投标无效的情形。</w:t>
            </w:r>
          </w:p>
          <w:p w14:paraId="5EC44ED9">
            <w:pPr>
              <w:spacing w:line="560" w:lineRule="exact"/>
              <w:rPr>
                <w:color w:val="000000" w:themeColor="text1"/>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3.评标委员会认为不符合招标文件其他实质性要求或法律规定的。</w:t>
            </w:r>
          </w:p>
        </w:tc>
      </w:tr>
    </w:tbl>
    <w:p w14:paraId="42CAC86D">
      <w:pPr>
        <w:rPr>
          <w:rFonts w:ascii="宋体" w:hAnsi="宋体"/>
          <w:color w:val="000000" w:themeColor="text1"/>
          <w:szCs w:val="28"/>
          <w14:textFill>
            <w14:solidFill>
              <w14:schemeClr w14:val="tx1"/>
            </w14:solidFill>
          </w14:textFill>
        </w:rPr>
      </w:pPr>
    </w:p>
    <w:p w14:paraId="7877D82F">
      <w:pPr>
        <w:spacing w:line="560" w:lineRule="exact"/>
        <w:ind w:firstLine="422" w:firstLineChars="201"/>
        <w:rPr>
          <w:rFonts w:ascii="黑体" w:hAnsi="黑体" w:eastAsia="黑体"/>
          <w:b/>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br w:type="page"/>
      </w:r>
      <w:r>
        <w:rPr>
          <w:rFonts w:hint="eastAsia" w:ascii="楷体_GB2312" w:hAnsi="仿宋" w:eastAsia="楷体_GB2312" w:cs="宋体"/>
          <w:b/>
          <w:color w:val="000000" w:themeColor="text1"/>
          <w:sz w:val="28"/>
          <w:szCs w:val="28"/>
          <w14:textFill>
            <w14:solidFill>
              <w14:schemeClr w14:val="tx1"/>
            </w14:solidFill>
          </w14:textFill>
        </w:rPr>
        <w:t>一、说明</w:t>
      </w:r>
    </w:p>
    <w:p w14:paraId="28AD741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214A86B8">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1.适用范围</w:t>
      </w:r>
    </w:p>
    <w:p w14:paraId="431F12D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1.1 本招标文件仅适用于本次招标公告中所涉及的项目和内容。</w:t>
      </w:r>
    </w:p>
    <w:p w14:paraId="1A21AAD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1.2 本招标文件的解释权为</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，以书面解释为准。</w:t>
      </w:r>
    </w:p>
    <w:p w14:paraId="18A344C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1.3 招标文件未做须知明示，而又有相关法律、法规规定的，从其规定。</w:t>
      </w:r>
    </w:p>
    <w:p w14:paraId="4A9193BA">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2.相关要求</w:t>
      </w:r>
    </w:p>
    <w:p w14:paraId="4DDD2AD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2.1投标人应承担所有与准备和参加投标有关的费用。不论投标结果如何，</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和采购人均无义务和责任承担这些费用。</w:t>
      </w:r>
    </w:p>
    <w:p w14:paraId="38C0BBD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2.2本项目若涉及采购货物，则合格的货物及相应服务应满足以下要求：</w:t>
      </w:r>
    </w:p>
    <w:p w14:paraId="54F3031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2.2.1必须是全新、未使用过的原装合格正品（包括零部件），如安装或配置了软件的，须为正版软件。</w:t>
      </w:r>
    </w:p>
    <w:p w14:paraId="09CB71D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2.2.2国产的货物及其有关服务必须符合中华人民共和国的设计和制造生产标准或行业标准。招标公告有其他要求的，亦应符合其要求。</w:t>
      </w:r>
    </w:p>
    <w:p w14:paraId="5CDAF3B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56C4663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791D7F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2.3按照《关于做好政府采购信用信息查询使用及登记工作的通知》（鲁财采[2016]34号）的要求，</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在报价当日查询“信用中国”网站（www.creditchina.gov.cn）、中国政府采购网（www.ccgp.gov.cn）、“信用山东”网站（www.creditsd.gov.cn）中的登记信息，对查询结果中涉及已列入失信被执行人、重大税收违法案件当事人名单、政府采购严重违法失信行为记录名单及其他不符合《中华人民共和国政府采购法》第二十二条规定条件的供应商，将拒绝其继续参与采购活动。</w:t>
      </w:r>
    </w:p>
    <w:p w14:paraId="4117215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2.4</w:t>
      </w:r>
      <w:r>
        <w:rPr>
          <w:rFonts w:hint="eastAsia" w:ascii="仿宋_GB2312" w:hAnsi="宋体" w:eastAsia="仿宋_GB2312"/>
          <w:b/>
          <w:color w:val="000000" w:themeColor="text1"/>
          <w:sz w:val="28"/>
          <w:szCs w:val="28"/>
          <w14:textFill>
            <w14:solidFill>
              <w14:schemeClr w14:val="tx1"/>
            </w14:solidFill>
          </w14:textFill>
        </w:rPr>
        <w:t>投标人应通过威海市公共资源交易网（荣成市）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投标人不足3家的，本项目直接废标。</w:t>
      </w:r>
    </w:p>
    <w:p w14:paraId="2F66845C">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二、招标文件</w:t>
      </w:r>
    </w:p>
    <w:p w14:paraId="0AF08608">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4.招标文件的构成</w:t>
      </w:r>
    </w:p>
    <w:p w14:paraId="485294C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由各包段本文件（word格式）和各包段的数据文件（excel格式）构成，采用压缩包电子版文件格式提供。</w:t>
      </w:r>
    </w:p>
    <w:p w14:paraId="2321A4A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4.1 本文件（word格式）由下列文件组成：</w:t>
      </w:r>
    </w:p>
    <w:p w14:paraId="5CB5794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（1）采购公告</w:t>
      </w:r>
    </w:p>
    <w:p w14:paraId="38FA428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（2）投标须知</w:t>
      </w:r>
    </w:p>
    <w:p w14:paraId="73D7158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（3）采购内容与要求</w:t>
      </w:r>
    </w:p>
    <w:p w14:paraId="1D629A4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（4）评审原则和方法</w:t>
      </w:r>
    </w:p>
    <w:p w14:paraId="6AC4E6A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（5）投标（响应）文件格式</w:t>
      </w:r>
    </w:p>
    <w:p w14:paraId="1ED1D7E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（6）合同（范本）</w:t>
      </w:r>
    </w:p>
    <w:p w14:paraId="7355AD1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（7）在采购过程中由采购人或</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发出的修正和补充文件等（如有）</w:t>
      </w:r>
    </w:p>
    <w:p w14:paraId="38DE06D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4.2 数据文件（excel格式）由下列文件组成：</w:t>
      </w:r>
    </w:p>
    <w:p w14:paraId="38B9955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（1）封面</w:t>
      </w:r>
    </w:p>
    <w:p w14:paraId="42A3E52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（2）投标报价表（含明细）</w:t>
      </w:r>
    </w:p>
    <w:p w14:paraId="249AF73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（3）需求响应表（如有）</w:t>
      </w:r>
    </w:p>
    <w:p w14:paraId="680BB27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（4）评审对照表</w:t>
      </w:r>
    </w:p>
    <w:p w14:paraId="23CAF1E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（5）评分对照表（如有）</w:t>
      </w:r>
    </w:p>
    <w:p w14:paraId="3BAFD16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630096F5">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5.招标文件的澄清</w:t>
      </w:r>
    </w:p>
    <w:p w14:paraId="28AC269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5.1</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在收到招标文件后，对招标文件若有任何疑问或要求澄清招标文件的，应在有效期内按“投标须知前附表”第四项向</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提出，必要时</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将协助采购人组织所有获取采购文件</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举行答疑会，</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根据需要主动对招标文件进行必要的澄清或根据</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的要求对招标文件做出澄清，都将以原网站公开发布形式（包括电子交易系统推送）答复或发送给所有</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。澄清文件作为招标文件的组成部分，对</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起约束作用。</w:t>
      </w:r>
    </w:p>
    <w:p w14:paraId="6F517D2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5.2投标人在规定的时间内未对招标文件澄清或提出疑问的，</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将视其为接受招标文件的所有条款，对招标文件没有异议，此后也不再受理对招标文件的相关质疑。</w:t>
      </w:r>
    </w:p>
    <w:p w14:paraId="243ACBCF">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6.招标文件的修改</w:t>
      </w:r>
    </w:p>
    <w:p w14:paraId="7EA9963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6.l 在投标截止时间2日以前，无论出于何种原因，</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或采购人可主动或在解答投标人提出的疑问时对招标文件进行修改。</w:t>
      </w:r>
    </w:p>
    <w:p w14:paraId="4AF5C4C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6.2 修改后的内容是招标文件的组成部分，采购人、</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将会通过“威海市公共资源交易网（荣成市）”，以更正公告形式（电子交易系统发送更正提醒通知）一并告知所有潜在投标人，并对潜在投标人具有约束力。潜在投标人在收到上述通知后，应立即以书面形式向</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或采购人确认，如在24小时内无书面回函则视为同意修改内容，并有义务履行相应的义务。</w:t>
      </w:r>
    </w:p>
    <w:p w14:paraId="518A003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6.3澄清或者修改的内容可能影响投标文件编制的，采购人或</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将在投标截止时间2日前，通过原网站发布公告的形式（电子交易系统内发送更正提醒通知）通知所有获取招标文件的潜在投标人</w:t>
      </w:r>
      <w:r>
        <w:rPr>
          <w:rFonts w:hint="eastAsia" w:ascii="仿宋_GB2312" w:hAnsi="宋体" w:eastAsia="仿宋_GB2312"/>
          <w:color w:val="000000" w:themeColor="text1"/>
          <w:sz w:val="28"/>
          <w:szCs w:val="28"/>
          <w14:textFill>
            <w14:solidFill>
              <w14:schemeClr w14:val="tx1"/>
            </w14:solidFill>
          </w14:textFill>
        </w:rPr>
        <w:t>（采购文件变更的，投标人必须从电子交易系统中重新下载采购文件，并在新下载文件的基础上编制投标文件）；</w:t>
      </w:r>
      <w:r>
        <w:rPr>
          <w:rFonts w:hint="eastAsia" w:ascii="仿宋_GB2312" w:hAnsi="仿宋" w:eastAsia="仿宋_GB2312" w:cs="宋体"/>
          <w:color w:val="000000" w:themeColor="text1"/>
          <w:sz w:val="28"/>
          <w:szCs w:val="28"/>
          <w14:textFill>
            <w14:solidFill>
              <w14:schemeClr w14:val="tx1"/>
            </w14:solidFill>
          </w14:textFill>
        </w:rPr>
        <w:t>不足2日的，采购人或者</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将顺延提交投标文件的截止时间。</w:t>
      </w:r>
    </w:p>
    <w:p w14:paraId="36384C73">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三、投标文件的编制</w:t>
      </w:r>
    </w:p>
    <w:p w14:paraId="28D9B045">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7.投标文件编制要求</w:t>
      </w:r>
    </w:p>
    <w:p w14:paraId="424C0E6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7.1投标人编写的文件和往来信件应以简体中文书写。如果投标文件或与投标有关的其它文件、信件及来往函电以其它语言书写的，投标人应将其译成中文，如未翻译该文件为无效文件。</w:t>
      </w:r>
    </w:p>
    <w:p w14:paraId="7AD135E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7.2投标文件中使用的计量单位应使用中华人民共和国法定计量单位。</w:t>
      </w:r>
    </w:p>
    <w:p w14:paraId="470D800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7.3投标人必须保证投标文件所提供的全部资料真实可靠，并接受采购人或</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对其中任何资料进一步核实的要求。如果因为投标文件填报的内容不详，或没有提供招标文件中所要求的全部资料及数据，或提供虚假文件，由此造成的后果由投标人自负。</w:t>
      </w:r>
    </w:p>
    <w:p w14:paraId="6BF5BE3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4D8E77B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7.5</w:t>
      </w:r>
      <w:r>
        <w:rPr>
          <w:rFonts w:hint="eastAsia" w:ascii="仿宋_GB2312" w:hAnsi="宋体" w:eastAsia="仿宋_GB2312"/>
          <w:color w:val="000000" w:themeColor="text1"/>
          <w:sz w:val="28"/>
          <w:szCs w:val="28"/>
          <w14:textFill>
            <w14:solidFill>
              <w14:schemeClr w14:val="tx1"/>
            </w14:solidFill>
          </w14:textFill>
        </w:rPr>
        <w:t>投标人按照采购文件要求所提供的各种证明文件必须真实且合法有效,经扫描后粘贴到响应文件的相关页上，确保清晰度可辨认，评审时由于无法辨认所产生的后果，由投标人自行承担。</w:t>
      </w:r>
    </w:p>
    <w:p w14:paraId="6D9311D3">
      <w:pPr>
        <w:spacing w:line="560" w:lineRule="exact"/>
        <w:ind w:firstLine="565"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仿宋_GB2312" w:hAnsi="宋体" w:eastAsia="仿宋_GB2312"/>
          <w:b/>
          <w:color w:val="000000" w:themeColor="text1"/>
          <w:sz w:val="28"/>
          <w:szCs w:val="28"/>
          <w14:textFill>
            <w14:solidFill>
              <w14:schemeClr w14:val="tx1"/>
            </w14:solidFill>
          </w14:textFill>
        </w:rPr>
        <w:t>对于不涉及或无法填写的评审项（评分项）（例如：报价），可在页码索引处填写1。</w:t>
      </w:r>
    </w:p>
    <w:p w14:paraId="3E1FB8E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6205231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7.8投标文件具有法律效力，投标人与</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或采购人任何人的口头协议不影响投标文件的任何条款和内容。</w:t>
      </w:r>
    </w:p>
    <w:p w14:paraId="7A20643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7.9采购人或</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均无义务向投标人解释其中标或未中标的原因，且无论投标人是否中标，投标人所递交的投标文件均不予退还，不提供副本拷贝。</w:t>
      </w:r>
    </w:p>
    <w:p w14:paraId="47B1DF5C">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8.数据文件编制要求</w:t>
      </w:r>
    </w:p>
    <w:p w14:paraId="0DD2A19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8.1投标人须从所投项目的招标文件压缩包内对应包段目录下获取本文件</w:t>
      </w:r>
      <w:r>
        <w:rPr>
          <w:rFonts w:hint="eastAsia" w:ascii="仿宋_GB2312" w:hAnsi="宋体" w:eastAsia="仿宋_GB2312"/>
          <w:color w:val="000000" w:themeColor="text1"/>
          <w:sz w:val="28"/>
          <w:szCs w:val="28"/>
          <w14:textFill>
            <w14:solidFill>
              <w14:schemeClr w14:val="tx1"/>
            </w14:solidFill>
          </w14:textFill>
        </w:rPr>
        <w:t>（变更后的数据文件需要重新下载）</w:t>
      </w:r>
      <w:r>
        <w:rPr>
          <w:rFonts w:hint="eastAsia" w:ascii="仿宋_GB2312" w:hAnsi="仿宋" w:eastAsia="仿宋_GB2312" w:cs="宋体"/>
          <w:color w:val="000000" w:themeColor="text1"/>
          <w:sz w:val="28"/>
          <w:szCs w:val="28"/>
          <w14:textFill>
            <w14:solidFill>
              <w14:schemeClr w14:val="tx1"/>
            </w14:solidFill>
          </w14:textFill>
        </w:rPr>
        <w:t>，必须在原文件上严格按照其中要求填写，其内部已约定好固定格式和相关内容，且带有特定的唯一性数字指纹，对采用非该文件基础上编制或对该文件进行任何工作表、表格行、表格列的增减</w:t>
      </w:r>
      <w:r>
        <w:rPr>
          <w:rFonts w:ascii="Calibri" w:hAnsi="Calibri" w:eastAsia="仿宋_GB2312" w:cs="宋体"/>
          <w:color w:val="000000" w:themeColor="text1"/>
          <w:sz w:val="28"/>
          <w:szCs w:val="28"/>
          <w14:textFill>
            <w14:solidFill>
              <w14:schemeClr w14:val="tx1"/>
            </w14:solidFill>
          </w14:textFill>
        </w:rPr>
        <w:t>、对工作表先后顺序的变动，</w:t>
      </w:r>
      <w:r>
        <w:rPr>
          <w:rFonts w:hint="eastAsia" w:ascii="仿宋_GB2312" w:hAnsi="仿宋" w:eastAsia="仿宋_GB2312" w:cs="宋体"/>
          <w:color w:val="000000" w:themeColor="text1"/>
          <w:sz w:val="28"/>
          <w:szCs w:val="28"/>
          <w14:textFill>
            <w14:solidFill>
              <w14:schemeClr w14:val="tx1"/>
            </w14:solidFill>
          </w14:textFill>
        </w:rPr>
        <w:t>以及对锁定区域内的数据进行更改、</w:t>
      </w:r>
      <w:r>
        <w:rPr>
          <w:rFonts w:hint="eastAsia" w:ascii="仿宋_GB2312" w:hAnsi="仿宋" w:eastAsia="仿宋_GB2312" w:cs="宋体"/>
          <w:b/>
          <w:color w:val="000000" w:themeColor="text1"/>
          <w:sz w:val="28"/>
          <w:szCs w:val="28"/>
          <w14:textFill>
            <w14:solidFill>
              <w14:schemeClr w14:val="tx1"/>
            </w14:solidFill>
          </w14:textFill>
        </w:rPr>
        <w:t>文件另存到其他文件</w:t>
      </w:r>
      <w:r>
        <w:rPr>
          <w:rFonts w:hint="eastAsia" w:ascii="仿宋_GB2312" w:hAnsi="仿宋" w:eastAsia="仿宋_GB2312" w:cs="宋体"/>
          <w:color w:val="000000" w:themeColor="text1"/>
          <w:sz w:val="28"/>
          <w:szCs w:val="28"/>
          <w14:textFill>
            <w14:solidFill>
              <w14:schemeClr w14:val="tx1"/>
            </w14:solidFill>
          </w14:textFill>
        </w:rPr>
        <w:t>等违规性操作，都会破坏本文件中的数字指纹，导致系统无法接收该文件使其</w:t>
      </w:r>
      <w:r>
        <w:rPr>
          <w:rFonts w:hint="eastAsia" w:ascii="仿宋_GB2312" w:hAnsi="仿宋" w:eastAsia="仿宋_GB2312" w:cs="宋体"/>
          <w:b/>
          <w:color w:val="000000" w:themeColor="text1"/>
          <w:sz w:val="28"/>
          <w:szCs w:val="28"/>
          <w14:textFill>
            <w14:solidFill>
              <w14:schemeClr w14:val="tx1"/>
            </w14:solidFill>
          </w14:textFill>
        </w:rPr>
        <w:t>投标失败</w:t>
      </w:r>
      <w:r>
        <w:rPr>
          <w:rFonts w:hint="eastAsia" w:ascii="仿宋_GB2312" w:hAnsi="仿宋" w:eastAsia="仿宋_GB2312" w:cs="宋体"/>
          <w:color w:val="000000" w:themeColor="text1"/>
          <w:sz w:val="28"/>
          <w:szCs w:val="28"/>
          <w14:textFill>
            <w14:solidFill>
              <w14:schemeClr w14:val="tx1"/>
            </w14:solidFill>
          </w14:textFill>
        </w:rPr>
        <w:t>。</w:t>
      </w:r>
    </w:p>
    <w:p w14:paraId="648EF20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_GB2312" w:hAnsi="仿宋" w:eastAsia="仿宋_GB2312" w:cs="宋体"/>
          <w:b/>
          <w:color w:val="000000" w:themeColor="text1"/>
          <w:sz w:val="28"/>
          <w:szCs w:val="28"/>
          <w14:textFill>
            <w14:solidFill>
              <w14:schemeClr w14:val="tx1"/>
            </w14:solidFill>
          </w14:textFill>
        </w:rPr>
        <w:t>投标失败</w:t>
      </w:r>
      <w:r>
        <w:rPr>
          <w:rFonts w:hint="eastAsia" w:ascii="仿宋_GB2312" w:hAnsi="仿宋" w:eastAsia="仿宋_GB2312" w:cs="宋体"/>
          <w:color w:val="000000" w:themeColor="text1"/>
          <w:sz w:val="28"/>
          <w:szCs w:val="28"/>
          <w14:textFill>
            <w14:solidFill>
              <w14:schemeClr w14:val="tx1"/>
            </w14:solidFill>
          </w14:textFill>
        </w:rPr>
        <w:t>。</w:t>
      </w:r>
    </w:p>
    <w:p w14:paraId="5AE7E94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8.3投标人在对数据文件电子签章前，应按照上述2项的要求进行认真检查、确认。因投标人自身原因所导致其投标失败的，须自行承担相关责任。</w:t>
      </w:r>
    </w:p>
    <w:p w14:paraId="0DEC6657">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9.文件构成</w:t>
      </w:r>
    </w:p>
    <w:p w14:paraId="411ED78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投标人应按不同包段分别编制投标文件，每个包段的投标文件分两册必须包括：投标文件（pdf格式）（第一册）、数据文件（PDF格式）（第二册），以上内容缺一不可，否则为</w:t>
      </w:r>
      <w:r>
        <w:rPr>
          <w:rFonts w:hint="eastAsia" w:ascii="仿宋_GB2312" w:hAnsi="仿宋" w:eastAsia="仿宋_GB2312" w:cs="宋体"/>
          <w:b/>
          <w:color w:val="000000" w:themeColor="text1"/>
          <w:sz w:val="28"/>
          <w:szCs w:val="28"/>
          <w14:textFill>
            <w14:solidFill>
              <w14:schemeClr w14:val="tx1"/>
            </w14:solidFill>
          </w14:textFill>
        </w:rPr>
        <w:t>无效投标（响应）</w:t>
      </w:r>
      <w:r>
        <w:rPr>
          <w:rFonts w:hint="eastAsia" w:ascii="仿宋_GB2312" w:hAnsi="仿宋" w:eastAsia="仿宋_GB2312" w:cs="宋体"/>
          <w:color w:val="000000" w:themeColor="text1"/>
          <w:sz w:val="28"/>
          <w:szCs w:val="28"/>
          <w14:textFill>
            <w14:solidFill>
              <w14:schemeClr w14:val="tx1"/>
            </w14:solidFill>
          </w14:textFill>
        </w:rPr>
        <w:t>。</w:t>
      </w:r>
    </w:p>
    <w:p w14:paraId="573EE0D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9.1投标人编制的投标文件（pdf格式）（第一册）应包括但不少于下列内容：</w:t>
      </w:r>
    </w:p>
    <w:p w14:paraId="22442B3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（1）投标文件封面（格式见本文件第五章）</w:t>
      </w:r>
    </w:p>
    <w:p w14:paraId="2C3A9CA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（2）投标文件目录</w:t>
      </w:r>
    </w:p>
    <w:p w14:paraId="5F99351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（3）投标承诺函（格式见本文件第五章）</w:t>
      </w:r>
    </w:p>
    <w:p w14:paraId="1396C5E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（4）投标人资格证明文件</w:t>
      </w:r>
    </w:p>
    <w:p w14:paraId="1A3386F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①有效的营业执照副本扫描件；</w:t>
      </w:r>
    </w:p>
    <w:p w14:paraId="45CC725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②法定代表人授权委托书；被授权人身份证扫描件；</w:t>
      </w:r>
    </w:p>
    <w:p w14:paraId="4F4C371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③若投标单位代表为企业法定代表人/单位负责人的，则只需提供企业法定代表人/单位负责人身份证扫描件；</w:t>
      </w:r>
    </w:p>
    <w:p w14:paraId="39E98CD9">
      <w:pPr>
        <w:spacing w:line="560" w:lineRule="exact"/>
        <w:ind w:firstLine="562" w:firstLineChars="201"/>
        <w:rPr>
          <w:rFonts w:ascii="仿宋_GB2312" w:hAnsi="仿宋" w:eastAsia="仿宋_GB2312" w:cs="宋体"/>
          <w:sz w:val="28"/>
          <w:szCs w:val="28"/>
        </w:rPr>
      </w:pPr>
      <w:r>
        <w:rPr>
          <w:rFonts w:hint="eastAsia" w:ascii="仿宋_GB2312" w:hAnsi="宋体" w:eastAsia="仿宋_GB2312"/>
          <w:sz w:val="28"/>
          <w:szCs w:val="28"/>
        </w:rPr>
        <w:t>④农药、化肥产品须具有农业部或省农业厅颁发的在有效期内的登记证扫描件；（政策规定肥料不需要登记证除外，如高浓度复合肥、磷酸二氢钾、尿素等,详见农业部“肥料管理条例”）。</w:t>
      </w:r>
    </w:p>
    <w:p w14:paraId="4FCD3C78">
      <w:pPr>
        <w:spacing w:line="560" w:lineRule="exact"/>
        <w:ind w:firstLine="562" w:firstLineChars="201"/>
        <w:rPr>
          <w:rFonts w:ascii="仿宋_GB2312" w:hAnsi="宋体" w:eastAsia="仿宋_GB2312"/>
          <w:sz w:val="28"/>
          <w:szCs w:val="28"/>
        </w:rPr>
      </w:pPr>
      <w:r>
        <w:rPr>
          <w:rFonts w:hint="eastAsia" w:ascii="仿宋_GB2312" w:hAnsi="宋体" w:eastAsia="仿宋_GB2312"/>
          <w:sz w:val="28"/>
          <w:szCs w:val="28"/>
        </w:rPr>
        <w:t>⑤农药、化肥产品须具有省级农业行政部门颁发的在有效期内的生产许可证扫描件；（微生物菌剂，枯草芽孢杆菌，复合微生物肥等含菌肥料,水溶性肥料等产品不需要颁发“生产许可证”) 。</w:t>
      </w:r>
    </w:p>
    <w:p w14:paraId="0F95A70E">
      <w:pPr>
        <w:spacing w:line="560" w:lineRule="exact"/>
        <w:ind w:firstLine="562" w:firstLineChars="201"/>
        <w:rPr>
          <w:rFonts w:ascii="仿宋_GB2312" w:hAnsi="仿宋" w:eastAsia="仿宋_GB2312" w:cs="宋体"/>
          <w:sz w:val="28"/>
          <w:szCs w:val="28"/>
        </w:rPr>
      </w:pPr>
      <w:r>
        <w:rPr>
          <w:rFonts w:hint="eastAsia" w:ascii="仿宋_GB2312" w:hAnsi="宋体" w:eastAsia="仿宋_GB2312"/>
          <w:sz w:val="28"/>
          <w:szCs w:val="28"/>
        </w:rPr>
        <w:t>⑥“执行质量标准备案证”农药、化肥产品须具有国家标准委员会或质量监督局颁发的在有效期内的执行质量标准备案证扫描件；</w:t>
      </w:r>
      <w:r>
        <w:rPr>
          <w:rFonts w:ascii="仿宋_GB2312" w:hAnsi="仿宋" w:eastAsia="仿宋_GB2312" w:cs="宋体"/>
          <w:sz w:val="28"/>
          <w:szCs w:val="28"/>
        </w:rPr>
        <w:t xml:space="preserve"> </w:t>
      </w:r>
    </w:p>
    <w:p w14:paraId="7B36874B">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注：农药、化肥登记证和生产许可证必须是同一生产企业。</w:t>
      </w:r>
    </w:p>
    <w:p w14:paraId="75F145D3">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⑦如投标人为产品经营单位还需提供“农药经营许可证”扫描件；</w:t>
      </w:r>
      <w:r>
        <w:rPr>
          <w:rFonts w:ascii="仿宋_GB2312" w:hAnsi="宋体" w:eastAsia="仿宋_GB2312"/>
          <w:sz w:val="28"/>
          <w:szCs w:val="28"/>
        </w:rPr>
        <w:t xml:space="preserve"> </w:t>
      </w:r>
    </w:p>
    <w:p w14:paraId="441099F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⑧投标人的依法交纳税收和社会保障资金的声明（格式自拟）、投标人近期的完税凭证及交纳社保资金凭证的扫描件；</w:t>
      </w:r>
    </w:p>
    <w:p w14:paraId="4BEFDC1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⑨投标人近3年内在经营活动中没有重大违法记录的声明（格式见本文件第五章），如不提供视为</w:t>
      </w:r>
      <w:r>
        <w:rPr>
          <w:rFonts w:hint="eastAsia" w:ascii="仿宋_GB2312" w:hAnsi="仿宋" w:eastAsia="仿宋_GB2312" w:cs="宋体"/>
          <w:b/>
          <w:color w:val="000000" w:themeColor="text1"/>
          <w:sz w:val="28"/>
          <w:szCs w:val="28"/>
          <w14:textFill>
            <w14:solidFill>
              <w14:schemeClr w14:val="tx1"/>
            </w14:solidFill>
          </w14:textFill>
        </w:rPr>
        <w:t>无效投标（响应）</w:t>
      </w:r>
      <w:r>
        <w:rPr>
          <w:rFonts w:hint="eastAsia" w:ascii="仿宋_GB2312" w:hAnsi="仿宋" w:eastAsia="仿宋_GB2312" w:cs="宋体"/>
          <w:color w:val="000000" w:themeColor="text1"/>
          <w:sz w:val="28"/>
          <w:szCs w:val="28"/>
          <w14:textFill>
            <w14:solidFill>
              <w14:schemeClr w14:val="tx1"/>
            </w14:solidFill>
          </w14:textFill>
        </w:rPr>
        <w:t>。</w:t>
      </w:r>
    </w:p>
    <w:p w14:paraId="149FB19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⑩投标人、法定代表人、授权委托人未被最高法院列入失信被执行人截图（网址http://zxgk.court.gov.cn/zhzxgk/）</w:t>
      </w:r>
    </w:p>
    <w:p w14:paraId="4D6BA5F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fldChar w:fldCharType="begin"/>
      </w:r>
      <w:r>
        <w:rPr>
          <w:rFonts w:ascii="仿宋_GB2312" w:hAnsi="仿宋" w:eastAsia="仿宋_GB2312" w:cs="宋体"/>
          <w:color w:val="000000" w:themeColor="text1"/>
          <w:sz w:val="28"/>
          <w:szCs w:val="28"/>
          <w14:textFill>
            <w14:solidFill>
              <w14:schemeClr w14:val="tx1"/>
            </w14:solidFill>
          </w14:textFill>
        </w:rPr>
        <w:instrText xml:space="preserve"> </w:instrText>
      </w:r>
      <w:r>
        <w:rPr>
          <w:rFonts w:hint="eastAsia" w:ascii="仿宋_GB2312" w:hAnsi="仿宋" w:eastAsia="仿宋_GB2312" w:cs="宋体"/>
          <w:color w:val="000000" w:themeColor="text1"/>
          <w:sz w:val="28"/>
          <w:szCs w:val="28"/>
          <w14:textFill>
            <w14:solidFill>
              <w14:schemeClr w14:val="tx1"/>
            </w14:solidFill>
          </w14:textFill>
        </w:rPr>
        <w:instrText xml:space="preserve">eq \o\ac(○,</w:instrText>
      </w:r>
      <w:r>
        <w:rPr>
          <w:rFonts w:hint="eastAsia" w:ascii="仿宋" w:hAnsi="仿宋" w:eastAsia="仿宋_GB2312" w:cs="宋体"/>
          <w:color w:val="000000" w:themeColor="text1"/>
          <w:position w:val="3"/>
          <w:sz w:val="19"/>
          <w:szCs w:val="28"/>
          <w14:textFill>
            <w14:solidFill>
              <w14:schemeClr w14:val="tx1"/>
            </w14:solidFill>
          </w14:textFill>
        </w:rPr>
        <w:instrText xml:space="preserve">11</w:instrText>
      </w:r>
      <w:r>
        <w:rPr>
          <w:rFonts w:hint="eastAsia" w:ascii="仿宋_GB2312" w:hAnsi="仿宋" w:eastAsia="仿宋_GB2312" w:cs="宋体"/>
          <w:color w:val="000000" w:themeColor="text1"/>
          <w:sz w:val="28"/>
          <w:szCs w:val="28"/>
          <w14:textFill>
            <w14:solidFill>
              <w14:schemeClr w14:val="tx1"/>
            </w14:solidFill>
          </w14:textFill>
        </w:rPr>
        <w:instrText xml:space="preserve">)</w:instrText>
      </w:r>
      <w:r>
        <w:rPr>
          <w:rFonts w:ascii="仿宋_GB2312" w:hAnsi="仿宋" w:eastAsia="仿宋_GB2312" w:cs="宋体"/>
          <w:color w:val="000000" w:themeColor="text1"/>
          <w:sz w:val="28"/>
          <w:szCs w:val="28"/>
          <w14:textFill>
            <w14:solidFill>
              <w14:schemeClr w14:val="tx1"/>
            </w14:solidFill>
          </w14:textFill>
        </w:rPr>
        <w:fldChar w:fldCharType="end"/>
      </w:r>
      <w:r>
        <w:rPr>
          <w:rFonts w:hint="eastAsia" w:ascii="仿宋_GB2312" w:hAnsi="仿宋" w:eastAsia="仿宋_GB2312" w:cs="宋体"/>
          <w:color w:val="000000" w:themeColor="text1"/>
          <w:sz w:val="28"/>
          <w:szCs w:val="28"/>
          <w14:textFill>
            <w14:solidFill>
              <w14:schemeClr w14:val="tx1"/>
            </w14:solidFill>
          </w14:textFill>
        </w:rPr>
        <w:t>招标文件公告中要求的有关资质资格文件。</w:t>
      </w:r>
    </w:p>
    <w:p w14:paraId="35CA1D7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fldChar w:fldCharType="begin"/>
      </w:r>
      <w:r>
        <w:rPr>
          <w:rFonts w:ascii="仿宋_GB2312" w:hAnsi="仿宋" w:eastAsia="仿宋_GB2312" w:cs="宋体"/>
          <w:color w:val="000000" w:themeColor="text1"/>
          <w:sz w:val="28"/>
          <w:szCs w:val="28"/>
          <w14:textFill>
            <w14:solidFill>
              <w14:schemeClr w14:val="tx1"/>
            </w14:solidFill>
          </w14:textFill>
        </w:rPr>
        <w:instrText xml:space="preserve"> </w:instrText>
      </w:r>
      <w:r>
        <w:rPr>
          <w:rFonts w:hint="eastAsia" w:ascii="仿宋_GB2312" w:hAnsi="仿宋" w:eastAsia="仿宋_GB2312" w:cs="宋体"/>
          <w:color w:val="000000" w:themeColor="text1"/>
          <w:sz w:val="28"/>
          <w:szCs w:val="28"/>
          <w14:textFill>
            <w14:solidFill>
              <w14:schemeClr w14:val="tx1"/>
            </w14:solidFill>
          </w14:textFill>
        </w:rPr>
        <w:instrText xml:space="preserve">eq \o\ac(○,</w:instrText>
      </w:r>
      <w:r>
        <w:rPr>
          <w:rFonts w:hint="eastAsia" w:ascii="仿宋" w:hAnsi="仿宋" w:eastAsia="仿宋_GB2312" w:cs="宋体"/>
          <w:color w:val="000000" w:themeColor="text1"/>
          <w:position w:val="3"/>
          <w:sz w:val="19"/>
          <w:szCs w:val="28"/>
          <w14:textFill>
            <w14:solidFill>
              <w14:schemeClr w14:val="tx1"/>
            </w14:solidFill>
          </w14:textFill>
        </w:rPr>
        <w:instrText xml:space="preserve">12</w:instrText>
      </w:r>
      <w:r>
        <w:rPr>
          <w:rFonts w:hint="eastAsia" w:ascii="仿宋_GB2312" w:hAnsi="仿宋" w:eastAsia="仿宋_GB2312" w:cs="宋体"/>
          <w:color w:val="000000" w:themeColor="text1"/>
          <w:sz w:val="28"/>
          <w:szCs w:val="28"/>
          <w14:textFill>
            <w14:solidFill>
              <w14:schemeClr w14:val="tx1"/>
            </w14:solidFill>
          </w14:textFill>
        </w:rPr>
        <w:instrText xml:space="preserve">)</w:instrText>
      </w:r>
      <w:r>
        <w:rPr>
          <w:rFonts w:ascii="仿宋_GB2312" w:hAnsi="仿宋" w:eastAsia="仿宋_GB2312" w:cs="宋体"/>
          <w:color w:val="000000" w:themeColor="text1"/>
          <w:sz w:val="28"/>
          <w:szCs w:val="28"/>
          <w14:textFill>
            <w14:solidFill>
              <w14:schemeClr w14:val="tx1"/>
            </w14:solidFill>
          </w14:textFill>
        </w:rPr>
        <w:fldChar w:fldCharType="end"/>
      </w:r>
      <w:r>
        <w:rPr>
          <w:rFonts w:hint="eastAsia" w:ascii="仿宋_GB2312" w:hAnsi="仿宋" w:eastAsia="仿宋_GB2312" w:cs="宋体"/>
          <w:color w:val="000000" w:themeColor="text1"/>
          <w:sz w:val="28"/>
          <w:szCs w:val="28"/>
          <w14:textFill>
            <w14:solidFill>
              <w14:schemeClr w14:val="tx1"/>
            </w14:solidFill>
          </w14:textFill>
        </w:rPr>
        <w:t>投标人认为需要提供的资质资格证明文件。</w:t>
      </w:r>
    </w:p>
    <w:p w14:paraId="25D83A7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以上所有资质资格证明文件均需加盖投标人签章。</w:t>
      </w:r>
    </w:p>
    <w:p w14:paraId="7346B1F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（5）财务状况报告等相关材料</w:t>
      </w:r>
    </w:p>
    <w:p w14:paraId="7A26B51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A.</w:t>
      </w:r>
      <w:r>
        <w:rPr>
          <w:rFonts w:hint="eastAsia" w:ascii="仿宋" w:hAnsi="仿宋" w:eastAsia="仿宋" w:cs="宋体"/>
          <w:sz w:val="28"/>
          <w:szCs w:val="28"/>
        </w:rPr>
        <w:t xml:space="preserve"> 投标人自行编制的2024或2025年度公司财务报表或由中介机构出具的2024或2025年度财务审计报告书扫描件</w:t>
      </w:r>
      <w:r>
        <w:rPr>
          <w:rFonts w:hint="eastAsia" w:ascii="仿宋_GB2312" w:hAnsi="仿宋" w:eastAsia="仿宋_GB2312" w:cs="宋体"/>
          <w:color w:val="000000" w:themeColor="text1"/>
          <w:sz w:val="28"/>
          <w:szCs w:val="28"/>
          <w14:textFill>
            <w14:solidFill>
              <w14:schemeClr w14:val="tx1"/>
            </w14:solidFill>
          </w14:textFill>
        </w:rPr>
        <w:t>；</w:t>
      </w:r>
    </w:p>
    <w:p w14:paraId="39FEE59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B.</w:t>
      </w:r>
      <w:r>
        <w:rPr>
          <w:rFonts w:hint="eastAsia" w:ascii="仿宋_GB2312" w:hAnsi="宋体" w:eastAsia="仿宋_GB2312"/>
          <w:color w:val="000000" w:themeColor="text1"/>
          <w:sz w:val="28"/>
          <w:szCs w:val="28"/>
          <w14:textFill>
            <w14:solidFill>
              <w14:schemeClr w14:val="tx1"/>
            </w14:solidFill>
          </w14:textFill>
        </w:rPr>
        <w:t>银行出具的有效期内的资信证明扫描件</w:t>
      </w:r>
      <w:r>
        <w:rPr>
          <w:rFonts w:hint="eastAsia" w:ascii="仿宋_GB2312" w:hAnsi="仿宋" w:eastAsia="仿宋_GB2312" w:cs="宋体"/>
          <w:color w:val="000000" w:themeColor="text1"/>
          <w:sz w:val="28"/>
          <w:szCs w:val="28"/>
          <w14:textFill>
            <w14:solidFill>
              <w14:schemeClr w14:val="tx1"/>
            </w14:solidFill>
          </w14:textFill>
        </w:rPr>
        <w:t>。</w:t>
      </w:r>
    </w:p>
    <w:p w14:paraId="02BA936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注：A、B两项提供任意一项均可。</w:t>
      </w:r>
    </w:p>
    <w:p w14:paraId="4AB6473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（6）投标人基本情况（格式见本文件第五章）</w:t>
      </w:r>
    </w:p>
    <w:p w14:paraId="4DD7C10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（7）技术文件，包括但不限于以下内容:</w:t>
      </w:r>
    </w:p>
    <w:p w14:paraId="69163B6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 xml:space="preserve">①拟投入交通运输工具清单； </w:t>
      </w:r>
    </w:p>
    <w:p w14:paraId="14F0FDC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 xml:space="preserve">②详细的供货方案； </w:t>
      </w:r>
    </w:p>
    <w:p w14:paraId="7C43EF8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③所投产品的品牌、型号、成分说明、功效等详细描述；</w:t>
      </w:r>
    </w:p>
    <w:p w14:paraId="554968D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④产品样本或彩页（如果有）、使用说明书；</w:t>
      </w:r>
    </w:p>
    <w:p w14:paraId="7C479C3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⑤所投报产品的近期检测、检验报告（如果有）；</w:t>
      </w:r>
    </w:p>
    <w:p w14:paraId="6240552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⑥产品质量保证措施；</w:t>
      </w:r>
    </w:p>
    <w:p w14:paraId="59AAA8A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⑦服务承诺</w:t>
      </w:r>
    </w:p>
    <w:p w14:paraId="42B325F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⑧培训方案;</w:t>
      </w:r>
    </w:p>
    <w:p w14:paraId="6DC536F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⑨投标人认为需要提交的其他相关技术文件；</w:t>
      </w:r>
    </w:p>
    <w:p w14:paraId="41DBB78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⑩根据招标文件第四部分采购项目说明提供的技术文件；</w:t>
      </w:r>
    </w:p>
    <w:p w14:paraId="251D205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fldChar w:fldCharType="begin"/>
      </w:r>
      <w:r>
        <w:rPr>
          <w:rFonts w:ascii="仿宋_GB2312" w:hAnsi="仿宋" w:eastAsia="仿宋_GB2312" w:cs="宋体"/>
          <w:color w:val="000000" w:themeColor="text1"/>
          <w:sz w:val="28"/>
          <w:szCs w:val="28"/>
          <w14:textFill>
            <w14:solidFill>
              <w14:schemeClr w14:val="tx1"/>
            </w14:solidFill>
          </w14:textFill>
        </w:rPr>
        <w:instrText xml:space="preserve"> </w:instrText>
      </w:r>
      <w:r>
        <w:rPr>
          <w:rFonts w:hint="eastAsia" w:ascii="仿宋_GB2312" w:hAnsi="仿宋" w:eastAsia="仿宋_GB2312" w:cs="宋体"/>
          <w:color w:val="000000" w:themeColor="text1"/>
          <w:sz w:val="28"/>
          <w:szCs w:val="28"/>
          <w14:textFill>
            <w14:solidFill>
              <w14:schemeClr w14:val="tx1"/>
            </w14:solidFill>
          </w14:textFill>
        </w:rPr>
        <w:instrText xml:space="preserve">eq \o\ac(○,</w:instrText>
      </w:r>
      <w:r>
        <w:rPr>
          <w:rFonts w:hint="eastAsia" w:ascii="仿宋" w:hAnsi="仿宋" w:eastAsia="仿宋_GB2312" w:cs="宋体"/>
          <w:color w:val="000000" w:themeColor="text1"/>
          <w:position w:val="3"/>
          <w:sz w:val="19"/>
          <w:szCs w:val="28"/>
          <w14:textFill>
            <w14:solidFill>
              <w14:schemeClr w14:val="tx1"/>
            </w14:solidFill>
          </w14:textFill>
        </w:rPr>
        <w:instrText xml:space="preserve">11</w:instrText>
      </w:r>
      <w:r>
        <w:rPr>
          <w:rFonts w:hint="eastAsia" w:ascii="仿宋_GB2312" w:hAnsi="仿宋" w:eastAsia="仿宋_GB2312" w:cs="宋体"/>
          <w:color w:val="000000" w:themeColor="text1"/>
          <w:sz w:val="28"/>
          <w:szCs w:val="28"/>
          <w14:textFill>
            <w14:solidFill>
              <w14:schemeClr w14:val="tx1"/>
            </w14:solidFill>
          </w14:textFill>
        </w:rPr>
        <w:instrText xml:space="preserve">)</w:instrText>
      </w:r>
      <w:r>
        <w:rPr>
          <w:rFonts w:ascii="仿宋_GB2312" w:hAnsi="仿宋" w:eastAsia="仿宋_GB2312" w:cs="宋体"/>
          <w:color w:val="000000" w:themeColor="text1"/>
          <w:sz w:val="28"/>
          <w:szCs w:val="28"/>
          <w14:textFill>
            <w14:solidFill>
              <w14:schemeClr w14:val="tx1"/>
            </w14:solidFill>
          </w14:textFill>
        </w:rPr>
        <w:fldChar w:fldCharType="end"/>
      </w:r>
      <w:r>
        <w:rPr>
          <w:rFonts w:hint="eastAsia" w:ascii="仿宋_GB2312" w:hAnsi="仿宋" w:eastAsia="仿宋_GB2312" w:cs="宋体"/>
          <w:color w:val="000000" w:themeColor="text1"/>
          <w:sz w:val="28"/>
          <w:szCs w:val="28"/>
          <w14:textFill>
            <w14:solidFill>
              <w14:schemeClr w14:val="tx1"/>
            </w14:solidFill>
          </w14:textFill>
        </w:rPr>
        <w:t>根据招标文件评标标准要求提供的相关技术文件。</w:t>
      </w:r>
    </w:p>
    <w:p w14:paraId="696EA96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（8）要求采购人提供的配合；</w:t>
      </w:r>
    </w:p>
    <w:p w14:paraId="5566DC8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9.2数据文件（PDF格式）（第二册）</w:t>
      </w:r>
    </w:p>
    <w:p w14:paraId="6626A1F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_GB2312" w:hAnsi="仿宋" w:eastAsia="仿宋_GB2312" w:cs="宋体"/>
          <w:b/>
          <w:color w:val="000000" w:themeColor="text1"/>
          <w:sz w:val="28"/>
          <w:szCs w:val="28"/>
          <w14:textFill>
            <w14:solidFill>
              <w14:schemeClr w14:val="tx1"/>
            </w14:solidFill>
          </w14:textFill>
        </w:rPr>
        <w:t>无效投标（响应）</w:t>
      </w:r>
      <w:r>
        <w:rPr>
          <w:rFonts w:hint="eastAsia" w:ascii="仿宋_GB2312" w:hAnsi="仿宋" w:eastAsia="仿宋_GB2312" w:cs="宋体"/>
          <w:color w:val="000000" w:themeColor="text1"/>
          <w:sz w:val="28"/>
          <w:szCs w:val="28"/>
          <w14:textFill>
            <w14:solidFill>
              <w14:schemeClr w14:val="tx1"/>
            </w14:solidFill>
          </w14:textFill>
        </w:rPr>
        <w:t>。数据文件（PDF格式）包含下列内容：</w:t>
      </w:r>
    </w:p>
    <w:p w14:paraId="731FB3A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（1）封面</w:t>
      </w:r>
    </w:p>
    <w:p w14:paraId="223B04D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（2）投标报价表（含明细）</w:t>
      </w:r>
    </w:p>
    <w:p w14:paraId="4D35DF4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（3）需求响应表（如有）</w:t>
      </w:r>
    </w:p>
    <w:p w14:paraId="26C2CC6E">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10.投标报价</w:t>
      </w:r>
    </w:p>
    <w:p w14:paraId="1A296F8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10.1投标人所提供的服务均以人民币报价，精确到小数点后两位。</w:t>
      </w:r>
    </w:p>
    <w:p w14:paraId="42A95B0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10.2投标人应按照“第三部分采购内容与要求”的服务内容、责任范围以及合同条款进行报价。并按数据文件中“投标报价表（含明细）”规定的格式报出分项价格和总价。</w:t>
      </w:r>
    </w:p>
    <w:p w14:paraId="7615D71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10.3投标人应按数据文件“投标报价表（含明细）”要求的统一格式填写，并加盖电子公章。</w:t>
      </w:r>
    </w:p>
    <w:p w14:paraId="3EEA368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10.4《投标报价表（含明细）》填写时应响应下列要求：</w:t>
      </w:r>
    </w:p>
    <w:p w14:paraId="3A3A752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（1）所有根据合同或其它原因应由投标人支付的税款和其它应交纳的费用都要包括在投标人提交的报价中；</w:t>
      </w:r>
    </w:p>
    <w:p w14:paraId="6FACC45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投标报价包括完成该项目的一切费用总和，包括产品及供货、运输、人工费、装卸费、技术培训、质保期内的免费质保服务、税金、售后服务及其他附带服务等全部费用，以人民币为结算单位。投标报价中免费提供的项目，应注明免费。</w:t>
      </w:r>
    </w:p>
    <w:p w14:paraId="51F5046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（3）投标人应对本次招标的全部内容进行报价，缺项报价投标无效。如因投标人自身的原因报价失误而造成的损失，由投标人自行承担。</w:t>
      </w:r>
    </w:p>
    <w:p w14:paraId="3FB7230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（4）投标人须严格按照报价明细表说明进行填写，报价明细表中 “*”是必填项，任何必填项为空时都可能导致本次投标无效。</w:t>
      </w:r>
    </w:p>
    <w:p w14:paraId="6FC6EF0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（5）《投标报价表（含明细）》中“投标产品的型号”，型号填写的一般规则为：品牌+产品型号。否则会因非实质性响应而被拒绝；</w:t>
      </w:r>
    </w:p>
    <w:p w14:paraId="3DCC973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（6）《投标报价表（含明细）》中合价将由单价*数量自动计算，无需手工录入。</w:t>
      </w:r>
    </w:p>
    <w:p w14:paraId="6CD1F152">
      <w:pPr>
        <w:spacing w:line="560" w:lineRule="exact"/>
        <w:ind w:firstLine="560" w:firstLineChars="200"/>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10.5《需求响应表</w:t>
      </w:r>
      <w:r>
        <w:rPr>
          <w:rFonts w:hint="eastAsia" w:ascii="仿宋_GB2312" w:hAnsi="仿宋" w:eastAsia="仿宋_GB2312" w:cs="宋体"/>
          <w:color w:val="000000" w:themeColor="text1"/>
          <w:sz w:val="28"/>
          <w:szCs w:val="28"/>
          <w14:textFill>
            <w14:solidFill>
              <w14:schemeClr w14:val="tx1"/>
            </w14:solidFill>
          </w14:textFill>
        </w:rPr>
        <w:t>》</w:t>
      </w:r>
      <w:r>
        <w:rPr>
          <w:rFonts w:ascii="仿宋_GB2312" w:hAnsi="仿宋" w:eastAsia="仿宋_GB2312" w:cs="宋体"/>
          <w:color w:val="000000" w:themeColor="text1"/>
          <w:sz w:val="28"/>
          <w:szCs w:val="28"/>
          <w14:textFill>
            <w14:solidFill>
              <w14:schemeClr w14:val="tx1"/>
            </w14:solidFill>
          </w14:textFill>
        </w:rPr>
        <w:t>（如有）填写时应响应下列要求：</w:t>
      </w:r>
    </w:p>
    <w:p w14:paraId="4D23B68C">
      <w:pPr>
        <w:spacing w:line="560" w:lineRule="exact"/>
        <w:ind w:firstLine="560" w:firstLineChars="200"/>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（1）有底色标识的单元格须填写，有“*”的列是必输项，任何必输项为空都可能导致您的本次投标（响应）无效；</w:t>
      </w:r>
    </w:p>
    <w:p w14:paraId="6E1EF817">
      <w:pPr>
        <w:spacing w:line="560" w:lineRule="exact"/>
        <w:ind w:firstLine="560" w:firstLineChars="200"/>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（2）如想拷贝数据到某个待填写单元格，应采用选择性粘贴(只粘贴文本)，否则单元格填写无效或被锁死；</w:t>
      </w:r>
    </w:p>
    <w:p w14:paraId="35208564">
      <w:pPr>
        <w:spacing w:line="560" w:lineRule="exact"/>
        <w:ind w:firstLine="560" w:firstLineChars="200"/>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（3）当招标需求列的内容显示不完整时，请点击编辑栏进行查看；</w:t>
      </w:r>
    </w:p>
    <w:p w14:paraId="3BAA0AB2">
      <w:pPr>
        <w:spacing w:line="560" w:lineRule="exact"/>
        <w:ind w:firstLine="560" w:firstLineChars="200"/>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ascii="仿宋_GB2312" w:hAnsi="仿宋" w:eastAsia="仿宋_GB2312" w:cs="宋体"/>
          <w:b/>
          <w:color w:val="000000" w:themeColor="text1"/>
          <w:sz w:val="28"/>
          <w:szCs w:val="28"/>
          <w14:textFill>
            <w14:solidFill>
              <w14:schemeClr w14:val="tx1"/>
            </w14:solidFill>
          </w14:textFill>
        </w:rPr>
        <w:t>无效投标（响应）处理</w:t>
      </w:r>
      <w:r>
        <w:rPr>
          <w:rFonts w:ascii="仿宋_GB2312" w:hAnsi="仿宋" w:eastAsia="仿宋_GB2312" w:cs="宋体"/>
          <w:color w:val="000000" w:themeColor="text1"/>
          <w:sz w:val="28"/>
          <w:szCs w:val="28"/>
          <w14:textFill>
            <w14:solidFill>
              <w14:schemeClr w14:val="tx1"/>
            </w14:solidFill>
          </w14:textFill>
        </w:rPr>
        <w:t>。</w:t>
      </w:r>
    </w:p>
    <w:p w14:paraId="05691F71">
      <w:pPr>
        <w:spacing w:line="560" w:lineRule="exact"/>
        <w:ind w:firstLine="560" w:firstLineChars="200"/>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（5）按照该表显示位置加盖一个电子印章；</w:t>
      </w:r>
    </w:p>
    <w:p w14:paraId="2CE7DE2F">
      <w:pPr>
        <w:spacing w:line="560" w:lineRule="exact"/>
        <w:ind w:firstLine="560" w:firstLineChars="200"/>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（6）该表为固定格式且有数字指纹，必须在原表上填写，填写完毕后只可保存不可另存。删除该表、增加该表、增加行列、删除行列、对固定格式的任何改动均会导致</w:t>
      </w:r>
      <w:r>
        <w:rPr>
          <w:rFonts w:ascii="仿宋_GB2312" w:hAnsi="仿宋" w:eastAsia="仿宋_GB2312" w:cs="宋体"/>
          <w:b/>
          <w:color w:val="000000" w:themeColor="text1"/>
          <w:sz w:val="28"/>
          <w:szCs w:val="28"/>
          <w14:textFill>
            <w14:solidFill>
              <w14:schemeClr w14:val="tx1"/>
            </w14:solidFill>
          </w14:textFill>
        </w:rPr>
        <w:t>无效投标（</w:t>
      </w:r>
      <w:r>
        <w:rPr>
          <w:rFonts w:hint="eastAsia" w:ascii="仿宋_GB2312" w:hAnsi="仿宋" w:eastAsia="仿宋_GB2312" w:cs="宋体"/>
          <w:b/>
          <w:color w:val="000000" w:themeColor="text1"/>
          <w:sz w:val="28"/>
          <w:szCs w:val="28"/>
          <w14:textFill>
            <w14:solidFill>
              <w14:schemeClr w14:val="tx1"/>
            </w14:solidFill>
          </w14:textFill>
        </w:rPr>
        <w:t>响应</w:t>
      </w:r>
      <w:r>
        <w:rPr>
          <w:rFonts w:ascii="仿宋_GB2312" w:hAnsi="仿宋" w:eastAsia="仿宋_GB2312" w:cs="宋体"/>
          <w:b/>
          <w:color w:val="000000" w:themeColor="text1"/>
          <w:sz w:val="28"/>
          <w:szCs w:val="28"/>
          <w14:textFill>
            <w14:solidFill>
              <w14:schemeClr w14:val="tx1"/>
            </w14:solidFill>
          </w14:textFill>
        </w:rPr>
        <w:t>）</w:t>
      </w:r>
      <w:r>
        <w:rPr>
          <w:rFonts w:ascii="仿宋_GB2312" w:hAnsi="仿宋" w:eastAsia="仿宋_GB2312" w:cs="宋体"/>
          <w:color w:val="000000" w:themeColor="text1"/>
          <w:sz w:val="28"/>
          <w:szCs w:val="28"/>
          <w14:textFill>
            <w14:solidFill>
              <w14:schemeClr w14:val="tx1"/>
            </w14:solidFill>
          </w14:textFill>
        </w:rPr>
        <w:t>；</w:t>
      </w:r>
    </w:p>
    <w:p w14:paraId="56438A63">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10.6</w:t>
      </w:r>
      <w:r>
        <w:rPr>
          <w:rFonts w:hint="eastAsia" w:ascii="仿宋_GB2312" w:hAnsi="宋体" w:eastAsia="仿宋_GB2312"/>
          <w:color w:val="000000" w:themeColor="text1"/>
          <w:sz w:val="28"/>
          <w:szCs w:val="28"/>
          <w14:textFill>
            <w14:solidFill>
              <w14:schemeClr w14:val="tx1"/>
            </w14:solidFill>
          </w14:textFill>
        </w:rPr>
        <w:t>投标人的报价在合同执行过程中是固定不变的，不得以任何理由改变。所有价格折扣、优惠条件必须在报价明细表中注明，否则评审时不予认可。</w:t>
      </w:r>
    </w:p>
    <w:p w14:paraId="7820E595">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11.联合体投标</w:t>
      </w:r>
    </w:p>
    <w:p w14:paraId="21147B5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两个以上的自然人、法人或者其他组织可以组成一个联合体，以一个投标人的身份共同参加投标。</w:t>
      </w:r>
    </w:p>
    <w:p w14:paraId="29CD90E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11.1以联合体形式进行投标的，应当提交联合协议，载明联合体各方承担的工作和义务。联合体各方应当共同与采购人签订采购合同，就采购合同约定的事项对采购人承担连带责任。</w:t>
      </w:r>
    </w:p>
    <w:p w14:paraId="4E3CB9E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11.2联合体中有同类资质的</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按照联合体分工承担相同工作的，应当按照资质等级较低的</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确定资质等级。</w:t>
      </w:r>
    </w:p>
    <w:p w14:paraId="0AB4671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11.3联合体的各方应当共同推荐一名联合体投标授权代表方，由联合体各方提交一份授权书，证明其有资格代表联合体各方签署投标文件，该授权书作为投标文件的组成部分一并提交给</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w:t>
      </w:r>
    </w:p>
    <w:p w14:paraId="45E3186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11.4以联合体形式参加采购活动的，联合体各方不得再单独参加或者与其他</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另外组成联合体参加同一合同项下的采购活动。</w:t>
      </w:r>
    </w:p>
    <w:p w14:paraId="342CBCE1">
      <w:pPr>
        <w:spacing w:line="560" w:lineRule="exact"/>
        <w:ind w:firstLine="565"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本项目是否接受联合体投标详见《投标须知前附表》。</w:t>
      </w:r>
    </w:p>
    <w:p w14:paraId="3356CED1">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12.关于分包</w:t>
      </w:r>
    </w:p>
    <w:p w14:paraId="244901E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12.1供应商拟将成交项目的非主体、非关键性工作分包的，应当在响应文件中载明分包承担主体，分包承担主体应当具备相应资质条件且不得再次分包。</w:t>
      </w:r>
    </w:p>
    <w:p w14:paraId="1FDB4D9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12.2供应商应当就分包项目向采购人负责，分包承担主体就分包项目承担责任。</w:t>
      </w:r>
    </w:p>
    <w:p w14:paraId="3B3D778C">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13.现场踏勘</w:t>
      </w:r>
    </w:p>
    <w:p w14:paraId="402004D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13.1如有需要，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27664A7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13.2投标人及其人员经过采购人的允许，可以踏勘目的进入采购单位的项目现场。若本项目招标文件要求投标人于统一时间地点踏勘现场的，投标人应当按时前往。</w:t>
      </w:r>
    </w:p>
    <w:p w14:paraId="1A430D4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13.3除招标人的原因外，投标人自行负责在踏勘现场中所发生的人员伤亡和财产损失。</w:t>
      </w:r>
    </w:p>
    <w:p w14:paraId="1960F4B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13.4未参与现场踏勘不作为否定投标人资格的理由。</w:t>
      </w:r>
    </w:p>
    <w:p w14:paraId="37982855">
      <w:pPr>
        <w:spacing w:line="560" w:lineRule="exact"/>
        <w:ind w:firstLine="565"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本项目是否组织现场踏勘详见《投标须知前附表》</w:t>
      </w:r>
    </w:p>
    <w:p w14:paraId="63500C49">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14.投标的有效期</w:t>
      </w:r>
    </w:p>
    <w:p w14:paraId="10F42A5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14.1从开标之日起，投标有效期为90天。投标有效期短于90天的，其投标为无效投标（响应）。</w:t>
      </w:r>
    </w:p>
    <w:p w14:paraId="0208C23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14.2特殊情况下，在投标有效期满之前，</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可以要求投标人延长投标有效期，投标人可以书面形式拒绝或接受上述要求。同意延长投标有效期的投标人不得修改投标文件的实质性内容。</w:t>
      </w:r>
    </w:p>
    <w:p w14:paraId="25108351">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15.履约保证金的交纳与返还</w:t>
      </w:r>
    </w:p>
    <w:p w14:paraId="058A762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本项目不收取履约保证金。</w:t>
      </w:r>
    </w:p>
    <w:p w14:paraId="2BE3515E">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16.投标文件的数量和签署</w:t>
      </w:r>
    </w:p>
    <w:p w14:paraId="4AB55A8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16.1投标文件（pdf格式）（第一册）1份</w:t>
      </w:r>
    </w:p>
    <w:p w14:paraId="2A5E4BD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16.1.1投标人应使用带电子签章功能的CA锁对投标文件须盖章或签名的部位加盖电子印章（单位电子公章、法定代表人电子人名章），电子印章与实物印章具有同等法律效力。</w:t>
      </w:r>
    </w:p>
    <w:p w14:paraId="7E90B21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14:paraId="100E5DD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16.1.3文件中要求法定代表人签字或签章的须加盖法定代表人电子人名章。</w:t>
      </w:r>
    </w:p>
    <w:p w14:paraId="12334126">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16.1.4</w:t>
      </w:r>
      <w:r>
        <w:rPr>
          <w:rFonts w:hint="eastAsia" w:ascii="仿宋_GB2312" w:hAnsi="宋体" w:eastAsia="仿宋_GB2312"/>
          <w:color w:val="000000" w:themeColor="text1"/>
          <w:sz w:val="28"/>
          <w:szCs w:val="28"/>
          <w14:textFill>
            <w14:solidFill>
              <w14:schemeClr w14:val="tx1"/>
            </w14:solidFill>
          </w14:textFill>
        </w:rPr>
        <w:t>须被授权人签字的，被授权人又无电子章，在word编制时可将被授权人手写签字扫描后的图片粘贴到投标文件中对应位置，并加盖单位电子公章。</w:t>
      </w:r>
    </w:p>
    <w:p w14:paraId="5357172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16.1.5</w:t>
      </w:r>
      <w:r>
        <w:rPr>
          <w:rFonts w:hint="eastAsia" w:ascii="仿宋_GB2312" w:hAnsi="宋体" w:eastAsia="仿宋_GB2312"/>
          <w:color w:val="000000" w:themeColor="text1"/>
          <w:sz w:val="28"/>
          <w:szCs w:val="28"/>
          <w14:textFill>
            <w14:solidFill>
              <w14:schemeClr w14:val="tx1"/>
            </w14:solidFill>
          </w14:textFill>
        </w:rPr>
        <w:t>可使用系统的批量盖章功能快速签章。但须逐页浏览检查并注意印章重叠及完整性。</w:t>
      </w:r>
    </w:p>
    <w:p w14:paraId="4F2151B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16.1.6采用扫描粘贴投标人公章或扫描法定代表人人名章而不加盖单位电子公章的为</w:t>
      </w:r>
      <w:r>
        <w:rPr>
          <w:rFonts w:hint="eastAsia" w:ascii="仿宋_GB2312" w:hAnsi="仿宋" w:eastAsia="仿宋_GB2312" w:cs="宋体"/>
          <w:b/>
          <w:color w:val="000000" w:themeColor="text1"/>
          <w:sz w:val="28"/>
          <w:szCs w:val="28"/>
          <w14:textFill>
            <w14:solidFill>
              <w14:schemeClr w14:val="tx1"/>
            </w14:solidFill>
          </w14:textFill>
        </w:rPr>
        <w:t>无效投标（响应）</w:t>
      </w:r>
      <w:r>
        <w:rPr>
          <w:rFonts w:hint="eastAsia" w:ascii="仿宋_GB2312" w:hAnsi="仿宋" w:eastAsia="仿宋_GB2312" w:cs="宋体"/>
          <w:color w:val="000000" w:themeColor="text1"/>
          <w:sz w:val="28"/>
          <w:szCs w:val="28"/>
          <w14:textFill>
            <w14:solidFill>
              <w14:schemeClr w14:val="tx1"/>
            </w14:solidFill>
          </w14:textFill>
        </w:rPr>
        <w:t>。</w:t>
      </w:r>
    </w:p>
    <w:p w14:paraId="4C49E6E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16.2数据文件（PDF格式）（第二册）1份</w:t>
      </w:r>
    </w:p>
    <w:p w14:paraId="4A2BEF9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1292DB6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16.2.2</w:t>
      </w:r>
      <w:r>
        <w:rPr>
          <w:rFonts w:hint="eastAsia" w:ascii="仿宋_GB2312" w:hAnsi="宋体" w:eastAsia="仿宋_GB2312"/>
          <w:color w:val="000000" w:themeColor="text1"/>
          <w:sz w:val="28"/>
          <w:szCs w:val="28"/>
          <w14:textFill>
            <w14:solidFill>
              <w14:schemeClr w14:val="tx1"/>
            </w14:solidFill>
          </w14:textFill>
        </w:rPr>
        <w:t>文件中要求法定代表人签字或签章的须加盖法定代表人电子人名章。</w:t>
      </w:r>
    </w:p>
    <w:p w14:paraId="26F8DC8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16.2.3采用扫描粘贴投标人公章或法定代表人人名章的为</w:t>
      </w:r>
      <w:r>
        <w:rPr>
          <w:rFonts w:hint="eastAsia" w:ascii="仿宋_GB2312" w:hAnsi="仿宋" w:eastAsia="仿宋_GB2312" w:cs="宋体"/>
          <w:b/>
          <w:color w:val="000000" w:themeColor="text1"/>
          <w:sz w:val="28"/>
          <w:szCs w:val="28"/>
          <w14:textFill>
            <w14:solidFill>
              <w14:schemeClr w14:val="tx1"/>
            </w14:solidFill>
          </w14:textFill>
        </w:rPr>
        <w:t>无效投标（响应）</w:t>
      </w:r>
      <w:r>
        <w:rPr>
          <w:rFonts w:hint="eastAsia" w:ascii="仿宋_GB2312" w:hAnsi="仿宋" w:eastAsia="仿宋_GB2312" w:cs="宋体"/>
          <w:color w:val="000000" w:themeColor="text1"/>
          <w:sz w:val="28"/>
          <w:szCs w:val="28"/>
          <w14:textFill>
            <w14:solidFill>
              <w14:schemeClr w14:val="tx1"/>
            </w14:solidFill>
          </w14:textFill>
        </w:rPr>
        <w:t>。</w:t>
      </w:r>
    </w:p>
    <w:p w14:paraId="34322C5F">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四、投标文件的递交</w:t>
      </w:r>
    </w:p>
    <w:p w14:paraId="03DD0ADD">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17.投标文件的密封和标记</w:t>
      </w:r>
    </w:p>
    <w:p w14:paraId="51F6654D">
      <w:pPr>
        <w:spacing w:line="560" w:lineRule="exact"/>
        <w:ind w:firstLine="565"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17.1电子投标文件的密封和标记</w:t>
      </w:r>
    </w:p>
    <w:p w14:paraId="74990A7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2E339315">
      <w:pPr>
        <w:spacing w:line="560" w:lineRule="exact"/>
        <w:ind w:firstLine="565"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17.2资质证明文件原件的密封和标记</w:t>
      </w:r>
    </w:p>
    <w:p w14:paraId="0B9E5F4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_GB2312" w:hAnsi="仿宋" w:eastAsia="仿宋_GB2312" w:cs="宋体"/>
          <w:b/>
          <w:color w:val="000000" w:themeColor="text1"/>
          <w:sz w:val="28"/>
          <w:szCs w:val="28"/>
          <w14:textFill>
            <w14:solidFill>
              <w14:schemeClr w14:val="tx1"/>
            </w14:solidFill>
          </w14:textFill>
        </w:rPr>
        <w:t>开标时间</w:t>
      </w:r>
      <w:r>
        <w:rPr>
          <w:rFonts w:hint="eastAsia" w:ascii="仿宋_GB2312" w:hAnsi="仿宋" w:eastAsia="仿宋_GB2312" w:cs="宋体"/>
          <w:color w:val="000000" w:themeColor="text1"/>
          <w:sz w:val="28"/>
          <w:szCs w:val="28"/>
          <w14:textFill>
            <w14:solidFill>
              <w14:schemeClr w14:val="tx1"/>
            </w14:solidFill>
          </w14:textFill>
        </w:rPr>
        <w:t xml:space="preserve">）的字样。加盖公章或由法定代表人或经其正式授权的代表在旁边签字。 </w:t>
      </w:r>
    </w:p>
    <w:p w14:paraId="55B9E7A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17.2.2投标人按上述规定进行密封和标记后，按照招标文件的要求送达指定地点。</w:t>
      </w:r>
    </w:p>
    <w:p w14:paraId="57F9E39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17.2.3如果未按上述规定进行密封和标记，</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对误投或提前启封概不负责。</w:t>
      </w:r>
    </w:p>
    <w:p w14:paraId="289CE87B">
      <w:pPr>
        <w:spacing w:line="560" w:lineRule="exact"/>
        <w:ind w:firstLine="565"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17.3文件递交</w:t>
      </w:r>
    </w:p>
    <w:p w14:paraId="268F7B3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_GB2312" w:hAnsi="仿宋" w:eastAsia="仿宋_GB2312" w:cs="宋体"/>
          <w:b/>
          <w:color w:val="000000" w:themeColor="text1"/>
          <w:sz w:val="28"/>
          <w:szCs w:val="28"/>
          <w14:textFill>
            <w14:solidFill>
              <w14:schemeClr w14:val="tx1"/>
            </w14:solidFill>
          </w14:textFill>
        </w:rPr>
        <w:t>其投标将会被判定为无效。</w:t>
      </w:r>
    </w:p>
    <w:p w14:paraId="6977DB14">
      <w:pPr>
        <w:spacing w:line="560" w:lineRule="exact"/>
        <w:ind w:firstLine="565"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361C7B2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17.3.3除投标须知前附表另有规定外，</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拒绝接收纸质投标文件。</w:t>
      </w:r>
    </w:p>
    <w:p w14:paraId="7DACC4A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17.3.4投标人应将网上递交的已盖章未加密的数据文件和投标文件谨慎保存备份，以便启动应急开标程序时备案使用。</w:t>
      </w:r>
    </w:p>
    <w:p w14:paraId="6800494D">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18.投标截止期</w:t>
      </w:r>
    </w:p>
    <w:p w14:paraId="6E08EFB4">
      <w:pPr>
        <w:spacing w:line="560" w:lineRule="exact"/>
        <w:ind w:firstLine="565"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本次招标的投标截止期见《投标须知前附表》。</w:t>
      </w:r>
    </w:p>
    <w:p w14:paraId="67E0B956">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19.迟交的投标文件</w:t>
      </w:r>
    </w:p>
    <w:p w14:paraId="3332F64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威海市国有企业阳光采购电子化服务平台无法接收投标截止期后递交的电子投标文件。</w:t>
      </w:r>
    </w:p>
    <w:p w14:paraId="451EDA0F">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20.</w:t>
      </w:r>
      <w:r>
        <w:rPr>
          <w:rFonts w:hint="eastAsia" w:ascii="楷体_GB2312" w:hAnsi="宋体" w:eastAsia="楷体_GB2312"/>
          <w:b/>
          <w:color w:val="000000" w:themeColor="text1"/>
          <w:sz w:val="28"/>
          <w:szCs w:val="28"/>
          <w14:textFill>
            <w14:solidFill>
              <w14:schemeClr w14:val="tx1"/>
            </w14:solidFill>
          </w14:textFill>
        </w:rPr>
        <w:t>现场演示</w:t>
      </w:r>
      <w:r>
        <w:rPr>
          <w:rFonts w:ascii="楷体_GB2312" w:hAnsi="宋体" w:eastAsia="楷体_GB2312"/>
          <w:b/>
          <w:color w:val="000000" w:themeColor="text1"/>
          <w:sz w:val="28"/>
          <w:szCs w:val="28"/>
          <w14:textFill>
            <w14:solidFill>
              <w14:schemeClr w14:val="tx1"/>
            </w14:solidFill>
          </w14:textFill>
        </w:rPr>
        <w:t>/</w:t>
      </w:r>
      <w:r>
        <w:rPr>
          <w:rFonts w:hint="eastAsia" w:ascii="楷体_GB2312" w:hAnsi="宋体" w:eastAsia="楷体_GB2312"/>
          <w:b/>
          <w:color w:val="000000" w:themeColor="text1"/>
          <w:sz w:val="28"/>
          <w:szCs w:val="28"/>
          <w14:textFill>
            <w14:solidFill>
              <w14:schemeClr w14:val="tx1"/>
            </w14:solidFill>
          </w14:textFill>
        </w:rPr>
        <w:t>样品递交</w:t>
      </w:r>
    </w:p>
    <w:p w14:paraId="4BA04A3D">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20.1采购人可以要求投标人对其提供的信息化、自动化等相关类别服务进行演示。</w:t>
      </w:r>
    </w:p>
    <w:p w14:paraId="5F4CE95D">
      <w:pPr>
        <w:snapToGrid w:val="0"/>
        <w:spacing w:line="560" w:lineRule="exact"/>
        <w:ind w:firstLine="562" w:firstLineChars="201"/>
        <w:rPr>
          <w:rFonts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20.2若服务项目涉及货物时，采购人可以要求投标人提供样品，样品作为响应文件的一部分。未中标供应商提供的样品将于评审结束后退还。中标人的样品由采购人保留，作为验收的参考。</w:t>
      </w:r>
    </w:p>
    <w:p w14:paraId="24A18182">
      <w:pPr>
        <w:spacing w:line="560" w:lineRule="exact"/>
        <w:ind w:firstLine="565"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是否要求投标人</w:t>
      </w:r>
      <w:r>
        <w:rPr>
          <w:rFonts w:hint="eastAsia" w:ascii="仿宋_GB2312" w:hAnsi="宋体" w:eastAsia="仿宋_GB2312"/>
          <w:b/>
          <w:color w:val="000000" w:themeColor="text1"/>
          <w:sz w:val="28"/>
          <w:szCs w:val="28"/>
          <w14:textFill>
            <w14:solidFill>
              <w14:schemeClr w14:val="tx1"/>
            </w14:solidFill>
          </w14:textFill>
        </w:rPr>
        <w:t>提供演示/提交样品</w:t>
      </w:r>
      <w:r>
        <w:rPr>
          <w:rFonts w:hint="eastAsia" w:ascii="仿宋_GB2312" w:hAnsi="仿宋" w:eastAsia="仿宋_GB2312" w:cs="宋体"/>
          <w:b/>
          <w:color w:val="000000" w:themeColor="text1"/>
          <w:sz w:val="28"/>
          <w:szCs w:val="28"/>
          <w14:textFill>
            <w14:solidFill>
              <w14:schemeClr w14:val="tx1"/>
            </w14:solidFill>
          </w14:textFill>
        </w:rPr>
        <w:t>，详见招标文件《投标须知前附表》的有关规定。</w:t>
      </w:r>
    </w:p>
    <w:p w14:paraId="62F22134">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21.投标文件的修改和撤回</w:t>
      </w:r>
    </w:p>
    <w:p w14:paraId="7DF0C4F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21.1投标人必须在规定的投标截止期之前将修改的投标文件和数据文件上传到威海市国有企业阳光采购电子化服务平台,在投标截止期之后，投标人不得对其投标文件做任何修改。</w:t>
      </w:r>
    </w:p>
    <w:p w14:paraId="18C057D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21.2投标人在递交投标文件后，可以在投标截止期之前撤回其投标。</w:t>
      </w:r>
    </w:p>
    <w:p w14:paraId="25F6005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21.3开标后不允许对投标文件做实质性修改和补充，不得撤回投标文件。</w:t>
      </w:r>
    </w:p>
    <w:p w14:paraId="6976BB8D">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五、开标与评审</w:t>
      </w:r>
    </w:p>
    <w:p w14:paraId="0B05FCCC">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22.开标</w:t>
      </w:r>
    </w:p>
    <w:p w14:paraId="7FBFD92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22.1投标截止时间结束后，投标人不足3家的不得开标。</w:t>
      </w:r>
    </w:p>
    <w:p w14:paraId="7DFA8C1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22.2</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0FDDA0A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22.3现场开标和远程开标的投标人代表应在签到表格相应位置上加盖CA锁中的法定代表人电子人名章以证明其出席，在开标时间前未完成签到的将会被</w:t>
      </w:r>
      <w:r>
        <w:rPr>
          <w:rFonts w:hint="eastAsia" w:ascii="仿宋_GB2312" w:hAnsi="仿宋" w:eastAsia="仿宋_GB2312" w:cs="宋体"/>
          <w:b/>
          <w:color w:val="000000" w:themeColor="text1"/>
          <w:sz w:val="28"/>
          <w:szCs w:val="28"/>
          <w14:textFill>
            <w14:solidFill>
              <w14:schemeClr w14:val="tx1"/>
            </w14:solidFill>
          </w14:textFill>
        </w:rPr>
        <w:t>视作</w:t>
      </w:r>
      <w:r>
        <w:rPr>
          <w:rFonts w:hint="eastAsia" w:ascii="仿宋_GB2312" w:hAnsi="仿宋" w:eastAsia="仿宋_GB2312" w:cs="宋体"/>
          <w:color w:val="000000" w:themeColor="text1"/>
          <w:sz w:val="28"/>
          <w:szCs w:val="28"/>
          <w14:textFill>
            <w14:solidFill>
              <w14:schemeClr w14:val="tx1"/>
            </w14:solidFill>
          </w14:textFill>
        </w:rPr>
        <w:t>认同开标结果。</w:t>
      </w:r>
    </w:p>
    <w:p w14:paraId="446A07F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22.4投标须知前附表规定了文件解密时间，投标人输入密码错误（5次输入机会）、未能按时完成解密、其《数据文件》填写、盖章不规范等导致系统无法解析的，将会被视为</w:t>
      </w:r>
      <w:r>
        <w:rPr>
          <w:rFonts w:hint="eastAsia" w:ascii="仿宋_GB2312" w:hAnsi="仿宋" w:eastAsia="仿宋_GB2312" w:cs="宋体"/>
          <w:b/>
          <w:color w:val="000000" w:themeColor="text1"/>
          <w:sz w:val="28"/>
          <w:szCs w:val="28"/>
          <w14:textFill>
            <w14:solidFill>
              <w14:schemeClr w14:val="tx1"/>
            </w14:solidFill>
          </w14:textFill>
        </w:rPr>
        <w:t>无效投标（响应）</w:t>
      </w:r>
      <w:r>
        <w:rPr>
          <w:rFonts w:hint="eastAsia" w:ascii="仿宋_GB2312" w:hAnsi="仿宋" w:eastAsia="仿宋_GB2312" w:cs="宋体"/>
          <w:color w:val="000000" w:themeColor="text1"/>
          <w:sz w:val="28"/>
          <w:szCs w:val="28"/>
          <w14:textFill>
            <w14:solidFill>
              <w14:schemeClr w14:val="tx1"/>
            </w14:solidFill>
          </w14:textFill>
        </w:rPr>
        <w:t>。</w:t>
      </w:r>
    </w:p>
    <w:p w14:paraId="32C0063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22.5开标过程应当由采购人或</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负责记录，最终形成开标一览表并由各投标人代表和相关工作人员签字或盖章确认。</w:t>
      </w:r>
    </w:p>
    <w:p w14:paraId="0BBA448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22.6投标人代表对开标过程和开标记录有疑义，以及认为采购人、</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相关工作人员有需要回避的情形的，应当场提出询问或者回避申请。采购人、</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对投标人代表提出的询问或者回避申请应当及时处理。</w:t>
      </w:r>
    </w:p>
    <w:p w14:paraId="03E3571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22.7录音、录像：威海市公共资源交易中心荣成分中心负责从递交投标文件开始到定标结束全过程的录音、录像工作，确保声音清楚、图像清晰、内容无遗漏。</w:t>
      </w:r>
    </w:p>
    <w:p w14:paraId="438FFC3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22.8评审过程中，如遇特殊情况，服从公共资源交易中心场地调配，并遵守相关规章制度。</w:t>
      </w:r>
    </w:p>
    <w:p w14:paraId="05CBD06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22.9对投标文件报价出现前后不一致的，按以下规定修正：</w:t>
      </w:r>
    </w:p>
    <w:p w14:paraId="7706D40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（1）“投标（报价）一览表”的报价与“报价明细表”的报价不一致的，以“投标（报价）一览表”的报价为准；</w:t>
      </w:r>
    </w:p>
    <w:p w14:paraId="5C0053B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（2）大写金额和小写金额不一致的，以大写金额为准；</w:t>
      </w:r>
    </w:p>
    <w:p w14:paraId="1397E75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（3）单价金额小数点或者百分比有明显错位的，以投标（报价）一览表的总价为准，并修改单价。</w:t>
      </w:r>
    </w:p>
    <w:p w14:paraId="45931BB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（4）总价金额与按单价汇总金额不一致的，以单价金额计算结果为准。</w:t>
      </w:r>
    </w:p>
    <w:p w14:paraId="379A57C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（5）同时出现两种以上不一致的，按照前款规定的顺序修正。修正后的报价经投标人确认后产生约束力，投标人不确认的，其投标无效。</w:t>
      </w:r>
    </w:p>
    <w:p w14:paraId="372543A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22.10开标程序</w:t>
      </w:r>
    </w:p>
    <w:p w14:paraId="2BA154E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22.10.1签到：在投标须知前附表规定的时间完成签到。</w:t>
      </w:r>
    </w:p>
    <w:p w14:paraId="6742153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22.10.2开标：工作人员在投标须知前附表规定的开标时间启动开标。</w:t>
      </w:r>
    </w:p>
    <w:p w14:paraId="6D34411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22.10.3解密：开标后工作人员启动开始解密指令，投标人开始输入解密密码，解密时间到后工作人员启动停止解密指令。</w:t>
      </w:r>
    </w:p>
    <w:p w14:paraId="08B1B0A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23D1B67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22.10.5投标人可使用电子交易系统“网上开标”中的“看直播”功能参与开标程序。</w:t>
      </w:r>
    </w:p>
    <w:p w14:paraId="3F5243A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22.11应急开标程序</w:t>
      </w:r>
    </w:p>
    <w:p w14:paraId="51FB507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电子开标过程中如出现下列情况，导致系统无法正常运行，或者无法保证开标过程的公平、公正和信息安全时，经与行政监督部门沟通后可启动应急开标程序。</w:t>
      </w:r>
    </w:p>
    <w:p w14:paraId="314BA2E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（1）系统服务器发生故障，无法访问或无法使用系统；</w:t>
      </w:r>
    </w:p>
    <w:p w14:paraId="3DB63DE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（2）系统的软件或数据库出现错误，不能进行正常操作；</w:t>
      </w:r>
    </w:p>
    <w:p w14:paraId="1372B98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（3）系统发现有安全漏洞，有潜在的泄密危险；</w:t>
      </w:r>
    </w:p>
    <w:p w14:paraId="3343BF9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（4）病毒发作或受到外来病毒的攻击；</w:t>
      </w:r>
    </w:p>
    <w:p w14:paraId="4918E38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（5）其他无法保证开标过程公平、公正和信息安全的情形。</w:t>
      </w:r>
    </w:p>
    <w:p w14:paraId="5ADCD72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应急开标程序包括：</w:t>
      </w:r>
    </w:p>
    <w:p w14:paraId="6536E6B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（1）对</w:t>
      </w:r>
      <w:r>
        <w:rPr>
          <w:rFonts w:ascii="仿宋_GB2312" w:hAnsi="仿宋" w:eastAsia="仿宋_GB2312" w:cs="宋体"/>
          <w:color w:val="000000" w:themeColor="text1"/>
          <w:sz w:val="28"/>
          <w:szCs w:val="28"/>
          <w14:textFill>
            <w14:solidFill>
              <w14:schemeClr w14:val="tx1"/>
            </w14:solidFill>
          </w14:textFill>
        </w:rPr>
        <w:t>未在系统中开标的可暂停开标</w:t>
      </w:r>
      <w:r>
        <w:rPr>
          <w:rFonts w:hint="eastAsia" w:ascii="仿宋_GB2312" w:hAnsi="仿宋" w:eastAsia="仿宋_GB2312" w:cs="宋体"/>
          <w:color w:val="000000" w:themeColor="text1"/>
          <w:sz w:val="28"/>
          <w:szCs w:val="28"/>
          <w14:textFill>
            <w14:solidFill>
              <w14:schemeClr w14:val="tx1"/>
            </w14:solidFill>
          </w14:textFill>
        </w:rPr>
        <w:t>；</w:t>
      </w:r>
    </w:p>
    <w:p w14:paraId="063D8B0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（2）对已在系统中开标的</w:t>
      </w:r>
      <w:r>
        <w:rPr>
          <w:rFonts w:hint="eastAsia" w:ascii="仿宋_GB2312" w:hAnsi="仿宋" w:eastAsia="仿宋_GB2312" w:cs="宋体"/>
          <w:color w:val="000000" w:themeColor="text1"/>
          <w:sz w:val="28"/>
          <w:szCs w:val="28"/>
          <w14:textFill>
            <w14:solidFill>
              <w14:schemeClr w14:val="tx1"/>
            </w14:solidFill>
          </w14:textFill>
        </w:rPr>
        <w:t>应停止，等待系统恢复正常后再组织进行开标</w:t>
      </w:r>
      <w:r>
        <w:rPr>
          <w:rFonts w:ascii="仿宋_GB2312" w:hAnsi="仿宋" w:eastAsia="仿宋_GB2312" w:cs="宋体"/>
          <w:color w:val="000000" w:themeColor="text1"/>
          <w:sz w:val="28"/>
          <w:szCs w:val="28"/>
          <w14:textFill>
            <w14:solidFill>
              <w14:schemeClr w14:val="tx1"/>
            </w14:solidFill>
          </w14:textFill>
        </w:rPr>
        <w:t>。</w:t>
      </w:r>
    </w:p>
    <w:p w14:paraId="020BDDF2">
      <w:pPr>
        <w:spacing w:line="560" w:lineRule="exact"/>
        <w:ind w:firstLine="562"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_GB2312" w:hAnsi="仿宋" w:eastAsia="仿宋_GB2312" w:cs="宋体"/>
          <w:b/>
          <w:color w:val="000000" w:themeColor="text1"/>
          <w:sz w:val="28"/>
          <w:szCs w:val="28"/>
          <w14:textFill>
            <w14:solidFill>
              <w14:schemeClr w14:val="tx1"/>
            </w14:solidFill>
          </w14:textFill>
        </w:rPr>
        <w:t>无效投标（响应）处理。</w:t>
      </w:r>
    </w:p>
    <w:p w14:paraId="1C4E423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_GB2312" w:hAnsi="仿宋" w:eastAsia="仿宋_GB2312" w:cs="宋体"/>
          <w:b/>
          <w:color w:val="000000" w:themeColor="text1"/>
          <w:sz w:val="28"/>
          <w:szCs w:val="28"/>
          <w14:textFill>
            <w14:solidFill>
              <w14:schemeClr w14:val="tx1"/>
            </w14:solidFill>
          </w14:textFill>
        </w:rPr>
        <w:t>无效投标（响应）处理</w:t>
      </w:r>
      <w:r>
        <w:rPr>
          <w:rFonts w:hint="eastAsia" w:ascii="仿宋_GB2312" w:hAnsi="仿宋" w:eastAsia="仿宋_GB2312" w:cs="宋体"/>
          <w:color w:val="000000" w:themeColor="text1"/>
          <w:sz w:val="28"/>
          <w:szCs w:val="28"/>
          <w14:textFill>
            <w14:solidFill>
              <w14:schemeClr w14:val="tx1"/>
            </w14:solidFill>
          </w14:textFill>
        </w:rPr>
        <w:t>。</w:t>
      </w:r>
    </w:p>
    <w:p w14:paraId="014E0AE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22.12应急开标电子邮件递交规定</w:t>
      </w:r>
    </w:p>
    <w:p w14:paraId="2A04F3C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接收电子邮箱：whzczb</w:t>
      </w:r>
      <w:r>
        <w:rPr>
          <w:rFonts w:ascii="仿宋_GB2312" w:hAnsi="仿宋" w:eastAsia="仿宋_GB2312" w:cs="宋体"/>
          <w:color w:val="000000" w:themeColor="text1"/>
          <w:sz w:val="28"/>
          <w:szCs w:val="28"/>
          <w14:textFill>
            <w14:solidFill>
              <w14:schemeClr w14:val="tx1"/>
            </w14:solidFill>
          </w14:textFill>
        </w:rPr>
        <w:t>@1</w:t>
      </w:r>
      <w:r>
        <w:rPr>
          <w:rFonts w:hint="eastAsia" w:ascii="仿宋_GB2312" w:hAnsi="仿宋" w:eastAsia="仿宋_GB2312" w:cs="宋体"/>
          <w:color w:val="000000" w:themeColor="text1"/>
          <w:sz w:val="28"/>
          <w:szCs w:val="28"/>
          <w14:textFill>
            <w14:solidFill>
              <w14:schemeClr w14:val="tx1"/>
            </w14:solidFill>
          </w14:textFill>
        </w:rPr>
        <w:t>26</w:t>
      </w:r>
      <w:r>
        <w:rPr>
          <w:rFonts w:ascii="仿宋_GB2312" w:hAnsi="仿宋" w:eastAsia="仿宋_GB2312" w:cs="宋体"/>
          <w:color w:val="000000" w:themeColor="text1"/>
          <w:sz w:val="28"/>
          <w:szCs w:val="28"/>
          <w14:textFill>
            <w14:solidFill>
              <w14:schemeClr w14:val="tx1"/>
            </w14:solidFill>
          </w14:textFill>
        </w:rPr>
        <w:t>.com</w:t>
      </w:r>
    </w:p>
    <w:p w14:paraId="1B089AB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递交时间：以电子邮件或电话通知的时间为准；</w:t>
      </w:r>
    </w:p>
    <w:p w14:paraId="3424552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邮件数量：一封；</w:t>
      </w:r>
    </w:p>
    <w:p w14:paraId="70E2B1B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邮件主题：项目编号、投标人名称；</w:t>
      </w:r>
    </w:p>
    <w:p w14:paraId="43C95A3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1E96DB3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22.13启动电子邮件开标流程</w:t>
      </w:r>
    </w:p>
    <w:p w14:paraId="1C6430F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工作人员电话通知所有投标人启动应急开标程序；</w:t>
      </w:r>
    </w:p>
    <w:p w14:paraId="4AB7036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投标人收到通知后在规定时间内通过电子邮件递交投标文件（在非应急开标期间</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不接受、不处理任何通过电子邮件提交的投标文件）；</w:t>
      </w:r>
    </w:p>
    <w:p w14:paraId="6A09EBB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递交截止时间到，工作人员开始下载投标文件，将投标报价形成开标报告并邮件回复各投标人；</w:t>
      </w:r>
    </w:p>
    <w:p w14:paraId="19A5BEC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投标人确认报价并邮件回复，不及时回复的视为对开标报告的内容无异议。</w:t>
      </w:r>
    </w:p>
    <w:p w14:paraId="0693A6B7">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23.评标委员会的组成和评标方法</w:t>
      </w:r>
    </w:p>
    <w:p w14:paraId="696F819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23.1</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75CB3FC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23.2采购人员及相关人员与</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有利害关系的应当回避。曾参与招标文件征询意见或论证的专家，不得再作为评标专家参加评标。采购人不得以专家身份参与本项目的评标。采购人和</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工作人员离职或退休不满三年的，不能作为专家参加评标工作。</w:t>
      </w:r>
    </w:p>
    <w:p w14:paraId="115B229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23.3评标委员会成员职责：</w:t>
      </w:r>
    </w:p>
    <w:p w14:paraId="704ADE9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（1）评标前，评标委员会成员应当主动确认与投标人及其制造商是否有利害关系。如有利害关系应当主动回避，如无利害关系，应当在含有相关内容的《无利害关系声明》上签字；</w:t>
      </w:r>
    </w:p>
    <w:p w14:paraId="0349F14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（2）按照招标文件中确定的评标办法，对投标文件的内容进行评审，并对评审结果承担责任；</w:t>
      </w:r>
    </w:p>
    <w:p w14:paraId="46B9905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（3）对评标过程和结果，以及投标人的商业秘密进行保密；</w:t>
      </w:r>
    </w:p>
    <w:p w14:paraId="57E38D9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（4）在评标委员会集体起草的评标报告上签字；</w:t>
      </w:r>
    </w:p>
    <w:p w14:paraId="4FBB898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（5）配合</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答复投标人质疑；</w:t>
      </w:r>
    </w:p>
    <w:p w14:paraId="68972E2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（6）配合主管部门处理投标人投诉；</w:t>
      </w:r>
    </w:p>
    <w:p w14:paraId="0AD22D3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（7）向主管部门反映评标工作中的问题，提出意见和建议。</w:t>
      </w:r>
    </w:p>
    <w:p w14:paraId="3C1C6BE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23.4评标委员会集体职责：</w:t>
      </w:r>
    </w:p>
    <w:p w14:paraId="2964FC4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22EE47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（2）配合采购人和</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答复投标人的质疑；</w:t>
      </w:r>
    </w:p>
    <w:p w14:paraId="7BFF9DA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（3）配合主管部门做好投诉处理工作；</w:t>
      </w:r>
    </w:p>
    <w:p w14:paraId="18508D4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（4）必要时，向投标人解释评标结果；</w:t>
      </w:r>
    </w:p>
    <w:p w14:paraId="6549974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（5）向主管部门或者有关部门报告非法干预评标工作的行为。</w:t>
      </w:r>
    </w:p>
    <w:p w14:paraId="533CF2C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23.5</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或采购人的职责：</w:t>
      </w:r>
    </w:p>
    <w:p w14:paraId="643BA04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（1）核对评审专家身份和采购人委托授权，对评审专家在采购活动中的职责履行情况予以记录，并及时将有关违法违规行为向主管部门报告；</w:t>
      </w:r>
    </w:p>
    <w:p w14:paraId="5E809CA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（2）宣布评标纪律；</w:t>
      </w:r>
    </w:p>
    <w:p w14:paraId="0706C33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（3）公布投标人名单，告知评审专家应当回避的情形；</w:t>
      </w:r>
    </w:p>
    <w:p w14:paraId="297B8A7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（4）组织评标委员会推选评标组长，采购人代表不得担任组长；</w:t>
      </w:r>
    </w:p>
    <w:p w14:paraId="037CCD2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（5）在评标期间采取必要的通讯管理措施，保证评标活动不受外界干扰；</w:t>
      </w:r>
    </w:p>
    <w:p w14:paraId="65D63E2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（6）根据评标委员会的要求介绍阳光国企采购相关政策法规、招标文件；</w:t>
      </w:r>
    </w:p>
    <w:p w14:paraId="671B763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（7）维护评标秩序，监督评标委员会依照招标文件规定的评标程序、方法和标准进行独立评审，及时制止和纠正采购人代表、评审专家的倾向性言论或者违法违规行为；</w:t>
      </w:r>
    </w:p>
    <w:p w14:paraId="23924B0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3E5651B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（9）评审工作完成后，按照规定向评审专家支付劳务报酬和异地评审差旅费，不得向评审专家以外的其他人员支付评审劳务报酬；</w:t>
      </w:r>
    </w:p>
    <w:p w14:paraId="1088EBF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（10）处理与评标有关的其他事项。</w:t>
      </w:r>
    </w:p>
    <w:p w14:paraId="6FD01A9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采购人可以在评标前说明项目背景和采购需求，说明内容不得含有歧视性、倾向性意见，不得超出招标文件所述范围。说明应当提交书面材料，并随采购文件一并存档。</w:t>
      </w:r>
    </w:p>
    <w:p w14:paraId="1D99333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23.6评标委员会采用集中办公、封闭方式进行评审。评标前，</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工作人员向评标委员会成员宣布评标纪律和工作规则。评标委员会成员签署《无利害关系声明表》，并遵照执行。</w:t>
      </w:r>
    </w:p>
    <w:p w14:paraId="194E20A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23.7评标委员会成员对与自己有利害关系的评标项目应当主动提出回避。</w:t>
      </w:r>
    </w:p>
    <w:p w14:paraId="654709B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23.8评标委员会将按照招标文件确定的评标原则和方法进行评标。采购人对投标人进行资格性审查，评标委员会对投标文件的评审内容分为符合性审查、商务评议、技术评议和价格评议。</w:t>
      </w:r>
    </w:p>
    <w:p w14:paraId="714DB9E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23.9评标委员会独立履行下列职责：</w:t>
      </w:r>
    </w:p>
    <w:p w14:paraId="4DE0D03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（1）审查、评价投标文件是否符合招标文件的商务、技术等实质性要求；</w:t>
      </w:r>
    </w:p>
    <w:p w14:paraId="44A1BCC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（2）要求投标人对投标文件有关事项作出澄清或者说明；</w:t>
      </w:r>
    </w:p>
    <w:p w14:paraId="0BD316F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（3）对投标文件进行比较和评价；</w:t>
      </w:r>
    </w:p>
    <w:p w14:paraId="3C2526A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（4）确定中标候选人名单，以及根据采购人委托直接确定中标人；</w:t>
      </w:r>
    </w:p>
    <w:p w14:paraId="7848802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（5）向采购人、</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或者有关部门报告评标中发现的违法行为。</w:t>
      </w:r>
    </w:p>
    <w:p w14:paraId="106832F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23.10 评标中因评标委员会成员缺席、回避或者健康等特殊原因导致评标委员会组成不符合本办法规定的，</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应当依法补足后继续评标。被更换的评标委员会成员所作出的评标意见无效。</w:t>
      </w:r>
    </w:p>
    <w:p w14:paraId="087780B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无法及时补足评标委员会成员的，</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应当停止评标活动，封存所有投标文件和开标、评标资料，依法重新组建评标委员会进行评标。原评标委员会作出的评标意见无效。</w:t>
      </w:r>
    </w:p>
    <w:p w14:paraId="6B91267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应当将变更、重新组建评标委员会的情况予以记录，并随采购文件一并存档。</w:t>
      </w:r>
    </w:p>
    <w:p w14:paraId="3A7EBD50">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24.投标文件的初审</w:t>
      </w:r>
    </w:p>
    <w:p w14:paraId="2B31848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24.1资格性审查。在采购项目开标结束后,采购人或者</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工作人员应当依照有关法律和招标文件的规定对投标人的资格进行审查。合格投标人不足3家的，不得评标。在资格性检查时,如有下列情况之一的，经采购人认定，视为非实质性响应，为无效投标（响应）：</w:t>
      </w:r>
    </w:p>
    <w:p w14:paraId="25B6CA9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1、单位负责人为同一人或者存在直接控股、管理关系的不同</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的；</w:t>
      </w:r>
    </w:p>
    <w:p w14:paraId="7086297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2、为采购项目提供整体设计、规范编制或者项目管理、监理、检测等服务的；</w:t>
      </w:r>
    </w:p>
    <w:p w14:paraId="65F19FA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3、投标人和投标服务资格证明文件不满足招标文件要求和过期失效的。</w:t>
      </w:r>
    </w:p>
    <w:p w14:paraId="0187D45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52E8F5CD">
      <w:pPr>
        <w:spacing w:line="560" w:lineRule="exact"/>
        <w:ind w:firstLine="565" w:firstLineChars="201"/>
        <w:rPr>
          <w:rFonts w:ascii="仿宋_GB2312" w:hAnsi="仿宋" w:eastAsia="仿宋_GB2312" w:cs="宋体"/>
          <w:b/>
          <w:color w:val="000000" w:themeColor="text1"/>
          <w:sz w:val="28"/>
          <w:szCs w:val="28"/>
          <w14:textFill>
            <w14:solidFill>
              <w14:schemeClr w14:val="tx1"/>
            </w14:solidFill>
          </w14:textFill>
        </w:rPr>
      </w:pPr>
      <w:r>
        <w:rPr>
          <w:rFonts w:hint="eastAsia" w:ascii="仿宋_GB2312" w:hAnsi="仿宋" w:eastAsia="仿宋_GB2312" w:cs="宋体"/>
          <w:b/>
          <w:color w:val="000000" w:themeColor="text1"/>
          <w:sz w:val="28"/>
          <w:szCs w:val="28"/>
          <w14:textFill>
            <w14:solidFill>
              <w14:schemeClr w14:val="tx1"/>
            </w14:solidFill>
          </w14:textFill>
        </w:rPr>
        <w:t>具体内容详见《投标须知》-《实质性条款一览表》中符合性审查条件。</w:t>
      </w:r>
    </w:p>
    <w:p w14:paraId="4E2A932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24.3投标人有下列情形之一的，视为投标人串通投标，其投标无效：</w:t>
      </w:r>
    </w:p>
    <w:p w14:paraId="525C8175">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14:textFill>
            <w14:solidFill>
              <w14:schemeClr w14:val="tx1"/>
            </w14:solidFill>
          </w14:textFill>
        </w:rPr>
      </w:pPr>
      <w:r>
        <w:rPr>
          <w:rFonts w:hint="eastAsia" w:ascii="仿宋_GB2312" w:hAnsi="仿宋" w:eastAsia="仿宋_GB2312"/>
          <w:color w:val="000000" w:themeColor="text1"/>
          <w:kern w:val="2"/>
          <w:sz w:val="28"/>
          <w:szCs w:val="28"/>
          <w14:textFill>
            <w14:solidFill>
              <w14:schemeClr w14:val="tx1"/>
            </w14:solidFill>
          </w14:textFill>
        </w:rPr>
        <w:t>（1）不同投标人的投标文件由同一单位或者个人编制的；</w:t>
      </w:r>
    </w:p>
    <w:p w14:paraId="41DF3F1E">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14:textFill>
            <w14:solidFill>
              <w14:schemeClr w14:val="tx1"/>
            </w14:solidFill>
          </w14:textFill>
        </w:rPr>
      </w:pPr>
      <w:r>
        <w:rPr>
          <w:rFonts w:hint="eastAsia" w:ascii="仿宋_GB2312" w:hAnsi="仿宋" w:eastAsia="仿宋_GB2312"/>
          <w:color w:val="000000" w:themeColor="text1"/>
          <w:kern w:val="2"/>
          <w:sz w:val="28"/>
          <w:szCs w:val="28"/>
          <w14:textFill>
            <w14:solidFill>
              <w14:schemeClr w14:val="tx1"/>
            </w14:solidFill>
          </w14:textFill>
        </w:rPr>
        <w:t>（2）不同投标人使用同一个投标单位或者同一个自然人的IP地址、设备下载采购文件或者制作、上传投标文件的；</w:t>
      </w:r>
    </w:p>
    <w:p w14:paraId="2C854508">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14:textFill>
            <w14:solidFill>
              <w14:schemeClr w14:val="tx1"/>
            </w14:solidFill>
          </w14:textFill>
        </w:rPr>
      </w:pPr>
      <w:r>
        <w:rPr>
          <w:rFonts w:hint="eastAsia" w:ascii="仿宋_GB2312" w:hAnsi="仿宋" w:eastAsia="仿宋_GB2312"/>
          <w:color w:val="000000" w:themeColor="text1"/>
          <w:kern w:val="2"/>
          <w:sz w:val="28"/>
          <w:szCs w:val="28"/>
          <w14:textFill>
            <w14:solidFill>
              <w14:schemeClr w14:val="tx1"/>
            </w14:solidFill>
          </w14:textFill>
        </w:rPr>
        <w:t>（3）不同投标人委托同一单位或者个人办理投标事宜；</w:t>
      </w:r>
    </w:p>
    <w:p w14:paraId="0FB6034D">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14:textFill>
            <w14:solidFill>
              <w14:schemeClr w14:val="tx1"/>
            </w14:solidFill>
          </w14:textFill>
        </w:rPr>
      </w:pPr>
      <w:r>
        <w:rPr>
          <w:rFonts w:hint="eastAsia" w:ascii="仿宋_GB2312" w:hAnsi="仿宋" w:eastAsia="仿宋_GB2312"/>
          <w:color w:val="000000" w:themeColor="text1"/>
          <w:kern w:val="2"/>
          <w:sz w:val="28"/>
          <w:szCs w:val="28"/>
          <w14:textFill>
            <w14:solidFill>
              <w14:schemeClr w14:val="tx1"/>
            </w14:solidFill>
          </w14:textFill>
        </w:rPr>
        <w:t>（4）不同投标人的投标文件载明的项目管理成员或者联系人员为同一人；</w:t>
      </w:r>
    </w:p>
    <w:p w14:paraId="54A947B6">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14:textFill>
            <w14:solidFill>
              <w14:schemeClr w14:val="tx1"/>
            </w14:solidFill>
          </w14:textFill>
        </w:rPr>
      </w:pPr>
      <w:r>
        <w:rPr>
          <w:rFonts w:hint="eastAsia" w:ascii="仿宋_GB2312" w:hAnsi="仿宋" w:eastAsia="仿宋_GB2312"/>
          <w:color w:val="000000" w:themeColor="text1"/>
          <w:kern w:val="2"/>
          <w:sz w:val="28"/>
          <w:szCs w:val="28"/>
          <w14:textFill>
            <w14:solidFill>
              <w14:schemeClr w14:val="tx1"/>
            </w14:solidFill>
          </w14:textFill>
        </w:rPr>
        <w:t>（5）不同投标人的投标文件重要内容异常一致、或者投标报价呈现规律性差异；</w:t>
      </w:r>
    </w:p>
    <w:p w14:paraId="7D30E76E">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14:textFill>
            <w14:solidFill>
              <w14:schemeClr w14:val="tx1"/>
            </w14:solidFill>
          </w14:textFill>
        </w:rPr>
      </w:pPr>
      <w:r>
        <w:rPr>
          <w:rFonts w:hint="eastAsia" w:ascii="仿宋_GB2312" w:hAnsi="仿宋" w:eastAsia="仿宋_GB2312"/>
          <w:color w:val="000000" w:themeColor="text1"/>
          <w:kern w:val="2"/>
          <w:sz w:val="28"/>
          <w:szCs w:val="28"/>
          <w14:textFill>
            <w14:solidFill>
              <w14:schemeClr w14:val="tx1"/>
            </w14:solidFill>
          </w14:textFill>
        </w:rPr>
        <w:t>（6）不同投标人编制的投标文件存在两处以上错误一致的；</w:t>
      </w:r>
    </w:p>
    <w:p w14:paraId="582B70C1">
      <w:pPr>
        <w:pStyle w:val="39"/>
        <w:widowControl w:val="0"/>
        <w:shd w:val="clear" w:color="auto" w:fill="FFFFFF"/>
        <w:spacing w:before="0" w:after="0" w:line="560" w:lineRule="exact"/>
        <w:ind w:firstLine="560"/>
        <w:jc w:val="both"/>
        <w:rPr>
          <w:rFonts w:ascii="仿宋_GB2312" w:hAnsi="仿宋" w:eastAsia="仿宋_GB2312"/>
          <w:color w:val="000000" w:themeColor="text1"/>
          <w:kern w:val="2"/>
          <w:sz w:val="28"/>
          <w:szCs w:val="28"/>
          <w14:textFill>
            <w14:solidFill>
              <w14:schemeClr w14:val="tx1"/>
            </w14:solidFill>
          </w14:textFill>
        </w:rPr>
      </w:pPr>
      <w:r>
        <w:rPr>
          <w:rFonts w:hint="eastAsia" w:ascii="仿宋_GB2312" w:hAnsi="仿宋" w:eastAsia="仿宋_GB2312"/>
          <w:color w:val="000000" w:themeColor="text1"/>
          <w:kern w:val="2"/>
          <w:sz w:val="28"/>
          <w:szCs w:val="28"/>
          <w14:textFill>
            <w14:solidFill>
              <w14:schemeClr w14:val="tx1"/>
            </w14:solidFill>
          </w14:textFill>
        </w:rPr>
        <w:t>（7）不同投标人的投标文件相互混装</w:t>
      </w:r>
      <w:r>
        <w:rPr>
          <w:rFonts w:hint="eastAsia" w:ascii="仿宋_GB2312" w:hAnsi="仿宋" w:eastAsia="仿宋_GB2312"/>
          <w:color w:val="000000" w:themeColor="text1"/>
          <w:sz w:val="28"/>
          <w:szCs w:val="28"/>
          <w14:textFill>
            <w14:solidFill>
              <w14:schemeClr w14:val="tx1"/>
            </w14:solidFill>
          </w14:textFill>
        </w:rPr>
        <w:t>；</w:t>
      </w:r>
    </w:p>
    <w:p w14:paraId="1591777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24.4投标截止后投标人不足3家或者通过资格审查或符合性审查的投标人不足3家的，除采购任务取消情形外，按照以下方式处理：</w:t>
      </w:r>
    </w:p>
    <w:p w14:paraId="08A060B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（1）招标文件存在不合理条款或者招标程序不符合规定的，招标人、</w:t>
      </w:r>
      <w:r>
        <w:rPr>
          <w:rFonts w:hint="eastAsia" w:ascii="仿宋_GB2312" w:hAnsi="宋体" w:eastAsia="仿宋_GB2312"/>
          <w:color w:val="000000" w:themeColor="text1"/>
          <w:sz w:val="28"/>
          <w:szCs w:val="28"/>
          <w14:textFill>
            <w14:solidFill>
              <w14:schemeClr w14:val="tx1"/>
            </w14:solidFill>
          </w14:textFill>
        </w:rPr>
        <w:t>招标代理机构</w:t>
      </w:r>
      <w:r>
        <w:rPr>
          <w:rFonts w:hint="eastAsia" w:ascii="仿宋_GB2312" w:hAnsi="仿宋" w:eastAsia="仿宋_GB2312" w:cs="宋体"/>
          <w:color w:val="000000" w:themeColor="text1"/>
          <w:sz w:val="28"/>
          <w:szCs w:val="28"/>
          <w14:textFill>
            <w14:solidFill>
              <w14:schemeClr w14:val="tx1"/>
            </w14:solidFill>
          </w14:textFill>
        </w:rPr>
        <w:t>改正后依法重新招标；</w:t>
      </w:r>
    </w:p>
    <w:p w14:paraId="0BAB934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（2）招标文件没有不合理条款、招标程序符合规定，需要采用其他招标方式招标的物，招标人应当依法报主管部门批准。</w:t>
      </w:r>
    </w:p>
    <w:p w14:paraId="503D6D6C">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25.投标文件的澄清</w:t>
      </w:r>
    </w:p>
    <w:p w14:paraId="5F9B9A4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F7A920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4C40D02A">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26.投标文件的评价</w:t>
      </w:r>
    </w:p>
    <w:p w14:paraId="6D7EA8F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26.1评标委员会只对确定为实质响应招标文件要求的投标文件进行评价和比较。必要时需标明评审理由。</w:t>
      </w:r>
    </w:p>
    <w:p w14:paraId="2F24A6B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26.2评标采用综合评分法的，价格分值由评审系统根据投标人上传的《投标（报价）一览表》中的投标报价，依据规定公式自动计算，其结果由评标委员会所有成员签字确认。</w:t>
      </w:r>
    </w:p>
    <w:p w14:paraId="2C1C303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招标公司工作人员负责复核、统计评标委员会成员的评审情况，发现评审意见有失公正时，提请该评标委员会成员修改评审意见，并形成书面意见备查。</w:t>
      </w:r>
    </w:p>
    <w:p w14:paraId="50728C3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26.3评审时除考虑投标人的报价之外，还将考虑以下因素：</w:t>
      </w:r>
    </w:p>
    <w:p w14:paraId="557AED5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（1）投标文件的响应状况（包括是否按照招标文件要求制作）；</w:t>
      </w:r>
    </w:p>
    <w:p w14:paraId="67EFA24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（2）投标产品的技术性能、功能、质量等指标的响应情况，包括其响应是否有技术佐证文件的支持；</w:t>
      </w:r>
    </w:p>
    <w:p w14:paraId="6F326EA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（3）服务方案（包括本地化服务机构和人员、服务响应时间、安装调试、培训方案等）、服务期、服务体系和业绩等；</w:t>
      </w:r>
    </w:p>
    <w:p w14:paraId="7CCC51E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（4）招标文件规定的其它评审因素。</w:t>
      </w:r>
    </w:p>
    <w:p w14:paraId="456F560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26.4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5B44F4A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26.</w:t>
      </w:r>
      <w:r>
        <w:rPr>
          <w:rFonts w:ascii="仿宋_GB2312" w:hAnsi="仿宋" w:eastAsia="仿宋_GB2312" w:cs="宋体"/>
          <w:color w:val="000000" w:themeColor="text1"/>
          <w:sz w:val="28"/>
          <w:szCs w:val="28"/>
          <w14:textFill>
            <w14:solidFill>
              <w14:schemeClr w14:val="tx1"/>
            </w14:solidFill>
          </w14:textFill>
        </w:rPr>
        <w:t>5</w:t>
      </w:r>
      <w:r>
        <w:rPr>
          <w:rFonts w:hint="eastAsia" w:ascii="仿宋_GB2312" w:hAnsi="仿宋" w:eastAsia="仿宋_GB2312" w:cs="宋体"/>
          <w:color w:val="000000" w:themeColor="text1"/>
          <w:sz w:val="28"/>
          <w:szCs w:val="28"/>
          <w14:textFill>
            <w14:solidFill>
              <w14:schemeClr w14:val="tx1"/>
            </w14:solidFill>
          </w14:textFill>
        </w:rPr>
        <w:t>评标委员会发现招标文件存在歧义、重大缺陷导致评标工作无法进行，或者招标文件内容违反国家有关强制性规定的，应当停止评标工作，与采购人或者</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沟通并作书面记录。采购人确认后，应当修改招标文件，重新组织采购活动。</w:t>
      </w:r>
    </w:p>
    <w:p w14:paraId="7F6BADBE">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26.</w:t>
      </w:r>
      <w:r>
        <w:rPr>
          <w:rFonts w:ascii="仿宋_GB2312" w:hAnsi="仿宋" w:eastAsia="仿宋_GB2312" w:cs="宋体"/>
          <w:color w:val="000000" w:themeColor="text1"/>
          <w:sz w:val="28"/>
          <w:szCs w:val="28"/>
          <w14:textFill>
            <w14:solidFill>
              <w14:schemeClr w14:val="tx1"/>
            </w14:solidFill>
          </w14:textFill>
        </w:rPr>
        <w:t>6</w:t>
      </w:r>
      <w:r>
        <w:rPr>
          <w:rFonts w:hint="eastAsia" w:ascii="仿宋_GB2312" w:hAnsi="仿宋" w:eastAsia="仿宋_GB2312" w:cs="宋体"/>
          <w:color w:val="000000" w:themeColor="text1"/>
          <w:sz w:val="28"/>
          <w:szCs w:val="28"/>
          <w14:textFill>
            <w14:solidFill>
              <w14:schemeClr w14:val="tx1"/>
            </w14:solidFill>
          </w14:textFill>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60F55FDC">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27.废标条款</w:t>
      </w:r>
    </w:p>
    <w:p w14:paraId="406B754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在招标采购中，出现下列情形之一的，应予废标：</w:t>
      </w:r>
    </w:p>
    <w:p w14:paraId="757F166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（1）符合专业条件的</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或者对招标文件作实质响应的</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不足3家的；</w:t>
      </w:r>
    </w:p>
    <w:p w14:paraId="278A958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（2）出现影响采购公正的违法、违规行为的；</w:t>
      </w:r>
    </w:p>
    <w:p w14:paraId="0A97337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（3）所有投标报价均超过招标文件中规定的预算金额，采购人不能支付的；</w:t>
      </w:r>
    </w:p>
    <w:p w14:paraId="659EF4E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（4）因重大变故，采购人采购任务取消的。</w:t>
      </w:r>
    </w:p>
    <w:p w14:paraId="1E2678D2">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六、定标</w:t>
      </w:r>
    </w:p>
    <w:p w14:paraId="44F5D287">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28.定标</w:t>
      </w:r>
    </w:p>
    <w:p w14:paraId="259A4E6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2BBE723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28.2评委会所有成员应当在评标报告上签字确认，评标报告的主要内容包括：</w:t>
      </w:r>
    </w:p>
    <w:p w14:paraId="4430E66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（1）招标公告刊登的媒体名称、开标日期和地点；</w:t>
      </w:r>
    </w:p>
    <w:p w14:paraId="2302B96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（2）投标人名单和评标委员会成员名单；</w:t>
      </w:r>
    </w:p>
    <w:p w14:paraId="3A8F9E0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（3）评标方法和评标标准；</w:t>
      </w:r>
    </w:p>
    <w:p w14:paraId="32AE44D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（4）开标记录和评标情况及说明，包括投标无效投标人名单及原因；</w:t>
      </w:r>
    </w:p>
    <w:p w14:paraId="6292CA55">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（5）评标结果，确定的中标候选人名单或者经采购人委托直接确定的中标人；</w:t>
      </w:r>
    </w:p>
    <w:p w14:paraId="346918D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（6）其他需要说明的情况，包括评标过程中投标人根据评标委员会要求进行澄清、说明或者补正，评标委员会成员的更换等。</w:t>
      </w:r>
    </w:p>
    <w:p w14:paraId="3EEBA50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28.3由评标委员会直接确定预中标候选人的，</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自评标结束之日起2个工作日内在指定媒体上公布评标结果；需要采购人确认的，</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自评标结束之日起2个工作日内，将评标报告送交采购人。采购人应当自收到评标报告之日起5个工作日内在评标报告确定的中标候选人名单中按顺序确定预中标人。</w:t>
      </w:r>
    </w:p>
    <w:p w14:paraId="7127206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28.4评标结果汇总完成后，除下列情形外，任何人不得修改评标结果：</w:t>
      </w:r>
    </w:p>
    <w:p w14:paraId="05143E2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（1）分值汇总计算错误的；</w:t>
      </w:r>
    </w:p>
    <w:p w14:paraId="74A24E4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（2）分项评分超出评分标准范围的；</w:t>
      </w:r>
    </w:p>
    <w:p w14:paraId="11A2561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（3）评标委员会成员对客观评审因素评分不一致的；</w:t>
      </w:r>
    </w:p>
    <w:p w14:paraId="1BCD3E5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（4）经评标委员会认定评分畸高、畸低的。</w:t>
      </w:r>
    </w:p>
    <w:p w14:paraId="2BDE74B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28.5评标报告签署前，经复核发现存在以上情形之一的，评标委员会应当当场修改评标结果，并在评标报告中记载；评标报告签署后，采购人或</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发现存在以上情形之一的，应当组织原评标委员会进行重新评审，重新评审改变结果的，书面报告本级主管部门。投标人对本条上述情形提出质疑的，采购人或者</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可以组织原评标委员会进行重新评审，重新评审改变评标结果的，应当书面报告主管部门部门。</w:t>
      </w:r>
    </w:p>
    <w:p w14:paraId="10305EC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28.6中标人在规定的期限内无正当理由拒绝签订合同，采购人可以按照评审报告推荐的中标候选人名单排序，确定下一候选人为中标人，也可以重新开展招标活动。</w:t>
      </w:r>
    </w:p>
    <w:p w14:paraId="2AB0F161">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七、公告</w:t>
      </w:r>
    </w:p>
    <w:p w14:paraId="6128DE18">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29.公告</w:t>
      </w:r>
    </w:p>
    <w:p w14:paraId="77DD1FF9">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29.1</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自中标人确定之日起2个工作日内，在威海市公共资源交易网上公告中标结果。中标公告期限为1个工作日。中标公告应当包括下列内容：</w:t>
      </w:r>
    </w:p>
    <w:p w14:paraId="79208AD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（1）采购人、</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的名称、地址和联系方式；</w:t>
      </w:r>
    </w:p>
    <w:p w14:paraId="707A5B6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（2）项目名称和项目编号；</w:t>
      </w:r>
    </w:p>
    <w:p w14:paraId="2111526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（3）中标人名称、地址和中标金额；</w:t>
      </w:r>
    </w:p>
    <w:p w14:paraId="309377D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（4）主要中标标的的名称、服务内容、数量、单价、服务要求；</w:t>
      </w:r>
    </w:p>
    <w:p w14:paraId="24682F1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（5）中标公告期限；</w:t>
      </w:r>
    </w:p>
    <w:p w14:paraId="4BE37EF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（6）评审专家名单。</w:t>
      </w:r>
    </w:p>
    <w:p w14:paraId="718A9C0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29.2</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6D8F96C5">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八、质疑</w:t>
      </w:r>
    </w:p>
    <w:p w14:paraId="3897FDA0">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30.质疑</w:t>
      </w:r>
    </w:p>
    <w:p w14:paraId="39E9B8E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30.1投标人对采购活动事项有疑问的，可以向采购人和</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提出询问，采购人和</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应当在3个工作日内做出答复，但答复的内容不得涉及商业秘密。投标人提出的询问或者质疑超出采购人对</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委托授权范围的，</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应当告知其向采购人提出。</w:t>
      </w:r>
    </w:p>
    <w:p w14:paraId="5667E86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30.2投标人认为招标文件使自己的权益受到损害的，应当在招标文件获取截止前2日内向</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提供书面质疑，由采购人和</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按规定予以答复。</w:t>
      </w:r>
    </w:p>
    <w:p w14:paraId="6B4AEFB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30.3投标人对采购过程提出质疑的，可以在质疑采购程序环节结束之日，以书面形式向采购人和</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提出质疑。采购人和</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应当在收到投标人的书面质疑后7个工作日内做出书面答复，但答复的内容不得涉及商业秘密。</w:t>
      </w:r>
    </w:p>
    <w:p w14:paraId="34DAF97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30.4投标人认为中标结果使自己的权益受到损害的，应当在中标结果公告期限届满之日起7个工作日内提出质疑，采购人和</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应当在收到投标人的书面质疑后7个工作日内做出书面答复，但答复的内容不得涉及商业秘密。</w:t>
      </w:r>
    </w:p>
    <w:p w14:paraId="4FA1879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30.5采购人或者</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收到</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的书面质疑后，应当签收回执。</w:t>
      </w:r>
    </w:p>
    <w:p w14:paraId="02DAEC78">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30.6采购人或者</w:t>
      </w:r>
      <w:r>
        <w:rPr>
          <w:rFonts w:hint="eastAsia" w:ascii="仿宋_GB2312" w:hAnsi="宋体" w:eastAsia="仿宋_GB2312"/>
          <w:color w:val="000000" w:themeColor="text1"/>
          <w:sz w:val="28"/>
          <w:szCs w:val="28"/>
          <w14:textFill>
            <w14:solidFill>
              <w14:schemeClr w14:val="tx1"/>
            </w14:solidFill>
          </w14:textFill>
        </w:rPr>
        <w:t>山东志诚工程咨询管理有限公司</w:t>
      </w:r>
      <w:r>
        <w:rPr>
          <w:rFonts w:hint="eastAsia" w:ascii="仿宋_GB2312" w:hAnsi="仿宋" w:eastAsia="仿宋_GB2312" w:cs="宋体"/>
          <w:color w:val="000000" w:themeColor="text1"/>
          <w:sz w:val="28"/>
          <w:szCs w:val="28"/>
          <w14:textFill>
            <w14:solidFill>
              <w14:schemeClr w14:val="tx1"/>
            </w14:solidFill>
          </w14:textFill>
        </w:rPr>
        <w:t>应当自签收回执之日起7个工作日内对质疑事项依法予以处理并作出答复，书面通知提出质疑的</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和相关的其他</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。质疑事项成立的，应当中止采购活动并予以纠正。</w:t>
      </w:r>
    </w:p>
    <w:p w14:paraId="23AE77C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30.7</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在法定质疑期内一次性提出针对同一采购程序环节的质疑。</w:t>
      </w:r>
    </w:p>
    <w:p w14:paraId="77370D3A">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30.8质疑采用实名制，为了使提出的质疑事项在规定时间内得到有效答复、处理，提交的质疑函应当包括以下内容，且质疑人应当是参与所质疑项目采购活动的</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w:t>
      </w:r>
    </w:p>
    <w:p w14:paraId="1603506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的姓名或名称、地址（邮箱）、邮编、联系人及联系电话；</w:t>
      </w:r>
    </w:p>
    <w:p w14:paraId="18311DDF">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（2）质疑项目的名称、编号；</w:t>
      </w:r>
    </w:p>
    <w:p w14:paraId="2F53B74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（3）具体、明确的质疑事项和与质疑事项相关的请求；</w:t>
      </w:r>
    </w:p>
    <w:p w14:paraId="39ABBCC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（4）事实依据；</w:t>
      </w:r>
    </w:p>
    <w:p w14:paraId="0C769DF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（5）必要的法律依据；</w:t>
      </w:r>
    </w:p>
    <w:p w14:paraId="3D9643D3">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（6）提出质疑的日期。</w:t>
      </w:r>
    </w:p>
    <w:p w14:paraId="48B4D99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30.9</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为自然人的，应当由本人签字；</w:t>
      </w:r>
      <w:r>
        <w:rPr>
          <w:rFonts w:hint="eastAsia" w:ascii="仿宋_GB2312" w:hAnsi="宋体" w:eastAsia="仿宋_GB2312"/>
          <w:color w:val="000000" w:themeColor="text1"/>
          <w:sz w:val="28"/>
          <w:szCs w:val="28"/>
          <w14:textFill>
            <w14:solidFill>
              <w14:schemeClr w14:val="tx1"/>
            </w14:solidFill>
          </w14:textFill>
        </w:rPr>
        <w:t>投标人</w:t>
      </w:r>
      <w:r>
        <w:rPr>
          <w:rFonts w:hint="eastAsia" w:ascii="仿宋_GB2312" w:hAnsi="仿宋" w:eastAsia="仿宋_GB2312" w:cs="宋体"/>
          <w:color w:val="000000" w:themeColor="text1"/>
          <w:sz w:val="28"/>
          <w:szCs w:val="28"/>
          <w14:textFill>
            <w14:solidFill>
              <w14:schemeClr w14:val="tx1"/>
            </w14:solidFill>
          </w14:textFill>
        </w:rPr>
        <w:t>为法人或者其他组织的，应当由法定代表人、主要负责人，或者其被授权人签字或者盖章，并加盖公章。</w:t>
      </w:r>
    </w:p>
    <w:p w14:paraId="5D0CF4F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30.</w:t>
      </w:r>
      <w:r>
        <w:rPr>
          <w:rFonts w:ascii="仿宋_GB2312" w:hAnsi="仿宋" w:eastAsia="仿宋_GB2312" w:cs="宋体"/>
          <w:color w:val="000000" w:themeColor="text1"/>
          <w:sz w:val="28"/>
          <w:szCs w:val="28"/>
          <w14:textFill>
            <w14:solidFill>
              <w14:schemeClr w14:val="tx1"/>
            </w14:solidFill>
          </w14:textFill>
        </w:rPr>
        <w:t>10</w:t>
      </w:r>
      <w:r>
        <w:rPr>
          <w:rFonts w:hint="eastAsia" w:ascii="仿宋_GB2312" w:hAnsi="仿宋" w:eastAsia="仿宋_GB2312" w:cs="宋体"/>
          <w:color w:val="000000" w:themeColor="text1"/>
          <w:sz w:val="28"/>
          <w:szCs w:val="28"/>
          <w14:textFill>
            <w14:solidFill>
              <w14:schemeClr w14:val="tx1"/>
            </w14:solidFill>
          </w14:textFill>
        </w:rPr>
        <w:t>有下列情况之一的质疑不予受理：</w:t>
      </w:r>
    </w:p>
    <w:p w14:paraId="551F540B">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（1）无质疑函件或质疑函件缺少投标人法人印章、投标人法定代表人签字、有效授权书和联系方式之一的质疑；</w:t>
      </w:r>
    </w:p>
    <w:p w14:paraId="2DE80470">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（2）质疑函件无实质性内容或佐证文件资料，主观臆断及推理得出结论的质疑；</w:t>
      </w:r>
    </w:p>
    <w:p w14:paraId="38FEF961">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（3）相应证明材料不真实或来源不合法的质疑；</w:t>
      </w:r>
    </w:p>
    <w:p w14:paraId="28B1DD06">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（4）未按规定时间或超过公示期提出的质疑；</w:t>
      </w:r>
    </w:p>
    <w:p w14:paraId="4A790067">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30.</w:t>
      </w:r>
      <w:r>
        <w:rPr>
          <w:rFonts w:ascii="仿宋_GB2312" w:hAnsi="仿宋" w:eastAsia="仿宋_GB2312" w:cs="宋体"/>
          <w:color w:val="000000" w:themeColor="text1"/>
          <w:sz w:val="28"/>
          <w:szCs w:val="28"/>
          <w14:textFill>
            <w14:solidFill>
              <w14:schemeClr w14:val="tx1"/>
            </w14:solidFill>
          </w14:textFill>
        </w:rPr>
        <w:t>11</w:t>
      </w:r>
      <w:r>
        <w:rPr>
          <w:rFonts w:hint="eastAsia" w:ascii="仿宋_GB2312" w:hAnsi="仿宋" w:eastAsia="仿宋_GB2312" w:cs="宋体"/>
          <w:color w:val="000000" w:themeColor="text1"/>
          <w:sz w:val="28"/>
          <w:szCs w:val="28"/>
          <w14:textFill>
            <w14:solidFill>
              <w14:schemeClr w14:val="tx1"/>
            </w14:solidFill>
          </w14:textFill>
        </w:rPr>
        <w:t>对捏造事实，提供虚假材料或者以非法手段取得证明材料进行恶意质疑的，一经查实，将上报主管部门列入黑名单，并给以相应处罚。</w:t>
      </w:r>
    </w:p>
    <w:p w14:paraId="1F11455D">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九、签订合同</w:t>
      </w:r>
    </w:p>
    <w:p w14:paraId="749EC15F">
      <w:pPr>
        <w:spacing w:line="560" w:lineRule="exact"/>
        <w:ind w:firstLine="565" w:firstLineChars="201"/>
        <w:rPr>
          <w:rFonts w:ascii="楷体_GB2312" w:hAnsi="仿宋" w:eastAsia="楷体_GB2312" w:cs="宋体"/>
          <w:b/>
          <w:color w:val="000000" w:themeColor="text1"/>
          <w:sz w:val="28"/>
          <w:szCs w:val="28"/>
          <w14:textFill>
            <w14:solidFill>
              <w14:schemeClr w14:val="tx1"/>
            </w14:solidFill>
          </w14:textFill>
        </w:rPr>
      </w:pPr>
      <w:r>
        <w:rPr>
          <w:rFonts w:hint="eastAsia" w:ascii="楷体_GB2312" w:hAnsi="仿宋" w:eastAsia="楷体_GB2312" w:cs="宋体"/>
          <w:b/>
          <w:color w:val="000000" w:themeColor="text1"/>
          <w:sz w:val="28"/>
          <w:szCs w:val="28"/>
          <w14:textFill>
            <w14:solidFill>
              <w14:schemeClr w14:val="tx1"/>
            </w14:solidFill>
          </w14:textFill>
        </w:rPr>
        <w:t>3</w:t>
      </w:r>
      <w:r>
        <w:rPr>
          <w:rFonts w:ascii="楷体_GB2312" w:hAnsi="仿宋" w:eastAsia="楷体_GB2312" w:cs="宋体"/>
          <w:b/>
          <w:color w:val="000000" w:themeColor="text1"/>
          <w:sz w:val="28"/>
          <w:szCs w:val="28"/>
          <w14:textFill>
            <w14:solidFill>
              <w14:schemeClr w14:val="tx1"/>
            </w14:solidFill>
          </w14:textFill>
        </w:rPr>
        <w:t>1</w:t>
      </w:r>
      <w:r>
        <w:rPr>
          <w:rFonts w:hint="eastAsia" w:ascii="楷体_GB2312" w:hAnsi="仿宋" w:eastAsia="楷体_GB2312" w:cs="宋体"/>
          <w:b/>
          <w:color w:val="000000" w:themeColor="text1"/>
          <w:sz w:val="28"/>
          <w:szCs w:val="28"/>
          <w14:textFill>
            <w14:solidFill>
              <w14:schemeClr w14:val="tx1"/>
            </w14:solidFill>
          </w14:textFill>
        </w:rPr>
        <w:t>.合同的签订</w:t>
      </w:r>
    </w:p>
    <w:p w14:paraId="096D4962">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ascii="仿宋_GB2312" w:hAnsi="仿宋" w:eastAsia="仿宋_GB2312" w:cs="宋体"/>
          <w:color w:val="000000" w:themeColor="text1"/>
          <w:sz w:val="28"/>
          <w:szCs w:val="28"/>
          <w14:textFill>
            <w14:solidFill>
              <w14:schemeClr w14:val="tx1"/>
            </w14:solidFill>
          </w14:textFill>
        </w:rPr>
        <w:t>1.1</w:t>
      </w:r>
      <w:r>
        <w:rPr>
          <w:rFonts w:hint="eastAsia" w:ascii="仿宋_GB2312" w:hAnsi="仿宋" w:eastAsia="仿宋_GB2312" w:cs="宋体"/>
          <w:color w:val="000000" w:themeColor="text1"/>
          <w:sz w:val="28"/>
          <w:szCs w:val="28"/>
          <w14:textFill>
            <w14:solidFill>
              <w14:schemeClr w14:val="tx1"/>
            </w14:solidFill>
          </w14:textFill>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40A4EF6C">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ascii="仿宋_GB2312" w:hAnsi="仿宋" w:eastAsia="仿宋_GB2312" w:cs="宋体"/>
          <w:color w:val="000000" w:themeColor="text1"/>
          <w:sz w:val="28"/>
          <w:szCs w:val="28"/>
          <w14:textFill>
            <w14:solidFill>
              <w14:schemeClr w14:val="tx1"/>
            </w14:solidFill>
          </w14:textFill>
        </w:rPr>
        <w:t>1.2</w:t>
      </w:r>
      <w:r>
        <w:rPr>
          <w:rFonts w:hint="eastAsia" w:ascii="仿宋_GB2312" w:hAnsi="仿宋" w:eastAsia="仿宋_GB2312" w:cs="宋体"/>
          <w:color w:val="000000" w:themeColor="text1"/>
          <w:sz w:val="28"/>
          <w:szCs w:val="28"/>
          <w14:textFill>
            <w14:solidFill>
              <w14:schemeClr w14:val="tx1"/>
            </w14:solidFill>
          </w14:textFill>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1281CC44">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hint="eastAsia" w:ascii="仿宋_GB2312" w:hAnsi="仿宋" w:eastAsia="仿宋_GB2312" w:cs="宋体"/>
          <w:color w:val="000000" w:themeColor="text1"/>
          <w:sz w:val="28"/>
          <w:szCs w:val="28"/>
          <w14:textFill>
            <w14:solidFill>
              <w14:schemeClr w14:val="tx1"/>
            </w14:solidFill>
          </w14:textFill>
        </w:rPr>
        <w:t>3</w:t>
      </w:r>
      <w:r>
        <w:rPr>
          <w:rFonts w:ascii="仿宋_GB2312" w:hAnsi="仿宋" w:eastAsia="仿宋_GB2312" w:cs="宋体"/>
          <w:color w:val="000000" w:themeColor="text1"/>
          <w:sz w:val="28"/>
          <w:szCs w:val="28"/>
          <w14:textFill>
            <w14:solidFill>
              <w14:schemeClr w14:val="tx1"/>
            </w14:solidFill>
          </w14:textFill>
        </w:rPr>
        <w:t>1.3</w:t>
      </w:r>
      <w:r>
        <w:rPr>
          <w:rFonts w:hint="eastAsia" w:ascii="仿宋_GB2312" w:hAnsi="仿宋" w:eastAsia="仿宋_GB2312" w:cs="宋体"/>
          <w:color w:val="000000" w:themeColor="text1"/>
          <w:sz w:val="28"/>
          <w:szCs w:val="28"/>
          <w14:textFill>
            <w14:solidFill>
              <w14:schemeClr w14:val="tx1"/>
            </w14:solidFill>
          </w14:textFill>
        </w:rPr>
        <w:t>中标人在规定时间内无正当理由拒绝与招标人签订合同的，有效投标人符合法定数量的，招标人可以按照评审报告推荐的中标候选人名单排序，确定下一候选人为中标人，也可以重新开展招标活动。</w:t>
      </w:r>
    </w:p>
    <w:p w14:paraId="188611DD">
      <w:pPr>
        <w:spacing w:line="560" w:lineRule="exact"/>
        <w:ind w:firstLine="562" w:firstLineChars="201"/>
        <w:rPr>
          <w:rFonts w:ascii="仿宋_GB2312" w:hAnsi="仿宋" w:eastAsia="仿宋_GB2312" w:cs="宋体"/>
          <w:color w:val="000000" w:themeColor="text1"/>
          <w:sz w:val="28"/>
          <w:szCs w:val="28"/>
          <w14:textFill>
            <w14:solidFill>
              <w14:schemeClr w14:val="tx1"/>
            </w14:solidFill>
          </w14:textFill>
        </w:rPr>
      </w:pPr>
      <w:r>
        <w:rPr>
          <w:rFonts w:ascii="仿宋_GB2312" w:hAnsi="仿宋" w:eastAsia="仿宋_GB2312" w:cs="宋体"/>
          <w:color w:val="000000" w:themeColor="text1"/>
          <w:sz w:val="28"/>
          <w:szCs w:val="28"/>
          <w14:textFill>
            <w14:solidFill>
              <w14:schemeClr w14:val="tx1"/>
            </w14:solidFill>
          </w14:textFill>
        </w:rPr>
        <w:t>31.4</w:t>
      </w:r>
      <w:r>
        <w:rPr>
          <w:rFonts w:hint="eastAsia" w:ascii="仿宋_GB2312" w:hAnsi="仿宋" w:eastAsia="仿宋_GB2312" w:cs="宋体"/>
          <w:color w:val="000000" w:themeColor="text1"/>
          <w:sz w:val="28"/>
          <w:szCs w:val="28"/>
          <w14:textFill>
            <w14:solidFill>
              <w14:schemeClr w14:val="tx1"/>
            </w14:solidFill>
          </w14:textFill>
        </w:rPr>
        <w:t>采购合同的履行、违约责任和解决争议的方法适用《中华人民共和国民法典》。</w:t>
      </w:r>
    </w:p>
    <w:p w14:paraId="6A6817DC">
      <w:pPr>
        <w:rPr>
          <w:color w:val="000000" w:themeColor="text1"/>
          <w14:textFill>
            <w14:solidFill>
              <w14:schemeClr w14:val="tx1"/>
            </w14:solidFill>
          </w14:textFill>
        </w:rPr>
        <w:sectPr>
          <w:headerReference r:id="rId7" w:type="default"/>
          <w:footerReference r:id="rId8" w:type="default"/>
          <w:pgSz w:w="11906" w:h="16838"/>
          <w:pgMar w:top="1440" w:right="1080" w:bottom="1440" w:left="1080" w:header="851" w:footer="992" w:gutter="0"/>
          <w:cols w:space="425" w:num="1"/>
          <w:docGrid w:type="lines" w:linePitch="312" w:charSpace="0"/>
        </w:sectPr>
      </w:pPr>
    </w:p>
    <w:p w14:paraId="36684530">
      <w:pPr>
        <w:pStyle w:val="41"/>
        <w:spacing w:before="0" w:after="0" w:line="360" w:lineRule="auto"/>
        <w:ind w:firstLine="646" w:firstLineChars="201"/>
        <w:rPr>
          <w:rFonts w:ascii="宋体" w:hAnsi="宋体" w:cs="宋体"/>
          <w:color w:val="000000" w:themeColor="text1"/>
          <w14:textFill>
            <w14:solidFill>
              <w14:schemeClr w14:val="tx1"/>
            </w14:solidFill>
          </w14:textFill>
        </w:rPr>
        <w:sectPr>
          <w:pgSz w:w="11906" w:h="16838"/>
          <w:pgMar w:top="1440" w:right="1080" w:bottom="1440" w:left="1080" w:header="851" w:footer="992" w:gutter="0"/>
          <w:cols w:space="425" w:num="1"/>
          <w:docGrid w:type="lines" w:linePitch="312" w:charSpace="0"/>
        </w:sectPr>
      </w:pPr>
      <w:r>
        <w:rPr>
          <w:rFonts w:hint="eastAsia" w:ascii="宋体" w:hAnsi="宋体" w:cs="宋体"/>
          <w:color w:val="000000" w:themeColor="text1"/>
          <w14:textFill>
            <w14:solidFill>
              <w14:schemeClr w14:val="tx1"/>
            </w14:solidFill>
          </w14:textFill>
        </w:rPr>
        <w:t>第三章招标内容与要求</w:t>
      </w:r>
    </w:p>
    <w:p w14:paraId="59331C5A">
      <w:pPr>
        <w:tabs>
          <w:tab w:val="left" w:pos="525"/>
        </w:tabs>
        <w:spacing w:line="560" w:lineRule="exact"/>
        <w:ind w:firstLine="883" w:firstLineChars="200"/>
        <w:jc w:val="center"/>
        <w:rPr>
          <w:rFonts w:ascii="宋体" w:hAnsi="宋体"/>
          <w:b/>
          <w:bCs/>
          <w:color w:val="000000" w:themeColor="text1"/>
          <w:sz w:val="44"/>
          <w:szCs w:val="44"/>
          <w14:textFill>
            <w14:solidFill>
              <w14:schemeClr w14:val="tx1"/>
            </w14:solidFill>
          </w14:textFill>
        </w:rPr>
      </w:pPr>
      <w:bookmarkStart w:id="12" w:name="_Hlk9675253"/>
      <w:r>
        <w:rPr>
          <w:rFonts w:hint="eastAsia" w:ascii="宋体" w:hAnsi="宋体"/>
          <w:b/>
          <w:bCs/>
          <w:color w:val="000000" w:themeColor="text1"/>
          <w:sz w:val="44"/>
          <w:szCs w:val="44"/>
          <w14:textFill>
            <w14:solidFill>
              <w14:schemeClr w14:val="tx1"/>
            </w14:solidFill>
          </w14:textFill>
        </w:rPr>
        <w:t>采购项目说明</w:t>
      </w:r>
    </w:p>
    <w:p w14:paraId="18D38157">
      <w:pPr>
        <w:spacing w:line="520" w:lineRule="exact"/>
        <w:ind w:left="602"/>
        <w:rPr>
          <w:rFonts w:ascii="仿宋_GB2312" w:hAnsi="宋体" w:eastAsia="仿宋_GB2312"/>
          <w:color w:val="000000" w:themeColor="text1"/>
          <w:sz w:val="30"/>
          <w:szCs w:val="30"/>
          <w14:textFill>
            <w14:solidFill>
              <w14:schemeClr w14:val="tx1"/>
            </w14:solidFill>
          </w14:textFill>
        </w:rPr>
      </w:pPr>
      <w:bookmarkStart w:id="13" w:name="_Hlk525988930"/>
      <w:r>
        <w:rPr>
          <w:rFonts w:hint="eastAsia" w:ascii="仿宋_GB2312" w:hAnsi="宋体" w:eastAsia="仿宋_GB2312"/>
          <w:b/>
          <w:color w:val="000000" w:themeColor="text1"/>
          <w:sz w:val="30"/>
          <w:szCs w:val="30"/>
          <w14:textFill>
            <w14:solidFill>
              <w14:schemeClr w14:val="tx1"/>
            </w14:solidFill>
          </w14:textFill>
        </w:rPr>
        <w:t>一、项目名称：</w:t>
      </w:r>
      <w:r>
        <w:rPr>
          <w:rFonts w:hint="eastAsia" w:ascii="仿宋_GB2312" w:hAnsi="宋体" w:eastAsia="仿宋_GB2312"/>
          <w:bCs/>
          <w:color w:val="000000" w:themeColor="text1"/>
          <w:sz w:val="30"/>
          <w:szCs w:val="30"/>
          <w14:textFill>
            <w14:solidFill>
              <w14:schemeClr w14:val="tx1"/>
            </w14:solidFill>
          </w14:textFill>
        </w:rPr>
        <w:t>2026年农药化肥</w:t>
      </w:r>
    </w:p>
    <w:p w14:paraId="05159584">
      <w:pPr>
        <w:spacing w:line="520" w:lineRule="exact"/>
        <w:ind w:left="602"/>
        <w:rPr>
          <w:rFonts w:ascii="仿宋_GB2312" w:hAnsi="宋体" w:eastAsia="仿宋_GB2312"/>
          <w:b/>
          <w:color w:val="000000" w:themeColor="text1"/>
          <w:sz w:val="30"/>
          <w:szCs w:val="30"/>
          <w14:textFill>
            <w14:solidFill>
              <w14:schemeClr w14:val="tx1"/>
            </w14:solidFill>
          </w14:textFill>
        </w:rPr>
      </w:pPr>
      <w:r>
        <w:rPr>
          <w:rFonts w:hint="eastAsia" w:ascii="仿宋_GB2312" w:hAnsi="宋体" w:eastAsia="仿宋_GB2312"/>
          <w:b/>
          <w:color w:val="000000" w:themeColor="text1"/>
          <w:sz w:val="30"/>
          <w:szCs w:val="30"/>
          <w14:textFill>
            <w14:solidFill>
              <w14:schemeClr w14:val="tx1"/>
            </w14:solidFill>
          </w14:textFill>
        </w:rPr>
        <w:t>二、技术要求：</w:t>
      </w:r>
    </w:p>
    <w:p w14:paraId="1DD8934B">
      <w:pPr>
        <w:pStyle w:val="2"/>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包A：农药A</w:t>
      </w:r>
    </w:p>
    <w:tbl>
      <w:tblPr>
        <w:tblStyle w:val="46"/>
        <w:tblW w:w="10654" w:type="dxa"/>
        <w:jc w:val="center"/>
        <w:tblLayout w:type="fixed"/>
        <w:tblCellMar>
          <w:top w:w="0" w:type="dxa"/>
          <w:left w:w="108" w:type="dxa"/>
          <w:bottom w:w="0" w:type="dxa"/>
          <w:right w:w="108" w:type="dxa"/>
        </w:tblCellMar>
      </w:tblPr>
      <w:tblGrid>
        <w:gridCol w:w="696"/>
        <w:gridCol w:w="1978"/>
        <w:gridCol w:w="872"/>
        <w:gridCol w:w="3573"/>
        <w:gridCol w:w="1145"/>
        <w:gridCol w:w="1037"/>
        <w:gridCol w:w="1353"/>
      </w:tblGrid>
      <w:tr w14:paraId="60AF8B40">
        <w:trPr>
          <w:tblHeade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AEA49">
            <w:pPr>
              <w:widowControl/>
              <w:snapToGrid w:val="0"/>
              <w:jc w:val="center"/>
              <w:rPr>
                <w:rFonts w:ascii="仿宋_GB2312" w:hAnsi="仿宋_GB2312" w:eastAsia="仿宋_GB2312" w:cs="仿宋_GB2312"/>
                <w:b/>
                <w:color w:val="000000"/>
                <w:kern w:val="0"/>
                <w:szCs w:val="21"/>
              </w:rPr>
            </w:pPr>
            <w:r>
              <w:rPr>
                <w:rFonts w:hint="eastAsia" w:ascii="仿宋_GB2312" w:hAnsi="仿宋_GB2312" w:eastAsia="仿宋_GB2312" w:cs="仿宋_GB2312"/>
                <w:b/>
                <w:color w:val="000000"/>
                <w:kern w:val="0"/>
                <w:szCs w:val="21"/>
              </w:rPr>
              <w:t>序号</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643E6">
            <w:pPr>
              <w:widowControl/>
              <w:snapToGrid w:val="0"/>
              <w:jc w:val="center"/>
              <w:rPr>
                <w:rFonts w:ascii="仿宋_GB2312" w:hAnsi="仿宋_GB2312" w:eastAsia="仿宋_GB2312" w:cs="仿宋_GB2312"/>
                <w:b/>
                <w:color w:val="000000"/>
                <w:kern w:val="0"/>
                <w:szCs w:val="21"/>
              </w:rPr>
            </w:pPr>
            <w:r>
              <w:rPr>
                <w:rFonts w:hint="eastAsia" w:ascii="仿宋_GB2312" w:hAnsi="仿宋_GB2312" w:eastAsia="仿宋_GB2312" w:cs="仿宋_GB2312"/>
                <w:b/>
                <w:color w:val="000000"/>
                <w:kern w:val="0"/>
                <w:szCs w:val="21"/>
              </w:rPr>
              <w:t>品名</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62680">
            <w:pPr>
              <w:widowControl/>
              <w:snapToGrid w:val="0"/>
              <w:jc w:val="center"/>
              <w:rPr>
                <w:rFonts w:ascii="仿宋_GB2312" w:hAnsi="仿宋_GB2312" w:eastAsia="仿宋_GB2312" w:cs="仿宋_GB2312"/>
                <w:b/>
                <w:color w:val="000000"/>
                <w:kern w:val="0"/>
                <w:szCs w:val="21"/>
              </w:rPr>
            </w:pPr>
            <w:r>
              <w:rPr>
                <w:rFonts w:hint="eastAsia" w:ascii="仿宋_GB2312" w:hAnsi="仿宋_GB2312" w:eastAsia="仿宋_GB2312" w:cs="仿宋_GB2312"/>
                <w:b/>
                <w:color w:val="000000"/>
                <w:kern w:val="0"/>
                <w:szCs w:val="21"/>
              </w:rPr>
              <w:t>数量</w:t>
            </w:r>
          </w:p>
          <w:p w14:paraId="1548027D">
            <w:pPr>
              <w:widowControl/>
              <w:snapToGrid w:val="0"/>
              <w:jc w:val="center"/>
              <w:rPr>
                <w:rFonts w:ascii="仿宋_GB2312" w:hAnsi="仿宋_GB2312" w:eastAsia="仿宋_GB2312" w:cs="仿宋_GB2312"/>
                <w:b/>
                <w:color w:val="000000"/>
                <w:kern w:val="0"/>
                <w:szCs w:val="21"/>
              </w:rPr>
            </w:pPr>
            <w:r>
              <w:rPr>
                <w:rFonts w:hint="eastAsia" w:ascii="仿宋_GB2312" w:hAnsi="仿宋_GB2312" w:eastAsia="仿宋_GB2312" w:cs="仿宋_GB2312"/>
                <w:b/>
                <w:color w:val="000000"/>
                <w:kern w:val="0"/>
                <w:szCs w:val="21"/>
              </w:rPr>
              <w:t>（公斤）</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5417A">
            <w:pPr>
              <w:widowControl/>
              <w:snapToGrid w:val="0"/>
              <w:jc w:val="center"/>
              <w:rPr>
                <w:rFonts w:ascii="仿宋_GB2312" w:hAnsi="仿宋_GB2312" w:eastAsia="仿宋_GB2312" w:cs="仿宋_GB2312"/>
                <w:b/>
                <w:color w:val="000000"/>
                <w:kern w:val="0"/>
                <w:szCs w:val="21"/>
              </w:rPr>
            </w:pPr>
            <w:r>
              <w:rPr>
                <w:rFonts w:hint="eastAsia" w:ascii="仿宋_GB2312" w:hAnsi="仿宋_GB2312" w:eastAsia="仿宋_GB2312" w:cs="仿宋_GB2312"/>
                <w:b/>
                <w:color w:val="000000"/>
                <w:kern w:val="0"/>
                <w:szCs w:val="21"/>
              </w:rPr>
              <w:t>含量</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77E60">
            <w:pPr>
              <w:widowControl/>
              <w:snapToGrid w:val="0"/>
              <w:jc w:val="center"/>
              <w:rPr>
                <w:rFonts w:ascii="仿宋_GB2312" w:hAnsi="仿宋_GB2312" w:eastAsia="仿宋_GB2312" w:cs="仿宋_GB2312"/>
                <w:b/>
                <w:color w:val="000000"/>
                <w:kern w:val="0"/>
                <w:szCs w:val="21"/>
              </w:rPr>
            </w:pPr>
            <w:r>
              <w:rPr>
                <w:rFonts w:hint="eastAsia" w:ascii="仿宋_GB2312" w:hAnsi="仿宋_GB2312" w:eastAsia="仿宋_GB2312" w:cs="仿宋_GB2312"/>
                <w:b/>
                <w:color w:val="000000"/>
                <w:kern w:val="0"/>
                <w:szCs w:val="21"/>
              </w:rPr>
              <w:t>剂型</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64235">
            <w:pPr>
              <w:widowControl/>
              <w:snapToGrid w:val="0"/>
              <w:jc w:val="center"/>
              <w:rPr>
                <w:rFonts w:ascii="仿宋_GB2312" w:hAnsi="仿宋_GB2312" w:eastAsia="仿宋_GB2312" w:cs="仿宋_GB2312"/>
                <w:b/>
                <w:color w:val="000000"/>
                <w:kern w:val="0"/>
                <w:szCs w:val="21"/>
              </w:rPr>
            </w:pPr>
            <w:r>
              <w:rPr>
                <w:rFonts w:hint="eastAsia" w:ascii="仿宋_GB2312" w:hAnsi="仿宋_GB2312" w:eastAsia="仿宋_GB2312" w:cs="仿宋_GB2312"/>
                <w:b/>
                <w:color w:val="000000"/>
                <w:kern w:val="0"/>
                <w:szCs w:val="21"/>
              </w:rPr>
              <w:t>规格</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D9F4A">
            <w:pPr>
              <w:widowControl/>
              <w:snapToGrid w:val="0"/>
              <w:jc w:val="center"/>
              <w:rPr>
                <w:rFonts w:ascii="仿宋_GB2312" w:hAnsi="仿宋_GB2312" w:eastAsia="仿宋_GB2312" w:cs="仿宋_GB2312"/>
                <w:b/>
                <w:color w:val="000000"/>
                <w:kern w:val="0"/>
                <w:szCs w:val="21"/>
              </w:rPr>
            </w:pPr>
            <w:r>
              <w:rPr>
                <w:rFonts w:hint="eastAsia" w:ascii="仿宋_GB2312" w:hAnsi="仿宋_GB2312" w:eastAsia="仿宋_GB2312" w:cs="仿宋_GB2312"/>
                <w:b/>
                <w:color w:val="000000"/>
                <w:kern w:val="0"/>
                <w:szCs w:val="21"/>
              </w:rPr>
              <w:t>上限单价</w:t>
            </w:r>
          </w:p>
          <w:p w14:paraId="5D14FF2B">
            <w:pPr>
              <w:widowControl/>
              <w:snapToGrid w:val="0"/>
              <w:jc w:val="center"/>
              <w:rPr>
                <w:rFonts w:ascii="仿宋_GB2312" w:hAnsi="仿宋_GB2312" w:eastAsia="仿宋_GB2312" w:cs="仿宋_GB2312"/>
                <w:b/>
                <w:color w:val="000000"/>
                <w:kern w:val="0"/>
                <w:szCs w:val="21"/>
              </w:rPr>
            </w:pPr>
            <w:r>
              <w:rPr>
                <w:rFonts w:hint="eastAsia" w:ascii="仿宋_GB2312" w:hAnsi="仿宋_GB2312" w:eastAsia="仿宋_GB2312" w:cs="仿宋_GB2312"/>
                <w:b/>
                <w:color w:val="000000"/>
                <w:kern w:val="0"/>
                <w:szCs w:val="21"/>
              </w:rPr>
              <w:t>（元/公斤）</w:t>
            </w:r>
          </w:p>
        </w:tc>
      </w:tr>
      <w:tr w14:paraId="0C775F87">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4ABA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5C38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生石灰</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BF445">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4000</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9D8E2">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CaO≥85%，且需为未风化、无杂质的块状</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F68BB">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块状</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6A48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30kg/袋</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894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2.2</w:t>
            </w:r>
          </w:p>
        </w:tc>
      </w:tr>
      <w:tr w14:paraId="581E421E">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43D1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0814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硫磺</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276ED">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8000</w:t>
            </w:r>
          </w:p>
        </w:tc>
        <w:tc>
          <w:tcPr>
            <w:tcW w:w="3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FF764">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石硫合剂专用600目，含量≥95%</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910A5">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粉状</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B0C5F">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25kg/袋</w:t>
            </w:r>
          </w:p>
        </w:tc>
        <w:tc>
          <w:tcPr>
            <w:tcW w:w="1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E5001">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w:t>
            </w:r>
          </w:p>
        </w:tc>
      </w:tr>
      <w:tr w14:paraId="78946333">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793A2">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2D075">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代森锰锌</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44F7D">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300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2F43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全络合态代森锰锌80%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EBA45">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可湿性粉剂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7533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500g/袋</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3DE60">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58</w:t>
            </w:r>
          </w:p>
        </w:tc>
      </w:tr>
      <w:tr w14:paraId="1CC1624C">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78654">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FD0C1">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唑醚代森联</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8AB6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5E27B">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吡唑醚菌酯5%代森联55%</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881B4">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水分散颗粒</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F2DA4">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500g/袋</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8AFC0">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180</w:t>
            </w:r>
          </w:p>
        </w:tc>
      </w:tr>
      <w:tr w14:paraId="010C7065">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5BF1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C5C5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苯甲·吡唑酯</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E6093">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6314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吡唑醚菌酯25%，苯醚甲环唑15%</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22C47">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悬浮剂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B9F4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500ml/瓶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4F2E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280</w:t>
            </w:r>
          </w:p>
        </w:tc>
      </w:tr>
      <w:tr w14:paraId="59040649">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1DCB5">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6</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DAD3B">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75%肟菌戊唑醇</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55DD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E0A21">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肟菌酯25%，戊唑醇50%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C2845">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水分散粒剂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68DB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40423">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380</w:t>
            </w:r>
          </w:p>
        </w:tc>
      </w:tr>
      <w:tr w14:paraId="3F169AB2">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4729D">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7</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2F210">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氨基寡糖素</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C99EF">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DECDF">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氨基寡糖素5%</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E3DC6">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水剂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357D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500ml/瓶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54BF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w:t>
            </w:r>
          </w:p>
        </w:tc>
      </w:tr>
      <w:tr w14:paraId="4A0297F0">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0BB5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8</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9B16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氯氰菊酯</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6941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CDD90">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4.5%氯氰菊酯</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DE1A3">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乳油</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26FF8">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808F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30</w:t>
            </w:r>
          </w:p>
        </w:tc>
      </w:tr>
      <w:tr w14:paraId="12EBCF11">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0A154">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9</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2030D">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甲维虱螨脲</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63E4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160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F3342">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甲氨基阿维菌素苯甲酸盐2%；虱螨脲8%</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19F7D">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悬浮剂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16E8F">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41A32">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160</w:t>
            </w:r>
          </w:p>
        </w:tc>
      </w:tr>
      <w:tr w14:paraId="2AF2219B">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783F0">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w:t>
            </w:r>
          </w:p>
        </w:tc>
        <w:tc>
          <w:tcPr>
            <w:tcW w:w="1978" w:type="dxa"/>
            <w:tcBorders>
              <w:top w:val="single" w:color="000000" w:sz="4" w:space="0"/>
              <w:left w:val="single" w:color="000000" w:sz="4" w:space="0"/>
              <w:bottom w:val="nil"/>
              <w:right w:val="single" w:color="000000" w:sz="4" w:space="0"/>
            </w:tcBorders>
            <w:shd w:val="clear" w:color="auto" w:fill="auto"/>
            <w:noWrap/>
            <w:vAlign w:val="center"/>
          </w:tcPr>
          <w:p w14:paraId="5845998F">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苦参碱</w:t>
            </w:r>
          </w:p>
        </w:tc>
        <w:tc>
          <w:tcPr>
            <w:tcW w:w="872" w:type="dxa"/>
            <w:tcBorders>
              <w:top w:val="single" w:color="000000" w:sz="4" w:space="0"/>
              <w:left w:val="single" w:color="000000" w:sz="4" w:space="0"/>
              <w:bottom w:val="nil"/>
              <w:right w:val="single" w:color="000000" w:sz="4" w:space="0"/>
            </w:tcBorders>
            <w:shd w:val="clear" w:color="auto" w:fill="auto"/>
            <w:noWrap/>
            <w:vAlign w:val="center"/>
          </w:tcPr>
          <w:p w14:paraId="320D2CE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40</w:t>
            </w:r>
          </w:p>
        </w:tc>
        <w:tc>
          <w:tcPr>
            <w:tcW w:w="3573" w:type="dxa"/>
            <w:tcBorders>
              <w:top w:val="single" w:color="000000" w:sz="4" w:space="0"/>
              <w:left w:val="single" w:color="000000" w:sz="4" w:space="0"/>
              <w:bottom w:val="nil"/>
              <w:right w:val="single" w:color="000000" w:sz="4" w:space="0"/>
            </w:tcBorders>
            <w:shd w:val="clear" w:color="auto" w:fill="auto"/>
            <w:noWrap/>
            <w:vAlign w:val="center"/>
          </w:tcPr>
          <w:p w14:paraId="3544B470">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有效成分含量：1.3%</w:t>
            </w:r>
          </w:p>
        </w:tc>
        <w:tc>
          <w:tcPr>
            <w:tcW w:w="1145" w:type="dxa"/>
            <w:tcBorders>
              <w:top w:val="single" w:color="000000" w:sz="4" w:space="0"/>
              <w:left w:val="single" w:color="000000" w:sz="4" w:space="0"/>
              <w:bottom w:val="nil"/>
              <w:right w:val="single" w:color="000000" w:sz="4" w:space="0"/>
            </w:tcBorders>
            <w:shd w:val="clear" w:color="auto" w:fill="auto"/>
            <w:noWrap/>
            <w:vAlign w:val="center"/>
          </w:tcPr>
          <w:p w14:paraId="047E92F8">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水剂</w:t>
            </w:r>
          </w:p>
        </w:tc>
        <w:tc>
          <w:tcPr>
            <w:tcW w:w="1037" w:type="dxa"/>
            <w:tcBorders>
              <w:top w:val="single" w:color="000000" w:sz="4" w:space="0"/>
              <w:left w:val="single" w:color="000000" w:sz="4" w:space="0"/>
              <w:bottom w:val="nil"/>
              <w:right w:val="single" w:color="000000" w:sz="4" w:space="0"/>
            </w:tcBorders>
            <w:shd w:val="clear" w:color="auto" w:fill="auto"/>
            <w:noWrap/>
            <w:vAlign w:val="center"/>
          </w:tcPr>
          <w:p w14:paraId="5150187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500g/瓶</w:t>
            </w:r>
          </w:p>
        </w:tc>
        <w:tc>
          <w:tcPr>
            <w:tcW w:w="1353" w:type="dxa"/>
            <w:tcBorders>
              <w:top w:val="single" w:color="000000" w:sz="4" w:space="0"/>
              <w:left w:val="single" w:color="000000" w:sz="4" w:space="0"/>
              <w:bottom w:val="nil"/>
              <w:right w:val="single" w:color="000000" w:sz="4" w:space="0"/>
            </w:tcBorders>
            <w:shd w:val="clear" w:color="auto" w:fill="auto"/>
            <w:noWrap/>
            <w:vAlign w:val="center"/>
          </w:tcPr>
          <w:p w14:paraId="73D5350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68</w:t>
            </w:r>
          </w:p>
        </w:tc>
      </w:tr>
      <w:tr w14:paraId="10EF5751">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6A000">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11</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B2B7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氯虫苯甲酰胺</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6F0B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D377F">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氯虫苯甲酰胺5%</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FA72A">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悬浮剂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02C5D">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7C2F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70</w:t>
            </w:r>
          </w:p>
        </w:tc>
      </w:tr>
      <w:tr w14:paraId="2B71ACA1">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A418B">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12</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7B3EF">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甲维盐灭幼脲</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E132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1500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0A261">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甲氨基阿维菌素苯甲酸盐0.2%；灭幼脲24.8%</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463BD">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悬浮剂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58E0F">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8F2A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60</w:t>
            </w:r>
          </w:p>
        </w:tc>
      </w:tr>
      <w:tr w14:paraId="2DFAFE74">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6794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13</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C1FF2">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6%联苯噻虫啉</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588A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300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BFDD4">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联苯菊酯菊酯1%，噻虫啉5%</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9AD5A">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微囊悬浮剂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888A2">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8BE1D">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w:t>
            </w:r>
          </w:p>
        </w:tc>
      </w:tr>
      <w:tr w14:paraId="346CB71D">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CA122">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14</w:t>
            </w:r>
          </w:p>
        </w:tc>
        <w:tc>
          <w:tcPr>
            <w:tcW w:w="1978" w:type="dxa"/>
            <w:tcBorders>
              <w:top w:val="nil"/>
              <w:left w:val="nil"/>
              <w:bottom w:val="nil"/>
              <w:right w:val="nil"/>
            </w:tcBorders>
            <w:shd w:val="clear" w:color="auto" w:fill="auto"/>
            <w:noWrap/>
            <w:vAlign w:val="center"/>
          </w:tcPr>
          <w:p w14:paraId="0B6FC7CB">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阿维灭蝇胺</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30D8F">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88CDD">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阿维菌素0.7%，灭蝇胺30.3%</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C511F">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悬浮剂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9307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500ml/瓶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34E3D">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180</w:t>
            </w:r>
          </w:p>
        </w:tc>
      </w:tr>
      <w:tr w14:paraId="7C497D31">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90AA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15</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629C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噻虫嗪</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79FE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12E90">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噻虫嗪70%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7614F">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水分散颗粒</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0D84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58283">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140</w:t>
            </w:r>
          </w:p>
        </w:tc>
      </w:tr>
      <w:tr w14:paraId="78EC7FEC">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C2D4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16</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0493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25%苯氧威·噻嗪酮</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82E2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874F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苯氧威5%，噻嗪酮20%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AB3BF">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悬浮剂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0D29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4B920">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240</w:t>
            </w:r>
          </w:p>
        </w:tc>
      </w:tr>
      <w:tr w14:paraId="1F0E701F">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6AA54">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17</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283F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14-羟基芸苔素甾醇</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8A38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A4EE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14-羟基芸苔素甾醇0.01%</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8741A">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乳剂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68C32">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F1FB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80</w:t>
            </w:r>
          </w:p>
        </w:tc>
      </w:tr>
      <w:tr w14:paraId="1C42D44D">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A483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18</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E4BC3">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草铵膦</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1CB4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FC06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有效成分含量：200克/升</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54EAC">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水剂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35C05">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25106">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36</w:t>
            </w:r>
          </w:p>
        </w:tc>
      </w:tr>
      <w:tr w14:paraId="55B8C4D1">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F0F04">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19</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99373">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100%非离子表面活性剂</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40C6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150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CA48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非离子100%</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F0010">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水剂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29DE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6F9C2">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190</w:t>
            </w:r>
          </w:p>
        </w:tc>
      </w:tr>
      <w:tr w14:paraId="58538B9F">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FC97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20</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D5E58">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二甲戊灵</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D8D6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DA3C1">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33%二甲戊灵</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73D50">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乳油</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F2FC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200ml/瓶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2E86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w:t>
            </w:r>
          </w:p>
        </w:tc>
      </w:tr>
      <w:tr w14:paraId="61D0F2A3">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8B6D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21</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3020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精异丙甲草胺</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3CBE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1500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A797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精异丙甲草胺96%</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DCF52">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乳油</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81F7D">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100ml/瓶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1EBA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150</w:t>
            </w:r>
          </w:p>
        </w:tc>
      </w:tr>
      <w:tr w14:paraId="4ECA6EEB">
        <w:tblPrEx>
          <w:tblCellMar>
            <w:top w:w="0" w:type="dxa"/>
            <w:left w:w="108" w:type="dxa"/>
            <w:bottom w:w="0" w:type="dxa"/>
            <w:right w:w="108" w:type="dxa"/>
          </w:tblCellMar>
        </w:tblPrEx>
        <w:trPr>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25CF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22</w:t>
            </w:r>
          </w:p>
        </w:tc>
        <w:tc>
          <w:tcPr>
            <w:tcW w:w="1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10E6D">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32.4%滴酸草甘膦</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581F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14000</w:t>
            </w:r>
          </w:p>
        </w:tc>
        <w:tc>
          <w:tcPr>
            <w:tcW w:w="35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4018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草甘膦30%2,4-滴酸2.4%</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CD8F7">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水剂</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5447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1000g/瓶</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22ED8">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36</w:t>
            </w:r>
          </w:p>
        </w:tc>
      </w:tr>
    </w:tbl>
    <w:p w14:paraId="5EDC5E40">
      <w:pPr>
        <w:pStyle w:val="2"/>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包B：</w:t>
      </w:r>
      <w:r>
        <w:rPr>
          <w:rFonts w:hint="eastAsia" w:ascii="仿宋_GB2312" w:hAnsi="宋体" w:eastAsia="仿宋_GB2312"/>
          <w:bCs/>
          <w:color w:val="000000" w:themeColor="text1"/>
          <w:sz w:val="30"/>
          <w:szCs w:val="30"/>
          <w14:textFill>
            <w14:solidFill>
              <w14:schemeClr w14:val="tx1"/>
            </w14:solidFill>
          </w14:textFill>
        </w:rPr>
        <w:t>农药B</w:t>
      </w:r>
    </w:p>
    <w:tbl>
      <w:tblPr>
        <w:tblStyle w:val="46"/>
        <w:tblW w:w="10870" w:type="dxa"/>
        <w:jc w:val="center"/>
        <w:tblLayout w:type="fixed"/>
        <w:tblCellMar>
          <w:top w:w="0" w:type="dxa"/>
          <w:left w:w="108" w:type="dxa"/>
          <w:bottom w:w="0" w:type="dxa"/>
          <w:right w:w="108" w:type="dxa"/>
        </w:tblCellMar>
      </w:tblPr>
      <w:tblGrid>
        <w:gridCol w:w="641"/>
        <w:gridCol w:w="1829"/>
        <w:gridCol w:w="1118"/>
        <w:gridCol w:w="3137"/>
        <w:gridCol w:w="1506"/>
        <w:gridCol w:w="1228"/>
        <w:gridCol w:w="1411"/>
      </w:tblGrid>
      <w:tr w14:paraId="2B10EB9A">
        <w:tblPrEx>
          <w:tblCellMar>
            <w:top w:w="0" w:type="dxa"/>
            <w:left w:w="108" w:type="dxa"/>
            <w:bottom w:w="0" w:type="dxa"/>
            <w:right w:w="108" w:type="dxa"/>
          </w:tblCellMar>
        </w:tblPrEx>
        <w:trPr>
          <w:tblHeader/>
          <w:jc w:val="center"/>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053EE">
            <w:pPr>
              <w:widowControl/>
              <w:snapToGrid w:val="0"/>
              <w:jc w:val="center"/>
              <w:textAlignment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kern w:val="0"/>
                <w:szCs w:val="21"/>
                <w:lang w:bidi="ar"/>
              </w:rPr>
              <w:t>序号</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9C13A">
            <w:pPr>
              <w:widowControl/>
              <w:snapToGrid w:val="0"/>
              <w:jc w:val="center"/>
              <w:textAlignment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kern w:val="0"/>
                <w:szCs w:val="21"/>
                <w:lang w:bidi="ar"/>
              </w:rPr>
              <w:t>品名</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16DCA">
            <w:pPr>
              <w:widowControl/>
              <w:snapToGrid w:val="0"/>
              <w:jc w:val="center"/>
              <w:textAlignment w:val="center"/>
              <w:rPr>
                <w:rFonts w:ascii="仿宋_GB2312" w:hAnsi="仿宋_GB2312" w:eastAsia="仿宋_GB2312" w:cs="仿宋_GB2312"/>
                <w:b/>
                <w:color w:val="000000"/>
                <w:kern w:val="0"/>
                <w:szCs w:val="21"/>
                <w:lang w:bidi="ar"/>
              </w:rPr>
            </w:pPr>
            <w:r>
              <w:rPr>
                <w:rFonts w:hint="eastAsia" w:ascii="仿宋_GB2312" w:hAnsi="仿宋_GB2312" w:eastAsia="仿宋_GB2312" w:cs="仿宋_GB2312"/>
                <w:b/>
                <w:color w:val="000000"/>
                <w:kern w:val="0"/>
                <w:szCs w:val="21"/>
                <w:lang w:bidi="ar"/>
              </w:rPr>
              <w:t>数量</w:t>
            </w:r>
          </w:p>
          <w:p w14:paraId="1CE2D8F5">
            <w:pPr>
              <w:widowControl/>
              <w:snapToGrid w:val="0"/>
              <w:jc w:val="center"/>
              <w:textAlignment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kern w:val="0"/>
                <w:szCs w:val="21"/>
                <w:lang w:bidi="ar"/>
              </w:rPr>
              <w:t>（公斤）</w:t>
            </w:r>
          </w:p>
        </w:tc>
        <w:tc>
          <w:tcPr>
            <w:tcW w:w="31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D989A">
            <w:pPr>
              <w:widowControl/>
              <w:snapToGrid w:val="0"/>
              <w:jc w:val="center"/>
              <w:textAlignment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kern w:val="0"/>
                <w:szCs w:val="21"/>
                <w:lang w:bidi="ar"/>
              </w:rPr>
              <w:t>含量</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AC8F6">
            <w:pPr>
              <w:widowControl/>
              <w:snapToGrid w:val="0"/>
              <w:jc w:val="center"/>
              <w:textAlignment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kern w:val="0"/>
                <w:szCs w:val="21"/>
                <w:lang w:bidi="ar"/>
              </w:rPr>
              <w:t>剂型</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AD273">
            <w:pPr>
              <w:widowControl/>
              <w:snapToGrid w:val="0"/>
              <w:jc w:val="center"/>
              <w:textAlignment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kern w:val="0"/>
                <w:szCs w:val="21"/>
                <w:lang w:bidi="ar"/>
              </w:rPr>
              <w:t>规格</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149C3">
            <w:pPr>
              <w:widowControl/>
              <w:snapToGrid w:val="0"/>
              <w:jc w:val="center"/>
              <w:textAlignment w:val="center"/>
              <w:rPr>
                <w:rFonts w:ascii="仿宋_GB2312" w:hAnsi="仿宋_GB2312" w:eastAsia="仿宋_GB2312" w:cs="仿宋_GB2312"/>
                <w:b/>
                <w:color w:val="000000"/>
                <w:kern w:val="0"/>
                <w:szCs w:val="21"/>
                <w:lang w:bidi="ar"/>
              </w:rPr>
            </w:pPr>
            <w:r>
              <w:rPr>
                <w:rFonts w:hint="eastAsia" w:ascii="仿宋_GB2312" w:hAnsi="仿宋_GB2312" w:eastAsia="仿宋_GB2312" w:cs="仿宋_GB2312"/>
                <w:b/>
                <w:color w:val="000000"/>
                <w:kern w:val="0"/>
                <w:szCs w:val="21"/>
                <w:lang w:bidi="ar"/>
              </w:rPr>
              <w:t>上限单价</w:t>
            </w:r>
          </w:p>
          <w:p w14:paraId="78C98BAC">
            <w:pPr>
              <w:widowControl/>
              <w:snapToGrid w:val="0"/>
              <w:jc w:val="center"/>
              <w:textAlignment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kern w:val="0"/>
                <w:szCs w:val="21"/>
                <w:lang w:bidi="ar"/>
              </w:rPr>
              <w:t>（元/公斤）</w:t>
            </w:r>
          </w:p>
        </w:tc>
      </w:tr>
      <w:tr w14:paraId="0A3AB4CA">
        <w:tblPrEx>
          <w:tblCellMar>
            <w:top w:w="0" w:type="dxa"/>
            <w:left w:w="108" w:type="dxa"/>
            <w:bottom w:w="0" w:type="dxa"/>
            <w:right w:w="108" w:type="dxa"/>
          </w:tblCellMar>
        </w:tblPrEx>
        <w:trPr>
          <w:jc w:val="center"/>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ED02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F46A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二甲双氟唑</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EA28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40</w:t>
            </w:r>
          </w:p>
        </w:tc>
        <w:tc>
          <w:tcPr>
            <w:tcW w:w="3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63183">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42.8%二甲四氯异辛酯</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0.4%双氟磺草胺</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0.8%唑草酮</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620A5">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悬浮剂</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C05A2">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100克/瓶</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A491B">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w:t>
            </w:r>
          </w:p>
        </w:tc>
      </w:tr>
      <w:tr w14:paraId="5C9F5F09">
        <w:tblPrEx>
          <w:tblCellMar>
            <w:top w:w="0" w:type="dxa"/>
            <w:left w:w="108" w:type="dxa"/>
            <w:bottom w:w="0" w:type="dxa"/>
            <w:right w:w="108" w:type="dxa"/>
          </w:tblCellMar>
        </w:tblPrEx>
        <w:trPr>
          <w:jc w:val="center"/>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1FE61">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08E3D">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二氯吡啶酸</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三氯吡氧乙酸</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苯磺隆</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二甲四氯钠</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7AC4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80</w:t>
            </w:r>
          </w:p>
        </w:tc>
        <w:tc>
          <w:tcPr>
            <w:tcW w:w="3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350B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二氯吡啶酸30%  20克</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三氯吡氧乙酸44%20克</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苯磺隆10%10克</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二甲四氯钠56%30克</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602C7">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可湿性粉剂</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D70DC">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80克/盒</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8BB2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w:t>
            </w:r>
          </w:p>
        </w:tc>
      </w:tr>
      <w:tr w14:paraId="5268D131">
        <w:tblPrEx>
          <w:tblCellMar>
            <w:top w:w="0" w:type="dxa"/>
            <w:left w:w="108" w:type="dxa"/>
            <w:bottom w:w="0" w:type="dxa"/>
            <w:right w:w="108" w:type="dxa"/>
          </w:tblCellMar>
        </w:tblPrEx>
        <w:trPr>
          <w:jc w:val="center"/>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CAD87">
            <w:pPr>
              <w:widowControl/>
              <w:snapToGrid w:val="0"/>
              <w:jc w:val="center"/>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kern w:val="0"/>
                <w:szCs w:val="21"/>
                <w:lang w:val="en-US" w:eastAsia="zh-CN" w:bidi="ar"/>
              </w:rPr>
              <w:t>3</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4F380">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啶嘧磺隆</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F8C6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w:t>
            </w:r>
          </w:p>
        </w:tc>
        <w:tc>
          <w:tcPr>
            <w:tcW w:w="31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99C3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25%啶嘧磺隆</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55A27">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水分散粒剂</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67F2C">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2克/袋</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FBF53">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10000</w:t>
            </w:r>
          </w:p>
        </w:tc>
      </w:tr>
      <w:tr w14:paraId="54E39AC0">
        <w:tblPrEx>
          <w:tblCellMar>
            <w:top w:w="0" w:type="dxa"/>
            <w:left w:w="108" w:type="dxa"/>
            <w:bottom w:w="0" w:type="dxa"/>
            <w:right w:w="108" w:type="dxa"/>
          </w:tblCellMar>
        </w:tblPrEx>
        <w:trPr>
          <w:jc w:val="center"/>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B337A">
            <w:pPr>
              <w:widowControl/>
              <w:snapToGrid w:val="0"/>
              <w:jc w:val="center"/>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kern w:val="0"/>
                <w:szCs w:val="21"/>
                <w:lang w:val="en-US" w:eastAsia="zh-CN" w:bidi="ar"/>
              </w:rPr>
              <w:t>4</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CC72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精噁唑禾草灵</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C5C6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w:t>
            </w:r>
          </w:p>
        </w:tc>
        <w:tc>
          <w:tcPr>
            <w:tcW w:w="31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90C2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有效成分含量69克/升</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4EEE1">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水乳剂</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86FB1">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120克/瓶</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D2ACB">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420</w:t>
            </w:r>
          </w:p>
        </w:tc>
      </w:tr>
      <w:tr w14:paraId="3C089118">
        <w:tblPrEx>
          <w:tblCellMar>
            <w:top w:w="0" w:type="dxa"/>
            <w:left w:w="108" w:type="dxa"/>
            <w:bottom w:w="0" w:type="dxa"/>
            <w:right w:w="108" w:type="dxa"/>
          </w:tblCellMar>
        </w:tblPrEx>
        <w:trPr>
          <w:jc w:val="center"/>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8FA48">
            <w:pPr>
              <w:widowControl/>
              <w:snapToGrid w:val="0"/>
              <w:jc w:val="center"/>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kern w:val="0"/>
                <w:szCs w:val="21"/>
                <w:lang w:val="en-US" w:eastAsia="zh-CN" w:bidi="ar"/>
              </w:rPr>
              <w:t>5</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3E28C">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氨氟乐灵</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C3C33">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20</w:t>
            </w:r>
          </w:p>
        </w:tc>
        <w:tc>
          <w:tcPr>
            <w:tcW w:w="31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9A2C8">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氨氟乐灵65%</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F8396">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水分散粒剂</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2F5E7">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20克/袋</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F2785">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1500</w:t>
            </w:r>
          </w:p>
        </w:tc>
      </w:tr>
      <w:tr w14:paraId="3023C647">
        <w:tblPrEx>
          <w:tblCellMar>
            <w:top w:w="0" w:type="dxa"/>
            <w:left w:w="108" w:type="dxa"/>
            <w:bottom w:w="0" w:type="dxa"/>
            <w:right w:w="108" w:type="dxa"/>
          </w:tblCellMar>
        </w:tblPrEx>
        <w:trPr>
          <w:jc w:val="center"/>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A30D2">
            <w:pPr>
              <w:widowControl/>
              <w:snapToGrid w:val="0"/>
              <w:jc w:val="center"/>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kern w:val="0"/>
                <w:szCs w:val="21"/>
                <w:lang w:val="en-US" w:eastAsia="zh-CN" w:bidi="ar"/>
              </w:rPr>
              <w:t>6</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CC2F7">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噻虫嗪</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苦参碱</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AD542">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w:t>
            </w:r>
          </w:p>
        </w:tc>
        <w:tc>
          <w:tcPr>
            <w:tcW w:w="3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91D25">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6％阿维噻虫嗪微乳剂200克</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 xml:space="preserve">0.3％苦参碱水剂200毫升 </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DC8D1">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微乳剂</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985E6">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400ML/套</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C7C8E">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250</w:t>
            </w:r>
          </w:p>
        </w:tc>
      </w:tr>
      <w:tr w14:paraId="1FBCAE6F">
        <w:tblPrEx>
          <w:tblCellMar>
            <w:top w:w="0" w:type="dxa"/>
            <w:left w:w="108" w:type="dxa"/>
            <w:bottom w:w="0" w:type="dxa"/>
            <w:right w:w="108" w:type="dxa"/>
          </w:tblCellMar>
        </w:tblPrEx>
        <w:trPr>
          <w:jc w:val="center"/>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3A039">
            <w:pPr>
              <w:widowControl/>
              <w:snapToGrid w:val="0"/>
              <w:jc w:val="center"/>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kern w:val="0"/>
                <w:szCs w:val="21"/>
                <w:lang w:val="en-US" w:eastAsia="zh-CN" w:bidi="ar"/>
              </w:rPr>
              <w:t>7</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A933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氯氟吡氧乙酸异辛酯</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吡嘧磺隆</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精喹禾灵</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B765F">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80</w:t>
            </w:r>
          </w:p>
        </w:tc>
        <w:tc>
          <w:tcPr>
            <w:tcW w:w="3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6F8D9">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氯氟吡氧乙酸异辛酯200克/升 18ML</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吡嘧磺隆10% 15克</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精喹禾灵8.8% 35ML</w:t>
            </w:r>
          </w:p>
        </w:tc>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2B288">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乳油</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可湿性粉剂</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8EC6F">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88克/盒</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A0E82">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400</w:t>
            </w:r>
          </w:p>
        </w:tc>
      </w:tr>
      <w:tr w14:paraId="196DA8E2">
        <w:tblPrEx>
          <w:tblCellMar>
            <w:top w:w="0" w:type="dxa"/>
            <w:left w:w="108" w:type="dxa"/>
            <w:bottom w:w="0" w:type="dxa"/>
            <w:right w:w="108" w:type="dxa"/>
          </w:tblCellMar>
        </w:tblPrEx>
        <w:trPr>
          <w:jc w:val="center"/>
        </w:trPr>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91A76">
            <w:pPr>
              <w:widowControl/>
              <w:snapToGrid w:val="0"/>
              <w:jc w:val="center"/>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kern w:val="0"/>
                <w:szCs w:val="21"/>
                <w:lang w:val="en-US" w:eastAsia="zh-CN" w:bidi="ar"/>
              </w:rPr>
              <w:t>8</w:t>
            </w:r>
          </w:p>
        </w:tc>
        <w:tc>
          <w:tcPr>
            <w:tcW w:w="18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F753A">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噻虫高氯氟</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E7B18">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280</w:t>
            </w:r>
          </w:p>
        </w:tc>
        <w:tc>
          <w:tcPr>
            <w:tcW w:w="31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29DB1">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12.6％噻虫嗪</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9.4％高效氯氟氰菊酯</w:t>
            </w: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F1A9E">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微囊悬浮剂</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81A88">
            <w:pPr>
              <w:widowControl/>
              <w:snapToGrid w:val="0"/>
              <w:jc w:val="left"/>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100克/瓶</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29803">
            <w:pPr>
              <w:widowControl/>
              <w:snapToGrid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350</w:t>
            </w:r>
          </w:p>
        </w:tc>
      </w:tr>
    </w:tbl>
    <w:p w14:paraId="063CFDD4">
      <w:pPr>
        <w:pStyle w:val="2"/>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包C：</w:t>
      </w:r>
      <w:r>
        <w:rPr>
          <w:rFonts w:hint="eastAsia" w:ascii="仿宋_GB2312" w:hAnsi="宋体" w:eastAsia="仿宋_GB2312"/>
          <w:bCs/>
          <w:color w:val="000000" w:themeColor="text1"/>
          <w:sz w:val="30"/>
          <w:szCs w:val="30"/>
          <w14:textFill>
            <w14:solidFill>
              <w14:schemeClr w14:val="tx1"/>
            </w14:solidFill>
          </w14:textFill>
        </w:rPr>
        <w:t>化肥</w:t>
      </w:r>
    </w:p>
    <w:tbl>
      <w:tblPr>
        <w:tblStyle w:val="46"/>
        <w:tblW w:w="10869" w:type="dxa"/>
        <w:tblInd w:w="-480" w:type="dxa"/>
        <w:tblLayout w:type="fixed"/>
        <w:tblCellMar>
          <w:top w:w="0" w:type="dxa"/>
          <w:left w:w="108" w:type="dxa"/>
          <w:bottom w:w="0" w:type="dxa"/>
          <w:right w:w="108" w:type="dxa"/>
        </w:tblCellMar>
      </w:tblPr>
      <w:tblGrid>
        <w:gridCol w:w="669"/>
        <w:gridCol w:w="1827"/>
        <w:gridCol w:w="1104"/>
        <w:gridCol w:w="3150"/>
        <w:gridCol w:w="1473"/>
        <w:gridCol w:w="1186"/>
        <w:gridCol w:w="1460"/>
      </w:tblGrid>
      <w:tr w14:paraId="708ECD97">
        <w:tblPrEx>
          <w:tblCellMar>
            <w:top w:w="0" w:type="dxa"/>
            <w:left w:w="108" w:type="dxa"/>
            <w:bottom w:w="0" w:type="dxa"/>
            <w:right w:w="108" w:type="dxa"/>
          </w:tblCellMar>
        </w:tblPrEx>
        <w:trPr>
          <w:trHeight w:val="840"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7E9CD">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序号</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6C18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品名</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B163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数量</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（公斤）</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93302">
            <w:pPr>
              <w:widowControl/>
              <w:jc w:val="center"/>
              <w:textAlignment w:val="center"/>
              <w:rPr>
                <w:rFonts w:ascii="仿宋_GB2312" w:hAnsi="仿宋_GB2312" w:eastAsia="仿宋_GB2312" w:cs="仿宋_GB2312"/>
                <w:color w:val="333333"/>
                <w:szCs w:val="21"/>
              </w:rPr>
            </w:pPr>
            <w:r>
              <w:rPr>
                <w:rFonts w:hint="eastAsia" w:ascii="仿宋_GB2312" w:hAnsi="仿宋_GB2312" w:eastAsia="仿宋_GB2312" w:cs="仿宋_GB2312"/>
                <w:color w:val="333333"/>
                <w:kern w:val="0"/>
                <w:szCs w:val="21"/>
                <w:lang w:bidi="ar"/>
              </w:rPr>
              <w:t>含量</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0F11A">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剂型</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CE2CC">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规格</w:t>
            </w:r>
          </w:p>
        </w:tc>
        <w:tc>
          <w:tcPr>
            <w:tcW w:w="14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0605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上限单价</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（元/公斤）</w:t>
            </w:r>
          </w:p>
        </w:tc>
      </w:tr>
      <w:tr w14:paraId="70C469C1">
        <w:tblPrEx>
          <w:tblCellMar>
            <w:top w:w="0" w:type="dxa"/>
            <w:left w:w="108" w:type="dxa"/>
            <w:bottom w:w="0" w:type="dxa"/>
            <w:right w:w="108" w:type="dxa"/>
          </w:tblCellMar>
        </w:tblPrEx>
        <w:trPr>
          <w:trHeight w:val="400"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D4AA3">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59486">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腐殖酸水溶肥</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E6908">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10000</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4914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腐殖酸≥3%， N+P2O5+K2O≥20%</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09B82">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粉剂</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8BCB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40kg/袋</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4941A">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6</w:t>
            </w:r>
          </w:p>
        </w:tc>
      </w:tr>
      <w:tr w14:paraId="78A34C1F">
        <w:tblPrEx>
          <w:tblCellMar>
            <w:top w:w="0" w:type="dxa"/>
            <w:left w:w="108" w:type="dxa"/>
            <w:bottom w:w="0" w:type="dxa"/>
            <w:right w:w="108" w:type="dxa"/>
          </w:tblCellMar>
        </w:tblPrEx>
        <w:trPr>
          <w:trHeight w:val="400"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6B34A">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45F9D">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硫酸钾型三元掺混复合肥</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5AA7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10000</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C474C">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NPK含量18:18:19</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6B24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颗粒</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85598">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50kg/袋</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6FA63">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6</w:t>
            </w:r>
          </w:p>
        </w:tc>
      </w:tr>
      <w:tr w14:paraId="18C87841">
        <w:tblPrEx>
          <w:tblCellMar>
            <w:top w:w="0" w:type="dxa"/>
            <w:left w:w="108" w:type="dxa"/>
            <w:bottom w:w="0" w:type="dxa"/>
            <w:right w:w="108" w:type="dxa"/>
          </w:tblCellMar>
        </w:tblPrEx>
        <w:trPr>
          <w:trHeight w:val="400"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065B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0C3E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硫酸钾型复合肥</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BF029">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20000</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37B17">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NPK含量15:15:15总养分≥45%</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3FFC8">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颗粒</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68643">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50kg/袋</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D58B1">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3.6</w:t>
            </w:r>
          </w:p>
        </w:tc>
      </w:tr>
      <w:tr w14:paraId="3C7C7872">
        <w:tblPrEx>
          <w:tblCellMar>
            <w:top w:w="0" w:type="dxa"/>
            <w:left w:w="108" w:type="dxa"/>
            <w:bottom w:w="0" w:type="dxa"/>
            <w:right w:w="108" w:type="dxa"/>
          </w:tblCellMar>
        </w:tblPrEx>
        <w:trPr>
          <w:trHeight w:val="400"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364DD">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7C43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磷酸二氢钾</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CB0A9">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200</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7893B">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氮磷钾含量≥84%</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2D969">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粉剂</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1E14C">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25kg/袋</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D4C0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20</w:t>
            </w:r>
          </w:p>
        </w:tc>
      </w:tr>
      <w:tr w14:paraId="57542C72">
        <w:tblPrEx>
          <w:tblCellMar>
            <w:top w:w="0" w:type="dxa"/>
            <w:left w:w="108" w:type="dxa"/>
            <w:bottom w:w="0" w:type="dxa"/>
            <w:right w:w="108" w:type="dxa"/>
          </w:tblCellMar>
        </w:tblPrEx>
        <w:trPr>
          <w:trHeight w:val="400" w:hRule="atLeast"/>
        </w:trPr>
        <w:tc>
          <w:tcPr>
            <w:tcW w:w="6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9C15A">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9A87A">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稳定性氮肥</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A054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5000</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02BCB">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总氮≥26%，硫≥17%，尿素态氮≥10%，铵态氮≥16%</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5DDB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颗粒</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48264">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40kg/袋</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6839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3.2</w:t>
            </w:r>
          </w:p>
        </w:tc>
      </w:tr>
    </w:tbl>
    <w:p w14:paraId="6566ECDD">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1、中标人供货时须提供农药产品的三证（农药生产许可证或者农药生产批准文件、农药标准和农药登记证），化肥产品须按国家规定提供生产许可证、产品登记证等证明材料，否则验收不合格；</w:t>
      </w:r>
    </w:p>
    <w:p w14:paraId="3899D05F">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2、100%非离子表面活性剂，属于助剂。不需要提供农药“三证”；</w:t>
      </w:r>
    </w:p>
    <w:p w14:paraId="7FDBB08A">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3、80%全络合态代森锰锌：必须提供厂家全络合态证明，颗粒细度≤5微米，（非全络合态代森锰锌如果发生药害及效果差，供应商负全责。）；</w:t>
      </w:r>
    </w:p>
    <w:p w14:paraId="2A108AC8">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4、腐植酸水溶性肥料中，腐植酸是活化矿物腐殖酸，必须提供生产厂家证明；</w:t>
      </w:r>
    </w:p>
    <w:p w14:paraId="57A8DCD1">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5、投标人必须保证所供产品为原厂生产的原装正品。</w:t>
      </w:r>
    </w:p>
    <w:p w14:paraId="042C26AE">
      <w:pPr>
        <w:spacing w:line="560" w:lineRule="exact"/>
        <w:ind w:firstLine="562" w:firstLineChars="201"/>
        <w:rPr>
          <w:rFonts w:ascii="仿宋_GB2312" w:hAnsi="仿宋" w:eastAsia="仿宋_GB2312" w:cs="宋体"/>
          <w:sz w:val="28"/>
          <w:szCs w:val="28"/>
        </w:rPr>
      </w:pPr>
      <w:r>
        <w:rPr>
          <w:rFonts w:hint="eastAsia" w:ascii="仿宋_GB2312" w:hAnsi="仿宋" w:eastAsia="仿宋_GB2312" w:cs="宋体"/>
          <w:sz w:val="28"/>
          <w:szCs w:val="28"/>
        </w:rPr>
        <w:t>6、每个产品要附有清晰的照片。肥料外包装照片应显示名称、含量、包装规格等。</w:t>
      </w:r>
    </w:p>
    <w:p w14:paraId="57E13036">
      <w:pPr>
        <w:pStyle w:val="2"/>
        <w:ind w:firstLine="560" w:firstLineChars="200"/>
        <w:rPr>
          <w:rFonts w:ascii="仿宋_GB2312" w:hAnsi="仿宋" w:eastAsia="仿宋_GB2312" w:cs="宋体"/>
          <w:sz w:val="28"/>
          <w:szCs w:val="28"/>
        </w:rPr>
      </w:pPr>
      <w:r>
        <w:rPr>
          <w:rFonts w:hint="eastAsia" w:ascii="仿宋_GB2312" w:hAnsi="仿宋" w:eastAsia="仿宋_GB2312" w:cs="宋体"/>
          <w:sz w:val="28"/>
          <w:szCs w:val="28"/>
        </w:rPr>
        <w:t>7、投标人单项报价不得超过上限控制价，否则报价无效。</w:t>
      </w:r>
    </w:p>
    <w:bookmarkEnd w:id="12"/>
    <w:bookmarkEnd w:id="13"/>
    <w:p w14:paraId="21116FB7">
      <w:pPr>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br w:type="page"/>
      </w:r>
    </w:p>
    <w:p w14:paraId="34792AC8">
      <w:pPr>
        <w:pStyle w:val="41"/>
        <w:spacing w:before="0" w:after="0" w:line="360" w:lineRule="auto"/>
        <w:ind w:firstLine="646" w:firstLineChars="201"/>
        <w:rPr>
          <w:rFonts w:ascii="Times New Roman" w:hAnsi="Times New Roman"/>
          <w:color w:val="000000" w:themeColor="text1"/>
          <w:sz w:val="24"/>
          <w14:textFill>
            <w14:solidFill>
              <w14:schemeClr w14:val="tx1"/>
            </w14:solidFill>
          </w14:textFill>
        </w:rPr>
      </w:pPr>
      <w:r>
        <w:rPr>
          <w:rFonts w:hint="eastAsia" w:ascii="宋体" w:hAnsi="宋体" w:cs="宋体"/>
          <w:color w:val="000000" w:themeColor="text1"/>
          <w14:textFill>
            <w14:solidFill>
              <w14:schemeClr w14:val="tx1"/>
            </w14:solidFill>
          </w14:textFill>
        </w:rPr>
        <w:t>第四章 评标文件内容及格式</w:t>
      </w:r>
    </w:p>
    <w:p w14:paraId="276AFC38">
      <w:pPr>
        <w:spacing w:line="520" w:lineRule="exact"/>
        <w:ind w:firstLine="900" w:firstLineChars="3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一、</w:t>
      </w:r>
      <w:r>
        <w:rPr>
          <w:rFonts w:hint="eastAsia" w:ascii="仿宋_GB2312" w:hAnsi="宋体" w:eastAsia="仿宋_GB2312"/>
          <w:color w:val="000000" w:themeColor="text1"/>
          <w:sz w:val="30"/>
          <w:szCs w:val="30"/>
          <w14:textFill>
            <w14:solidFill>
              <w14:schemeClr w14:val="tx1"/>
            </w14:solidFill>
          </w14:textFill>
        </w:rPr>
        <w:t>评标原则</w:t>
      </w:r>
    </w:p>
    <w:p w14:paraId="4E5AC7B6">
      <w:pPr>
        <w:tabs>
          <w:tab w:val="left" w:pos="540"/>
        </w:tabs>
        <w:spacing w:line="520" w:lineRule="exact"/>
        <w:ind w:firstLine="441" w:firstLineChars="147"/>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 xml:space="preserve"> “公平、公正、科学、择优”为本次评标的基本原则，评标委员会将按照这一原则的要求，公正、平等地对待各投标人，同时，在评标时恪守以下原则：</w:t>
      </w:r>
    </w:p>
    <w:p w14:paraId="0BAC6304">
      <w:pPr>
        <w:tabs>
          <w:tab w:val="left" w:pos="540"/>
        </w:tabs>
        <w:spacing w:line="520" w:lineRule="exact"/>
        <w:ind w:firstLine="561" w:firstLineChars="187"/>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1.</w:t>
      </w:r>
      <w:r>
        <w:rPr>
          <w:rFonts w:hint="eastAsia" w:ascii="仿宋_GB2312" w:hAnsi="宋体" w:eastAsia="仿宋_GB2312"/>
          <w:color w:val="000000" w:themeColor="text1"/>
          <w:sz w:val="30"/>
          <w:szCs w:val="30"/>
          <w14:textFill>
            <w14:solidFill>
              <w14:schemeClr w14:val="tx1"/>
            </w14:solidFill>
          </w14:textFill>
        </w:rPr>
        <w:t>客观性原则：评标委员会将严格按照招标文件的要求，对投标人的投标文件进行认真评审，评标委员会对投标文件的评审仅依据投标文件本身，而不依靠投标文件以外的任何因素。</w:t>
      </w:r>
    </w:p>
    <w:p w14:paraId="6F5F5862">
      <w:pPr>
        <w:tabs>
          <w:tab w:val="left" w:pos="540"/>
        </w:tabs>
        <w:spacing w:line="520" w:lineRule="exact"/>
        <w:ind w:firstLine="561" w:firstLineChars="187"/>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2.</w:t>
      </w:r>
      <w:r>
        <w:rPr>
          <w:rFonts w:hint="eastAsia" w:ascii="仿宋_GB2312" w:hAnsi="宋体" w:eastAsia="仿宋_GB2312"/>
          <w:color w:val="000000" w:themeColor="text1"/>
          <w:sz w:val="30"/>
          <w:szCs w:val="30"/>
          <w14:textFill>
            <w14:solidFill>
              <w14:schemeClr w14:val="tx1"/>
            </w14:solidFill>
          </w14:textFill>
        </w:rPr>
        <w:t>统一性原则：评标委员会将按照统一的评标原则和评标方法，采用统一标准进行评标。</w:t>
      </w:r>
    </w:p>
    <w:p w14:paraId="37CE8FD4">
      <w:pPr>
        <w:tabs>
          <w:tab w:val="left" w:pos="540"/>
        </w:tabs>
        <w:spacing w:line="520" w:lineRule="exact"/>
        <w:ind w:firstLine="561" w:firstLineChars="187"/>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3.</w:t>
      </w:r>
      <w:r>
        <w:rPr>
          <w:rFonts w:hint="eastAsia" w:ascii="仿宋_GB2312" w:hAnsi="宋体" w:eastAsia="仿宋_GB2312"/>
          <w:color w:val="000000" w:themeColor="text1"/>
          <w:sz w:val="30"/>
          <w:szCs w:val="30"/>
          <w14:textFill>
            <w14:solidFill>
              <w14:schemeClr w14:val="tx1"/>
            </w14:solidFill>
          </w14:textFill>
        </w:rPr>
        <w:t>独立性原则：评标工作在评标委员会内部独立进行，不受外界任何因素的干扰和影响。</w:t>
      </w:r>
    </w:p>
    <w:p w14:paraId="0A7084F8">
      <w:pPr>
        <w:tabs>
          <w:tab w:val="left" w:pos="540"/>
        </w:tabs>
        <w:spacing w:line="520" w:lineRule="exact"/>
        <w:ind w:firstLine="561" w:firstLineChars="187"/>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4.</w:t>
      </w:r>
      <w:r>
        <w:rPr>
          <w:rFonts w:hint="eastAsia" w:ascii="仿宋_GB2312" w:hAnsi="宋体" w:eastAsia="仿宋_GB2312"/>
          <w:color w:val="000000" w:themeColor="text1"/>
          <w:sz w:val="30"/>
          <w:szCs w:val="30"/>
          <w14:textFill>
            <w14:solidFill>
              <w14:schemeClr w14:val="tx1"/>
            </w14:solidFill>
          </w14:textFill>
        </w:rPr>
        <w:t>保密性原则：评标委员会及熟知情况的有关工作人员必须对每位评委的评标意见和投标人的商业秘密严格保密，不得外泄。</w:t>
      </w:r>
    </w:p>
    <w:p w14:paraId="19A9E67A">
      <w:pPr>
        <w:tabs>
          <w:tab w:val="left" w:pos="540"/>
        </w:tabs>
        <w:spacing w:line="520" w:lineRule="exact"/>
        <w:ind w:firstLine="561" w:firstLineChars="187"/>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5.</w:t>
      </w:r>
      <w:r>
        <w:rPr>
          <w:rFonts w:hint="eastAsia" w:ascii="仿宋_GB2312" w:hAnsi="宋体" w:eastAsia="仿宋_GB2312"/>
          <w:color w:val="000000" w:themeColor="text1"/>
          <w:sz w:val="30"/>
          <w:szCs w:val="30"/>
          <w14:textFill>
            <w14:solidFill>
              <w14:schemeClr w14:val="tx1"/>
            </w14:solidFill>
          </w14:textFill>
        </w:rPr>
        <w:t>综合性原则：评标委员会将综合分析、评审投标人的各项指标，而不以单项指标的优劣评定出中标人。</w:t>
      </w:r>
    </w:p>
    <w:p w14:paraId="25FB9BA2">
      <w:pPr>
        <w:tabs>
          <w:tab w:val="left" w:pos="540"/>
          <w:tab w:val="left" w:pos="720"/>
        </w:tabs>
        <w:spacing w:line="520" w:lineRule="exact"/>
        <w:ind w:firstLine="600" w:firstLineChars="200"/>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二、评标程序</w:t>
      </w:r>
    </w:p>
    <w:p w14:paraId="408E4A00">
      <w:pPr>
        <w:adjustRightInd w:val="0"/>
        <w:snapToGrid w:val="0"/>
        <w:spacing w:line="520" w:lineRule="exact"/>
        <w:ind w:firstLine="600" w:firstLineChars="200"/>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1.开标结束后，采购人或者采购代理机构依法对投标人的资格进行审查。</w:t>
      </w:r>
    </w:p>
    <w:p w14:paraId="2DB9CC06">
      <w:pPr>
        <w:adjustRightInd w:val="0"/>
        <w:snapToGrid w:val="0"/>
        <w:spacing w:line="520" w:lineRule="exact"/>
        <w:ind w:firstLine="600" w:firstLineChars="200"/>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2.评标委员会对符合资格的投标人的投标文件进行符合性审查，以确定其是否满足招标文件的实质性要求。</w:t>
      </w:r>
    </w:p>
    <w:p w14:paraId="4BD4DCD8">
      <w:pPr>
        <w:adjustRightInd w:val="0"/>
        <w:snapToGrid w:val="0"/>
        <w:spacing w:line="520" w:lineRule="exact"/>
        <w:ind w:firstLine="600" w:firstLineChars="200"/>
        <w:rPr>
          <w:rFonts w:ascii="仿宋_GB2312" w:hAnsi="宋体" w:eastAsia="仿宋_GB2312"/>
          <w:b/>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3.出现下列情形之一的，视为对招标文件未做出实质性响应，按照无效投标处理。</w:t>
      </w:r>
    </w:p>
    <w:p w14:paraId="40291C11">
      <w:pPr>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详见《投标须知前附表》-《实质性条款一览表》中符合性检查条款。</w:t>
      </w:r>
    </w:p>
    <w:p w14:paraId="04268A9A">
      <w:pPr>
        <w:tabs>
          <w:tab w:val="left" w:pos="540"/>
          <w:tab w:val="left" w:pos="720"/>
        </w:tabs>
        <w:spacing w:line="520" w:lineRule="exact"/>
        <w:ind w:firstLine="600" w:firstLineChars="200"/>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4.属于无效投标的，投标人不能通过修正或撤销投标文件中不符合之处而成为实质性响应的投标，招标公司将通知投标人，并说明无效投标理由；属于有效投标文件的，将进行下一轮次的询标和澄清。</w:t>
      </w:r>
    </w:p>
    <w:p w14:paraId="559FE1ED">
      <w:pPr>
        <w:tabs>
          <w:tab w:val="left" w:pos="540"/>
          <w:tab w:val="left" w:pos="720"/>
        </w:tabs>
        <w:spacing w:line="520" w:lineRule="exact"/>
        <w:ind w:firstLine="600" w:firstLineChars="200"/>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5.询标和澄清</w:t>
      </w:r>
    </w:p>
    <w:p w14:paraId="71AB32D6">
      <w:pPr>
        <w:tabs>
          <w:tab w:val="left" w:pos="540"/>
          <w:tab w:val="left" w:pos="720"/>
        </w:tabs>
        <w:spacing w:line="520" w:lineRule="exact"/>
        <w:ind w:firstLine="600" w:firstLineChars="200"/>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4FCA319B">
      <w:pPr>
        <w:tabs>
          <w:tab w:val="left" w:pos="540"/>
          <w:tab w:val="left" w:pos="720"/>
        </w:tabs>
        <w:spacing w:line="520" w:lineRule="exact"/>
        <w:ind w:firstLine="600" w:firstLineChars="200"/>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(2)投标人依据评审要求进行澄清、说明或者补正的内容构成投标文件的组成部分。</w:t>
      </w:r>
    </w:p>
    <w:p w14:paraId="1ADDD683">
      <w:pPr>
        <w:tabs>
          <w:tab w:val="left" w:pos="540"/>
          <w:tab w:val="left" w:pos="720"/>
        </w:tabs>
        <w:spacing w:line="520" w:lineRule="exact"/>
        <w:ind w:firstLine="600" w:firstLineChars="200"/>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6.比较与评价</w:t>
      </w:r>
    </w:p>
    <w:p w14:paraId="4B7B12D7">
      <w:pPr>
        <w:tabs>
          <w:tab w:val="left" w:pos="540"/>
          <w:tab w:val="left" w:pos="720"/>
        </w:tabs>
        <w:spacing w:line="520" w:lineRule="exact"/>
        <w:ind w:firstLine="600" w:firstLineChars="200"/>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4B8EA53C">
      <w:pPr>
        <w:tabs>
          <w:tab w:val="left" w:pos="540"/>
        </w:tabs>
        <w:spacing w:line="520" w:lineRule="exact"/>
        <w:ind w:firstLine="602" w:firstLineChars="200"/>
        <w:rPr>
          <w:rFonts w:ascii="仿宋_GB2312" w:hAnsi="宋体" w:eastAsia="仿宋_GB2312"/>
          <w:bCs/>
          <w:color w:val="000000" w:themeColor="text1"/>
          <w:sz w:val="30"/>
          <w:szCs w:val="30"/>
          <w14:textFill>
            <w14:solidFill>
              <w14:schemeClr w14:val="tx1"/>
            </w14:solidFill>
          </w14:textFill>
        </w:rPr>
      </w:pPr>
      <w:r>
        <w:rPr>
          <w:rFonts w:ascii="仿宋_GB2312" w:eastAsia="仿宋_GB2312"/>
          <w:b/>
          <w:bCs/>
          <w:color w:val="000000" w:themeColor="text1"/>
          <w:sz w:val="30"/>
          <w:szCs w:val="30"/>
          <w14:textFill>
            <w14:solidFill>
              <w14:schemeClr w14:val="tx1"/>
            </w14:solidFill>
          </w14:textFill>
        </w:rPr>
        <w:t>7</w:t>
      </w:r>
      <w:r>
        <w:rPr>
          <w:rFonts w:hint="eastAsia" w:ascii="仿宋_GB2312" w:eastAsia="仿宋_GB2312"/>
          <w:b/>
          <w:bCs/>
          <w:color w:val="000000" w:themeColor="text1"/>
          <w:sz w:val="30"/>
          <w:szCs w:val="30"/>
          <w14:textFill>
            <w14:solidFill>
              <w14:schemeClr w14:val="tx1"/>
            </w14:solidFill>
          </w14:textFill>
        </w:rPr>
        <w:t>.评标方法</w:t>
      </w:r>
    </w:p>
    <w:p w14:paraId="3A65D48D">
      <w:pPr>
        <w:tabs>
          <w:tab w:val="left" w:pos="540"/>
        </w:tabs>
        <w:spacing w:line="520" w:lineRule="exact"/>
        <w:ind w:firstLine="600" w:firstLineChars="200"/>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(1)评标方法：综合评分法。</w:t>
      </w:r>
    </w:p>
    <w:p w14:paraId="6F97F252">
      <w:pPr>
        <w:tabs>
          <w:tab w:val="left" w:pos="540"/>
        </w:tabs>
        <w:spacing w:line="520" w:lineRule="exact"/>
        <w:ind w:firstLine="600" w:firstLineChars="200"/>
        <w:rPr>
          <w:rFonts w:ascii="仿宋_GB2312" w:hAnsi="宋体" w:eastAsia="仿宋_GB2312"/>
          <w:bCs/>
          <w:color w:val="000000" w:themeColor="text1"/>
          <w:sz w:val="30"/>
          <w:szCs w:val="30"/>
          <w14:textFill>
            <w14:solidFill>
              <w14:schemeClr w14:val="tx1"/>
            </w14:solidFill>
          </w14:textFill>
        </w:rPr>
      </w:pPr>
      <w:r>
        <w:rPr>
          <w:rFonts w:hint="eastAsia" w:ascii="仿宋_GB2312" w:hAnsi="宋体" w:eastAsia="仿宋_GB2312"/>
          <w:bCs/>
          <w:color w:val="000000" w:themeColor="text1"/>
          <w:sz w:val="30"/>
          <w:szCs w:val="30"/>
          <w14:textFill>
            <w14:solidFill>
              <w14:schemeClr w14:val="tx1"/>
            </w14:solidFill>
          </w14:textFill>
        </w:rPr>
        <w:t>(2)评标细则：（A包、B包、C包）</w:t>
      </w:r>
    </w:p>
    <w:tbl>
      <w:tblPr>
        <w:tblStyle w:val="46"/>
        <w:tblW w:w="97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5"/>
        <w:gridCol w:w="738"/>
        <w:gridCol w:w="1134"/>
        <w:gridCol w:w="5256"/>
        <w:gridCol w:w="1026"/>
        <w:gridCol w:w="773"/>
      </w:tblGrid>
      <w:tr w14:paraId="28B534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shd w:val="clear" w:color="auto" w:fill="D9D9D9"/>
            <w:vAlign w:val="center"/>
          </w:tcPr>
          <w:p w14:paraId="33383079">
            <w:pPr>
              <w:pStyle w:val="2"/>
              <w:ind w:firstLine="0"/>
              <w:jc w:val="center"/>
              <w:rPr>
                <w:rFonts w:ascii="仿宋_GB2312" w:hAnsi="仿宋" w:eastAsia="仿宋_GB2312"/>
                <w:b/>
                <w:color w:val="000000" w:themeColor="text1"/>
                <w:sz w:val="24"/>
                <w:szCs w:val="24"/>
                <w14:textFill>
                  <w14:solidFill>
                    <w14:schemeClr w14:val="tx1"/>
                  </w14:solidFill>
                </w14:textFill>
              </w:rPr>
            </w:pPr>
            <w:r>
              <w:rPr>
                <w:rFonts w:hint="eastAsia" w:ascii="仿宋_GB2312" w:hAnsi="仿宋" w:eastAsia="仿宋_GB2312"/>
                <w:b/>
                <w:color w:val="000000" w:themeColor="text1"/>
                <w:sz w:val="24"/>
                <w:szCs w:val="24"/>
                <w14:textFill>
                  <w14:solidFill>
                    <w14:schemeClr w14:val="tx1"/>
                  </w14:solidFill>
                </w14:textFill>
              </w:rPr>
              <w:t>编号</w:t>
            </w:r>
          </w:p>
        </w:tc>
        <w:tc>
          <w:tcPr>
            <w:tcW w:w="738" w:type="dxa"/>
            <w:shd w:val="clear" w:color="auto" w:fill="D9D9D9"/>
            <w:vAlign w:val="center"/>
          </w:tcPr>
          <w:p w14:paraId="0DA84F07">
            <w:pPr>
              <w:pStyle w:val="2"/>
              <w:ind w:firstLine="0"/>
              <w:jc w:val="center"/>
              <w:rPr>
                <w:rFonts w:ascii="仿宋_GB2312" w:hAnsi="仿宋" w:eastAsia="仿宋_GB2312"/>
                <w:b/>
                <w:color w:val="000000" w:themeColor="text1"/>
                <w:sz w:val="24"/>
                <w:szCs w:val="24"/>
                <w14:textFill>
                  <w14:solidFill>
                    <w14:schemeClr w14:val="tx1"/>
                  </w14:solidFill>
                </w14:textFill>
              </w:rPr>
            </w:pPr>
            <w:r>
              <w:rPr>
                <w:rFonts w:hint="eastAsia" w:ascii="仿宋_GB2312" w:hAnsi="仿宋" w:eastAsia="仿宋_GB2312"/>
                <w:b/>
                <w:color w:val="000000" w:themeColor="text1"/>
                <w:sz w:val="24"/>
                <w:szCs w:val="24"/>
                <w14:textFill>
                  <w14:solidFill>
                    <w14:schemeClr w14:val="tx1"/>
                  </w14:solidFill>
                </w14:textFill>
              </w:rPr>
              <w:t>类型</w:t>
            </w:r>
          </w:p>
        </w:tc>
        <w:tc>
          <w:tcPr>
            <w:tcW w:w="1134" w:type="dxa"/>
            <w:shd w:val="clear" w:color="auto" w:fill="D9D9D9"/>
            <w:vAlign w:val="center"/>
          </w:tcPr>
          <w:p w14:paraId="0CEC7472">
            <w:pPr>
              <w:pStyle w:val="2"/>
              <w:ind w:firstLine="0"/>
              <w:jc w:val="center"/>
              <w:rPr>
                <w:rFonts w:ascii="仿宋_GB2312" w:hAnsi="仿宋" w:eastAsia="仿宋_GB2312"/>
                <w:b/>
                <w:color w:val="000000" w:themeColor="text1"/>
                <w:sz w:val="24"/>
                <w:szCs w:val="24"/>
                <w14:textFill>
                  <w14:solidFill>
                    <w14:schemeClr w14:val="tx1"/>
                  </w14:solidFill>
                </w14:textFill>
              </w:rPr>
            </w:pPr>
            <w:r>
              <w:rPr>
                <w:rFonts w:hint="eastAsia" w:ascii="仿宋_GB2312" w:hAnsi="仿宋" w:eastAsia="仿宋_GB2312"/>
                <w:b/>
                <w:color w:val="000000" w:themeColor="text1"/>
                <w:sz w:val="24"/>
                <w:szCs w:val="24"/>
                <w14:textFill>
                  <w14:solidFill>
                    <w14:schemeClr w14:val="tx1"/>
                  </w14:solidFill>
                </w14:textFill>
              </w:rPr>
              <w:t>评分标题</w:t>
            </w:r>
          </w:p>
        </w:tc>
        <w:tc>
          <w:tcPr>
            <w:tcW w:w="5256" w:type="dxa"/>
            <w:shd w:val="clear" w:color="auto" w:fill="D9D9D9"/>
            <w:vAlign w:val="center"/>
          </w:tcPr>
          <w:p w14:paraId="663BF607">
            <w:pPr>
              <w:pStyle w:val="2"/>
              <w:ind w:firstLine="0"/>
              <w:jc w:val="center"/>
              <w:rPr>
                <w:rFonts w:ascii="仿宋_GB2312" w:hAnsi="仿宋" w:eastAsia="仿宋_GB2312"/>
                <w:b/>
                <w:color w:val="000000" w:themeColor="text1"/>
                <w:sz w:val="24"/>
                <w:szCs w:val="24"/>
                <w14:textFill>
                  <w14:solidFill>
                    <w14:schemeClr w14:val="tx1"/>
                  </w14:solidFill>
                </w14:textFill>
              </w:rPr>
            </w:pPr>
            <w:r>
              <w:rPr>
                <w:rFonts w:hint="eastAsia" w:ascii="仿宋_GB2312" w:hAnsi="仿宋" w:eastAsia="仿宋_GB2312"/>
                <w:b/>
                <w:color w:val="000000" w:themeColor="text1"/>
                <w:sz w:val="24"/>
                <w:szCs w:val="24"/>
                <w14:textFill>
                  <w14:solidFill>
                    <w14:schemeClr w14:val="tx1"/>
                  </w14:solidFill>
                </w14:textFill>
              </w:rPr>
              <w:t>评分标准</w:t>
            </w:r>
          </w:p>
        </w:tc>
        <w:tc>
          <w:tcPr>
            <w:tcW w:w="1026" w:type="dxa"/>
            <w:shd w:val="clear" w:color="auto" w:fill="D9D9D9"/>
            <w:vAlign w:val="center"/>
          </w:tcPr>
          <w:p w14:paraId="255A68B9">
            <w:pPr>
              <w:pStyle w:val="2"/>
              <w:ind w:firstLine="0"/>
              <w:jc w:val="center"/>
              <w:rPr>
                <w:rFonts w:ascii="仿宋_GB2312" w:hAnsi="仿宋" w:eastAsia="仿宋_GB2312"/>
                <w:b/>
                <w:color w:val="000000" w:themeColor="text1"/>
                <w:sz w:val="24"/>
                <w:szCs w:val="24"/>
                <w14:textFill>
                  <w14:solidFill>
                    <w14:schemeClr w14:val="tx1"/>
                  </w14:solidFill>
                </w14:textFill>
              </w:rPr>
            </w:pPr>
            <w:r>
              <w:rPr>
                <w:rFonts w:hint="eastAsia" w:ascii="仿宋_GB2312" w:hAnsi="仿宋" w:eastAsia="仿宋_GB2312"/>
                <w:b/>
                <w:color w:val="000000" w:themeColor="text1"/>
                <w:sz w:val="24"/>
                <w:szCs w:val="24"/>
                <w14:textFill>
                  <w14:solidFill>
                    <w14:schemeClr w14:val="tx1"/>
                  </w14:solidFill>
                </w14:textFill>
              </w:rPr>
              <w:t>性质</w:t>
            </w:r>
          </w:p>
        </w:tc>
        <w:tc>
          <w:tcPr>
            <w:tcW w:w="773" w:type="dxa"/>
            <w:shd w:val="clear" w:color="auto" w:fill="D9D9D9"/>
            <w:vAlign w:val="center"/>
          </w:tcPr>
          <w:p w14:paraId="1870568E">
            <w:pPr>
              <w:pStyle w:val="2"/>
              <w:ind w:firstLine="0"/>
              <w:jc w:val="center"/>
              <w:rPr>
                <w:rFonts w:ascii="仿宋_GB2312" w:hAnsi="仿宋" w:eastAsia="仿宋_GB2312"/>
                <w:b/>
                <w:color w:val="000000" w:themeColor="text1"/>
                <w:sz w:val="24"/>
                <w:szCs w:val="24"/>
                <w14:textFill>
                  <w14:solidFill>
                    <w14:schemeClr w14:val="tx1"/>
                  </w14:solidFill>
                </w14:textFill>
              </w:rPr>
            </w:pPr>
            <w:r>
              <w:rPr>
                <w:rFonts w:hint="eastAsia" w:ascii="仿宋_GB2312" w:hAnsi="仿宋" w:eastAsia="仿宋_GB2312"/>
                <w:b/>
                <w:color w:val="000000" w:themeColor="text1"/>
                <w:sz w:val="24"/>
                <w:szCs w:val="24"/>
                <w14:textFill>
                  <w14:solidFill>
                    <w14:schemeClr w14:val="tx1"/>
                  </w14:solidFill>
                </w14:textFill>
              </w:rPr>
              <w:t>分数</w:t>
            </w:r>
          </w:p>
        </w:tc>
      </w:tr>
      <w:tr w14:paraId="023E5B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4AB713DB">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1.01</w:t>
            </w:r>
          </w:p>
        </w:tc>
        <w:tc>
          <w:tcPr>
            <w:tcW w:w="738" w:type="dxa"/>
            <w:vAlign w:val="center"/>
          </w:tcPr>
          <w:p w14:paraId="6C8196AB">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价格</w:t>
            </w:r>
          </w:p>
        </w:tc>
        <w:tc>
          <w:tcPr>
            <w:tcW w:w="1134" w:type="dxa"/>
            <w:vAlign w:val="center"/>
          </w:tcPr>
          <w:p w14:paraId="427DFD5B">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价格分</w:t>
            </w:r>
          </w:p>
        </w:tc>
        <w:tc>
          <w:tcPr>
            <w:tcW w:w="5256" w:type="dxa"/>
            <w:vAlign w:val="center"/>
          </w:tcPr>
          <w:p w14:paraId="766D60CD">
            <w:pPr>
              <w:pStyle w:val="2"/>
              <w:ind w:firstLine="0"/>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满足招标文件要求且投标价格最低的投标报价为评标基准价，其价格分为满分45分，其他投标人的价格分按照下列公式计算：投标报价得分=（评标基准价/投标报价）×45。</w:t>
            </w:r>
          </w:p>
        </w:tc>
        <w:tc>
          <w:tcPr>
            <w:tcW w:w="1026" w:type="dxa"/>
            <w:vAlign w:val="center"/>
          </w:tcPr>
          <w:p w14:paraId="5D278305">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系统分</w:t>
            </w:r>
          </w:p>
        </w:tc>
        <w:tc>
          <w:tcPr>
            <w:tcW w:w="773" w:type="dxa"/>
            <w:vAlign w:val="center"/>
          </w:tcPr>
          <w:p w14:paraId="4FDA3C0B">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45.00</w:t>
            </w:r>
          </w:p>
        </w:tc>
      </w:tr>
      <w:tr w14:paraId="73B5EC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6377326D">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1</w:t>
            </w:r>
            <w:r>
              <w:rPr>
                <w:rFonts w:ascii="仿宋_GB2312" w:hAnsi="仿宋" w:eastAsia="仿宋_GB2312"/>
                <w:bCs/>
                <w:color w:val="000000" w:themeColor="text1"/>
                <w:sz w:val="24"/>
                <w:szCs w:val="24"/>
                <w14:textFill>
                  <w14:solidFill>
                    <w14:schemeClr w14:val="tx1"/>
                  </w14:solidFill>
                </w14:textFill>
              </w:rPr>
              <w:t>.02</w:t>
            </w:r>
          </w:p>
        </w:tc>
        <w:tc>
          <w:tcPr>
            <w:tcW w:w="738" w:type="dxa"/>
            <w:vAlign w:val="center"/>
          </w:tcPr>
          <w:p w14:paraId="6ED65876">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商务</w:t>
            </w:r>
          </w:p>
        </w:tc>
        <w:tc>
          <w:tcPr>
            <w:tcW w:w="1134" w:type="dxa"/>
            <w:vAlign w:val="center"/>
          </w:tcPr>
          <w:p w14:paraId="300C910B">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业绩</w:t>
            </w:r>
          </w:p>
        </w:tc>
        <w:tc>
          <w:tcPr>
            <w:tcW w:w="5256" w:type="dxa"/>
            <w:vAlign w:val="center"/>
          </w:tcPr>
          <w:p w14:paraId="01BE594D">
            <w:pPr>
              <w:pStyle w:val="2"/>
              <w:ind w:firstLine="0"/>
              <w:rPr>
                <w:rFonts w:ascii="仿宋_GB2312" w:hAnsi="仿宋" w:eastAsia="仿宋_GB2312"/>
                <w:bCs/>
                <w:color w:val="000000" w:themeColor="text1"/>
                <w:sz w:val="24"/>
                <w14:textFill>
                  <w14:solidFill>
                    <w14:schemeClr w14:val="tx1"/>
                  </w14:solidFill>
                </w14:textFill>
              </w:rPr>
            </w:pPr>
            <w:r>
              <w:rPr>
                <w:rFonts w:ascii="仿宋_GB2312" w:hAnsi="仿宋" w:eastAsia="仿宋_GB2312"/>
                <w:bCs/>
                <w:color w:val="000000" w:themeColor="text1"/>
                <w:sz w:val="24"/>
                <w14:textFill>
                  <w14:solidFill>
                    <w14:schemeClr w14:val="tx1"/>
                  </w14:solidFill>
                </w14:textFill>
              </w:rPr>
              <w:t>202</w:t>
            </w:r>
            <w:r>
              <w:rPr>
                <w:rFonts w:hint="eastAsia" w:ascii="仿宋_GB2312" w:hAnsi="仿宋" w:eastAsia="仿宋_GB2312"/>
                <w:bCs/>
                <w:color w:val="000000" w:themeColor="text1"/>
                <w:sz w:val="24"/>
                <w14:textFill>
                  <w14:solidFill>
                    <w14:schemeClr w14:val="tx1"/>
                  </w14:solidFill>
                </w14:textFill>
              </w:rPr>
              <w:t>3年至今（以合同签订时间为准）投标人每有一项类似项目业绩的得1分。本项最高得分为3分。</w:t>
            </w:r>
          </w:p>
          <w:p w14:paraId="6D25154E">
            <w:pPr>
              <w:pStyle w:val="2"/>
              <w:ind w:firstLine="0"/>
              <w:rPr>
                <w:rFonts w:ascii="仿宋_GB2312" w:hAnsi="仿宋" w:eastAsia="仿宋_GB2312"/>
                <w:bCs/>
                <w:color w:val="000000" w:themeColor="text1"/>
                <w:sz w:val="24"/>
                <w14:textFill>
                  <w14:solidFill>
                    <w14:schemeClr w14:val="tx1"/>
                  </w14:solidFill>
                </w14:textFill>
              </w:rPr>
            </w:pPr>
            <w:r>
              <w:rPr>
                <w:rFonts w:hint="eastAsia" w:ascii="仿宋_GB2312" w:hAnsi="仿宋" w:eastAsia="仿宋_GB2312"/>
                <w:bCs/>
                <w:color w:val="000000" w:themeColor="text1"/>
                <w:sz w:val="24"/>
                <w14:textFill>
                  <w14:solidFill>
                    <w14:schemeClr w14:val="tx1"/>
                  </w14:solidFill>
                </w14:textFill>
              </w:rPr>
              <w:t>投标文件中须提供合同原件扫描件，否则不得分。</w:t>
            </w:r>
          </w:p>
        </w:tc>
        <w:tc>
          <w:tcPr>
            <w:tcW w:w="1026" w:type="dxa"/>
            <w:vAlign w:val="center"/>
          </w:tcPr>
          <w:p w14:paraId="42AF4806">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客观分</w:t>
            </w:r>
          </w:p>
        </w:tc>
        <w:tc>
          <w:tcPr>
            <w:tcW w:w="773" w:type="dxa"/>
            <w:vAlign w:val="center"/>
          </w:tcPr>
          <w:p w14:paraId="596ADD3A">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3</w:t>
            </w:r>
            <w:r>
              <w:rPr>
                <w:rFonts w:ascii="仿宋_GB2312" w:hAnsi="仿宋" w:eastAsia="仿宋_GB2312"/>
                <w:bCs/>
                <w:color w:val="000000" w:themeColor="text1"/>
                <w:sz w:val="24"/>
                <w:szCs w:val="24"/>
                <w14:textFill>
                  <w14:solidFill>
                    <w14:schemeClr w14:val="tx1"/>
                  </w14:solidFill>
                </w14:textFill>
              </w:rPr>
              <w:t>.00</w:t>
            </w:r>
          </w:p>
        </w:tc>
      </w:tr>
      <w:tr w14:paraId="61502E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2D37A82A">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1.0</w:t>
            </w:r>
            <w:r>
              <w:rPr>
                <w:rFonts w:ascii="仿宋_GB2312" w:hAnsi="仿宋" w:eastAsia="仿宋_GB2312"/>
                <w:bCs/>
                <w:color w:val="000000" w:themeColor="text1"/>
                <w:sz w:val="24"/>
                <w:szCs w:val="24"/>
                <w14:textFill>
                  <w14:solidFill>
                    <w14:schemeClr w14:val="tx1"/>
                  </w14:solidFill>
                </w14:textFill>
              </w:rPr>
              <w:t>3</w:t>
            </w:r>
          </w:p>
        </w:tc>
        <w:tc>
          <w:tcPr>
            <w:tcW w:w="738" w:type="dxa"/>
            <w:vAlign w:val="center"/>
          </w:tcPr>
          <w:p w14:paraId="4B3B0DB4">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技术</w:t>
            </w:r>
          </w:p>
        </w:tc>
        <w:tc>
          <w:tcPr>
            <w:tcW w:w="1134" w:type="dxa"/>
            <w:vAlign w:val="center"/>
          </w:tcPr>
          <w:p w14:paraId="338996F2">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技术指标和产品性能</w:t>
            </w:r>
          </w:p>
        </w:tc>
        <w:tc>
          <w:tcPr>
            <w:tcW w:w="5256" w:type="dxa"/>
            <w:vAlign w:val="center"/>
          </w:tcPr>
          <w:p w14:paraId="4E28161D">
            <w:pPr>
              <w:pStyle w:val="2"/>
              <w:ind w:firstLine="0"/>
              <w:rPr>
                <w:rFonts w:ascii="仿宋_GB2312" w:hAnsi="仿宋" w:eastAsia="仿宋_GB2312"/>
                <w:bCs/>
                <w:color w:val="000000" w:themeColor="text1"/>
                <w:sz w:val="24"/>
                <w14:textFill>
                  <w14:solidFill>
                    <w14:schemeClr w14:val="tx1"/>
                  </w14:solidFill>
                </w14:textFill>
              </w:rPr>
            </w:pPr>
            <w:r>
              <w:rPr>
                <w:rFonts w:hint="eastAsia" w:ascii="仿宋_GB2312" w:hAnsi="仿宋" w:eastAsia="仿宋_GB2312"/>
                <w:bCs/>
                <w:color w:val="000000" w:themeColor="text1"/>
                <w:sz w:val="24"/>
                <w14:textFill>
                  <w14:solidFill>
                    <w14:schemeClr w14:val="tx1"/>
                  </w14:solidFill>
                </w14:textFill>
              </w:rPr>
              <w:t>投标人所报产品的技术参数对招标文件规定的技术条款没有负偏离，部分指标优于技术要求；报价供应商提供了各项产品的产品说明书及所投产品宣传彩页等资料；产品整体性能、质量优于其他同类产品得30分，综合比较每出现一处弱势项减1分，减完为止。</w:t>
            </w:r>
          </w:p>
          <w:p w14:paraId="6BC3D5A1">
            <w:pPr>
              <w:pStyle w:val="2"/>
              <w:ind w:firstLine="0"/>
              <w:rPr>
                <w:rFonts w:ascii="仿宋_GB2312" w:hAnsi="仿宋" w:eastAsia="仿宋_GB2312"/>
                <w:bCs/>
                <w:color w:val="000000" w:themeColor="text1"/>
                <w:sz w:val="24"/>
                <w14:textFill>
                  <w14:solidFill>
                    <w14:schemeClr w14:val="tx1"/>
                  </w14:solidFill>
                </w14:textFill>
              </w:rPr>
            </w:pPr>
            <w:r>
              <w:rPr>
                <w:rFonts w:hint="eastAsia" w:ascii="仿宋_GB2312" w:hAnsi="仿宋" w:eastAsia="仿宋_GB2312"/>
                <w:bCs/>
                <w:color w:val="000000" w:themeColor="text1"/>
                <w:sz w:val="24"/>
                <w14:textFill>
                  <w14:solidFill>
                    <w14:schemeClr w14:val="tx1"/>
                  </w14:solidFill>
                </w14:textFill>
              </w:rPr>
              <w:t>有任何偏离情况均须在投标文件的偏离表中注明。</w:t>
            </w:r>
          </w:p>
        </w:tc>
        <w:tc>
          <w:tcPr>
            <w:tcW w:w="1026" w:type="dxa"/>
            <w:vAlign w:val="center"/>
          </w:tcPr>
          <w:p w14:paraId="52E77B65">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主观分</w:t>
            </w:r>
          </w:p>
        </w:tc>
        <w:tc>
          <w:tcPr>
            <w:tcW w:w="773" w:type="dxa"/>
            <w:vAlign w:val="center"/>
          </w:tcPr>
          <w:p w14:paraId="1575BFEA">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30.00</w:t>
            </w:r>
          </w:p>
        </w:tc>
      </w:tr>
      <w:tr w14:paraId="5DF49F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5C2424EA">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1.0</w:t>
            </w:r>
            <w:r>
              <w:rPr>
                <w:rFonts w:ascii="仿宋_GB2312" w:hAnsi="仿宋" w:eastAsia="仿宋_GB2312"/>
                <w:bCs/>
                <w:color w:val="000000" w:themeColor="text1"/>
                <w:sz w:val="24"/>
                <w:szCs w:val="24"/>
                <w14:textFill>
                  <w14:solidFill>
                    <w14:schemeClr w14:val="tx1"/>
                  </w14:solidFill>
                </w14:textFill>
              </w:rPr>
              <w:t>4</w:t>
            </w:r>
          </w:p>
        </w:tc>
        <w:tc>
          <w:tcPr>
            <w:tcW w:w="738" w:type="dxa"/>
            <w:vAlign w:val="center"/>
          </w:tcPr>
          <w:p w14:paraId="71A90C68">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技术</w:t>
            </w:r>
          </w:p>
        </w:tc>
        <w:tc>
          <w:tcPr>
            <w:tcW w:w="1134" w:type="dxa"/>
            <w:vAlign w:val="center"/>
          </w:tcPr>
          <w:p w14:paraId="7D4DE518">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供货方案</w:t>
            </w:r>
          </w:p>
        </w:tc>
        <w:tc>
          <w:tcPr>
            <w:tcW w:w="5256" w:type="dxa"/>
            <w:vAlign w:val="center"/>
          </w:tcPr>
          <w:p w14:paraId="305AB88A">
            <w:pPr>
              <w:pStyle w:val="2"/>
              <w:ind w:firstLine="0"/>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评委审核各投标人的供货方案后，按照以下标准进行打分：</w:t>
            </w:r>
          </w:p>
          <w:p w14:paraId="2455480F">
            <w:pPr>
              <w:pStyle w:val="2"/>
              <w:ind w:firstLine="0"/>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投标人的供货方案周密且切实可行，其专业性强，物流配送方案合理，应急保障措施完善，应急运输能力强，有专业的运输团队并且熟悉路况有丰富的运输经验，满足采购人特殊天气情况下应急使用要求，拟派现场引领服务及协调卸车人员多，能提供详细的供货、运输和储存等应急方案，社会信誉好得15分，综合比较每出现一处弱势项减1分，减完为止。</w:t>
            </w:r>
          </w:p>
        </w:tc>
        <w:tc>
          <w:tcPr>
            <w:tcW w:w="1026" w:type="dxa"/>
            <w:vAlign w:val="center"/>
          </w:tcPr>
          <w:p w14:paraId="76BA3EF6">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主观分</w:t>
            </w:r>
          </w:p>
        </w:tc>
        <w:tc>
          <w:tcPr>
            <w:tcW w:w="773" w:type="dxa"/>
            <w:vAlign w:val="center"/>
          </w:tcPr>
          <w:p w14:paraId="620E6990">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15.00</w:t>
            </w:r>
          </w:p>
        </w:tc>
      </w:tr>
      <w:tr w14:paraId="215B5C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0C957BA2">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1.0</w:t>
            </w:r>
            <w:r>
              <w:rPr>
                <w:rFonts w:ascii="仿宋_GB2312" w:hAnsi="仿宋" w:eastAsia="仿宋_GB2312"/>
                <w:bCs/>
                <w:color w:val="000000" w:themeColor="text1"/>
                <w:sz w:val="24"/>
                <w:szCs w:val="24"/>
                <w14:textFill>
                  <w14:solidFill>
                    <w14:schemeClr w14:val="tx1"/>
                  </w14:solidFill>
                </w14:textFill>
              </w:rPr>
              <w:t>5</w:t>
            </w:r>
          </w:p>
        </w:tc>
        <w:tc>
          <w:tcPr>
            <w:tcW w:w="738" w:type="dxa"/>
            <w:vAlign w:val="center"/>
          </w:tcPr>
          <w:p w14:paraId="5DB4B790">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服务</w:t>
            </w:r>
          </w:p>
        </w:tc>
        <w:tc>
          <w:tcPr>
            <w:tcW w:w="1134" w:type="dxa"/>
            <w:vAlign w:val="center"/>
          </w:tcPr>
          <w:p w14:paraId="78F2F49D">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服务承诺</w:t>
            </w:r>
          </w:p>
        </w:tc>
        <w:tc>
          <w:tcPr>
            <w:tcW w:w="5256" w:type="dxa"/>
            <w:vAlign w:val="center"/>
          </w:tcPr>
          <w:p w14:paraId="1B9F1B0E">
            <w:pPr>
              <w:pStyle w:val="2"/>
              <w:ind w:firstLine="0"/>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 xml:space="preserve">由评委比对各投标人服务承诺的情况按以下标准以 1 分为单位进行打分。 </w:t>
            </w:r>
          </w:p>
          <w:p w14:paraId="5F3A79E2">
            <w:pPr>
              <w:pStyle w:val="2"/>
              <w:ind w:firstLine="0"/>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投标人在质量保证、随时汇报及退换货等方面的措施及承诺情况详细全面，针对本项目的服务响应时间快、服务内容齐全，拟派售后服务技术人员多，从业经历深，能够很好的满足采购人实际使用要求，有突出的售后服务特点得5分，综合比较每出现一处弱势项减1分，减完为止。</w:t>
            </w:r>
          </w:p>
        </w:tc>
        <w:tc>
          <w:tcPr>
            <w:tcW w:w="1026" w:type="dxa"/>
            <w:vAlign w:val="center"/>
          </w:tcPr>
          <w:p w14:paraId="6162BF12">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主观分</w:t>
            </w:r>
          </w:p>
        </w:tc>
        <w:tc>
          <w:tcPr>
            <w:tcW w:w="773" w:type="dxa"/>
            <w:vAlign w:val="center"/>
          </w:tcPr>
          <w:p w14:paraId="24490BEE">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5.00</w:t>
            </w:r>
          </w:p>
        </w:tc>
      </w:tr>
      <w:tr w14:paraId="03DE29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48FDB560">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1.0</w:t>
            </w:r>
            <w:r>
              <w:rPr>
                <w:rFonts w:ascii="仿宋_GB2312" w:hAnsi="仿宋" w:eastAsia="仿宋_GB2312"/>
                <w:bCs/>
                <w:color w:val="000000" w:themeColor="text1"/>
                <w:sz w:val="24"/>
                <w:szCs w:val="24"/>
                <w14:textFill>
                  <w14:solidFill>
                    <w14:schemeClr w14:val="tx1"/>
                  </w14:solidFill>
                </w14:textFill>
              </w:rPr>
              <w:t>6</w:t>
            </w:r>
          </w:p>
        </w:tc>
        <w:tc>
          <w:tcPr>
            <w:tcW w:w="738" w:type="dxa"/>
            <w:vAlign w:val="center"/>
          </w:tcPr>
          <w:p w14:paraId="48240DC0">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服务</w:t>
            </w:r>
          </w:p>
        </w:tc>
        <w:tc>
          <w:tcPr>
            <w:tcW w:w="1134" w:type="dxa"/>
            <w:vAlign w:val="center"/>
          </w:tcPr>
          <w:p w14:paraId="2A304B7A">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培训方案</w:t>
            </w:r>
          </w:p>
        </w:tc>
        <w:tc>
          <w:tcPr>
            <w:tcW w:w="5256" w:type="dxa"/>
            <w:vAlign w:val="center"/>
          </w:tcPr>
          <w:p w14:paraId="19CC6129">
            <w:pPr>
              <w:pStyle w:val="2"/>
              <w:ind w:firstLine="0"/>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评委根据投标人所投产品制定的技术指导承诺、指导内容、指导方式等具有可行性且内容全面性、完整性强得2分，综合比较每出现一处弱势项减1分，减完为止。</w:t>
            </w:r>
          </w:p>
        </w:tc>
        <w:tc>
          <w:tcPr>
            <w:tcW w:w="1026" w:type="dxa"/>
            <w:vAlign w:val="center"/>
          </w:tcPr>
          <w:p w14:paraId="50B83391">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主观分</w:t>
            </w:r>
          </w:p>
        </w:tc>
        <w:tc>
          <w:tcPr>
            <w:tcW w:w="773" w:type="dxa"/>
            <w:vAlign w:val="center"/>
          </w:tcPr>
          <w:p w14:paraId="459F1B11">
            <w:pPr>
              <w:pStyle w:val="2"/>
              <w:ind w:firstLine="0"/>
              <w:jc w:val="center"/>
              <w:rPr>
                <w:rFonts w:ascii="仿宋_GB2312" w:hAnsi="仿宋" w:eastAsia="仿宋_GB2312"/>
                <w:bCs/>
                <w:color w:val="000000" w:themeColor="text1"/>
                <w:sz w:val="24"/>
                <w:szCs w:val="24"/>
                <w14:textFill>
                  <w14:solidFill>
                    <w14:schemeClr w14:val="tx1"/>
                  </w14:solidFill>
                </w14:textFill>
              </w:rPr>
            </w:pPr>
            <w:r>
              <w:rPr>
                <w:rFonts w:hint="eastAsia" w:ascii="仿宋_GB2312" w:hAnsi="仿宋" w:eastAsia="仿宋_GB2312"/>
                <w:bCs/>
                <w:color w:val="000000" w:themeColor="text1"/>
                <w:sz w:val="24"/>
                <w:szCs w:val="24"/>
                <w14:textFill>
                  <w14:solidFill>
                    <w14:schemeClr w14:val="tx1"/>
                  </w14:solidFill>
                </w14:textFill>
              </w:rPr>
              <w:t>2.00</w:t>
            </w:r>
          </w:p>
        </w:tc>
      </w:tr>
    </w:tbl>
    <w:p w14:paraId="7CE7202B">
      <w:pPr>
        <w:spacing w:line="520" w:lineRule="exact"/>
        <w:ind w:firstLine="602"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b/>
          <w:bCs/>
          <w:color w:val="000000" w:themeColor="text1"/>
          <w:sz w:val="30"/>
          <w:szCs w:val="30"/>
          <w14:textFill>
            <w14:solidFill>
              <w14:schemeClr w14:val="tx1"/>
            </w14:solidFill>
          </w14:textFill>
        </w:rPr>
        <w:t>三、定标</w:t>
      </w:r>
    </w:p>
    <w:p w14:paraId="49CA03F6">
      <w:pPr>
        <w:spacing w:line="520" w:lineRule="exact"/>
        <w:ind w:firstLine="600" w:firstLineChars="200"/>
        <w:rPr>
          <w:rFonts w:ascii="仿宋_GB2312" w:hAnsi="仿宋" w:eastAsia="仿宋_GB2312"/>
          <w:bCs/>
          <w:color w:val="000000" w:themeColor="text1"/>
          <w:sz w:val="30"/>
          <w:szCs w:val="30"/>
          <w14:textFill>
            <w14:solidFill>
              <w14:schemeClr w14:val="tx1"/>
            </w14:solidFill>
          </w14:textFill>
        </w:rPr>
      </w:pPr>
      <w:r>
        <w:rPr>
          <w:rFonts w:hint="eastAsia" w:ascii="仿宋_GB2312" w:hAnsi="仿宋" w:eastAsia="仿宋_GB2312"/>
          <w:bCs/>
          <w:color w:val="000000" w:themeColor="text1"/>
          <w:sz w:val="30"/>
          <w:szCs w:val="30"/>
          <w14:textFill>
            <w14:solidFill>
              <w14:schemeClr w14:val="tx1"/>
            </w14:solidFill>
          </w14:textFill>
        </w:rPr>
        <w:t>1.评标委员会将每包综合得分排序第一的投标人确定为中标人。</w:t>
      </w:r>
    </w:p>
    <w:p w14:paraId="6606D566">
      <w:pPr>
        <w:spacing w:line="520" w:lineRule="exact"/>
        <w:ind w:firstLine="600" w:firstLineChars="200"/>
        <w:rPr>
          <w:rFonts w:ascii="仿宋_GB2312" w:hAnsi="仿宋" w:eastAsia="仿宋_GB2312"/>
          <w:bCs/>
          <w:color w:val="000000" w:themeColor="text1"/>
          <w:sz w:val="30"/>
          <w:szCs w:val="30"/>
          <w14:textFill>
            <w14:solidFill>
              <w14:schemeClr w14:val="tx1"/>
            </w14:solidFill>
          </w14:textFill>
        </w:rPr>
      </w:pPr>
      <w:r>
        <w:rPr>
          <w:rFonts w:hint="eastAsia" w:ascii="仿宋_GB2312" w:hAnsi="仿宋" w:eastAsia="仿宋_GB2312"/>
          <w:bCs/>
          <w:color w:val="000000" w:themeColor="text1"/>
          <w:sz w:val="30"/>
          <w:szCs w:val="30"/>
          <w14:textFill>
            <w14:solidFill>
              <w14:schemeClr w14:val="tx1"/>
            </w14:solidFill>
          </w14:textFill>
        </w:rPr>
        <w:t>2.评标结果将在威海市公共资源交易网（荣成市）、中国招标投标公共服务平台上予以公告。</w:t>
      </w:r>
    </w:p>
    <w:p w14:paraId="2F358C83">
      <w:pPr>
        <w:spacing w:line="520" w:lineRule="exact"/>
        <w:ind w:firstLine="590" w:firstLineChars="196"/>
        <w:rPr>
          <w:rFonts w:ascii="仿宋_GB2312" w:hAnsi="宋体" w:eastAsia="仿宋_GB2312"/>
          <w:b/>
          <w:color w:val="000000" w:themeColor="text1"/>
          <w:sz w:val="30"/>
          <w:szCs w:val="30"/>
          <w14:textFill>
            <w14:solidFill>
              <w14:schemeClr w14:val="tx1"/>
            </w14:solidFill>
          </w14:textFill>
        </w:rPr>
      </w:pPr>
      <w:r>
        <w:rPr>
          <w:rFonts w:hint="eastAsia" w:ascii="仿宋_GB2312" w:hAnsi="宋体" w:eastAsia="仿宋_GB2312"/>
          <w:b/>
          <w:color w:val="000000" w:themeColor="text1"/>
          <w:sz w:val="30"/>
          <w:szCs w:val="30"/>
          <w14:textFill>
            <w14:solidFill>
              <w14:schemeClr w14:val="tx1"/>
            </w14:solidFill>
          </w14:textFill>
        </w:rPr>
        <w:t>四、编写评标报告</w:t>
      </w:r>
    </w:p>
    <w:p w14:paraId="345C4AFE">
      <w:pPr>
        <w:spacing w:line="520" w:lineRule="exact"/>
        <w:ind w:firstLine="588" w:firstLineChars="196"/>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依据评委评标签字的原始记录和评标结果，按照规定的内容要求编写评标报告，并由全体评委签名。</w:t>
      </w:r>
    </w:p>
    <w:p w14:paraId="53B5BE1A">
      <w:pPr>
        <w:pStyle w:val="23"/>
        <w:spacing w:line="520" w:lineRule="exact"/>
        <w:ind w:left="550" w:leftChars="262"/>
        <w:jc w:val="left"/>
        <w:rPr>
          <w:rFonts w:ascii="仿宋_GB2312" w:eastAsia="仿宋_GB2312"/>
          <w:b/>
          <w:color w:val="000000" w:themeColor="text1"/>
          <w:sz w:val="30"/>
          <w:szCs w:val="30"/>
          <w14:textFill>
            <w14:solidFill>
              <w14:schemeClr w14:val="tx1"/>
            </w14:solidFill>
          </w14:textFill>
        </w:rPr>
      </w:pPr>
      <w:r>
        <w:rPr>
          <w:rFonts w:hint="eastAsia" w:ascii="仿宋_GB2312" w:eastAsia="仿宋_GB2312"/>
          <w:b/>
          <w:bCs/>
          <w:color w:val="000000" w:themeColor="text1"/>
          <w:sz w:val="30"/>
          <w:szCs w:val="30"/>
          <w14:textFill>
            <w14:solidFill>
              <w14:schemeClr w14:val="tx1"/>
            </w14:solidFill>
          </w14:textFill>
        </w:rPr>
        <w:t>五、</w:t>
      </w:r>
      <w:r>
        <w:rPr>
          <w:rFonts w:hint="eastAsia" w:ascii="仿宋_GB2312" w:eastAsia="仿宋_GB2312"/>
          <w:b/>
          <w:color w:val="000000" w:themeColor="text1"/>
          <w:sz w:val="30"/>
          <w:szCs w:val="30"/>
          <w14:textFill>
            <w14:solidFill>
              <w14:schemeClr w14:val="tx1"/>
            </w14:solidFill>
          </w14:textFill>
        </w:rPr>
        <w:t>签订合同</w:t>
      </w:r>
    </w:p>
    <w:p w14:paraId="7E4ABE63">
      <w:pPr>
        <w:pStyle w:val="23"/>
        <w:spacing w:line="520" w:lineRule="exact"/>
        <w:ind w:firstLine="588" w:firstLineChars="196"/>
        <w:jc w:val="left"/>
        <w:rPr>
          <w:rFonts w:ascii="仿宋_GB2312"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1.评标结果公告后，由采购人与招标公司联合向中标人签发中标通知书。</w:t>
      </w:r>
    </w:p>
    <w:p w14:paraId="1476DF18">
      <w:pPr>
        <w:pStyle w:val="23"/>
        <w:tabs>
          <w:tab w:val="left" w:pos="0"/>
        </w:tabs>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2.中标合同原则以第六部分合同书（范本）为基础，并根据投标、答疑情况进行修改补充，自签订之日起生效。</w:t>
      </w:r>
    </w:p>
    <w:p w14:paraId="2F594A67">
      <w:pPr>
        <w:spacing w:line="520" w:lineRule="exact"/>
        <w:ind w:firstLine="600" w:firstLineChars="200"/>
        <w:rPr>
          <w:rFonts w:ascii="仿宋_GB2312" w:hAnsi="宋体" w:eastAsia="仿宋_GB2312"/>
          <w:color w:val="000000" w:themeColor="text1"/>
          <w:sz w:val="30"/>
          <w:szCs w:val="30"/>
          <w14:textFill>
            <w14:solidFill>
              <w14:schemeClr w14:val="tx1"/>
            </w14:solidFill>
          </w14:textFill>
        </w:rPr>
        <w:sectPr>
          <w:headerReference r:id="rId9" w:type="even"/>
          <w:footerReference r:id="rId10" w:type="even"/>
          <w:pgSz w:w="11906" w:h="16838"/>
          <w:pgMar w:top="1440" w:right="1080" w:bottom="1440" w:left="1080" w:header="851" w:footer="992" w:gutter="0"/>
          <w:cols w:space="425" w:num="1"/>
          <w:docGrid w:type="lines" w:linePitch="312" w:charSpace="0"/>
        </w:sectPr>
      </w:pPr>
      <w:r>
        <w:rPr>
          <w:rFonts w:hint="eastAsia" w:ascii="仿宋_GB2312" w:hAnsi="宋体" w:eastAsia="仿宋_GB2312"/>
          <w:color w:val="000000" w:themeColor="text1"/>
          <w:sz w:val="30"/>
          <w:szCs w:val="30"/>
          <w14:textFill>
            <w14:solidFill>
              <w14:schemeClr w14:val="tx1"/>
            </w14:solidFill>
          </w14:textFill>
        </w:rPr>
        <w:t>3.中标人在规定的期限内无正当理由拒绝签订合同，取消原中标决定，与排位在中标人之后第一位的中标候选投标人签订采购合同或重新组织采购。</w:t>
      </w:r>
    </w:p>
    <w:p w14:paraId="0F880B1E">
      <w:pPr>
        <w:pStyle w:val="41"/>
        <w:spacing w:before="0" w:after="0" w:line="360" w:lineRule="auto"/>
        <w:ind w:firstLine="2891" w:firstLineChars="900"/>
        <w:jc w:val="both"/>
        <w:rPr>
          <w:rFonts w:ascii="宋体" w:hAnsi="宋体" w:cs="宋体"/>
          <w:color w:val="000000" w:themeColor="text1"/>
          <w14:textFill>
            <w14:solidFill>
              <w14:schemeClr w14:val="tx1"/>
            </w14:solidFill>
          </w14:textFill>
        </w:rPr>
        <w:sectPr>
          <w:headerReference r:id="rId11" w:type="default"/>
          <w:footerReference r:id="rId12" w:type="default"/>
          <w:pgSz w:w="11906" w:h="16838"/>
          <w:pgMar w:top="1440" w:right="1080" w:bottom="1440" w:left="1080" w:header="851" w:footer="992" w:gutter="0"/>
          <w:cols w:space="425" w:num="1"/>
          <w:docGrid w:type="lines" w:linePitch="312" w:charSpace="0"/>
        </w:sectPr>
      </w:pPr>
      <w:r>
        <w:rPr>
          <w:rFonts w:hint="eastAsia" w:ascii="宋体" w:hAnsi="宋体" w:cs="宋体"/>
          <w:color w:val="000000" w:themeColor="text1"/>
          <w14:textFill>
            <w14:solidFill>
              <w14:schemeClr w14:val="tx1"/>
            </w14:solidFill>
          </w14:textFill>
        </w:rPr>
        <w:t>第五章投标文件格式与要求</w:t>
      </w:r>
    </w:p>
    <w:p w14:paraId="711F2C20">
      <w:pPr>
        <w:spacing w:before="100" w:beforeAutospacing="1" w:after="100" w:afterAutospacing="1" w:line="415" w:lineRule="auto"/>
        <w:jc w:val="center"/>
        <w:outlineLvl w:val="0"/>
        <w:rPr>
          <w:rFonts w:ascii="楷体_GB2312" w:hAnsi="宋体" w:eastAsia="楷体_GB2312" w:cs="宋体"/>
          <w:b/>
          <w:bCs/>
          <w:color w:val="000000" w:themeColor="text1"/>
          <w:sz w:val="44"/>
          <w:szCs w:val="44"/>
          <w14:textFill>
            <w14:solidFill>
              <w14:schemeClr w14:val="tx1"/>
            </w14:solidFill>
          </w14:textFill>
        </w:rPr>
        <w:sectPr>
          <w:headerReference r:id="rId13" w:type="default"/>
          <w:footerReference r:id="rId14" w:type="default"/>
          <w:pgSz w:w="11906" w:h="16838"/>
          <w:pgMar w:top="1440" w:right="1077" w:bottom="1440" w:left="1077" w:header="851" w:footer="992" w:gutter="0"/>
          <w:cols w:space="425" w:num="1"/>
          <w:vAlign w:val="center"/>
          <w:docGrid w:linePitch="312" w:charSpace="0"/>
        </w:sectPr>
      </w:pPr>
      <w:r>
        <w:rPr>
          <w:rFonts w:hint="eastAsia" w:ascii="楷体_GB2312" w:hAnsi="宋体" w:eastAsia="楷体_GB2312" w:cs="宋体"/>
          <w:b/>
          <w:bCs/>
          <w:color w:val="000000" w:themeColor="text1"/>
          <w:sz w:val="44"/>
          <w:szCs w:val="44"/>
          <w14:textFill>
            <w14:solidFill>
              <w14:schemeClr w14:val="tx1"/>
            </w14:solidFill>
          </w14:textFill>
        </w:rPr>
        <w:t xml:space="preserve">  投标（响应）文件格式</w:t>
      </w:r>
    </w:p>
    <w:p w14:paraId="53ECCA99">
      <w:pPr>
        <w:spacing w:line="460" w:lineRule="exact"/>
        <w:jc w:val="left"/>
        <w:rPr>
          <w:b/>
          <w:color w:val="000000" w:themeColor="text1"/>
          <w:kern w:val="0"/>
          <w:sz w:val="24"/>
          <w14:textFill>
            <w14:solidFill>
              <w14:schemeClr w14:val="tx1"/>
            </w14:solidFill>
          </w14:textFill>
        </w:rPr>
      </w:pPr>
    </w:p>
    <w:p w14:paraId="3E253CE7">
      <w:pPr>
        <w:ind w:right="2080"/>
        <w:rPr>
          <w:rFonts w:ascii="仿宋" w:hAnsi="仿宋" w:eastAsia="仿宋"/>
          <w:color w:val="000000" w:themeColor="text1"/>
          <w:sz w:val="52"/>
          <w14:textFill>
            <w14:solidFill>
              <w14:schemeClr w14:val="tx1"/>
            </w14:solidFill>
          </w14:textFill>
        </w:rPr>
      </w:pPr>
    </w:p>
    <w:p w14:paraId="359E4448">
      <w:pPr>
        <w:pStyle w:val="23"/>
        <w:tabs>
          <w:tab w:val="left" w:pos="580"/>
        </w:tabs>
        <w:ind w:left="201" w:leftChars="50" w:hanging="96" w:hangingChars="22"/>
        <w:jc w:val="right"/>
        <w:rPr>
          <w:rFonts w:ascii="仿宋_GB2312" w:hAnsi="宋体" w:eastAsia="仿宋_GB2312"/>
          <w:bCs/>
          <w:color w:val="000000" w:themeColor="text1"/>
          <w:sz w:val="44"/>
          <w:szCs w:val="44"/>
          <w14:textFill>
            <w14:solidFill>
              <w14:schemeClr w14:val="tx1"/>
            </w14:solidFill>
          </w14:textFill>
        </w:rPr>
      </w:pPr>
    </w:p>
    <w:p w14:paraId="13AE5A3F">
      <w:pPr>
        <w:jc w:val="center"/>
        <w:rPr>
          <w:rFonts w:ascii="仿宋_GB2312" w:hAnsi="宋体" w:eastAsia="仿宋_GB2312"/>
          <w:color w:val="000000" w:themeColor="text1"/>
          <w:sz w:val="72"/>
          <w14:textFill>
            <w14:solidFill>
              <w14:schemeClr w14:val="tx1"/>
            </w14:solidFill>
          </w14:textFill>
        </w:rPr>
      </w:pPr>
      <w:r>
        <w:rPr>
          <w:rFonts w:hint="eastAsia" w:ascii="仿宋_GB2312" w:hAnsi="宋体" w:eastAsia="仿宋_GB2312"/>
          <w:color w:val="000000" w:themeColor="text1"/>
          <w:sz w:val="52"/>
          <w14:textFill>
            <w14:solidFill>
              <w14:schemeClr w14:val="tx1"/>
            </w14:solidFill>
          </w14:textFill>
        </w:rPr>
        <w:cr/>
      </w:r>
      <w:r>
        <w:rPr>
          <w:rFonts w:hint="eastAsia" w:ascii="仿宋_GB2312" w:hAnsi="宋体" w:eastAsia="仿宋_GB2312"/>
          <w:b/>
          <w:bCs/>
          <w:color w:val="000000" w:themeColor="text1"/>
          <w:sz w:val="84"/>
          <w14:textFill>
            <w14:solidFill>
              <w14:schemeClr w14:val="tx1"/>
            </w14:solidFill>
          </w14:textFill>
        </w:rPr>
        <w:t>投 标 文 件</w:t>
      </w:r>
      <w:r>
        <w:rPr>
          <w:rFonts w:hint="eastAsia" w:ascii="仿宋_GB2312" w:hAnsi="宋体" w:eastAsia="仿宋_GB2312"/>
          <w:b/>
          <w:bCs/>
          <w:color w:val="000000" w:themeColor="text1"/>
          <w:sz w:val="84"/>
          <w14:textFill>
            <w14:solidFill>
              <w14:schemeClr w14:val="tx1"/>
            </w14:solidFill>
          </w14:textFill>
        </w:rPr>
        <w:cr/>
      </w:r>
    </w:p>
    <w:p w14:paraId="22C8DF6E">
      <w:pPr>
        <w:pStyle w:val="2"/>
        <w:rPr>
          <w:rFonts w:ascii="仿宋_GB2312" w:hAnsi="宋体" w:eastAsia="仿宋_GB2312"/>
          <w:color w:val="000000" w:themeColor="text1"/>
          <w:sz w:val="72"/>
          <w14:textFill>
            <w14:solidFill>
              <w14:schemeClr w14:val="tx1"/>
            </w14:solidFill>
          </w14:textFill>
        </w:rPr>
      </w:pPr>
    </w:p>
    <w:p w14:paraId="0F304FD0">
      <w:pPr>
        <w:pStyle w:val="2"/>
        <w:rPr>
          <w:rFonts w:ascii="仿宋_GB2312" w:hAnsi="宋体" w:eastAsia="仿宋_GB2312"/>
          <w:color w:val="000000" w:themeColor="text1"/>
          <w:sz w:val="72"/>
          <w14:textFill>
            <w14:solidFill>
              <w14:schemeClr w14:val="tx1"/>
            </w14:solidFill>
          </w14:textFill>
        </w:rPr>
      </w:pPr>
    </w:p>
    <w:p w14:paraId="4B7291AA">
      <w:pPr>
        <w:ind w:left="2518" w:leftChars="1199"/>
        <w:rPr>
          <w:rFonts w:ascii="仿宋_GB2312" w:hAnsi="宋体" w:eastAsia="仿宋_GB2312"/>
          <w:color w:val="000000" w:themeColor="text1"/>
          <w:sz w:val="36"/>
          <w14:textFill>
            <w14:solidFill>
              <w14:schemeClr w14:val="tx1"/>
            </w14:solidFill>
          </w14:textFill>
        </w:rPr>
      </w:pPr>
      <w:r>
        <w:rPr>
          <w:rFonts w:hint="eastAsia" w:ascii="仿宋_GB2312" w:hAnsi="宋体" w:eastAsia="仿宋_GB2312"/>
          <w:b/>
          <w:bCs/>
          <w:color w:val="000000" w:themeColor="text1"/>
          <w:sz w:val="36"/>
          <w14:textFill>
            <w14:solidFill>
              <w14:schemeClr w14:val="tx1"/>
            </w14:solidFill>
          </w14:textFill>
        </w:rPr>
        <w:t>采购项目：</w:t>
      </w:r>
      <w:r>
        <w:rPr>
          <w:rFonts w:hint="eastAsia" w:ascii="仿宋_GB2312" w:hAnsi="宋体" w:eastAsia="仿宋_GB2312"/>
          <w:bCs/>
          <w:color w:val="000000" w:themeColor="text1"/>
          <w:sz w:val="36"/>
          <w14:textFill>
            <w14:solidFill>
              <w14:schemeClr w14:val="tx1"/>
            </w14:solidFill>
          </w14:textFill>
        </w:rPr>
        <w:t>2026年农药化肥</w:t>
      </w:r>
    </w:p>
    <w:p w14:paraId="054AFBF5">
      <w:pPr>
        <w:ind w:left="2518" w:leftChars="1199"/>
        <w:rPr>
          <w:rFonts w:hint="eastAsia" w:ascii="仿宋_GB2312" w:hAnsi="宋体" w:eastAsia="仿宋_GB2312"/>
          <w:color w:val="000000" w:themeColor="text1"/>
          <w:sz w:val="36"/>
          <w:lang w:eastAsia="zh-CN"/>
          <w14:textFill>
            <w14:solidFill>
              <w14:schemeClr w14:val="tx1"/>
            </w14:solidFill>
          </w14:textFill>
        </w:rPr>
      </w:pPr>
      <w:r>
        <w:rPr>
          <w:rFonts w:hint="eastAsia" w:ascii="仿宋_GB2312" w:hAnsi="宋体" w:eastAsia="仿宋_GB2312"/>
          <w:b/>
          <w:bCs/>
          <w:color w:val="000000" w:themeColor="text1"/>
          <w:sz w:val="36"/>
          <w14:textFill>
            <w14:solidFill>
              <w14:schemeClr w14:val="tx1"/>
            </w14:solidFill>
          </w14:textFill>
        </w:rPr>
        <w:t>采购编号：</w:t>
      </w:r>
      <w:r>
        <w:rPr>
          <w:rFonts w:hint="eastAsia" w:ascii="仿宋_GB2312" w:hAnsi="宋体" w:eastAsia="仿宋_GB2312"/>
          <w:color w:val="000000" w:themeColor="text1"/>
          <w:sz w:val="36"/>
          <w:lang w:eastAsia="zh-CN"/>
          <w14:textFill>
            <w14:solidFill>
              <w14:schemeClr w14:val="tx1"/>
            </w14:solidFill>
          </w14:textFill>
        </w:rPr>
        <w:t>WHHGYSDGQ2026-10</w:t>
      </w:r>
    </w:p>
    <w:p w14:paraId="28B08746">
      <w:pPr>
        <w:ind w:left="2518" w:leftChars="1199"/>
        <w:rPr>
          <w:rFonts w:ascii="仿宋_GB2312" w:hAnsi="宋体" w:eastAsia="仿宋_GB2312"/>
          <w:color w:val="000000" w:themeColor="text1"/>
          <w:sz w:val="36"/>
          <w14:textFill>
            <w14:solidFill>
              <w14:schemeClr w14:val="tx1"/>
            </w14:solidFill>
          </w14:textFill>
        </w:rPr>
      </w:pPr>
      <w:r>
        <w:rPr>
          <w:rFonts w:hint="eastAsia" w:ascii="仿宋_GB2312" w:hAnsi="宋体" w:eastAsia="仿宋_GB2312"/>
          <w:color w:val="000000" w:themeColor="text1"/>
          <w:sz w:val="36"/>
          <w14:textFill>
            <w14:solidFill>
              <w14:schemeClr w14:val="tx1"/>
            </w14:solidFill>
          </w14:textFill>
        </w:rPr>
        <w:t>所投包段： 　　　　　　</w:t>
      </w:r>
    </w:p>
    <w:p w14:paraId="174254C9">
      <w:pPr>
        <w:jc w:val="left"/>
        <w:rPr>
          <w:rFonts w:ascii="仿宋_GB2312" w:hAnsi="宋体" w:eastAsia="仿宋_GB2312"/>
          <w:color w:val="000000" w:themeColor="text1"/>
          <w:sz w:val="36"/>
          <w14:textFill>
            <w14:solidFill>
              <w14:schemeClr w14:val="tx1"/>
            </w14:solidFill>
          </w14:textFill>
        </w:rPr>
      </w:pPr>
    </w:p>
    <w:p w14:paraId="66BB5A04">
      <w:pPr>
        <w:pStyle w:val="2"/>
        <w:rPr>
          <w:rFonts w:ascii="仿宋_GB2312" w:hAnsi="宋体" w:eastAsia="仿宋_GB2312"/>
          <w:color w:val="000000" w:themeColor="text1"/>
          <w:sz w:val="36"/>
          <w14:textFill>
            <w14:solidFill>
              <w14:schemeClr w14:val="tx1"/>
            </w14:solidFill>
          </w14:textFill>
        </w:rPr>
      </w:pPr>
    </w:p>
    <w:p w14:paraId="3C7931BB">
      <w:pPr>
        <w:pStyle w:val="2"/>
        <w:rPr>
          <w:rFonts w:ascii="仿宋_GB2312" w:hAnsi="宋体" w:eastAsia="仿宋_GB2312"/>
          <w:color w:val="000000" w:themeColor="text1"/>
          <w:sz w:val="36"/>
          <w14:textFill>
            <w14:solidFill>
              <w14:schemeClr w14:val="tx1"/>
            </w14:solidFill>
          </w14:textFill>
        </w:rPr>
      </w:pPr>
    </w:p>
    <w:p w14:paraId="1075AA74">
      <w:pPr>
        <w:pStyle w:val="2"/>
        <w:rPr>
          <w:color w:val="000000" w:themeColor="text1"/>
          <w14:textFill>
            <w14:solidFill>
              <w14:schemeClr w14:val="tx1"/>
            </w14:solidFill>
          </w14:textFill>
        </w:rPr>
      </w:pPr>
    </w:p>
    <w:p w14:paraId="0D18DD9D">
      <w:pPr>
        <w:pStyle w:val="23"/>
        <w:tabs>
          <w:tab w:val="left" w:pos="580"/>
        </w:tabs>
        <w:ind w:left="185" w:leftChars="88" w:firstLine="2340" w:firstLineChars="650"/>
        <w:rPr>
          <w:rFonts w:ascii="仿宋_GB2312" w:hAnsi="宋体" w:eastAsia="仿宋_GB2312"/>
          <w:color w:val="000000" w:themeColor="text1"/>
          <w:sz w:val="36"/>
          <w14:textFill>
            <w14:solidFill>
              <w14:schemeClr w14:val="tx1"/>
            </w14:solidFill>
          </w14:textFill>
        </w:rPr>
      </w:pPr>
      <w:r>
        <w:rPr>
          <w:rFonts w:hint="eastAsia" w:ascii="仿宋_GB2312" w:hAnsi="宋体" w:eastAsia="仿宋_GB2312"/>
          <w:color w:val="000000" w:themeColor="text1"/>
          <w:sz w:val="36"/>
          <w14:textFill>
            <w14:solidFill>
              <w14:schemeClr w14:val="tx1"/>
            </w14:solidFill>
          </w14:textFill>
        </w:rPr>
        <w:t>投标人名称：***有限公司</w:t>
      </w:r>
    </w:p>
    <w:p w14:paraId="0DFA8FBA">
      <w:pPr>
        <w:ind w:left="7209" w:leftChars="1290" w:right="720" w:hanging="4500" w:hangingChars="1250"/>
        <w:rPr>
          <w:rFonts w:ascii="仿宋_GB2312" w:hAnsi="宋体" w:eastAsia="仿宋_GB2312"/>
          <w:color w:val="000000" w:themeColor="text1"/>
          <w:sz w:val="36"/>
          <w14:textFill>
            <w14:solidFill>
              <w14:schemeClr w14:val="tx1"/>
            </w14:solidFill>
          </w14:textFill>
        </w:rPr>
      </w:pPr>
      <w:r>
        <w:rPr>
          <w:rFonts w:hint="eastAsia" w:ascii="仿宋_GB2312" w:hAnsi="宋体" w:eastAsia="仿宋_GB2312"/>
          <w:color w:val="000000" w:themeColor="text1"/>
          <w:sz w:val="36"/>
          <w14:textFill>
            <w14:solidFill>
              <w14:schemeClr w14:val="tx1"/>
            </w14:solidFill>
          </w14:textFill>
        </w:rPr>
        <w:t>日期：2026年  月  日</w:t>
      </w:r>
      <w:r>
        <w:rPr>
          <w:rFonts w:hint="eastAsia" w:ascii="仿宋_GB2312" w:hAnsi="宋体" w:eastAsia="仿宋_GB2312"/>
          <w:color w:val="000000" w:themeColor="text1"/>
          <w:sz w:val="36"/>
          <w14:textFill>
            <w14:solidFill>
              <w14:schemeClr w14:val="tx1"/>
            </w14:solidFill>
          </w14:textFill>
        </w:rPr>
        <w:cr/>
      </w:r>
    </w:p>
    <w:p w14:paraId="6068952E">
      <w:pPr>
        <w:ind w:right="720"/>
        <w:jc w:val="center"/>
        <w:rPr>
          <w:rFonts w:hAnsi="宋体"/>
          <w:b/>
          <w:bCs/>
          <w:color w:val="000000" w:themeColor="text1"/>
          <w:sz w:val="44"/>
          <w:szCs w:val="44"/>
          <w14:textFill>
            <w14:solidFill>
              <w14:schemeClr w14:val="tx1"/>
            </w14:solidFill>
          </w14:textFill>
        </w:rPr>
      </w:pPr>
      <w:r>
        <w:rPr>
          <w:rFonts w:hint="eastAsia" w:hAnsi="宋体"/>
          <w:b/>
          <w:color w:val="000000" w:themeColor="text1"/>
          <w:sz w:val="44"/>
          <w:szCs w:val="44"/>
          <w14:textFill>
            <w14:solidFill>
              <w14:schemeClr w14:val="tx1"/>
            </w14:solidFill>
          </w14:textFill>
        </w:rPr>
        <w:t>投标承诺函</w:t>
      </w:r>
    </w:p>
    <w:p w14:paraId="272FF1E9">
      <w:pPr>
        <w:pStyle w:val="23"/>
        <w:spacing w:line="520" w:lineRule="exact"/>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山东志诚工程咨询管理有限公司：</w:t>
      </w:r>
    </w:p>
    <w:p w14:paraId="75603635">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我方收到</w:t>
      </w:r>
      <w:r>
        <w:rPr>
          <w:rFonts w:hint="eastAsia" w:ascii="仿宋_GB2312" w:hAnsi="宋体" w:eastAsia="仿宋_GB2312"/>
          <w:color w:val="000000" w:themeColor="text1"/>
          <w:sz w:val="30"/>
          <w:szCs w:val="30"/>
          <w:lang w:eastAsia="zh-CN"/>
          <w14:textFill>
            <w14:solidFill>
              <w14:schemeClr w14:val="tx1"/>
            </w14:solidFill>
          </w14:textFill>
        </w:rPr>
        <w:t>WHHGYSDGQ2026-10</w:t>
      </w:r>
      <w:r>
        <w:rPr>
          <w:rFonts w:hint="eastAsia" w:ascii="仿宋_GB2312" w:hAnsi="宋体" w:eastAsia="仿宋_GB2312"/>
          <w:color w:val="000000" w:themeColor="text1"/>
          <w:sz w:val="30"/>
          <w:szCs w:val="30"/>
          <w14:textFill>
            <w14:solidFill>
              <w14:schemeClr w14:val="tx1"/>
            </w14:solidFill>
          </w14:textFill>
        </w:rPr>
        <w:t>号招标文件，经详细研究，决定参加投标。</w:t>
      </w:r>
    </w:p>
    <w:p w14:paraId="070C82CC">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1.我方愿意按照招标文件的规定和要求提供货物和服务，报价详见《开标一览表》。</w:t>
      </w:r>
    </w:p>
    <w:p w14:paraId="0602832F">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2.我方同意90天的投标有效期，严格遵守投标文件的各项承诺。在此期限届满之前，本投标文件始终对我方具有约束力，并随时接受中标。我方承诺在投标有效期内不修改、撤销投标文件。</w:t>
      </w:r>
    </w:p>
    <w:p w14:paraId="296F68F5">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3.我方愿意遵守招标文件的规定和要求，并提供招标文件中要求的所有资料。</w:t>
      </w:r>
    </w:p>
    <w:p w14:paraId="321A5266">
      <w:pPr>
        <w:pStyle w:val="23"/>
        <w:spacing w:line="520" w:lineRule="exact"/>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 xml:space="preserve">    4.我方同意最低价是中标的主要选择标准，但不是唯一的选择标准。</w:t>
      </w:r>
    </w:p>
    <w:p w14:paraId="36D7F343">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5.我方愿意按招标文件规定，全额交纳投标代理费。</w:t>
      </w:r>
    </w:p>
    <w:p w14:paraId="159C33E0">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ascii="仿宋_GB2312" w:hAnsi="宋体" w:eastAsia="仿宋_GB2312"/>
          <w:color w:val="000000" w:themeColor="text1"/>
          <w:sz w:val="30"/>
          <w:szCs w:val="30"/>
          <w14:textFill>
            <w14:solidFill>
              <w14:schemeClr w14:val="tx1"/>
            </w14:solidFill>
          </w14:textFill>
        </w:rPr>
        <w:t>6</w:t>
      </w:r>
      <w:r>
        <w:rPr>
          <w:rFonts w:hint="eastAsia" w:ascii="仿宋_GB2312" w:hAnsi="宋体" w:eastAsia="仿宋_GB2312"/>
          <w:color w:val="000000" w:themeColor="text1"/>
          <w:sz w:val="30"/>
          <w:szCs w:val="30"/>
          <w14:textFill>
            <w14:solidFill>
              <w14:schemeClr w14:val="tx1"/>
            </w14:solidFill>
          </w14:textFill>
        </w:rPr>
        <w:t>.如果我方中标：</w:t>
      </w:r>
    </w:p>
    <w:p w14:paraId="247EC662">
      <w:pPr>
        <w:pStyle w:val="23"/>
        <w:spacing w:line="520" w:lineRule="exact"/>
        <w:ind w:firstLine="57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（1）我方承诺将按照招标文件的规定全额交纳代理服务费；</w:t>
      </w:r>
    </w:p>
    <w:p w14:paraId="2E8D654F">
      <w:pPr>
        <w:pStyle w:val="23"/>
        <w:spacing w:line="520" w:lineRule="exact"/>
        <w:ind w:firstLine="57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（2）我方承诺在中标通知书发出后，在规定期限内与招标人签订合同；</w:t>
      </w:r>
    </w:p>
    <w:p w14:paraId="01745B06">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（3）我方承诺在合同约定的期限内，按期、保质、保量完成供货安装任务。</w:t>
      </w:r>
    </w:p>
    <w:p w14:paraId="67D4A80E">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ascii="仿宋_GB2312" w:hAnsi="宋体" w:eastAsia="仿宋_GB2312"/>
          <w:color w:val="000000" w:themeColor="text1"/>
          <w:sz w:val="30"/>
          <w:szCs w:val="30"/>
          <w14:textFill>
            <w14:solidFill>
              <w14:schemeClr w14:val="tx1"/>
            </w14:solidFill>
          </w14:textFill>
        </w:rPr>
        <w:t>7</w:t>
      </w:r>
      <w:r>
        <w:rPr>
          <w:rFonts w:hint="eastAsia" w:ascii="仿宋_GB2312" w:hAnsi="宋体" w:eastAsia="仿宋_GB2312"/>
          <w:color w:val="000000" w:themeColor="text1"/>
          <w:sz w:val="30"/>
          <w:szCs w:val="30"/>
          <w14:textFill>
            <w14:solidFill>
              <w14:schemeClr w14:val="tx1"/>
            </w14:solidFill>
          </w14:textFill>
        </w:rPr>
        <w:t>.所有有关本投标的函电，请按下列地址联系：</w:t>
      </w:r>
    </w:p>
    <w:p w14:paraId="644007BD">
      <w:pPr>
        <w:pStyle w:val="23"/>
        <w:spacing w:line="520" w:lineRule="exact"/>
        <w:ind w:firstLine="64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单    位：                     邮政编码：</w:t>
      </w:r>
    </w:p>
    <w:p w14:paraId="0775BD1F">
      <w:pPr>
        <w:pStyle w:val="23"/>
        <w:spacing w:line="520" w:lineRule="exact"/>
        <w:ind w:firstLine="64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地    址：                     联 系 人：</w:t>
      </w:r>
    </w:p>
    <w:p w14:paraId="4AE51179">
      <w:pPr>
        <w:pStyle w:val="23"/>
        <w:spacing w:line="520" w:lineRule="exact"/>
        <w:ind w:firstLine="64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电    话：                     传    真：</w:t>
      </w:r>
    </w:p>
    <w:p w14:paraId="50DC262C">
      <w:pPr>
        <w:pStyle w:val="23"/>
        <w:spacing w:line="520" w:lineRule="exact"/>
        <w:ind w:firstLine="64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开户名称：</w:t>
      </w:r>
    </w:p>
    <w:p w14:paraId="28B1504F">
      <w:pPr>
        <w:pStyle w:val="23"/>
        <w:spacing w:line="520" w:lineRule="exact"/>
        <w:ind w:firstLine="64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开户银行：</w:t>
      </w:r>
    </w:p>
    <w:p w14:paraId="3562B6E0">
      <w:pPr>
        <w:pStyle w:val="23"/>
        <w:spacing w:line="520" w:lineRule="exact"/>
        <w:ind w:firstLine="64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开户账号：</w:t>
      </w:r>
    </w:p>
    <w:p w14:paraId="270E707D">
      <w:pPr>
        <w:pStyle w:val="23"/>
        <w:spacing w:line="520" w:lineRule="exact"/>
        <w:ind w:firstLine="64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 xml:space="preserve">投标人（盖章）： </w:t>
      </w:r>
    </w:p>
    <w:p w14:paraId="6FFE3F54">
      <w:pPr>
        <w:pStyle w:val="23"/>
        <w:spacing w:line="520" w:lineRule="exact"/>
        <w:ind w:firstLine="64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法定代表人或被授权人（签字或盖章）：</w:t>
      </w:r>
    </w:p>
    <w:p w14:paraId="07D06424">
      <w:pPr>
        <w:pStyle w:val="23"/>
        <w:spacing w:line="520" w:lineRule="exact"/>
        <w:ind w:firstLine="64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 xml:space="preserve">投标日期：××年××月××日 </w:t>
      </w:r>
    </w:p>
    <w:p w14:paraId="609E7ED6">
      <w:pPr>
        <w:pStyle w:val="23"/>
        <w:spacing w:line="520" w:lineRule="exact"/>
        <w:jc w:val="center"/>
        <w:rPr>
          <w:rFonts w:ascii="仿宋_GB2312" w:hAnsi="宋体" w:eastAsia="仿宋_GB2312"/>
          <w:b/>
          <w:bCs/>
          <w:color w:val="000000" w:themeColor="text1"/>
          <w:sz w:val="36"/>
          <w14:textFill>
            <w14:solidFill>
              <w14:schemeClr w14:val="tx1"/>
            </w14:solidFill>
          </w14:textFill>
        </w:rPr>
      </w:pPr>
    </w:p>
    <w:p w14:paraId="3B74B5B4">
      <w:pPr>
        <w:pStyle w:val="23"/>
        <w:jc w:val="right"/>
        <w:rPr>
          <w:rFonts w:ascii="仿宋_GB2312" w:hAnsi="宋体" w:eastAsia="仿宋_GB2312"/>
          <w:b/>
          <w:bCs/>
          <w:color w:val="000000" w:themeColor="text1"/>
          <w:sz w:val="28"/>
          <w:szCs w:val="28"/>
          <w14:textFill>
            <w14:solidFill>
              <w14:schemeClr w14:val="tx1"/>
            </w14:solidFill>
          </w14:textFill>
        </w:rPr>
      </w:pPr>
    </w:p>
    <w:p w14:paraId="076B8BB1">
      <w:pPr>
        <w:pStyle w:val="23"/>
        <w:jc w:val="right"/>
        <w:rPr>
          <w:rFonts w:ascii="仿宋_GB2312" w:hAnsi="宋体" w:eastAsia="仿宋_GB2312"/>
          <w:b/>
          <w:bCs/>
          <w:color w:val="000000" w:themeColor="text1"/>
          <w:sz w:val="28"/>
          <w:szCs w:val="28"/>
          <w14:textFill>
            <w14:solidFill>
              <w14:schemeClr w14:val="tx1"/>
            </w14:solidFill>
          </w14:textFill>
        </w:rPr>
      </w:pPr>
    </w:p>
    <w:p w14:paraId="43DABBD9">
      <w:pPr>
        <w:pStyle w:val="23"/>
        <w:jc w:val="right"/>
        <w:rPr>
          <w:rFonts w:ascii="仿宋_GB2312" w:hAnsi="宋体" w:eastAsia="仿宋_GB2312"/>
          <w:b/>
          <w:bCs/>
          <w:color w:val="000000" w:themeColor="text1"/>
          <w:sz w:val="28"/>
          <w:szCs w:val="28"/>
          <w14:textFill>
            <w14:solidFill>
              <w14:schemeClr w14:val="tx1"/>
            </w14:solidFill>
          </w14:textFill>
        </w:rPr>
      </w:pPr>
    </w:p>
    <w:p w14:paraId="396556AA">
      <w:pPr>
        <w:pStyle w:val="23"/>
        <w:jc w:val="right"/>
        <w:rPr>
          <w:rFonts w:ascii="仿宋_GB2312" w:hAnsi="宋体" w:eastAsia="仿宋_GB2312"/>
          <w:b/>
          <w:bCs/>
          <w:color w:val="000000" w:themeColor="text1"/>
          <w:sz w:val="28"/>
          <w:szCs w:val="28"/>
          <w14:textFill>
            <w14:solidFill>
              <w14:schemeClr w14:val="tx1"/>
            </w14:solidFill>
          </w14:textFill>
        </w:rPr>
      </w:pPr>
    </w:p>
    <w:p w14:paraId="7FBA81A2">
      <w:pPr>
        <w:pStyle w:val="23"/>
        <w:jc w:val="right"/>
        <w:rPr>
          <w:rFonts w:ascii="仿宋_GB2312" w:hAnsi="宋体" w:eastAsia="仿宋_GB2312"/>
          <w:b/>
          <w:bCs/>
          <w:color w:val="000000" w:themeColor="text1"/>
          <w:sz w:val="28"/>
          <w:szCs w:val="28"/>
          <w14:textFill>
            <w14:solidFill>
              <w14:schemeClr w14:val="tx1"/>
            </w14:solidFill>
          </w14:textFill>
        </w:rPr>
      </w:pPr>
    </w:p>
    <w:p w14:paraId="310C27CD">
      <w:pPr>
        <w:pStyle w:val="23"/>
        <w:jc w:val="right"/>
        <w:rPr>
          <w:rFonts w:ascii="仿宋_GB2312" w:hAnsi="宋体" w:eastAsia="仿宋_GB2312"/>
          <w:b/>
          <w:bCs/>
          <w:color w:val="000000" w:themeColor="text1"/>
          <w:sz w:val="28"/>
          <w:szCs w:val="28"/>
          <w14:textFill>
            <w14:solidFill>
              <w14:schemeClr w14:val="tx1"/>
            </w14:solidFill>
          </w14:textFill>
        </w:rPr>
      </w:pPr>
    </w:p>
    <w:p w14:paraId="3A5FB85E">
      <w:pPr>
        <w:pStyle w:val="23"/>
        <w:jc w:val="right"/>
        <w:rPr>
          <w:rFonts w:ascii="仿宋_GB2312" w:hAnsi="宋体" w:eastAsia="仿宋_GB2312"/>
          <w:b/>
          <w:bCs/>
          <w:color w:val="000000" w:themeColor="text1"/>
          <w:sz w:val="28"/>
          <w:szCs w:val="28"/>
          <w14:textFill>
            <w14:solidFill>
              <w14:schemeClr w14:val="tx1"/>
            </w14:solidFill>
          </w14:textFill>
        </w:rPr>
      </w:pPr>
    </w:p>
    <w:p w14:paraId="0530C046">
      <w:pPr>
        <w:pStyle w:val="23"/>
        <w:jc w:val="right"/>
        <w:rPr>
          <w:rFonts w:ascii="仿宋_GB2312" w:hAnsi="宋体" w:eastAsia="仿宋_GB2312"/>
          <w:b/>
          <w:bCs/>
          <w:color w:val="000000" w:themeColor="text1"/>
          <w:sz w:val="28"/>
          <w:szCs w:val="28"/>
          <w14:textFill>
            <w14:solidFill>
              <w14:schemeClr w14:val="tx1"/>
            </w14:solidFill>
          </w14:textFill>
        </w:rPr>
      </w:pPr>
    </w:p>
    <w:p w14:paraId="3A4CF3E7">
      <w:pPr>
        <w:pStyle w:val="23"/>
        <w:jc w:val="right"/>
        <w:rPr>
          <w:rFonts w:ascii="仿宋_GB2312" w:hAnsi="宋体" w:eastAsia="仿宋_GB2312"/>
          <w:b/>
          <w:bCs/>
          <w:color w:val="000000" w:themeColor="text1"/>
          <w:sz w:val="28"/>
          <w:szCs w:val="28"/>
          <w14:textFill>
            <w14:solidFill>
              <w14:schemeClr w14:val="tx1"/>
            </w14:solidFill>
          </w14:textFill>
        </w:rPr>
      </w:pPr>
    </w:p>
    <w:p w14:paraId="3535C0C8">
      <w:pPr>
        <w:pStyle w:val="23"/>
        <w:jc w:val="right"/>
        <w:rPr>
          <w:rFonts w:ascii="仿宋_GB2312" w:hAnsi="宋体" w:eastAsia="仿宋_GB2312"/>
          <w:b/>
          <w:bCs/>
          <w:color w:val="000000" w:themeColor="text1"/>
          <w:sz w:val="28"/>
          <w:szCs w:val="28"/>
          <w14:textFill>
            <w14:solidFill>
              <w14:schemeClr w14:val="tx1"/>
            </w14:solidFill>
          </w14:textFill>
        </w:rPr>
      </w:pPr>
    </w:p>
    <w:p w14:paraId="6A3186A8">
      <w:pPr>
        <w:pStyle w:val="23"/>
        <w:jc w:val="right"/>
        <w:rPr>
          <w:rFonts w:ascii="仿宋_GB2312" w:hAnsi="宋体" w:eastAsia="仿宋_GB2312"/>
          <w:b/>
          <w:bCs/>
          <w:color w:val="000000" w:themeColor="text1"/>
          <w:sz w:val="28"/>
          <w:szCs w:val="28"/>
          <w14:textFill>
            <w14:solidFill>
              <w14:schemeClr w14:val="tx1"/>
            </w14:solidFill>
          </w14:textFill>
        </w:rPr>
      </w:pPr>
    </w:p>
    <w:p w14:paraId="0907B83F">
      <w:pPr>
        <w:pStyle w:val="23"/>
        <w:jc w:val="right"/>
        <w:rPr>
          <w:rFonts w:ascii="仿宋_GB2312" w:hAnsi="宋体" w:eastAsia="仿宋_GB2312"/>
          <w:b/>
          <w:bCs/>
          <w:color w:val="000000" w:themeColor="text1"/>
          <w:sz w:val="28"/>
          <w:szCs w:val="28"/>
          <w14:textFill>
            <w14:solidFill>
              <w14:schemeClr w14:val="tx1"/>
            </w14:solidFill>
          </w14:textFill>
        </w:rPr>
      </w:pPr>
    </w:p>
    <w:p w14:paraId="0833FADE">
      <w:pPr>
        <w:pStyle w:val="23"/>
        <w:jc w:val="right"/>
        <w:rPr>
          <w:rFonts w:ascii="仿宋_GB2312" w:hAnsi="宋体" w:eastAsia="仿宋_GB2312"/>
          <w:b/>
          <w:bCs/>
          <w:color w:val="000000" w:themeColor="text1"/>
          <w:sz w:val="28"/>
          <w:szCs w:val="28"/>
          <w14:textFill>
            <w14:solidFill>
              <w14:schemeClr w14:val="tx1"/>
            </w14:solidFill>
          </w14:textFill>
        </w:rPr>
      </w:pPr>
    </w:p>
    <w:p w14:paraId="4D2BD00B">
      <w:pPr>
        <w:pStyle w:val="23"/>
        <w:jc w:val="right"/>
        <w:rPr>
          <w:rFonts w:ascii="仿宋_GB2312" w:hAnsi="宋体" w:eastAsia="仿宋_GB2312"/>
          <w:b/>
          <w:bCs/>
          <w:color w:val="000000" w:themeColor="text1"/>
          <w:sz w:val="28"/>
          <w:szCs w:val="28"/>
          <w14:textFill>
            <w14:solidFill>
              <w14:schemeClr w14:val="tx1"/>
            </w14:solidFill>
          </w14:textFill>
        </w:rPr>
      </w:pPr>
    </w:p>
    <w:p w14:paraId="24D91515">
      <w:pPr>
        <w:pStyle w:val="23"/>
        <w:jc w:val="right"/>
        <w:rPr>
          <w:rFonts w:ascii="仿宋_GB2312" w:hAnsi="宋体" w:eastAsia="仿宋_GB2312"/>
          <w:b/>
          <w:bCs/>
          <w:color w:val="000000" w:themeColor="text1"/>
          <w:sz w:val="28"/>
          <w:szCs w:val="28"/>
          <w14:textFill>
            <w14:solidFill>
              <w14:schemeClr w14:val="tx1"/>
            </w14:solidFill>
          </w14:textFill>
        </w:rPr>
      </w:pPr>
    </w:p>
    <w:p w14:paraId="370A8D5D">
      <w:pPr>
        <w:pStyle w:val="23"/>
        <w:jc w:val="right"/>
        <w:rPr>
          <w:rFonts w:ascii="仿宋_GB2312" w:hAnsi="宋体" w:eastAsia="仿宋_GB2312"/>
          <w:b/>
          <w:bCs/>
          <w:color w:val="000000" w:themeColor="text1"/>
          <w:sz w:val="28"/>
          <w:szCs w:val="28"/>
          <w14:textFill>
            <w14:solidFill>
              <w14:schemeClr w14:val="tx1"/>
            </w14:solidFill>
          </w14:textFill>
        </w:rPr>
      </w:pPr>
    </w:p>
    <w:p w14:paraId="2ADDEE3F">
      <w:pPr>
        <w:pStyle w:val="23"/>
        <w:jc w:val="right"/>
        <w:rPr>
          <w:rFonts w:ascii="仿宋_GB2312" w:hAnsi="宋体" w:eastAsia="仿宋_GB2312"/>
          <w:b/>
          <w:bCs/>
          <w:color w:val="000000" w:themeColor="text1"/>
          <w:sz w:val="28"/>
          <w:szCs w:val="28"/>
          <w14:textFill>
            <w14:solidFill>
              <w14:schemeClr w14:val="tx1"/>
            </w14:solidFill>
          </w14:textFill>
        </w:rPr>
      </w:pPr>
    </w:p>
    <w:p w14:paraId="1F09A8FA">
      <w:pPr>
        <w:pStyle w:val="23"/>
        <w:jc w:val="right"/>
        <w:rPr>
          <w:rFonts w:ascii="仿宋_GB2312" w:hAnsi="宋体" w:eastAsia="仿宋_GB2312"/>
          <w:b/>
          <w:bCs/>
          <w:color w:val="000000" w:themeColor="text1"/>
          <w:sz w:val="28"/>
          <w:szCs w:val="28"/>
          <w14:textFill>
            <w14:solidFill>
              <w14:schemeClr w14:val="tx1"/>
            </w14:solidFill>
          </w14:textFill>
        </w:rPr>
      </w:pPr>
    </w:p>
    <w:p w14:paraId="50A43A3D">
      <w:pPr>
        <w:pStyle w:val="23"/>
        <w:jc w:val="right"/>
        <w:rPr>
          <w:rFonts w:ascii="仿宋_GB2312" w:hAnsi="宋体" w:eastAsia="仿宋_GB2312"/>
          <w:b/>
          <w:bCs/>
          <w:color w:val="000000" w:themeColor="text1"/>
          <w:sz w:val="28"/>
          <w:szCs w:val="28"/>
          <w14:textFill>
            <w14:solidFill>
              <w14:schemeClr w14:val="tx1"/>
            </w14:solidFill>
          </w14:textFill>
        </w:rPr>
      </w:pPr>
    </w:p>
    <w:p w14:paraId="475B1193">
      <w:pPr>
        <w:pStyle w:val="23"/>
        <w:jc w:val="right"/>
        <w:rPr>
          <w:rFonts w:ascii="仿宋_GB2312" w:hAnsi="宋体" w:eastAsia="仿宋_GB2312"/>
          <w:b/>
          <w:bCs/>
          <w:color w:val="000000" w:themeColor="text1"/>
          <w:sz w:val="28"/>
          <w:szCs w:val="28"/>
          <w14:textFill>
            <w14:solidFill>
              <w14:schemeClr w14:val="tx1"/>
            </w14:solidFill>
          </w14:textFill>
        </w:rPr>
      </w:pPr>
    </w:p>
    <w:p w14:paraId="0BBDFEF6">
      <w:pPr>
        <w:pStyle w:val="23"/>
        <w:jc w:val="right"/>
        <w:rPr>
          <w:rFonts w:ascii="仿宋_GB2312" w:hAnsi="宋体" w:eastAsia="仿宋_GB2312"/>
          <w:b/>
          <w:bCs/>
          <w:color w:val="000000" w:themeColor="text1"/>
          <w:sz w:val="28"/>
          <w:szCs w:val="28"/>
          <w14:textFill>
            <w14:solidFill>
              <w14:schemeClr w14:val="tx1"/>
            </w14:solidFill>
          </w14:textFill>
        </w:rPr>
      </w:pPr>
    </w:p>
    <w:p w14:paraId="12EACC95">
      <w:pPr>
        <w:pStyle w:val="23"/>
        <w:jc w:val="right"/>
        <w:rPr>
          <w:rFonts w:ascii="仿宋_GB2312" w:hAnsi="宋体" w:eastAsia="仿宋_GB2312"/>
          <w:b/>
          <w:bCs/>
          <w:color w:val="000000" w:themeColor="text1"/>
          <w:sz w:val="28"/>
          <w:szCs w:val="28"/>
          <w14:textFill>
            <w14:solidFill>
              <w14:schemeClr w14:val="tx1"/>
            </w14:solidFill>
          </w14:textFill>
        </w:rPr>
      </w:pPr>
    </w:p>
    <w:p w14:paraId="54B71FDB">
      <w:pPr>
        <w:pStyle w:val="23"/>
        <w:jc w:val="right"/>
        <w:rPr>
          <w:rFonts w:ascii="仿宋_GB2312" w:hAnsi="宋体" w:eastAsia="仿宋_GB2312"/>
          <w:b/>
          <w:bCs/>
          <w:color w:val="000000" w:themeColor="text1"/>
          <w:sz w:val="28"/>
          <w:szCs w:val="28"/>
          <w14:textFill>
            <w14:solidFill>
              <w14:schemeClr w14:val="tx1"/>
            </w14:solidFill>
          </w14:textFill>
        </w:rPr>
      </w:pPr>
    </w:p>
    <w:p w14:paraId="104E0973">
      <w:pPr>
        <w:ind w:right="1204"/>
        <w:rPr>
          <w:rFonts w:ascii="仿宋_GB2312" w:hAnsi="宋体" w:eastAsia="仿宋_GB2312"/>
          <w:b/>
          <w:bCs/>
          <w:color w:val="000000" w:themeColor="text1"/>
          <w:sz w:val="30"/>
          <w:szCs w:val="30"/>
          <w14:textFill>
            <w14:solidFill>
              <w14:schemeClr w14:val="tx1"/>
            </w14:solidFill>
          </w14:textFill>
        </w:rPr>
        <w:sectPr>
          <w:footerReference r:id="rId15" w:type="default"/>
          <w:pgSz w:w="11906" w:h="16838"/>
          <w:pgMar w:top="1418" w:right="1134" w:bottom="1134" w:left="1418" w:header="851" w:footer="992" w:gutter="0"/>
          <w:cols w:space="720" w:num="1"/>
          <w:docGrid w:type="lines" w:linePitch="520" w:charSpace="0"/>
        </w:sectPr>
      </w:pPr>
    </w:p>
    <w:p w14:paraId="1CCD420B">
      <w:pPr>
        <w:pStyle w:val="23"/>
        <w:spacing w:line="520" w:lineRule="exact"/>
        <w:jc w:val="center"/>
        <w:rPr>
          <w:rFonts w:hAnsi="宋体"/>
          <w:b/>
          <w:color w:val="000000" w:themeColor="text1"/>
          <w:sz w:val="44"/>
          <w:szCs w:val="44"/>
          <w14:textFill>
            <w14:solidFill>
              <w14:schemeClr w14:val="tx1"/>
            </w14:solidFill>
          </w14:textFill>
        </w:rPr>
      </w:pPr>
      <w:r>
        <w:rPr>
          <w:rFonts w:hint="eastAsia" w:hAnsi="宋体"/>
          <w:b/>
          <w:color w:val="000000" w:themeColor="text1"/>
          <w:sz w:val="44"/>
          <w:szCs w:val="44"/>
          <w14:textFill>
            <w14:solidFill>
              <w14:schemeClr w14:val="tx1"/>
            </w14:solidFill>
          </w14:textFill>
        </w:rPr>
        <w:t>报价明细表（参考）</w:t>
      </w:r>
    </w:p>
    <w:p w14:paraId="783E5E61">
      <w:pPr>
        <w:widowControl/>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包号：</w:t>
      </w:r>
    </w:p>
    <w:tbl>
      <w:tblPr>
        <w:tblStyle w:val="46"/>
        <w:tblW w:w="5000" w:type="pct"/>
        <w:tblInd w:w="0" w:type="dxa"/>
        <w:tblLayout w:type="autofit"/>
        <w:tblCellMar>
          <w:top w:w="0" w:type="dxa"/>
          <w:left w:w="108" w:type="dxa"/>
          <w:bottom w:w="0" w:type="dxa"/>
          <w:right w:w="108" w:type="dxa"/>
        </w:tblCellMar>
      </w:tblPr>
      <w:tblGrid>
        <w:gridCol w:w="696"/>
        <w:gridCol w:w="2125"/>
        <w:gridCol w:w="2128"/>
        <w:gridCol w:w="1034"/>
        <w:gridCol w:w="1164"/>
        <w:gridCol w:w="1187"/>
        <w:gridCol w:w="813"/>
        <w:gridCol w:w="815"/>
      </w:tblGrid>
      <w:tr w14:paraId="3BEC5060">
        <w:tblPrEx>
          <w:tblCellMar>
            <w:top w:w="0" w:type="dxa"/>
            <w:left w:w="108" w:type="dxa"/>
            <w:bottom w:w="0" w:type="dxa"/>
            <w:right w:w="108" w:type="dxa"/>
          </w:tblCellMar>
        </w:tblPrEx>
        <w:trPr>
          <w:trHeight w:val="720" w:hRule="atLeast"/>
        </w:trPr>
        <w:tc>
          <w:tcPr>
            <w:tcW w:w="34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25FF9E5">
            <w:pPr>
              <w:widowControl/>
              <w:jc w:val="center"/>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序号</w:t>
            </w:r>
          </w:p>
        </w:tc>
        <w:tc>
          <w:tcPr>
            <w:tcW w:w="1067" w:type="pct"/>
            <w:tcBorders>
              <w:top w:val="single" w:color="auto" w:sz="4" w:space="0"/>
              <w:left w:val="nil"/>
              <w:bottom w:val="single" w:color="auto" w:sz="4" w:space="0"/>
              <w:right w:val="single" w:color="auto" w:sz="4" w:space="0"/>
            </w:tcBorders>
            <w:shd w:val="clear" w:color="auto" w:fill="auto"/>
            <w:vAlign w:val="center"/>
          </w:tcPr>
          <w:p w14:paraId="6702C0FF">
            <w:pPr>
              <w:widowControl/>
              <w:jc w:val="center"/>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品名</w:t>
            </w:r>
          </w:p>
        </w:tc>
        <w:tc>
          <w:tcPr>
            <w:tcW w:w="1068" w:type="pct"/>
            <w:tcBorders>
              <w:top w:val="single" w:color="auto" w:sz="4" w:space="0"/>
              <w:left w:val="nil"/>
              <w:bottom w:val="single" w:color="auto" w:sz="4" w:space="0"/>
              <w:right w:val="single" w:color="auto" w:sz="4" w:space="0"/>
            </w:tcBorders>
            <w:shd w:val="clear" w:color="auto" w:fill="auto"/>
            <w:vAlign w:val="center"/>
          </w:tcPr>
          <w:p w14:paraId="6FB2EBBF">
            <w:pPr>
              <w:widowControl/>
              <w:jc w:val="center"/>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含量</w:t>
            </w:r>
          </w:p>
        </w:tc>
        <w:tc>
          <w:tcPr>
            <w:tcW w:w="519" w:type="pct"/>
            <w:tcBorders>
              <w:top w:val="single" w:color="auto" w:sz="4" w:space="0"/>
              <w:left w:val="nil"/>
              <w:bottom w:val="single" w:color="auto" w:sz="4" w:space="0"/>
              <w:right w:val="single" w:color="auto" w:sz="4" w:space="0"/>
            </w:tcBorders>
            <w:shd w:val="clear" w:color="auto" w:fill="auto"/>
            <w:noWrap/>
            <w:vAlign w:val="center"/>
          </w:tcPr>
          <w:p w14:paraId="3E0AFAEB">
            <w:pPr>
              <w:widowControl/>
              <w:jc w:val="center"/>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剂型</w:t>
            </w:r>
          </w:p>
        </w:tc>
        <w:tc>
          <w:tcPr>
            <w:tcW w:w="584" w:type="pct"/>
            <w:tcBorders>
              <w:top w:val="single" w:color="auto" w:sz="4" w:space="0"/>
              <w:left w:val="nil"/>
              <w:bottom w:val="single" w:color="auto" w:sz="4" w:space="0"/>
              <w:right w:val="single" w:color="auto" w:sz="4" w:space="0"/>
            </w:tcBorders>
            <w:shd w:val="clear" w:color="auto" w:fill="auto"/>
            <w:noWrap/>
            <w:vAlign w:val="center"/>
          </w:tcPr>
          <w:p w14:paraId="4648DF04">
            <w:pPr>
              <w:widowControl/>
              <w:jc w:val="center"/>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规格</w:t>
            </w:r>
          </w:p>
        </w:tc>
        <w:tc>
          <w:tcPr>
            <w:tcW w:w="596" w:type="pct"/>
            <w:tcBorders>
              <w:top w:val="single" w:color="auto" w:sz="4" w:space="0"/>
              <w:left w:val="nil"/>
              <w:bottom w:val="single" w:color="auto" w:sz="4" w:space="0"/>
              <w:right w:val="single" w:color="auto" w:sz="4" w:space="0"/>
            </w:tcBorders>
            <w:shd w:val="clear" w:color="auto" w:fill="auto"/>
            <w:vAlign w:val="center"/>
          </w:tcPr>
          <w:p w14:paraId="74A06787">
            <w:pPr>
              <w:widowControl/>
              <w:jc w:val="center"/>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数量</w:t>
            </w:r>
            <w:r>
              <w:rPr>
                <w:rFonts w:hint="eastAsia" w:ascii="仿宋_GB2312" w:hAnsi="宋体" w:eastAsia="仿宋_GB2312" w:cs="宋体"/>
                <w:color w:val="000000" w:themeColor="text1"/>
                <w:kern w:val="0"/>
                <w:sz w:val="24"/>
                <w14:textFill>
                  <w14:solidFill>
                    <w14:schemeClr w14:val="tx1"/>
                  </w14:solidFill>
                </w14:textFill>
              </w:rPr>
              <w:br w:type="textWrapping"/>
            </w:r>
            <w:r>
              <w:rPr>
                <w:rFonts w:hint="eastAsia" w:ascii="仿宋_GB2312" w:hAnsi="宋体" w:eastAsia="仿宋_GB2312" w:cs="宋体"/>
                <w:color w:val="000000" w:themeColor="text1"/>
                <w:kern w:val="0"/>
                <w:sz w:val="24"/>
                <w14:textFill>
                  <w14:solidFill>
                    <w14:schemeClr w14:val="tx1"/>
                  </w14:solidFill>
                </w14:textFill>
              </w:rPr>
              <w:t>（公斤）</w:t>
            </w:r>
          </w:p>
        </w:tc>
        <w:tc>
          <w:tcPr>
            <w:tcW w:w="408" w:type="pct"/>
            <w:tcBorders>
              <w:top w:val="single" w:color="auto" w:sz="4" w:space="0"/>
              <w:left w:val="nil"/>
              <w:bottom w:val="single" w:color="auto" w:sz="4" w:space="0"/>
              <w:right w:val="single" w:color="auto" w:sz="4" w:space="0"/>
            </w:tcBorders>
            <w:vAlign w:val="center"/>
          </w:tcPr>
          <w:p w14:paraId="48B0A665">
            <w:pPr>
              <w:widowControl/>
              <w:jc w:val="center"/>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单价</w:t>
            </w:r>
          </w:p>
        </w:tc>
        <w:tc>
          <w:tcPr>
            <w:tcW w:w="409" w:type="pct"/>
            <w:tcBorders>
              <w:top w:val="single" w:color="auto" w:sz="4" w:space="0"/>
              <w:left w:val="nil"/>
              <w:bottom w:val="single" w:color="auto" w:sz="4" w:space="0"/>
              <w:right w:val="single" w:color="auto" w:sz="4" w:space="0"/>
            </w:tcBorders>
            <w:vAlign w:val="center"/>
          </w:tcPr>
          <w:p w14:paraId="4DE04D02">
            <w:pPr>
              <w:widowControl/>
              <w:jc w:val="center"/>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总价</w:t>
            </w:r>
          </w:p>
        </w:tc>
      </w:tr>
      <w:tr w14:paraId="6F72D36B">
        <w:tblPrEx>
          <w:tblCellMar>
            <w:top w:w="0" w:type="dxa"/>
            <w:left w:w="108" w:type="dxa"/>
            <w:bottom w:w="0" w:type="dxa"/>
            <w:right w:w="108" w:type="dxa"/>
          </w:tblCellMar>
        </w:tblPrEx>
        <w:trPr>
          <w:trHeight w:val="720" w:hRule="atLeast"/>
        </w:trPr>
        <w:tc>
          <w:tcPr>
            <w:tcW w:w="34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A29D065">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7" w:type="pct"/>
            <w:tcBorders>
              <w:top w:val="single" w:color="auto" w:sz="4" w:space="0"/>
              <w:left w:val="nil"/>
              <w:bottom w:val="single" w:color="auto" w:sz="4" w:space="0"/>
              <w:right w:val="single" w:color="auto" w:sz="4" w:space="0"/>
            </w:tcBorders>
            <w:shd w:val="clear" w:color="auto" w:fill="auto"/>
            <w:vAlign w:val="center"/>
          </w:tcPr>
          <w:p w14:paraId="212C8C75">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8" w:type="pct"/>
            <w:tcBorders>
              <w:top w:val="single" w:color="auto" w:sz="4" w:space="0"/>
              <w:left w:val="nil"/>
              <w:bottom w:val="single" w:color="auto" w:sz="4" w:space="0"/>
              <w:right w:val="single" w:color="auto" w:sz="4" w:space="0"/>
            </w:tcBorders>
            <w:shd w:val="clear" w:color="auto" w:fill="auto"/>
            <w:vAlign w:val="center"/>
          </w:tcPr>
          <w:p w14:paraId="45152F35">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19" w:type="pct"/>
            <w:tcBorders>
              <w:top w:val="single" w:color="auto" w:sz="4" w:space="0"/>
              <w:left w:val="nil"/>
              <w:bottom w:val="single" w:color="auto" w:sz="4" w:space="0"/>
              <w:right w:val="single" w:color="auto" w:sz="4" w:space="0"/>
            </w:tcBorders>
            <w:shd w:val="clear" w:color="auto" w:fill="auto"/>
            <w:noWrap/>
            <w:vAlign w:val="center"/>
          </w:tcPr>
          <w:p w14:paraId="58C0E1C3">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84" w:type="pct"/>
            <w:tcBorders>
              <w:top w:val="single" w:color="auto" w:sz="4" w:space="0"/>
              <w:left w:val="nil"/>
              <w:bottom w:val="single" w:color="auto" w:sz="4" w:space="0"/>
              <w:right w:val="single" w:color="auto" w:sz="4" w:space="0"/>
            </w:tcBorders>
            <w:shd w:val="clear" w:color="auto" w:fill="auto"/>
            <w:noWrap/>
            <w:vAlign w:val="center"/>
          </w:tcPr>
          <w:p w14:paraId="7AA1EA0D">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96" w:type="pct"/>
            <w:tcBorders>
              <w:top w:val="single" w:color="auto" w:sz="4" w:space="0"/>
              <w:left w:val="nil"/>
              <w:bottom w:val="single" w:color="auto" w:sz="4" w:space="0"/>
              <w:right w:val="single" w:color="auto" w:sz="4" w:space="0"/>
            </w:tcBorders>
            <w:shd w:val="clear" w:color="auto" w:fill="auto"/>
            <w:vAlign w:val="center"/>
          </w:tcPr>
          <w:p w14:paraId="309CEA5D">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8" w:type="pct"/>
            <w:tcBorders>
              <w:top w:val="single" w:color="auto" w:sz="4" w:space="0"/>
              <w:left w:val="nil"/>
              <w:bottom w:val="single" w:color="auto" w:sz="4" w:space="0"/>
              <w:right w:val="single" w:color="auto" w:sz="4" w:space="0"/>
            </w:tcBorders>
            <w:vAlign w:val="center"/>
          </w:tcPr>
          <w:p w14:paraId="0ED7AC28">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9" w:type="pct"/>
            <w:tcBorders>
              <w:top w:val="single" w:color="auto" w:sz="4" w:space="0"/>
              <w:left w:val="nil"/>
              <w:bottom w:val="single" w:color="auto" w:sz="4" w:space="0"/>
              <w:right w:val="single" w:color="auto" w:sz="4" w:space="0"/>
            </w:tcBorders>
            <w:vAlign w:val="center"/>
          </w:tcPr>
          <w:p w14:paraId="02F4411E">
            <w:pPr>
              <w:widowControl/>
              <w:jc w:val="center"/>
              <w:rPr>
                <w:rFonts w:ascii="仿宋_GB2312" w:hAnsi="宋体" w:eastAsia="仿宋_GB2312" w:cs="宋体"/>
                <w:color w:val="000000" w:themeColor="text1"/>
                <w:kern w:val="0"/>
                <w:sz w:val="24"/>
                <w14:textFill>
                  <w14:solidFill>
                    <w14:schemeClr w14:val="tx1"/>
                  </w14:solidFill>
                </w14:textFill>
              </w:rPr>
            </w:pPr>
          </w:p>
        </w:tc>
      </w:tr>
      <w:tr w14:paraId="529033FC">
        <w:tblPrEx>
          <w:tblCellMar>
            <w:top w:w="0" w:type="dxa"/>
            <w:left w:w="108" w:type="dxa"/>
            <w:bottom w:w="0" w:type="dxa"/>
            <w:right w:w="108" w:type="dxa"/>
          </w:tblCellMar>
        </w:tblPrEx>
        <w:trPr>
          <w:trHeight w:val="720" w:hRule="atLeast"/>
        </w:trPr>
        <w:tc>
          <w:tcPr>
            <w:tcW w:w="34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A5354CB">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7" w:type="pct"/>
            <w:tcBorders>
              <w:top w:val="single" w:color="auto" w:sz="4" w:space="0"/>
              <w:left w:val="nil"/>
              <w:bottom w:val="single" w:color="auto" w:sz="4" w:space="0"/>
              <w:right w:val="single" w:color="auto" w:sz="4" w:space="0"/>
            </w:tcBorders>
            <w:shd w:val="clear" w:color="auto" w:fill="auto"/>
            <w:vAlign w:val="center"/>
          </w:tcPr>
          <w:p w14:paraId="69E8F843">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8" w:type="pct"/>
            <w:tcBorders>
              <w:top w:val="single" w:color="auto" w:sz="4" w:space="0"/>
              <w:left w:val="nil"/>
              <w:bottom w:val="single" w:color="auto" w:sz="4" w:space="0"/>
              <w:right w:val="single" w:color="auto" w:sz="4" w:space="0"/>
            </w:tcBorders>
            <w:shd w:val="clear" w:color="auto" w:fill="auto"/>
            <w:vAlign w:val="center"/>
          </w:tcPr>
          <w:p w14:paraId="298920BF">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19" w:type="pct"/>
            <w:tcBorders>
              <w:top w:val="single" w:color="auto" w:sz="4" w:space="0"/>
              <w:left w:val="nil"/>
              <w:bottom w:val="single" w:color="auto" w:sz="4" w:space="0"/>
              <w:right w:val="single" w:color="auto" w:sz="4" w:space="0"/>
            </w:tcBorders>
            <w:shd w:val="clear" w:color="auto" w:fill="auto"/>
            <w:noWrap/>
            <w:vAlign w:val="center"/>
          </w:tcPr>
          <w:p w14:paraId="0CBA0346">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84" w:type="pct"/>
            <w:tcBorders>
              <w:top w:val="single" w:color="auto" w:sz="4" w:space="0"/>
              <w:left w:val="nil"/>
              <w:bottom w:val="single" w:color="auto" w:sz="4" w:space="0"/>
              <w:right w:val="single" w:color="auto" w:sz="4" w:space="0"/>
            </w:tcBorders>
            <w:shd w:val="clear" w:color="auto" w:fill="auto"/>
            <w:noWrap/>
            <w:vAlign w:val="center"/>
          </w:tcPr>
          <w:p w14:paraId="571C5DA2">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96" w:type="pct"/>
            <w:tcBorders>
              <w:top w:val="single" w:color="auto" w:sz="4" w:space="0"/>
              <w:left w:val="nil"/>
              <w:bottom w:val="single" w:color="auto" w:sz="4" w:space="0"/>
              <w:right w:val="single" w:color="auto" w:sz="4" w:space="0"/>
            </w:tcBorders>
            <w:shd w:val="clear" w:color="auto" w:fill="auto"/>
            <w:vAlign w:val="center"/>
          </w:tcPr>
          <w:p w14:paraId="7640FB72">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8" w:type="pct"/>
            <w:tcBorders>
              <w:top w:val="single" w:color="auto" w:sz="4" w:space="0"/>
              <w:left w:val="nil"/>
              <w:bottom w:val="single" w:color="auto" w:sz="4" w:space="0"/>
              <w:right w:val="single" w:color="auto" w:sz="4" w:space="0"/>
            </w:tcBorders>
            <w:vAlign w:val="center"/>
          </w:tcPr>
          <w:p w14:paraId="35FB3E53">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9" w:type="pct"/>
            <w:tcBorders>
              <w:top w:val="single" w:color="auto" w:sz="4" w:space="0"/>
              <w:left w:val="nil"/>
              <w:bottom w:val="single" w:color="auto" w:sz="4" w:space="0"/>
              <w:right w:val="single" w:color="auto" w:sz="4" w:space="0"/>
            </w:tcBorders>
            <w:vAlign w:val="center"/>
          </w:tcPr>
          <w:p w14:paraId="0292BE03">
            <w:pPr>
              <w:widowControl/>
              <w:jc w:val="center"/>
              <w:rPr>
                <w:rFonts w:ascii="仿宋_GB2312" w:hAnsi="宋体" w:eastAsia="仿宋_GB2312" w:cs="宋体"/>
                <w:color w:val="000000" w:themeColor="text1"/>
                <w:kern w:val="0"/>
                <w:sz w:val="24"/>
                <w14:textFill>
                  <w14:solidFill>
                    <w14:schemeClr w14:val="tx1"/>
                  </w14:solidFill>
                </w14:textFill>
              </w:rPr>
            </w:pPr>
          </w:p>
        </w:tc>
      </w:tr>
      <w:tr w14:paraId="1962CED0">
        <w:tblPrEx>
          <w:tblCellMar>
            <w:top w:w="0" w:type="dxa"/>
            <w:left w:w="108" w:type="dxa"/>
            <w:bottom w:w="0" w:type="dxa"/>
            <w:right w:w="108" w:type="dxa"/>
          </w:tblCellMar>
        </w:tblPrEx>
        <w:trPr>
          <w:trHeight w:val="720" w:hRule="atLeast"/>
        </w:trPr>
        <w:tc>
          <w:tcPr>
            <w:tcW w:w="34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FDF9EC5">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7" w:type="pct"/>
            <w:tcBorders>
              <w:top w:val="single" w:color="auto" w:sz="4" w:space="0"/>
              <w:left w:val="nil"/>
              <w:bottom w:val="single" w:color="auto" w:sz="4" w:space="0"/>
              <w:right w:val="single" w:color="auto" w:sz="4" w:space="0"/>
            </w:tcBorders>
            <w:shd w:val="clear" w:color="auto" w:fill="auto"/>
            <w:vAlign w:val="center"/>
          </w:tcPr>
          <w:p w14:paraId="20DACC3A">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8" w:type="pct"/>
            <w:tcBorders>
              <w:top w:val="single" w:color="auto" w:sz="4" w:space="0"/>
              <w:left w:val="nil"/>
              <w:bottom w:val="single" w:color="auto" w:sz="4" w:space="0"/>
              <w:right w:val="single" w:color="auto" w:sz="4" w:space="0"/>
            </w:tcBorders>
            <w:shd w:val="clear" w:color="auto" w:fill="auto"/>
            <w:vAlign w:val="center"/>
          </w:tcPr>
          <w:p w14:paraId="04D98CB0">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19" w:type="pct"/>
            <w:tcBorders>
              <w:top w:val="single" w:color="auto" w:sz="4" w:space="0"/>
              <w:left w:val="nil"/>
              <w:bottom w:val="single" w:color="auto" w:sz="4" w:space="0"/>
              <w:right w:val="single" w:color="auto" w:sz="4" w:space="0"/>
            </w:tcBorders>
            <w:shd w:val="clear" w:color="auto" w:fill="auto"/>
            <w:noWrap/>
            <w:vAlign w:val="center"/>
          </w:tcPr>
          <w:p w14:paraId="28F6F795">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84" w:type="pct"/>
            <w:tcBorders>
              <w:top w:val="single" w:color="auto" w:sz="4" w:space="0"/>
              <w:left w:val="nil"/>
              <w:bottom w:val="single" w:color="auto" w:sz="4" w:space="0"/>
              <w:right w:val="single" w:color="auto" w:sz="4" w:space="0"/>
            </w:tcBorders>
            <w:shd w:val="clear" w:color="auto" w:fill="auto"/>
            <w:noWrap/>
            <w:vAlign w:val="center"/>
          </w:tcPr>
          <w:p w14:paraId="2584D916">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96" w:type="pct"/>
            <w:tcBorders>
              <w:top w:val="single" w:color="auto" w:sz="4" w:space="0"/>
              <w:left w:val="nil"/>
              <w:bottom w:val="single" w:color="auto" w:sz="4" w:space="0"/>
              <w:right w:val="single" w:color="auto" w:sz="4" w:space="0"/>
            </w:tcBorders>
            <w:shd w:val="clear" w:color="auto" w:fill="auto"/>
            <w:vAlign w:val="center"/>
          </w:tcPr>
          <w:p w14:paraId="7488DF2E">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8" w:type="pct"/>
            <w:tcBorders>
              <w:top w:val="single" w:color="auto" w:sz="4" w:space="0"/>
              <w:left w:val="nil"/>
              <w:bottom w:val="single" w:color="auto" w:sz="4" w:space="0"/>
              <w:right w:val="single" w:color="auto" w:sz="4" w:space="0"/>
            </w:tcBorders>
            <w:vAlign w:val="center"/>
          </w:tcPr>
          <w:p w14:paraId="41E6DEC6">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9" w:type="pct"/>
            <w:tcBorders>
              <w:top w:val="single" w:color="auto" w:sz="4" w:space="0"/>
              <w:left w:val="nil"/>
              <w:bottom w:val="single" w:color="auto" w:sz="4" w:space="0"/>
              <w:right w:val="single" w:color="auto" w:sz="4" w:space="0"/>
            </w:tcBorders>
            <w:vAlign w:val="center"/>
          </w:tcPr>
          <w:p w14:paraId="50FD1D88">
            <w:pPr>
              <w:widowControl/>
              <w:jc w:val="center"/>
              <w:rPr>
                <w:rFonts w:ascii="仿宋_GB2312" w:hAnsi="宋体" w:eastAsia="仿宋_GB2312" w:cs="宋体"/>
                <w:color w:val="000000" w:themeColor="text1"/>
                <w:kern w:val="0"/>
                <w:sz w:val="24"/>
                <w14:textFill>
                  <w14:solidFill>
                    <w14:schemeClr w14:val="tx1"/>
                  </w14:solidFill>
                </w14:textFill>
              </w:rPr>
            </w:pPr>
          </w:p>
        </w:tc>
      </w:tr>
      <w:tr w14:paraId="130BAEC8">
        <w:tblPrEx>
          <w:tblCellMar>
            <w:top w:w="0" w:type="dxa"/>
            <w:left w:w="108" w:type="dxa"/>
            <w:bottom w:w="0" w:type="dxa"/>
            <w:right w:w="108" w:type="dxa"/>
          </w:tblCellMar>
        </w:tblPrEx>
        <w:trPr>
          <w:trHeight w:val="720" w:hRule="atLeast"/>
        </w:trPr>
        <w:tc>
          <w:tcPr>
            <w:tcW w:w="34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EA4C452">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7" w:type="pct"/>
            <w:tcBorders>
              <w:top w:val="single" w:color="auto" w:sz="4" w:space="0"/>
              <w:left w:val="nil"/>
              <w:bottom w:val="single" w:color="auto" w:sz="4" w:space="0"/>
              <w:right w:val="single" w:color="auto" w:sz="4" w:space="0"/>
            </w:tcBorders>
            <w:shd w:val="clear" w:color="auto" w:fill="auto"/>
            <w:vAlign w:val="center"/>
          </w:tcPr>
          <w:p w14:paraId="120C77ED">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8" w:type="pct"/>
            <w:tcBorders>
              <w:top w:val="single" w:color="auto" w:sz="4" w:space="0"/>
              <w:left w:val="nil"/>
              <w:bottom w:val="single" w:color="auto" w:sz="4" w:space="0"/>
              <w:right w:val="single" w:color="auto" w:sz="4" w:space="0"/>
            </w:tcBorders>
            <w:shd w:val="clear" w:color="auto" w:fill="auto"/>
            <w:vAlign w:val="center"/>
          </w:tcPr>
          <w:p w14:paraId="03617593">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19" w:type="pct"/>
            <w:tcBorders>
              <w:top w:val="single" w:color="auto" w:sz="4" w:space="0"/>
              <w:left w:val="nil"/>
              <w:bottom w:val="single" w:color="auto" w:sz="4" w:space="0"/>
              <w:right w:val="single" w:color="auto" w:sz="4" w:space="0"/>
            </w:tcBorders>
            <w:shd w:val="clear" w:color="auto" w:fill="auto"/>
            <w:noWrap/>
            <w:vAlign w:val="center"/>
          </w:tcPr>
          <w:p w14:paraId="4CE83DE7">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84" w:type="pct"/>
            <w:tcBorders>
              <w:top w:val="single" w:color="auto" w:sz="4" w:space="0"/>
              <w:left w:val="nil"/>
              <w:bottom w:val="single" w:color="auto" w:sz="4" w:space="0"/>
              <w:right w:val="single" w:color="auto" w:sz="4" w:space="0"/>
            </w:tcBorders>
            <w:shd w:val="clear" w:color="auto" w:fill="auto"/>
            <w:noWrap/>
            <w:vAlign w:val="center"/>
          </w:tcPr>
          <w:p w14:paraId="049B94EC">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96" w:type="pct"/>
            <w:tcBorders>
              <w:top w:val="single" w:color="auto" w:sz="4" w:space="0"/>
              <w:left w:val="nil"/>
              <w:bottom w:val="single" w:color="auto" w:sz="4" w:space="0"/>
              <w:right w:val="single" w:color="auto" w:sz="4" w:space="0"/>
            </w:tcBorders>
            <w:shd w:val="clear" w:color="auto" w:fill="auto"/>
            <w:vAlign w:val="center"/>
          </w:tcPr>
          <w:p w14:paraId="5FACD895">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8" w:type="pct"/>
            <w:tcBorders>
              <w:top w:val="single" w:color="auto" w:sz="4" w:space="0"/>
              <w:left w:val="nil"/>
              <w:bottom w:val="single" w:color="auto" w:sz="4" w:space="0"/>
              <w:right w:val="single" w:color="auto" w:sz="4" w:space="0"/>
            </w:tcBorders>
            <w:vAlign w:val="center"/>
          </w:tcPr>
          <w:p w14:paraId="04FDA479">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9" w:type="pct"/>
            <w:tcBorders>
              <w:top w:val="single" w:color="auto" w:sz="4" w:space="0"/>
              <w:left w:val="nil"/>
              <w:bottom w:val="single" w:color="auto" w:sz="4" w:space="0"/>
              <w:right w:val="single" w:color="auto" w:sz="4" w:space="0"/>
            </w:tcBorders>
            <w:vAlign w:val="center"/>
          </w:tcPr>
          <w:p w14:paraId="119B6F5B">
            <w:pPr>
              <w:widowControl/>
              <w:jc w:val="center"/>
              <w:rPr>
                <w:rFonts w:ascii="仿宋_GB2312" w:hAnsi="宋体" w:eastAsia="仿宋_GB2312" w:cs="宋体"/>
                <w:color w:val="000000" w:themeColor="text1"/>
                <w:kern w:val="0"/>
                <w:sz w:val="24"/>
                <w14:textFill>
                  <w14:solidFill>
                    <w14:schemeClr w14:val="tx1"/>
                  </w14:solidFill>
                </w14:textFill>
              </w:rPr>
            </w:pPr>
          </w:p>
        </w:tc>
      </w:tr>
      <w:tr w14:paraId="14133643">
        <w:tblPrEx>
          <w:tblCellMar>
            <w:top w:w="0" w:type="dxa"/>
            <w:left w:w="108" w:type="dxa"/>
            <w:bottom w:w="0" w:type="dxa"/>
            <w:right w:w="108" w:type="dxa"/>
          </w:tblCellMar>
        </w:tblPrEx>
        <w:trPr>
          <w:trHeight w:val="720" w:hRule="atLeast"/>
        </w:trPr>
        <w:tc>
          <w:tcPr>
            <w:tcW w:w="34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6365DDA">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7" w:type="pct"/>
            <w:tcBorders>
              <w:top w:val="single" w:color="auto" w:sz="4" w:space="0"/>
              <w:left w:val="nil"/>
              <w:bottom w:val="single" w:color="auto" w:sz="4" w:space="0"/>
              <w:right w:val="single" w:color="auto" w:sz="4" w:space="0"/>
            </w:tcBorders>
            <w:shd w:val="clear" w:color="auto" w:fill="auto"/>
            <w:vAlign w:val="center"/>
          </w:tcPr>
          <w:p w14:paraId="0EBB3576">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8" w:type="pct"/>
            <w:tcBorders>
              <w:top w:val="single" w:color="auto" w:sz="4" w:space="0"/>
              <w:left w:val="nil"/>
              <w:bottom w:val="single" w:color="auto" w:sz="4" w:space="0"/>
              <w:right w:val="single" w:color="auto" w:sz="4" w:space="0"/>
            </w:tcBorders>
            <w:shd w:val="clear" w:color="auto" w:fill="auto"/>
            <w:vAlign w:val="center"/>
          </w:tcPr>
          <w:p w14:paraId="3EFEAB5C">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19" w:type="pct"/>
            <w:tcBorders>
              <w:top w:val="single" w:color="auto" w:sz="4" w:space="0"/>
              <w:left w:val="nil"/>
              <w:bottom w:val="single" w:color="auto" w:sz="4" w:space="0"/>
              <w:right w:val="single" w:color="auto" w:sz="4" w:space="0"/>
            </w:tcBorders>
            <w:shd w:val="clear" w:color="auto" w:fill="auto"/>
            <w:noWrap/>
            <w:vAlign w:val="center"/>
          </w:tcPr>
          <w:p w14:paraId="4B00CACD">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84" w:type="pct"/>
            <w:tcBorders>
              <w:top w:val="single" w:color="auto" w:sz="4" w:space="0"/>
              <w:left w:val="nil"/>
              <w:bottom w:val="single" w:color="auto" w:sz="4" w:space="0"/>
              <w:right w:val="single" w:color="auto" w:sz="4" w:space="0"/>
            </w:tcBorders>
            <w:shd w:val="clear" w:color="auto" w:fill="auto"/>
            <w:noWrap/>
            <w:vAlign w:val="center"/>
          </w:tcPr>
          <w:p w14:paraId="78710744">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96" w:type="pct"/>
            <w:tcBorders>
              <w:top w:val="single" w:color="auto" w:sz="4" w:space="0"/>
              <w:left w:val="nil"/>
              <w:bottom w:val="single" w:color="auto" w:sz="4" w:space="0"/>
              <w:right w:val="single" w:color="auto" w:sz="4" w:space="0"/>
            </w:tcBorders>
            <w:shd w:val="clear" w:color="auto" w:fill="auto"/>
            <w:vAlign w:val="center"/>
          </w:tcPr>
          <w:p w14:paraId="2330B204">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8" w:type="pct"/>
            <w:tcBorders>
              <w:top w:val="single" w:color="auto" w:sz="4" w:space="0"/>
              <w:left w:val="nil"/>
              <w:bottom w:val="single" w:color="auto" w:sz="4" w:space="0"/>
              <w:right w:val="single" w:color="auto" w:sz="4" w:space="0"/>
            </w:tcBorders>
            <w:vAlign w:val="center"/>
          </w:tcPr>
          <w:p w14:paraId="1E2A161A">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9" w:type="pct"/>
            <w:tcBorders>
              <w:top w:val="single" w:color="auto" w:sz="4" w:space="0"/>
              <w:left w:val="nil"/>
              <w:bottom w:val="single" w:color="auto" w:sz="4" w:space="0"/>
              <w:right w:val="single" w:color="auto" w:sz="4" w:space="0"/>
            </w:tcBorders>
            <w:vAlign w:val="center"/>
          </w:tcPr>
          <w:p w14:paraId="4F9EA455">
            <w:pPr>
              <w:widowControl/>
              <w:jc w:val="center"/>
              <w:rPr>
                <w:rFonts w:ascii="仿宋_GB2312" w:hAnsi="宋体" w:eastAsia="仿宋_GB2312" w:cs="宋体"/>
                <w:color w:val="000000" w:themeColor="text1"/>
                <w:kern w:val="0"/>
                <w:sz w:val="24"/>
                <w14:textFill>
                  <w14:solidFill>
                    <w14:schemeClr w14:val="tx1"/>
                  </w14:solidFill>
                </w14:textFill>
              </w:rPr>
            </w:pPr>
          </w:p>
        </w:tc>
      </w:tr>
      <w:tr w14:paraId="46F871BC">
        <w:tblPrEx>
          <w:tblCellMar>
            <w:top w:w="0" w:type="dxa"/>
            <w:left w:w="108" w:type="dxa"/>
            <w:bottom w:w="0" w:type="dxa"/>
            <w:right w:w="108" w:type="dxa"/>
          </w:tblCellMar>
        </w:tblPrEx>
        <w:trPr>
          <w:trHeight w:val="720" w:hRule="atLeast"/>
        </w:trPr>
        <w:tc>
          <w:tcPr>
            <w:tcW w:w="34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015529A">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7" w:type="pct"/>
            <w:tcBorders>
              <w:top w:val="single" w:color="auto" w:sz="4" w:space="0"/>
              <w:left w:val="nil"/>
              <w:bottom w:val="single" w:color="auto" w:sz="4" w:space="0"/>
              <w:right w:val="single" w:color="auto" w:sz="4" w:space="0"/>
            </w:tcBorders>
            <w:shd w:val="clear" w:color="auto" w:fill="auto"/>
            <w:vAlign w:val="center"/>
          </w:tcPr>
          <w:p w14:paraId="0D0EA282">
            <w:pPr>
              <w:widowControl/>
              <w:jc w:val="center"/>
              <w:rPr>
                <w:rFonts w:ascii="仿宋_GB2312" w:hAnsi="宋体" w:eastAsia="仿宋_GB2312" w:cs="宋体"/>
                <w:color w:val="000000" w:themeColor="text1"/>
                <w:kern w:val="0"/>
                <w:sz w:val="24"/>
                <w14:textFill>
                  <w14:solidFill>
                    <w14:schemeClr w14:val="tx1"/>
                  </w14:solidFill>
                </w14:textFill>
              </w:rPr>
            </w:pPr>
          </w:p>
        </w:tc>
        <w:tc>
          <w:tcPr>
            <w:tcW w:w="1068" w:type="pct"/>
            <w:tcBorders>
              <w:top w:val="single" w:color="auto" w:sz="4" w:space="0"/>
              <w:left w:val="nil"/>
              <w:bottom w:val="single" w:color="auto" w:sz="4" w:space="0"/>
              <w:right w:val="single" w:color="auto" w:sz="4" w:space="0"/>
            </w:tcBorders>
            <w:shd w:val="clear" w:color="auto" w:fill="auto"/>
            <w:vAlign w:val="center"/>
          </w:tcPr>
          <w:p w14:paraId="057D106C">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19" w:type="pct"/>
            <w:tcBorders>
              <w:top w:val="single" w:color="auto" w:sz="4" w:space="0"/>
              <w:left w:val="nil"/>
              <w:bottom w:val="single" w:color="auto" w:sz="4" w:space="0"/>
              <w:right w:val="single" w:color="auto" w:sz="4" w:space="0"/>
            </w:tcBorders>
            <w:shd w:val="clear" w:color="auto" w:fill="auto"/>
            <w:noWrap/>
            <w:vAlign w:val="center"/>
          </w:tcPr>
          <w:p w14:paraId="29EBC5BE">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84" w:type="pct"/>
            <w:tcBorders>
              <w:top w:val="single" w:color="auto" w:sz="4" w:space="0"/>
              <w:left w:val="nil"/>
              <w:bottom w:val="single" w:color="auto" w:sz="4" w:space="0"/>
              <w:right w:val="single" w:color="auto" w:sz="4" w:space="0"/>
            </w:tcBorders>
            <w:shd w:val="clear" w:color="auto" w:fill="auto"/>
            <w:noWrap/>
            <w:vAlign w:val="center"/>
          </w:tcPr>
          <w:p w14:paraId="550DE0F0">
            <w:pPr>
              <w:widowControl/>
              <w:jc w:val="center"/>
              <w:rPr>
                <w:rFonts w:ascii="仿宋_GB2312" w:hAnsi="宋体" w:eastAsia="仿宋_GB2312" w:cs="宋体"/>
                <w:color w:val="000000" w:themeColor="text1"/>
                <w:kern w:val="0"/>
                <w:sz w:val="24"/>
                <w14:textFill>
                  <w14:solidFill>
                    <w14:schemeClr w14:val="tx1"/>
                  </w14:solidFill>
                </w14:textFill>
              </w:rPr>
            </w:pPr>
          </w:p>
        </w:tc>
        <w:tc>
          <w:tcPr>
            <w:tcW w:w="596" w:type="pct"/>
            <w:tcBorders>
              <w:top w:val="single" w:color="auto" w:sz="4" w:space="0"/>
              <w:left w:val="nil"/>
              <w:bottom w:val="single" w:color="auto" w:sz="4" w:space="0"/>
              <w:right w:val="single" w:color="auto" w:sz="4" w:space="0"/>
            </w:tcBorders>
            <w:shd w:val="clear" w:color="auto" w:fill="auto"/>
            <w:vAlign w:val="center"/>
          </w:tcPr>
          <w:p w14:paraId="107B4C01">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8" w:type="pct"/>
            <w:tcBorders>
              <w:top w:val="single" w:color="auto" w:sz="4" w:space="0"/>
              <w:left w:val="nil"/>
              <w:bottom w:val="single" w:color="auto" w:sz="4" w:space="0"/>
              <w:right w:val="single" w:color="auto" w:sz="4" w:space="0"/>
            </w:tcBorders>
            <w:vAlign w:val="center"/>
          </w:tcPr>
          <w:p w14:paraId="651F7CA8">
            <w:pPr>
              <w:widowControl/>
              <w:jc w:val="center"/>
              <w:rPr>
                <w:rFonts w:ascii="仿宋_GB2312" w:hAnsi="宋体" w:eastAsia="仿宋_GB2312" w:cs="宋体"/>
                <w:color w:val="000000" w:themeColor="text1"/>
                <w:kern w:val="0"/>
                <w:sz w:val="24"/>
                <w14:textFill>
                  <w14:solidFill>
                    <w14:schemeClr w14:val="tx1"/>
                  </w14:solidFill>
                </w14:textFill>
              </w:rPr>
            </w:pPr>
          </w:p>
        </w:tc>
        <w:tc>
          <w:tcPr>
            <w:tcW w:w="409" w:type="pct"/>
            <w:tcBorders>
              <w:top w:val="single" w:color="auto" w:sz="4" w:space="0"/>
              <w:left w:val="nil"/>
              <w:bottom w:val="single" w:color="auto" w:sz="4" w:space="0"/>
              <w:right w:val="single" w:color="auto" w:sz="4" w:space="0"/>
            </w:tcBorders>
            <w:vAlign w:val="center"/>
          </w:tcPr>
          <w:p w14:paraId="03FE1F03">
            <w:pPr>
              <w:widowControl/>
              <w:jc w:val="center"/>
              <w:rPr>
                <w:rFonts w:ascii="仿宋_GB2312" w:hAnsi="宋体" w:eastAsia="仿宋_GB2312" w:cs="宋体"/>
                <w:color w:val="000000" w:themeColor="text1"/>
                <w:kern w:val="0"/>
                <w:sz w:val="24"/>
                <w14:textFill>
                  <w14:solidFill>
                    <w14:schemeClr w14:val="tx1"/>
                  </w14:solidFill>
                </w14:textFill>
              </w:rPr>
            </w:pPr>
          </w:p>
        </w:tc>
      </w:tr>
    </w:tbl>
    <w:p w14:paraId="5AE26EF0">
      <w:pPr>
        <w:pStyle w:val="2"/>
        <w:rPr>
          <w:color w:val="000000" w:themeColor="text1"/>
          <w14:textFill>
            <w14:solidFill>
              <w14:schemeClr w14:val="tx1"/>
            </w14:solidFill>
          </w14:textFill>
        </w:rPr>
      </w:pPr>
    </w:p>
    <w:p w14:paraId="56FEFAE0">
      <w:pPr>
        <w:pStyle w:val="2"/>
        <w:rPr>
          <w:color w:val="000000" w:themeColor="text1"/>
          <w14:textFill>
            <w14:solidFill>
              <w14:schemeClr w14:val="tx1"/>
            </w14:solidFill>
          </w14:textFill>
        </w:rPr>
      </w:pPr>
    </w:p>
    <w:p w14:paraId="7BDB3B9F">
      <w:pPr>
        <w:pStyle w:val="2"/>
        <w:rPr>
          <w:color w:val="000000" w:themeColor="text1"/>
          <w14:textFill>
            <w14:solidFill>
              <w14:schemeClr w14:val="tx1"/>
            </w14:solidFill>
          </w14:textFill>
        </w:rPr>
      </w:pPr>
    </w:p>
    <w:p w14:paraId="0DB18E30">
      <w:pPr>
        <w:pStyle w:val="2"/>
        <w:rPr>
          <w:color w:val="000000" w:themeColor="text1"/>
          <w14:textFill>
            <w14:solidFill>
              <w14:schemeClr w14:val="tx1"/>
            </w14:solidFill>
          </w14:textFill>
        </w:rPr>
      </w:pPr>
    </w:p>
    <w:p w14:paraId="2E0D0E58">
      <w:pPr>
        <w:pStyle w:val="2"/>
        <w:rPr>
          <w:color w:val="000000" w:themeColor="text1"/>
          <w14:textFill>
            <w14:solidFill>
              <w14:schemeClr w14:val="tx1"/>
            </w14:solidFill>
          </w14:textFill>
        </w:rPr>
      </w:pPr>
    </w:p>
    <w:p w14:paraId="0CFAABFB">
      <w:pPr>
        <w:pStyle w:val="2"/>
        <w:rPr>
          <w:color w:val="000000" w:themeColor="text1"/>
          <w14:textFill>
            <w14:solidFill>
              <w14:schemeClr w14:val="tx1"/>
            </w14:solidFill>
          </w14:textFill>
        </w:rPr>
      </w:pPr>
    </w:p>
    <w:p w14:paraId="4A84B641">
      <w:pPr>
        <w:pStyle w:val="2"/>
        <w:rPr>
          <w:color w:val="000000" w:themeColor="text1"/>
          <w14:textFill>
            <w14:solidFill>
              <w14:schemeClr w14:val="tx1"/>
            </w14:solidFill>
          </w14:textFill>
        </w:rPr>
      </w:pPr>
    </w:p>
    <w:p w14:paraId="1616D4BE">
      <w:pPr>
        <w:pStyle w:val="2"/>
        <w:rPr>
          <w:color w:val="000000" w:themeColor="text1"/>
          <w14:textFill>
            <w14:solidFill>
              <w14:schemeClr w14:val="tx1"/>
            </w14:solidFill>
          </w14:textFill>
        </w:rPr>
      </w:pPr>
    </w:p>
    <w:p w14:paraId="760D1926">
      <w:pPr>
        <w:pStyle w:val="2"/>
        <w:rPr>
          <w:color w:val="000000" w:themeColor="text1"/>
          <w14:textFill>
            <w14:solidFill>
              <w14:schemeClr w14:val="tx1"/>
            </w14:solidFill>
          </w14:textFill>
        </w:rPr>
      </w:pPr>
    </w:p>
    <w:p w14:paraId="393DF245">
      <w:pPr>
        <w:pStyle w:val="2"/>
        <w:rPr>
          <w:color w:val="000000" w:themeColor="text1"/>
          <w14:textFill>
            <w14:solidFill>
              <w14:schemeClr w14:val="tx1"/>
            </w14:solidFill>
          </w14:textFill>
        </w:rPr>
      </w:pPr>
    </w:p>
    <w:p w14:paraId="1C06AA9D">
      <w:pPr>
        <w:pStyle w:val="2"/>
        <w:rPr>
          <w:color w:val="000000" w:themeColor="text1"/>
          <w14:textFill>
            <w14:solidFill>
              <w14:schemeClr w14:val="tx1"/>
            </w14:solidFill>
          </w14:textFill>
        </w:rPr>
      </w:pPr>
    </w:p>
    <w:p w14:paraId="1F1B0BCB">
      <w:pPr>
        <w:pStyle w:val="2"/>
        <w:rPr>
          <w:color w:val="000000" w:themeColor="text1"/>
          <w14:textFill>
            <w14:solidFill>
              <w14:schemeClr w14:val="tx1"/>
            </w14:solidFill>
          </w14:textFill>
        </w:rPr>
      </w:pPr>
    </w:p>
    <w:p w14:paraId="7A0D32DB">
      <w:pPr>
        <w:pStyle w:val="2"/>
        <w:rPr>
          <w:color w:val="000000" w:themeColor="text1"/>
          <w14:textFill>
            <w14:solidFill>
              <w14:schemeClr w14:val="tx1"/>
            </w14:solidFill>
          </w14:textFill>
        </w:rPr>
      </w:pPr>
    </w:p>
    <w:p w14:paraId="28B0B2DD">
      <w:pPr>
        <w:pStyle w:val="2"/>
        <w:rPr>
          <w:color w:val="000000" w:themeColor="text1"/>
          <w14:textFill>
            <w14:solidFill>
              <w14:schemeClr w14:val="tx1"/>
            </w14:solidFill>
          </w14:textFill>
        </w:rPr>
      </w:pPr>
    </w:p>
    <w:p w14:paraId="7F5632D7">
      <w:pPr>
        <w:pStyle w:val="2"/>
        <w:rPr>
          <w:color w:val="000000" w:themeColor="text1"/>
          <w14:textFill>
            <w14:solidFill>
              <w14:schemeClr w14:val="tx1"/>
            </w14:solidFill>
          </w14:textFill>
        </w:rPr>
      </w:pPr>
    </w:p>
    <w:p w14:paraId="1BACAB0A">
      <w:pPr>
        <w:pStyle w:val="2"/>
        <w:rPr>
          <w:color w:val="000000" w:themeColor="text1"/>
          <w14:textFill>
            <w14:solidFill>
              <w14:schemeClr w14:val="tx1"/>
            </w14:solidFill>
          </w14:textFill>
        </w:rPr>
      </w:pPr>
    </w:p>
    <w:p w14:paraId="55ADE18F">
      <w:pPr>
        <w:pStyle w:val="2"/>
        <w:rPr>
          <w:color w:val="000000" w:themeColor="text1"/>
          <w14:textFill>
            <w14:solidFill>
              <w14:schemeClr w14:val="tx1"/>
            </w14:solidFill>
          </w14:textFill>
        </w:rPr>
      </w:pPr>
    </w:p>
    <w:p w14:paraId="0F8C796A">
      <w:pPr>
        <w:pStyle w:val="2"/>
        <w:rPr>
          <w:color w:val="000000" w:themeColor="text1"/>
          <w14:textFill>
            <w14:solidFill>
              <w14:schemeClr w14:val="tx1"/>
            </w14:solidFill>
          </w14:textFill>
        </w:rPr>
      </w:pPr>
    </w:p>
    <w:p w14:paraId="63D15D09">
      <w:pPr>
        <w:pStyle w:val="2"/>
        <w:rPr>
          <w:color w:val="000000" w:themeColor="text1"/>
          <w14:textFill>
            <w14:solidFill>
              <w14:schemeClr w14:val="tx1"/>
            </w14:solidFill>
          </w14:textFill>
        </w:rPr>
      </w:pPr>
    </w:p>
    <w:p w14:paraId="6390B965">
      <w:pPr>
        <w:pStyle w:val="2"/>
        <w:rPr>
          <w:color w:val="000000" w:themeColor="text1"/>
          <w14:textFill>
            <w14:solidFill>
              <w14:schemeClr w14:val="tx1"/>
            </w14:solidFill>
          </w14:textFill>
        </w:rPr>
      </w:pPr>
    </w:p>
    <w:p w14:paraId="2C50CD62">
      <w:pPr>
        <w:pStyle w:val="2"/>
        <w:rPr>
          <w:color w:val="000000" w:themeColor="text1"/>
          <w14:textFill>
            <w14:solidFill>
              <w14:schemeClr w14:val="tx1"/>
            </w14:solidFill>
          </w14:textFill>
        </w:rPr>
      </w:pPr>
    </w:p>
    <w:p w14:paraId="6F8C42BD">
      <w:pPr>
        <w:pStyle w:val="2"/>
        <w:rPr>
          <w:color w:val="000000" w:themeColor="text1"/>
          <w14:textFill>
            <w14:solidFill>
              <w14:schemeClr w14:val="tx1"/>
            </w14:solidFill>
          </w14:textFill>
        </w:rPr>
      </w:pPr>
    </w:p>
    <w:p w14:paraId="7931234F">
      <w:pPr>
        <w:pStyle w:val="2"/>
        <w:rPr>
          <w:color w:val="000000" w:themeColor="text1"/>
          <w14:textFill>
            <w14:solidFill>
              <w14:schemeClr w14:val="tx1"/>
            </w14:solidFill>
          </w14:textFill>
        </w:rPr>
      </w:pPr>
    </w:p>
    <w:p w14:paraId="2B904942">
      <w:pPr>
        <w:pStyle w:val="2"/>
        <w:rPr>
          <w:color w:val="000000" w:themeColor="text1"/>
          <w14:textFill>
            <w14:solidFill>
              <w14:schemeClr w14:val="tx1"/>
            </w14:solidFill>
          </w14:textFill>
        </w:rPr>
      </w:pPr>
    </w:p>
    <w:p w14:paraId="7F4FCFC6">
      <w:pPr>
        <w:pStyle w:val="2"/>
        <w:rPr>
          <w:color w:val="000000" w:themeColor="text1"/>
          <w14:textFill>
            <w14:solidFill>
              <w14:schemeClr w14:val="tx1"/>
            </w14:solidFill>
          </w14:textFill>
        </w:rPr>
      </w:pPr>
    </w:p>
    <w:p w14:paraId="336EAE2E">
      <w:pPr>
        <w:pStyle w:val="23"/>
        <w:spacing w:line="520" w:lineRule="exact"/>
        <w:jc w:val="center"/>
        <w:rPr>
          <w:rFonts w:hAnsi="宋体"/>
          <w:b/>
          <w:color w:val="000000" w:themeColor="text1"/>
          <w:sz w:val="44"/>
          <w:szCs w:val="44"/>
          <w14:textFill>
            <w14:solidFill>
              <w14:schemeClr w14:val="tx1"/>
            </w14:solidFill>
          </w14:textFill>
        </w:rPr>
      </w:pPr>
      <w:r>
        <w:rPr>
          <w:rFonts w:hint="eastAsia" w:hAnsi="宋体"/>
          <w:b/>
          <w:color w:val="000000" w:themeColor="text1"/>
          <w:sz w:val="44"/>
          <w:szCs w:val="44"/>
          <w14:textFill>
            <w14:solidFill>
              <w14:schemeClr w14:val="tx1"/>
            </w14:solidFill>
          </w14:textFill>
        </w:rPr>
        <w:t>有效的营业执照副本扫描件</w:t>
      </w:r>
    </w:p>
    <w:p w14:paraId="381CEAA9">
      <w:pPr>
        <w:pStyle w:val="23"/>
        <w:spacing w:line="520" w:lineRule="exact"/>
        <w:jc w:val="center"/>
        <w:rPr>
          <w:rFonts w:hAnsi="宋体"/>
          <w:b/>
          <w:color w:val="000000" w:themeColor="text1"/>
          <w:sz w:val="44"/>
          <w:szCs w:val="44"/>
          <w14:textFill>
            <w14:solidFill>
              <w14:schemeClr w14:val="tx1"/>
            </w14:solidFill>
          </w14:textFill>
        </w:rPr>
      </w:pPr>
    </w:p>
    <w:p w14:paraId="486327F7">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1F010F04">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06A9CF98">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3B8DA41B">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43DD67E4">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1FE765A1">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0B329620">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2EB60BCA">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18EF06C6">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24E38ADC">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4852E4DA">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2F224B40">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51AD97BD">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0BA2FE10">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06F95B79">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2736D227">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7D28E78C">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2547EDB5">
      <w:pPr>
        <w:pStyle w:val="23"/>
        <w:spacing w:line="520" w:lineRule="exact"/>
        <w:ind w:right="600"/>
        <w:jc w:val="center"/>
        <w:rPr>
          <w:rFonts w:ascii="仿宋_GB2312" w:hAnsi="宋体" w:eastAsia="仿宋_GB2312"/>
          <w:b/>
          <w:bCs/>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投标人(盖章)：</w:t>
      </w:r>
    </w:p>
    <w:p w14:paraId="5376F85E">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647D700E">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3AC5639D">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1916054B">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16231028">
      <w:pPr>
        <w:pStyle w:val="23"/>
        <w:spacing w:line="520" w:lineRule="exact"/>
        <w:jc w:val="right"/>
        <w:rPr>
          <w:rFonts w:ascii="仿宋_GB2312" w:hAnsi="宋体" w:eastAsia="仿宋_GB2312"/>
          <w:b/>
          <w:bCs/>
          <w:color w:val="000000" w:themeColor="text1"/>
          <w:sz w:val="30"/>
          <w:szCs w:val="30"/>
          <w14:textFill>
            <w14:solidFill>
              <w14:schemeClr w14:val="tx1"/>
            </w14:solidFill>
          </w14:textFill>
        </w:rPr>
      </w:pPr>
    </w:p>
    <w:p w14:paraId="5A2F987C">
      <w:pPr>
        <w:pStyle w:val="23"/>
        <w:spacing w:line="520" w:lineRule="exact"/>
        <w:rPr>
          <w:rFonts w:hAnsi="宋体"/>
          <w:b/>
          <w:color w:val="000000" w:themeColor="text1"/>
          <w:sz w:val="44"/>
          <w:szCs w:val="44"/>
          <w14:textFill>
            <w14:solidFill>
              <w14:schemeClr w14:val="tx1"/>
            </w14:solidFill>
          </w14:textFill>
        </w:rPr>
      </w:pPr>
    </w:p>
    <w:p w14:paraId="7C1F31A4">
      <w:pPr>
        <w:pStyle w:val="23"/>
        <w:spacing w:line="520" w:lineRule="exact"/>
        <w:jc w:val="center"/>
        <w:rPr>
          <w:rFonts w:hAnsi="宋体"/>
          <w:b/>
          <w:color w:val="000000" w:themeColor="text1"/>
          <w:sz w:val="44"/>
          <w:szCs w:val="44"/>
          <w14:textFill>
            <w14:solidFill>
              <w14:schemeClr w14:val="tx1"/>
            </w14:solidFill>
          </w14:textFill>
        </w:rPr>
      </w:pPr>
      <w:r>
        <w:rPr>
          <w:rFonts w:hint="eastAsia" w:hAnsi="宋体"/>
          <w:b/>
          <w:color w:val="000000" w:themeColor="text1"/>
          <w:sz w:val="44"/>
          <w:szCs w:val="44"/>
          <w14:textFill>
            <w14:solidFill>
              <w14:schemeClr w14:val="tx1"/>
            </w14:solidFill>
          </w14:textFill>
        </w:rPr>
        <w:t>法人授权委托书</w:t>
      </w:r>
    </w:p>
    <w:p w14:paraId="53C0528B">
      <w:pPr>
        <w:pStyle w:val="23"/>
        <w:spacing w:line="520" w:lineRule="exact"/>
        <w:ind w:firstLine="1110"/>
        <w:jc w:val="center"/>
        <w:rPr>
          <w:rFonts w:ascii="仿宋_GB2312" w:hAnsi="宋体" w:eastAsia="仿宋_GB2312"/>
          <w:b/>
          <w:bCs/>
          <w:color w:val="000000" w:themeColor="text1"/>
          <w:sz w:val="28"/>
          <w14:textFill>
            <w14:solidFill>
              <w14:schemeClr w14:val="tx1"/>
            </w14:solidFill>
          </w14:textFill>
        </w:rPr>
      </w:pPr>
    </w:p>
    <w:p w14:paraId="142B82FA">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本授权书声明：注册于</w:t>
      </w:r>
      <w:r>
        <w:rPr>
          <w:rFonts w:hint="eastAsia" w:ascii="仿宋_GB2312" w:hAnsi="宋体" w:eastAsia="仿宋_GB2312"/>
          <w:color w:val="000000" w:themeColor="text1"/>
          <w:sz w:val="30"/>
          <w:szCs w:val="30"/>
          <w:u w:val="single"/>
          <w14:textFill>
            <w14:solidFill>
              <w14:schemeClr w14:val="tx1"/>
            </w14:solidFill>
          </w14:textFill>
        </w:rPr>
        <w:t xml:space="preserve">   (国家或地区的名称)  </w:t>
      </w:r>
      <w:r>
        <w:rPr>
          <w:rFonts w:hint="eastAsia" w:ascii="仿宋_GB2312" w:hAnsi="宋体" w:eastAsia="仿宋_GB2312"/>
          <w:color w:val="000000" w:themeColor="text1"/>
          <w:sz w:val="30"/>
          <w:szCs w:val="30"/>
          <w14:textFill>
            <w14:solidFill>
              <w14:schemeClr w14:val="tx1"/>
            </w14:solidFill>
          </w14:textFill>
        </w:rPr>
        <w:t>的</w:t>
      </w:r>
      <w:r>
        <w:rPr>
          <w:rFonts w:hint="eastAsia" w:ascii="仿宋_GB2312" w:hAnsi="宋体" w:eastAsia="仿宋_GB2312"/>
          <w:color w:val="000000" w:themeColor="text1"/>
          <w:sz w:val="30"/>
          <w:szCs w:val="30"/>
          <w:u w:val="single"/>
          <w14:textFill>
            <w14:solidFill>
              <w14:schemeClr w14:val="tx1"/>
            </w14:solidFill>
          </w14:textFill>
        </w:rPr>
        <w:t xml:space="preserve">  (公司名称)  </w:t>
      </w:r>
      <w:r>
        <w:rPr>
          <w:rFonts w:hint="eastAsia" w:ascii="仿宋_GB2312" w:hAnsi="宋体" w:eastAsia="仿宋_GB2312"/>
          <w:color w:val="000000" w:themeColor="text1"/>
          <w:sz w:val="30"/>
          <w:szCs w:val="30"/>
          <w14:textFill>
            <w14:solidFill>
              <w14:schemeClr w14:val="tx1"/>
            </w14:solidFill>
          </w14:textFill>
        </w:rPr>
        <w:t>的</w:t>
      </w:r>
      <w:r>
        <w:rPr>
          <w:rFonts w:hint="eastAsia" w:ascii="仿宋_GB2312" w:hAnsi="宋体" w:eastAsia="仿宋_GB2312"/>
          <w:color w:val="000000" w:themeColor="text1"/>
          <w:sz w:val="30"/>
          <w:szCs w:val="30"/>
          <w:u w:val="single"/>
          <w14:textFill>
            <w14:solidFill>
              <w14:schemeClr w14:val="tx1"/>
            </w14:solidFill>
          </w14:textFill>
        </w:rPr>
        <w:t xml:space="preserve"> (法人代表姓名、职务)  </w:t>
      </w:r>
      <w:r>
        <w:rPr>
          <w:rFonts w:hint="eastAsia" w:ascii="仿宋_GB2312" w:hAnsi="宋体" w:eastAsia="仿宋_GB2312"/>
          <w:color w:val="000000" w:themeColor="text1"/>
          <w:sz w:val="30"/>
          <w:szCs w:val="30"/>
          <w14:textFill>
            <w14:solidFill>
              <w14:schemeClr w14:val="tx1"/>
            </w14:solidFill>
          </w14:textFill>
        </w:rPr>
        <w:t>，代表本公司授权</w:t>
      </w:r>
      <w:r>
        <w:rPr>
          <w:rFonts w:hint="eastAsia" w:ascii="仿宋_GB2312" w:hAnsi="宋体" w:eastAsia="仿宋_GB2312"/>
          <w:color w:val="000000" w:themeColor="text1"/>
          <w:sz w:val="30"/>
          <w:szCs w:val="30"/>
          <w:u w:val="single"/>
          <w14:textFill>
            <w14:solidFill>
              <w14:schemeClr w14:val="tx1"/>
            </w14:solidFill>
          </w14:textFill>
        </w:rPr>
        <w:t xml:space="preserve">  (被授权单位名称)  </w:t>
      </w:r>
      <w:r>
        <w:rPr>
          <w:rFonts w:hint="eastAsia" w:ascii="仿宋_GB2312" w:hAnsi="宋体" w:eastAsia="仿宋_GB2312"/>
          <w:color w:val="000000" w:themeColor="text1"/>
          <w:sz w:val="30"/>
          <w:szCs w:val="30"/>
          <w14:textFill>
            <w14:solidFill>
              <w14:schemeClr w14:val="tx1"/>
            </w14:solidFill>
          </w14:textFill>
        </w:rPr>
        <w:t>的</w:t>
      </w:r>
      <w:r>
        <w:rPr>
          <w:rFonts w:hint="eastAsia" w:ascii="仿宋_GB2312" w:hAnsi="宋体" w:eastAsia="仿宋_GB2312"/>
          <w:color w:val="000000" w:themeColor="text1"/>
          <w:sz w:val="30"/>
          <w:szCs w:val="30"/>
          <w:u w:val="single"/>
          <w14:textFill>
            <w14:solidFill>
              <w14:schemeClr w14:val="tx1"/>
            </w14:solidFill>
          </w14:textFill>
        </w:rPr>
        <w:t xml:space="preserve">        (被授权人的姓名、职务)</w:t>
      </w:r>
      <w:r>
        <w:rPr>
          <w:rFonts w:hint="eastAsia" w:ascii="仿宋_GB2312" w:hAnsi="宋体" w:eastAsia="仿宋_GB2312"/>
          <w:color w:val="000000" w:themeColor="text1"/>
          <w:sz w:val="30"/>
          <w:szCs w:val="30"/>
          <w14:textFill>
            <w14:solidFill>
              <w14:schemeClr w14:val="tx1"/>
            </w14:solidFill>
          </w14:textFill>
        </w:rPr>
        <w:t>为本公司的合法代理人，参加编号为</w:t>
      </w:r>
      <w:r>
        <w:rPr>
          <w:rFonts w:hint="eastAsia" w:ascii="仿宋_GB2312" w:hAnsi="宋体" w:eastAsia="仿宋_GB2312"/>
          <w:color w:val="000000" w:themeColor="text1"/>
          <w:sz w:val="30"/>
          <w:szCs w:val="30"/>
          <w:lang w:eastAsia="zh-CN"/>
          <w14:textFill>
            <w14:solidFill>
              <w14:schemeClr w14:val="tx1"/>
            </w14:solidFill>
          </w14:textFill>
        </w:rPr>
        <w:t>WHHGYSDGQ2026-10</w:t>
      </w:r>
      <w:r>
        <w:rPr>
          <w:rFonts w:hint="eastAsia" w:ascii="仿宋_GB2312" w:hAnsi="宋体" w:eastAsia="仿宋_GB2312"/>
          <w:color w:val="000000" w:themeColor="text1"/>
          <w:sz w:val="30"/>
          <w:szCs w:val="30"/>
          <w14:textFill>
            <w14:solidFill>
              <w14:schemeClr w14:val="tx1"/>
            </w14:solidFill>
          </w14:textFill>
        </w:rPr>
        <w:t>号的公开招标采购活动，以本公司名义处理一切与之有关的事宜。</w:t>
      </w:r>
    </w:p>
    <w:p w14:paraId="644C7A8C">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如果本公司在此次采购活动中中标，被授权人有权代表本公司签署合同。</w:t>
      </w:r>
    </w:p>
    <w:p w14:paraId="650642DF">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本授权书于年月日法定代表人签字或盖章并由被授权人签字、单位盖章生效，特此声明。</w:t>
      </w:r>
    </w:p>
    <w:p w14:paraId="3C404213">
      <w:pPr>
        <w:pStyle w:val="23"/>
        <w:spacing w:line="520" w:lineRule="exact"/>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 xml:space="preserve">    被授权人无转委托权。</w:t>
      </w:r>
    </w:p>
    <w:p w14:paraId="08339D4F">
      <w:pPr>
        <w:pStyle w:val="23"/>
        <w:spacing w:line="520" w:lineRule="exact"/>
        <w:ind w:firstLine="1111"/>
        <w:rPr>
          <w:rFonts w:ascii="仿宋_GB2312" w:hAnsi="宋体" w:eastAsia="仿宋_GB2312"/>
          <w:color w:val="000000" w:themeColor="text1"/>
          <w:sz w:val="30"/>
          <w:szCs w:val="30"/>
          <w14:textFill>
            <w14:solidFill>
              <w14:schemeClr w14:val="tx1"/>
            </w14:solidFill>
          </w14:textFill>
        </w:rPr>
      </w:pPr>
    </w:p>
    <w:p w14:paraId="3F26A156">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法定代表人签字或盖章：</w:t>
      </w:r>
    </w:p>
    <w:p w14:paraId="48083E94">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被授权人签字：</w:t>
      </w:r>
    </w:p>
    <w:p w14:paraId="7F55818A">
      <w:pPr>
        <w:pStyle w:val="23"/>
        <w:spacing w:line="520" w:lineRule="exact"/>
        <w:ind w:firstLine="600" w:firstLineChars="200"/>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投标人公章:</w:t>
      </w:r>
    </w:p>
    <w:tbl>
      <w:tblPr>
        <w:tblStyle w:val="46"/>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1"/>
      </w:tblGrid>
      <w:tr w14:paraId="4CE89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4961" w:type="dxa"/>
            <w:vAlign w:val="center"/>
          </w:tcPr>
          <w:p w14:paraId="0E5779CE">
            <w:pPr>
              <w:pStyle w:val="39"/>
              <w:spacing w:line="440" w:lineRule="exact"/>
              <w:jc w:val="center"/>
              <w:rPr>
                <w:rFonts w:ascii="仿宋_GB2312" w:eastAsia="仿宋_GB2312"/>
                <w:color w:val="000000" w:themeColor="text1"/>
                <w14:textFill>
                  <w14:solidFill>
                    <w14:schemeClr w14:val="tx1"/>
                  </w14:solidFill>
                </w14:textFill>
              </w:rPr>
            </w:pPr>
            <w:r>
              <w:rPr>
                <w:rFonts w:hint="eastAsia" w:ascii="仿宋_GB2312" w:eastAsia="仿宋_GB2312"/>
                <w:color w:val="000000" w:themeColor="text1"/>
                <w:kern w:val="2"/>
                <w14:textFill>
                  <w14:solidFill>
                    <w14:schemeClr w14:val="tx1"/>
                  </w14:solidFill>
                </w14:textFill>
              </w:rPr>
              <w:t>（被授权人身份证扫描件）</w:t>
            </w:r>
          </w:p>
        </w:tc>
      </w:tr>
    </w:tbl>
    <w:p w14:paraId="113F86DB">
      <w:pPr>
        <w:pStyle w:val="23"/>
        <w:spacing w:line="520" w:lineRule="exact"/>
        <w:jc w:val="center"/>
        <w:rPr>
          <w:rFonts w:ascii="仿宋_GB2312" w:hAnsi="宋体" w:eastAsia="仿宋_GB2312"/>
          <w:b/>
          <w:color w:val="000000" w:themeColor="text1"/>
          <w:sz w:val="36"/>
          <w14:textFill>
            <w14:solidFill>
              <w14:schemeClr w14:val="tx1"/>
            </w14:solidFill>
          </w14:textFill>
        </w:rPr>
      </w:pPr>
    </w:p>
    <w:p w14:paraId="4D253EB9">
      <w:pPr>
        <w:rPr>
          <w:rFonts w:ascii="仿宋_GB2312" w:eastAsia="仿宋_GB2312"/>
          <w:color w:val="000000" w:themeColor="text1"/>
          <w14:textFill>
            <w14:solidFill>
              <w14:schemeClr w14:val="tx1"/>
            </w14:solidFill>
          </w14:textFill>
        </w:rPr>
      </w:pPr>
    </w:p>
    <w:p w14:paraId="28E41DC5">
      <w:pPr>
        <w:rPr>
          <w:rFonts w:ascii="仿宋_GB2312" w:eastAsia="仿宋_GB2312"/>
          <w:color w:val="000000" w:themeColor="text1"/>
          <w14:textFill>
            <w14:solidFill>
              <w14:schemeClr w14:val="tx1"/>
            </w14:solidFill>
          </w14:textFill>
        </w:rPr>
      </w:pPr>
    </w:p>
    <w:p w14:paraId="5256CAE2">
      <w:pPr>
        <w:rPr>
          <w:rFonts w:ascii="仿宋_GB2312" w:eastAsia="仿宋_GB2312"/>
          <w:color w:val="000000" w:themeColor="text1"/>
          <w14:textFill>
            <w14:solidFill>
              <w14:schemeClr w14:val="tx1"/>
            </w14:solidFill>
          </w14:textFill>
        </w:rPr>
      </w:pPr>
    </w:p>
    <w:p w14:paraId="66B22268">
      <w:pPr>
        <w:rPr>
          <w:rFonts w:ascii="仿宋_GB2312" w:eastAsia="仿宋_GB2312"/>
          <w:color w:val="000000" w:themeColor="text1"/>
          <w14:textFill>
            <w14:solidFill>
              <w14:schemeClr w14:val="tx1"/>
            </w14:solidFill>
          </w14:textFill>
        </w:rPr>
      </w:pPr>
    </w:p>
    <w:p w14:paraId="5ADED59C">
      <w:pPr>
        <w:rPr>
          <w:rFonts w:ascii="仿宋_GB2312" w:eastAsia="仿宋_GB2312"/>
          <w:color w:val="000000" w:themeColor="text1"/>
          <w14:textFill>
            <w14:solidFill>
              <w14:schemeClr w14:val="tx1"/>
            </w14:solidFill>
          </w14:textFill>
        </w:rPr>
      </w:pPr>
    </w:p>
    <w:p w14:paraId="31B595BE">
      <w:pPr>
        <w:ind w:firstLine="420" w:firstLineChars="200"/>
        <w:rPr>
          <w:rFonts w:ascii="仿宋_GB2312" w:eastAsia="仿宋_GB2312"/>
          <w:color w:val="000000" w:themeColor="text1"/>
          <w14:textFill>
            <w14:solidFill>
              <w14:schemeClr w14:val="tx1"/>
            </w14:solidFill>
          </w14:textFill>
        </w:rPr>
      </w:pPr>
    </w:p>
    <w:p w14:paraId="1E3E6C39">
      <w:pPr>
        <w:ind w:firstLine="420" w:firstLineChars="200"/>
        <w:rPr>
          <w:rFonts w:ascii="仿宋_GB2312" w:eastAsia="仿宋_GB2312"/>
          <w:color w:val="000000" w:themeColor="text1"/>
          <w14:textFill>
            <w14:solidFill>
              <w14:schemeClr w14:val="tx1"/>
            </w14:solidFill>
          </w14:textFill>
        </w:rPr>
      </w:pPr>
    </w:p>
    <w:p w14:paraId="5BCA8426">
      <w:pPr>
        <w:ind w:firstLine="420" w:firstLineChars="200"/>
        <w:rPr>
          <w:rFonts w:ascii="仿宋_GB2312" w:eastAsia="仿宋_GB2312"/>
          <w:color w:val="000000" w:themeColor="text1"/>
          <w14:textFill>
            <w14:solidFill>
              <w14:schemeClr w14:val="tx1"/>
            </w14:solidFill>
          </w14:textFill>
        </w:rPr>
      </w:pPr>
    </w:p>
    <w:p w14:paraId="033C7D8D">
      <w:pPr>
        <w:ind w:firstLine="420" w:firstLineChars="200"/>
        <w:rPr>
          <w:rFonts w:ascii="仿宋_GB2312" w:eastAsia="仿宋_GB2312"/>
          <w:color w:val="000000" w:themeColor="text1"/>
          <w14:textFill>
            <w14:solidFill>
              <w14:schemeClr w14:val="tx1"/>
            </w14:solidFill>
          </w14:textFill>
        </w:rPr>
      </w:pPr>
    </w:p>
    <w:p w14:paraId="42A9323C">
      <w:pPr>
        <w:ind w:firstLine="420" w:firstLineChars="200"/>
        <w:rPr>
          <w:rFonts w:ascii="仿宋_GB2312" w:eastAsia="仿宋_GB2312"/>
          <w:color w:val="000000" w:themeColor="text1"/>
          <w14:textFill>
            <w14:solidFill>
              <w14:schemeClr w14:val="tx1"/>
            </w14:solidFill>
          </w14:textFill>
        </w:rPr>
      </w:pPr>
    </w:p>
    <w:p w14:paraId="6FF9017C">
      <w:pPr>
        <w:spacing w:line="560" w:lineRule="exact"/>
        <w:jc w:val="center"/>
        <w:rPr>
          <w:rFonts w:ascii="宋体" w:hAnsi="宋体"/>
          <w:b/>
          <w:color w:val="000000" w:themeColor="text1"/>
          <w:sz w:val="44"/>
          <w:szCs w:val="44"/>
          <w14:textFill>
            <w14:solidFill>
              <w14:schemeClr w14:val="tx1"/>
            </w14:solidFill>
          </w14:textFill>
        </w:rPr>
      </w:pPr>
    </w:p>
    <w:p w14:paraId="250ED172">
      <w:pPr>
        <w:spacing w:line="560" w:lineRule="exact"/>
        <w:jc w:val="center"/>
        <w:rPr>
          <w:rFonts w:ascii="宋体" w:hAnsi="宋体"/>
          <w:b/>
          <w:color w:val="000000" w:themeColor="text1"/>
          <w:sz w:val="44"/>
          <w:szCs w:val="44"/>
          <w14:textFill>
            <w14:solidFill>
              <w14:schemeClr w14:val="tx1"/>
            </w14:solidFill>
          </w14:textFill>
        </w:rPr>
      </w:pPr>
    </w:p>
    <w:p w14:paraId="03E82BBD">
      <w:pPr>
        <w:widowControl/>
        <w:jc w:val="left"/>
        <w:rPr>
          <w:rFonts w:ascii="宋体" w:hAnsi="宋体"/>
          <w:b/>
          <w:color w:val="000000" w:themeColor="text1"/>
          <w:sz w:val="44"/>
          <w:szCs w:val="44"/>
          <w14:textFill>
            <w14:solidFill>
              <w14:schemeClr w14:val="tx1"/>
            </w14:solidFill>
          </w14:textFill>
        </w:rPr>
      </w:pPr>
      <w:r>
        <w:rPr>
          <w:rFonts w:ascii="宋体" w:hAnsi="宋体"/>
          <w:b/>
          <w:color w:val="000000" w:themeColor="text1"/>
          <w:sz w:val="44"/>
          <w:szCs w:val="44"/>
          <w14:textFill>
            <w14:solidFill>
              <w14:schemeClr w14:val="tx1"/>
            </w14:solidFill>
          </w14:textFill>
        </w:rPr>
        <w:br w:type="page"/>
      </w:r>
    </w:p>
    <w:p w14:paraId="4485D7AF">
      <w:pPr>
        <w:spacing w:line="560" w:lineRule="exact"/>
        <w:jc w:val="center"/>
        <w:rPr>
          <w:rFonts w:ascii="宋体" w:hAnsi="宋体"/>
          <w:b/>
          <w:color w:val="000000" w:themeColor="text1"/>
          <w:sz w:val="44"/>
          <w:szCs w:val="44"/>
          <w14:textFill>
            <w14:solidFill>
              <w14:schemeClr w14:val="tx1"/>
            </w14:solidFill>
          </w14:textFill>
        </w:rPr>
      </w:pPr>
      <w:r>
        <w:rPr>
          <w:rFonts w:hint="eastAsia" w:ascii="宋体" w:hAnsi="宋体"/>
          <w:b/>
          <w:color w:val="000000" w:themeColor="text1"/>
          <w:sz w:val="44"/>
          <w:szCs w:val="44"/>
          <w14:textFill>
            <w14:solidFill>
              <w14:schemeClr w14:val="tx1"/>
            </w14:solidFill>
          </w14:textFill>
        </w:rPr>
        <w:t>投标人的依法缴纳税收和社会保障资金的声明</w:t>
      </w:r>
    </w:p>
    <w:p w14:paraId="5DB0232C">
      <w:pPr>
        <w:spacing w:line="560" w:lineRule="exact"/>
        <w:jc w:val="center"/>
        <w:rPr>
          <w:rFonts w:ascii="宋体" w:hAnsi="宋体"/>
          <w:b/>
          <w:color w:val="000000" w:themeColor="text1"/>
          <w:sz w:val="44"/>
          <w:szCs w:val="44"/>
          <w14:textFill>
            <w14:solidFill>
              <w14:schemeClr w14:val="tx1"/>
            </w14:solidFill>
          </w14:textFill>
        </w:rPr>
      </w:pPr>
    </w:p>
    <w:p w14:paraId="49423D94">
      <w:pPr>
        <w:spacing w:line="560" w:lineRule="exact"/>
        <w:jc w:val="center"/>
        <w:rPr>
          <w:rFonts w:ascii="宋体" w:hAnsi="宋体"/>
          <w:b/>
          <w:color w:val="000000" w:themeColor="text1"/>
          <w:sz w:val="44"/>
          <w:szCs w:val="44"/>
          <w14:textFill>
            <w14:solidFill>
              <w14:schemeClr w14:val="tx1"/>
            </w14:solidFill>
          </w14:textFill>
        </w:rPr>
      </w:pPr>
    </w:p>
    <w:p w14:paraId="0D413481">
      <w:pPr>
        <w:spacing w:line="560" w:lineRule="exact"/>
        <w:jc w:val="center"/>
        <w:rPr>
          <w:rFonts w:ascii="宋体" w:hAnsi="宋体"/>
          <w:b/>
          <w:color w:val="000000" w:themeColor="text1"/>
          <w:sz w:val="44"/>
          <w:szCs w:val="44"/>
          <w14:textFill>
            <w14:solidFill>
              <w14:schemeClr w14:val="tx1"/>
            </w14:solidFill>
          </w14:textFill>
        </w:rPr>
      </w:pPr>
    </w:p>
    <w:p w14:paraId="1987F542">
      <w:pPr>
        <w:spacing w:line="560" w:lineRule="exact"/>
        <w:jc w:val="center"/>
        <w:rPr>
          <w:rFonts w:ascii="宋体" w:hAnsi="宋体"/>
          <w:b/>
          <w:color w:val="000000" w:themeColor="text1"/>
          <w:sz w:val="44"/>
          <w:szCs w:val="44"/>
          <w14:textFill>
            <w14:solidFill>
              <w14:schemeClr w14:val="tx1"/>
            </w14:solidFill>
          </w14:textFill>
        </w:rPr>
      </w:pPr>
    </w:p>
    <w:p w14:paraId="0FD8A7E4">
      <w:pPr>
        <w:spacing w:line="560" w:lineRule="exact"/>
        <w:jc w:val="center"/>
        <w:rPr>
          <w:rFonts w:ascii="宋体" w:hAnsi="宋体"/>
          <w:b/>
          <w:color w:val="000000" w:themeColor="text1"/>
          <w:sz w:val="44"/>
          <w:szCs w:val="44"/>
          <w14:textFill>
            <w14:solidFill>
              <w14:schemeClr w14:val="tx1"/>
            </w14:solidFill>
          </w14:textFill>
        </w:rPr>
      </w:pPr>
    </w:p>
    <w:p w14:paraId="05AD912D">
      <w:pPr>
        <w:spacing w:line="560" w:lineRule="exact"/>
        <w:jc w:val="center"/>
        <w:rPr>
          <w:rFonts w:ascii="宋体" w:hAnsi="宋体"/>
          <w:b/>
          <w:color w:val="000000" w:themeColor="text1"/>
          <w:sz w:val="44"/>
          <w:szCs w:val="44"/>
          <w14:textFill>
            <w14:solidFill>
              <w14:schemeClr w14:val="tx1"/>
            </w14:solidFill>
          </w14:textFill>
        </w:rPr>
      </w:pPr>
    </w:p>
    <w:p w14:paraId="6EA7196D">
      <w:pPr>
        <w:spacing w:line="560" w:lineRule="exact"/>
        <w:jc w:val="center"/>
        <w:rPr>
          <w:rFonts w:ascii="宋体" w:hAnsi="宋体"/>
          <w:b/>
          <w:color w:val="000000" w:themeColor="text1"/>
          <w:sz w:val="44"/>
          <w:szCs w:val="44"/>
          <w14:textFill>
            <w14:solidFill>
              <w14:schemeClr w14:val="tx1"/>
            </w14:solidFill>
          </w14:textFill>
        </w:rPr>
      </w:pPr>
    </w:p>
    <w:p w14:paraId="1B875FA3">
      <w:pPr>
        <w:spacing w:line="560" w:lineRule="exact"/>
        <w:jc w:val="center"/>
        <w:rPr>
          <w:rFonts w:ascii="宋体" w:hAnsi="宋体"/>
          <w:b/>
          <w:color w:val="000000" w:themeColor="text1"/>
          <w:sz w:val="44"/>
          <w:szCs w:val="44"/>
          <w14:textFill>
            <w14:solidFill>
              <w14:schemeClr w14:val="tx1"/>
            </w14:solidFill>
          </w14:textFill>
        </w:rPr>
      </w:pPr>
    </w:p>
    <w:p w14:paraId="336CBF91">
      <w:pPr>
        <w:spacing w:line="560" w:lineRule="exact"/>
        <w:jc w:val="center"/>
        <w:rPr>
          <w:rFonts w:ascii="宋体" w:hAnsi="宋体"/>
          <w:b/>
          <w:color w:val="000000" w:themeColor="text1"/>
          <w:sz w:val="44"/>
          <w:szCs w:val="44"/>
          <w14:textFill>
            <w14:solidFill>
              <w14:schemeClr w14:val="tx1"/>
            </w14:solidFill>
          </w14:textFill>
        </w:rPr>
      </w:pPr>
    </w:p>
    <w:p w14:paraId="6DFDDEDC">
      <w:pPr>
        <w:spacing w:line="560" w:lineRule="exact"/>
        <w:jc w:val="center"/>
        <w:rPr>
          <w:rFonts w:ascii="宋体" w:hAnsi="宋体"/>
          <w:b/>
          <w:color w:val="000000" w:themeColor="text1"/>
          <w:sz w:val="44"/>
          <w:szCs w:val="44"/>
          <w14:textFill>
            <w14:solidFill>
              <w14:schemeClr w14:val="tx1"/>
            </w14:solidFill>
          </w14:textFill>
        </w:rPr>
      </w:pPr>
    </w:p>
    <w:p w14:paraId="3F5B9F2C">
      <w:pPr>
        <w:spacing w:line="560" w:lineRule="exact"/>
        <w:jc w:val="center"/>
        <w:rPr>
          <w:rFonts w:ascii="宋体" w:hAnsi="宋体"/>
          <w:b/>
          <w:color w:val="000000" w:themeColor="text1"/>
          <w:sz w:val="44"/>
          <w:szCs w:val="44"/>
          <w14:textFill>
            <w14:solidFill>
              <w14:schemeClr w14:val="tx1"/>
            </w14:solidFill>
          </w14:textFill>
        </w:rPr>
      </w:pPr>
    </w:p>
    <w:p w14:paraId="38F64190">
      <w:pPr>
        <w:spacing w:line="560" w:lineRule="exact"/>
        <w:jc w:val="center"/>
        <w:rPr>
          <w:rFonts w:ascii="宋体" w:hAnsi="宋体"/>
          <w:b/>
          <w:color w:val="000000" w:themeColor="text1"/>
          <w:sz w:val="44"/>
          <w:szCs w:val="44"/>
          <w14:textFill>
            <w14:solidFill>
              <w14:schemeClr w14:val="tx1"/>
            </w14:solidFill>
          </w14:textFill>
        </w:rPr>
      </w:pPr>
    </w:p>
    <w:p w14:paraId="5A3DFE56">
      <w:pPr>
        <w:spacing w:line="560" w:lineRule="exact"/>
        <w:jc w:val="center"/>
        <w:rPr>
          <w:rFonts w:ascii="宋体" w:hAnsi="宋体"/>
          <w:b/>
          <w:color w:val="000000" w:themeColor="text1"/>
          <w:sz w:val="44"/>
          <w:szCs w:val="44"/>
          <w14:textFill>
            <w14:solidFill>
              <w14:schemeClr w14:val="tx1"/>
            </w14:solidFill>
          </w14:textFill>
        </w:rPr>
      </w:pPr>
    </w:p>
    <w:p w14:paraId="17531EF5">
      <w:pPr>
        <w:spacing w:line="560" w:lineRule="exact"/>
        <w:jc w:val="center"/>
        <w:rPr>
          <w:rFonts w:ascii="宋体" w:hAnsi="宋体"/>
          <w:b/>
          <w:color w:val="000000" w:themeColor="text1"/>
          <w:sz w:val="44"/>
          <w:szCs w:val="44"/>
          <w14:textFill>
            <w14:solidFill>
              <w14:schemeClr w14:val="tx1"/>
            </w14:solidFill>
          </w14:textFill>
        </w:rPr>
      </w:pPr>
    </w:p>
    <w:p w14:paraId="6AD75E30">
      <w:pPr>
        <w:spacing w:line="560" w:lineRule="exact"/>
        <w:jc w:val="center"/>
        <w:rPr>
          <w:rFonts w:ascii="宋体" w:hAnsi="宋体"/>
          <w:b/>
          <w:color w:val="000000" w:themeColor="text1"/>
          <w:sz w:val="44"/>
          <w:szCs w:val="44"/>
          <w14:textFill>
            <w14:solidFill>
              <w14:schemeClr w14:val="tx1"/>
            </w14:solidFill>
          </w14:textFill>
        </w:rPr>
      </w:pPr>
    </w:p>
    <w:p w14:paraId="634558B0">
      <w:pPr>
        <w:spacing w:line="560" w:lineRule="exact"/>
        <w:jc w:val="center"/>
        <w:rPr>
          <w:rFonts w:ascii="宋体" w:hAnsi="宋体"/>
          <w:b/>
          <w:color w:val="000000" w:themeColor="text1"/>
          <w:sz w:val="44"/>
          <w:szCs w:val="44"/>
          <w14:textFill>
            <w14:solidFill>
              <w14:schemeClr w14:val="tx1"/>
            </w14:solidFill>
          </w14:textFill>
        </w:rPr>
      </w:pPr>
    </w:p>
    <w:p w14:paraId="76683E83">
      <w:pPr>
        <w:spacing w:line="560" w:lineRule="exact"/>
        <w:jc w:val="center"/>
        <w:rPr>
          <w:rFonts w:ascii="宋体" w:hAnsi="宋体"/>
          <w:b/>
          <w:color w:val="000000" w:themeColor="text1"/>
          <w:sz w:val="44"/>
          <w:szCs w:val="44"/>
          <w14:textFill>
            <w14:solidFill>
              <w14:schemeClr w14:val="tx1"/>
            </w14:solidFill>
          </w14:textFill>
        </w:rPr>
      </w:pPr>
    </w:p>
    <w:p w14:paraId="18331AFB">
      <w:pPr>
        <w:spacing w:line="560" w:lineRule="exact"/>
        <w:jc w:val="center"/>
        <w:rPr>
          <w:rFonts w:ascii="宋体" w:hAnsi="宋体"/>
          <w:b/>
          <w:color w:val="000000" w:themeColor="text1"/>
          <w:sz w:val="44"/>
          <w:szCs w:val="44"/>
          <w14:textFill>
            <w14:solidFill>
              <w14:schemeClr w14:val="tx1"/>
            </w14:solidFill>
          </w14:textFill>
        </w:rPr>
      </w:pPr>
    </w:p>
    <w:p w14:paraId="7B9EDE88">
      <w:pPr>
        <w:spacing w:line="560" w:lineRule="exact"/>
        <w:jc w:val="center"/>
        <w:rPr>
          <w:rFonts w:ascii="宋体" w:hAnsi="宋体"/>
          <w:b/>
          <w:color w:val="000000" w:themeColor="text1"/>
          <w:sz w:val="44"/>
          <w:szCs w:val="44"/>
          <w14:textFill>
            <w14:solidFill>
              <w14:schemeClr w14:val="tx1"/>
            </w14:solidFill>
          </w14:textFill>
        </w:rPr>
      </w:pPr>
    </w:p>
    <w:p w14:paraId="18CBEEF6">
      <w:pPr>
        <w:spacing w:line="560" w:lineRule="exact"/>
        <w:jc w:val="center"/>
        <w:rPr>
          <w:rFonts w:ascii="宋体" w:hAnsi="宋体"/>
          <w:b/>
          <w:color w:val="000000" w:themeColor="text1"/>
          <w:sz w:val="44"/>
          <w:szCs w:val="44"/>
          <w14:textFill>
            <w14:solidFill>
              <w14:schemeClr w14:val="tx1"/>
            </w14:solidFill>
          </w14:textFill>
        </w:rPr>
      </w:pPr>
    </w:p>
    <w:p w14:paraId="629B080A">
      <w:pPr>
        <w:ind w:right="600"/>
        <w:jc w:val="center"/>
        <w:rPr>
          <w:rFonts w:ascii="仿宋_GB2312" w:hAnsi="宋体" w:eastAsia="仿宋_GB2312"/>
          <w:color w:val="000000" w:themeColor="text1"/>
          <w:sz w:val="30"/>
          <w:szCs w:val="30"/>
          <w:u w:val="single"/>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投标人(盖章)：</w:t>
      </w:r>
    </w:p>
    <w:p w14:paraId="70905C12">
      <w:pPr>
        <w:spacing w:line="560" w:lineRule="exact"/>
        <w:rPr>
          <w:rFonts w:ascii="宋体" w:hAnsi="宋体"/>
          <w:b/>
          <w:color w:val="000000" w:themeColor="text1"/>
          <w:sz w:val="44"/>
          <w:szCs w:val="44"/>
          <w14:textFill>
            <w14:solidFill>
              <w14:schemeClr w14:val="tx1"/>
            </w14:solidFill>
          </w14:textFill>
        </w:rPr>
        <w:sectPr>
          <w:pgSz w:w="11906" w:h="16838"/>
          <w:pgMar w:top="1440" w:right="1080" w:bottom="1440" w:left="1080" w:header="851" w:footer="992" w:gutter="0"/>
          <w:cols w:space="720" w:num="1"/>
          <w:docGrid w:type="lines" w:linePitch="312" w:charSpace="0"/>
        </w:sectPr>
      </w:pPr>
    </w:p>
    <w:p w14:paraId="595A2123">
      <w:pPr>
        <w:spacing w:line="560" w:lineRule="exact"/>
        <w:jc w:val="center"/>
        <w:rPr>
          <w:rFonts w:ascii="宋体" w:hAnsi="宋体"/>
          <w:b/>
          <w:color w:val="000000" w:themeColor="text1"/>
          <w:sz w:val="44"/>
          <w:szCs w:val="44"/>
          <w14:textFill>
            <w14:solidFill>
              <w14:schemeClr w14:val="tx1"/>
            </w14:solidFill>
          </w14:textFill>
        </w:rPr>
      </w:pPr>
      <w:r>
        <w:rPr>
          <w:rFonts w:hint="eastAsia" w:ascii="宋体" w:hAnsi="宋体"/>
          <w:b/>
          <w:color w:val="000000" w:themeColor="text1"/>
          <w:sz w:val="44"/>
          <w:szCs w:val="44"/>
          <w14:textFill>
            <w14:solidFill>
              <w14:schemeClr w14:val="tx1"/>
            </w14:solidFill>
          </w14:textFill>
        </w:rPr>
        <w:t>投标人近期的完税凭证扫描件</w:t>
      </w:r>
    </w:p>
    <w:p w14:paraId="71B622E3">
      <w:pPr>
        <w:spacing w:line="560" w:lineRule="exact"/>
        <w:jc w:val="center"/>
        <w:rPr>
          <w:rFonts w:ascii="宋体" w:hAnsi="宋体"/>
          <w:b/>
          <w:color w:val="000000" w:themeColor="text1"/>
          <w:sz w:val="44"/>
          <w:szCs w:val="44"/>
          <w14:textFill>
            <w14:solidFill>
              <w14:schemeClr w14:val="tx1"/>
            </w14:solidFill>
          </w14:textFill>
        </w:rPr>
      </w:pPr>
    </w:p>
    <w:p w14:paraId="7365633C">
      <w:pPr>
        <w:spacing w:line="560" w:lineRule="exact"/>
        <w:jc w:val="center"/>
        <w:rPr>
          <w:rFonts w:ascii="宋体" w:hAnsi="宋体"/>
          <w:b/>
          <w:color w:val="000000" w:themeColor="text1"/>
          <w:sz w:val="44"/>
          <w:szCs w:val="44"/>
          <w14:textFill>
            <w14:solidFill>
              <w14:schemeClr w14:val="tx1"/>
            </w14:solidFill>
          </w14:textFill>
        </w:rPr>
      </w:pPr>
    </w:p>
    <w:p w14:paraId="139CEFE8">
      <w:pPr>
        <w:spacing w:line="560" w:lineRule="exact"/>
        <w:jc w:val="center"/>
        <w:rPr>
          <w:rFonts w:ascii="宋体" w:hAnsi="宋体"/>
          <w:b/>
          <w:color w:val="000000" w:themeColor="text1"/>
          <w:sz w:val="44"/>
          <w:szCs w:val="44"/>
          <w14:textFill>
            <w14:solidFill>
              <w14:schemeClr w14:val="tx1"/>
            </w14:solidFill>
          </w14:textFill>
        </w:rPr>
      </w:pPr>
    </w:p>
    <w:p w14:paraId="06AC5B8B">
      <w:pPr>
        <w:spacing w:line="560" w:lineRule="exact"/>
        <w:jc w:val="center"/>
        <w:rPr>
          <w:rFonts w:ascii="宋体" w:hAnsi="宋体"/>
          <w:b/>
          <w:color w:val="000000" w:themeColor="text1"/>
          <w:sz w:val="44"/>
          <w:szCs w:val="44"/>
          <w14:textFill>
            <w14:solidFill>
              <w14:schemeClr w14:val="tx1"/>
            </w14:solidFill>
          </w14:textFill>
        </w:rPr>
      </w:pPr>
    </w:p>
    <w:p w14:paraId="1D40A92F">
      <w:pPr>
        <w:spacing w:line="560" w:lineRule="exact"/>
        <w:jc w:val="center"/>
        <w:rPr>
          <w:rFonts w:ascii="宋体" w:hAnsi="宋体"/>
          <w:b/>
          <w:color w:val="000000" w:themeColor="text1"/>
          <w:sz w:val="44"/>
          <w:szCs w:val="44"/>
          <w14:textFill>
            <w14:solidFill>
              <w14:schemeClr w14:val="tx1"/>
            </w14:solidFill>
          </w14:textFill>
        </w:rPr>
      </w:pPr>
    </w:p>
    <w:p w14:paraId="54A720B4">
      <w:pPr>
        <w:spacing w:line="560" w:lineRule="exact"/>
        <w:jc w:val="center"/>
        <w:rPr>
          <w:rFonts w:ascii="宋体" w:hAnsi="宋体"/>
          <w:b/>
          <w:color w:val="000000" w:themeColor="text1"/>
          <w:sz w:val="44"/>
          <w:szCs w:val="44"/>
          <w14:textFill>
            <w14:solidFill>
              <w14:schemeClr w14:val="tx1"/>
            </w14:solidFill>
          </w14:textFill>
        </w:rPr>
      </w:pPr>
    </w:p>
    <w:p w14:paraId="2A9E6ECF">
      <w:pPr>
        <w:spacing w:line="560" w:lineRule="exact"/>
        <w:jc w:val="center"/>
        <w:rPr>
          <w:rFonts w:ascii="宋体" w:hAnsi="宋体"/>
          <w:b/>
          <w:color w:val="000000" w:themeColor="text1"/>
          <w:sz w:val="44"/>
          <w:szCs w:val="44"/>
          <w14:textFill>
            <w14:solidFill>
              <w14:schemeClr w14:val="tx1"/>
            </w14:solidFill>
          </w14:textFill>
        </w:rPr>
      </w:pPr>
    </w:p>
    <w:p w14:paraId="1B0DD7BD">
      <w:pPr>
        <w:spacing w:line="560" w:lineRule="exact"/>
        <w:jc w:val="center"/>
        <w:rPr>
          <w:rFonts w:ascii="宋体" w:hAnsi="宋体"/>
          <w:b/>
          <w:color w:val="000000" w:themeColor="text1"/>
          <w:sz w:val="44"/>
          <w:szCs w:val="44"/>
          <w14:textFill>
            <w14:solidFill>
              <w14:schemeClr w14:val="tx1"/>
            </w14:solidFill>
          </w14:textFill>
        </w:rPr>
      </w:pPr>
    </w:p>
    <w:p w14:paraId="7D1A2DA5">
      <w:pPr>
        <w:spacing w:line="560" w:lineRule="exact"/>
        <w:jc w:val="center"/>
        <w:rPr>
          <w:rFonts w:ascii="宋体" w:hAnsi="宋体"/>
          <w:b/>
          <w:color w:val="000000" w:themeColor="text1"/>
          <w:sz w:val="44"/>
          <w:szCs w:val="44"/>
          <w14:textFill>
            <w14:solidFill>
              <w14:schemeClr w14:val="tx1"/>
            </w14:solidFill>
          </w14:textFill>
        </w:rPr>
      </w:pPr>
    </w:p>
    <w:p w14:paraId="705617C9">
      <w:pPr>
        <w:spacing w:line="560" w:lineRule="exact"/>
        <w:jc w:val="center"/>
        <w:rPr>
          <w:rFonts w:ascii="宋体" w:hAnsi="宋体"/>
          <w:b/>
          <w:color w:val="000000" w:themeColor="text1"/>
          <w:sz w:val="44"/>
          <w:szCs w:val="44"/>
          <w14:textFill>
            <w14:solidFill>
              <w14:schemeClr w14:val="tx1"/>
            </w14:solidFill>
          </w14:textFill>
        </w:rPr>
      </w:pPr>
    </w:p>
    <w:p w14:paraId="31DB7C2C">
      <w:pPr>
        <w:spacing w:line="560" w:lineRule="exact"/>
        <w:jc w:val="center"/>
        <w:rPr>
          <w:rFonts w:ascii="宋体" w:hAnsi="宋体"/>
          <w:b/>
          <w:color w:val="000000" w:themeColor="text1"/>
          <w:sz w:val="44"/>
          <w:szCs w:val="44"/>
          <w14:textFill>
            <w14:solidFill>
              <w14:schemeClr w14:val="tx1"/>
            </w14:solidFill>
          </w14:textFill>
        </w:rPr>
      </w:pPr>
    </w:p>
    <w:p w14:paraId="4C376B17">
      <w:pPr>
        <w:spacing w:line="560" w:lineRule="exact"/>
        <w:jc w:val="center"/>
        <w:rPr>
          <w:rFonts w:ascii="宋体" w:hAnsi="宋体"/>
          <w:b/>
          <w:color w:val="000000" w:themeColor="text1"/>
          <w:sz w:val="44"/>
          <w:szCs w:val="44"/>
          <w14:textFill>
            <w14:solidFill>
              <w14:schemeClr w14:val="tx1"/>
            </w14:solidFill>
          </w14:textFill>
        </w:rPr>
      </w:pPr>
    </w:p>
    <w:p w14:paraId="051439A9">
      <w:pPr>
        <w:spacing w:line="560" w:lineRule="exact"/>
        <w:jc w:val="center"/>
        <w:rPr>
          <w:rFonts w:ascii="宋体" w:hAnsi="宋体"/>
          <w:b/>
          <w:color w:val="000000" w:themeColor="text1"/>
          <w:sz w:val="44"/>
          <w:szCs w:val="44"/>
          <w14:textFill>
            <w14:solidFill>
              <w14:schemeClr w14:val="tx1"/>
            </w14:solidFill>
          </w14:textFill>
        </w:rPr>
      </w:pPr>
    </w:p>
    <w:p w14:paraId="73F4B5E0">
      <w:pPr>
        <w:spacing w:line="560" w:lineRule="exact"/>
        <w:jc w:val="center"/>
        <w:rPr>
          <w:rFonts w:ascii="宋体" w:hAnsi="宋体"/>
          <w:b/>
          <w:color w:val="000000" w:themeColor="text1"/>
          <w:sz w:val="44"/>
          <w:szCs w:val="44"/>
          <w14:textFill>
            <w14:solidFill>
              <w14:schemeClr w14:val="tx1"/>
            </w14:solidFill>
          </w14:textFill>
        </w:rPr>
      </w:pPr>
    </w:p>
    <w:p w14:paraId="0DF23608">
      <w:pPr>
        <w:spacing w:line="560" w:lineRule="exact"/>
        <w:jc w:val="center"/>
        <w:rPr>
          <w:rFonts w:ascii="宋体" w:hAnsi="宋体"/>
          <w:b/>
          <w:color w:val="000000" w:themeColor="text1"/>
          <w:sz w:val="44"/>
          <w:szCs w:val="44"/>
          <w14:textFill>
            <w14:solidFill>
              <w14:schemeClr w14:val="tx1"/>
            </w14:solidFill>
          </w14:textFill>
        </w:rPr>
      </w:pPr>
    </w:p>
    <w:p w14:paraId="200F9ADD">
      <w:pPr>
        <w:spacing w:line="560" w:lineRule="exact"/>
        <w:jc w:val="center"/>
        <w:rPr>
          <w:rFonts w:ascii="宋体" w:hAnsi="宋体"/>
          <w:b/>
          <w:color w:val="000000" w:themeColor="text1"/>
          <w:sz w:val="44"/>
          <w:szCs w:val="44"/>
          <w14:textFill>
            <w14:solidFill>
              <w14:schemeClr w14:val="tx1"/>
            </w14:solidFill>
          </w14:textFill>
        </w:rPr>
      </w:pPr>
    </w:p>
    <w:p w14:paraId="11B4CE7B">
      <w:pPr>
        <w:spacing w:line="560" w:lineRule="exact"/>
        <w:jc w:val="center"/>
        <w:rPr>
          <w:rFonts w:ascii="宋体" w:hAnsi="宋体"/>
          <w:b/>
          <w:color w:val="000000" w:themeColor="text1"/>
          <w:sz w:val="44"/>
          <w:szCs w:val="44"/>
          <w14:textFill>
            <w14:solidFill>
              <w14:schemeClr w14:val="tx1"/>
            </w14:solidFill>
          </w14:textFill>
        </w:rPr>
      </w:pPr>
    </w:p>
    <w:p w14:paraId="6061EF04">
      <w:pPr>
        <w:ind w:right="600"/>
        <w:jc w:val="center"/>
        <w:rPr>
          <w:rFonts w:ascii="仿宋_GB2312" w:hAnsi="宋体" w:eastAsia="仿宋_GB2312"/>
          <w:color w:val="000000" w:themeColor="text1"/>
          <w:sz w:val="30"/>
          <w:szCs w:val="30"/>
          <w:u w:val="single"/>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投标人(盖章)：</w:t>
      </w:r>
    </w:p>
    <w:p w14:paraId="281B5E59">
      <w:pPr>
        <w:snapToGrid w:val="0"/>
        <w:spacing w:line="560" w:lineRule="exact"/>
        <w:rPr>
          <w:rFonts w:ascii="仿宋" w:hAnsi="仿宋" w:eastAsia="仿宋"/>
          <w:color w:val="000000" w:themeColor="text1"/>
          <w:sz w:val="28"/>
          <w:szCs w:val="28"/>
          <w14:textFill>
            <w14:solidFill>
              <w14:schemeClr w14:val="tx1"/>
            </w14:solidFill>
          </w14:textFill>
        </w:rPr>
      </w:pPr>
    </w:p>
    <w:p w14:paraId="3CFF3368">
      <w:pPr>
        <w:rPr>
          <w:rFonts w:ascii="仿宋" w:hAnsi="仿宋" w:eastAsia="仿宋"/>
          <w:color w:val="000000" w:themeColor="text1"/>
          <w14:textFill>
            <w14:solidFill>
              <w14:schemeClr w14:val="tx1"/>
            </w14:solidFill>
          </w14:textFill>
        </w:rPr>
      </w:pPr>
    </w:p>
    <w:p w14:paraId="2563E3AA">
      <w:pPr>
        <w:pStyle w:val="17"/>
        <w:rPr>
          <w:color w:val="000000" w:themeColor="text1"/>
          <w14:textFill>
            <w14:solidFill>
              <w14:schemeClr w14:val="tx1"/>
            </w14:solidFill>
          </w14:textFill>
        </w:rPr>
      </w:pPr>
    </w:p>
    <w:p w14:paraId="0421C428">
      <w:pPr>
        <w:rPr>
          <w:color w:val="000000" w:themeColor="text1"/>
          <w14:textFill>
            <w14:solidFill>
              <w14:schemeClr w14:val="tx1"/>
            </w14:solidFill>
          </w14:textFill>
        </w:rPr>
      </w:pPr>
    </w:p>
    <w:p w14:paraId="1E6EEC61">
      <w:pPr>
        <w:pStyle w:val="17"/>
        <w:rPr>
          <w:color w:val="000000" w:themeColor="text1"/>
          <w14:textFill>
            <w14:solidFill>
              <w14:schemeClr w14:val="tx1"/>
            </w14:solidFill>
          </w14:textFill>
        </w:rPr>
      </w:pPr>
    </w:p>
    <w:p w14:paraId="206F0168">
      <w:pPr>
        <w:pStyle w:val="2"/>
        <w:rPr>
          <w:color w:val="000000" w:themeColor="text1"/>
          <w14:textFill>
            <w14:solidFill>
              <w14:schemeClr w14:val="tx1"/>
            </w14:solidFill>
          </w14:textFill>
        </w:rPr>
      </w:pPr>
    </w:p>
    <w:p w14:paraId="5D95C726">
      <w:pPr>
        <w:pStyle w:val="2"/>
        <w:rPr>
          <w:color w:val="000000" w:themeColor="text1"/>
          <w14:textFill>
            <w14:solidFill>
              <w14:schemeClr w14:val="tx1"/>
            </w14:solidFill>
          </w14:textFill>
        </w:rPr>
      </w:pPr>
    </w:p>
    <w:p w14:paraId="5605EAE0">
      <w:pPr>
        <w:spacing w:line="560" w:lineRule="exact"/>
        <w:jc w:val="center"/>
        <w:rPr>
          <w:rFonts w:ascii="宋体" w:hAnsi="宋体"/>
          <w:b/>
          <w:color w:val="000000" w:themeColor="text1"/>
          <w:sz w:val="44"/>
          <w:szCs w:val="44"/>
          <w14:textFill>
            <w14:solidFill>
              <w14:schemeClr w14:val="tx1"/>
            </w14:solidFill>
          </w14:textFill>
        </w:rPr>
      </w:pPr>
      <w:r>
        <w:rPr>
          <w:rFonts w:hint="eastAsia" w:ascii="宋体" w:hAnsi="宋体"/>
          <w:b/>
          <w:color w:val="000000" w:themeColor="text1"/>
          <w:sz w:val="44"/>
          <w:szCs w:val="44"/>
          <w14:textFill>
            <w14:solidFill>
              <w14:schemeClr w14:val="tx1"/>
            </w14:solidFill>
          </w14:textFill>
        </w:rPr>
        <w:t>投标人近期的交纳社保资金凭证的扫描件</w:t>
      </w:r>
    </w:p>
    <w:p w14:paraId="3C1066B2">
      <w:pPr>
        <w:jc w:val="right"/>
        <w:rPr>
          <w:rFonts w:ascii="仿宋_GB2312" w:hAnsi="仿宋" w:eastAsia="仿宋_GB2312"/>
          <w:bCs/>
          <w:color w:val="000000" w:themeColor="text1"/>
          <w:sz w:val="30"/>
          <w:szCs w:val="30"/>
          <w14:textFill>
            <w14:solidFill>
              <w14:schemeClr w14:val="tx1"/>
            </w14:solidFill>
          </w14:textFill>
        </w:rPr>
      </w:pPr>
    </w:p>
    <w:p w14:paraId="5C4093E7">
      <w:pPr>
        <w:jc w:val="right"/>
        <w:rPr>
          <w:rFonts w:ascii="仿宋_GB2312" w:hAnsi="仿宋" w:eastAsia="仿宋_GB2312"/>
          <w:bCs/>
          <w:color w:val="000000" w:themeColor="text1"/>
          <w:sz w:val="30"/>
          <w:szCs w:val="30"/>
          <w14:textFill>
            <w14:solidFill>
              <w14:schemeClr w14:val="tx1"/>
            </w14:solidFill>
          </w14:textFill>
        </w:rPr>
      </w:pPr>
    </w:p>
    <w:p w14:paraId="3476EB92">
      <w:pPr>
        <w:jc w:val="right"/>
        <w:rPr>
          <w:rFonts w:ascii="仿宋_GB2312" w:hAnsi="仿宋" w:eastAsia="仿宋_GB2312"/>
          <w:bCs/>
          <w:color w:val="000000" w:themeColor="text1"/>
          <w:sz w:val="30"/>
          <w:szCs w:val="30"/>
          <w14:textFill>
            <w14:solidFill>
              <w14:schemeClr w14:val="tx1"/>
            </w14:solidFill>
          </w14:textFill>
        </w:rPr>
      </w:pPr>
    </w:p>
    <w:p w14:paraId="51381408">
      <w:pPr>
        <w:jc w:val="right"/>
        <w:rPr>
          <w:rFonts w:ascii="仿宋_GB2312" w:hAnsi="仿宋" w:eastAsia="仿宋_GB2312"/>
          <w:bCs/>
          <w:color w:val="000000" w:themeColor="text1"/>
          <w:sz w:val="30"/>
          <w:szCs w:val="30"/>
          <w14:textFill>
            <w14:solidFill>
              <w14:schemeClr w14:val="tx1"/>
            </w14:solidFill>
          </w14:textFill>
        </w:rPr>
      </w:pPr>
    </w:p>
    <w:p w14:paraId="6F65687F">
      <w:pPr>
        <w:jc w:val="right"/>
        <w:rPr>
          <w:rFonts w:ascii="仿宋_GB2312" w:hAnsi="仿宋" w:eastAsia="仿宋_GB2312"/>
          <w:bCs/>
          <w:color w:val="000000" w:themeColor="text1"/>
          <w:sz w:val="30"/>
          <w:szCs w:val="30"/>
          <w14:textFill>
            <w14:solidFill>
              <w14:schemeClr w14:val="tx1"/>
            </w14:solidFill>
          </w14:textFill>
        </w:rPr>
      </w:pPr>
    </w:p>
    <w:p w14:paraId="2066B811">
      <w:pPr>
        <w:jc w:val="right"/>
        <w:rPr>
          <w:rFonts w:ascii="仿宋_GB2312" w:hAnsi="仿宋" w:eastAsia="仿宋_GB2312"/>
          <w:bCs/>
          <w:color w:val="000000" w:themeColor="text1"/>
          <w:sz w:val="30"/>
          <w:szCs w:val="30"/>
          <w14:textFill>
            <w14:solidFill>
              <w14:schemeClr w14:val="tx1"/>
            </w14:solidFill>
          </w14:textFill>
        </w:rPr>
      </w:pPr>
    </w:p>
    <w:p w14:paraId="1FB01542">
      <w:pPr>
        <w:jc w:val="right"/>
        <w:rPr>
          <w:rFonts w:ascii="仿宋_GB2312" w:hAnsi="仿宋" w:eastAsia="仿宋_GB2312"/>
          <w:bCs/>
          <w:color w:val="000000" w:themeColor="text1"/>
          <w:sz w:val="30"/>
          <w:szCs w:val="30"/>
          <w14:textFill>
            <w14:solidFill>
              <w14:schemeClr w14:val="tx1"/>
            </w14:solidFill>
          </w14:textFill>
        </w:rPr>
      </w:pPr>
    </w:p>
    <w:p w14:paraId="412C377A">
      <w:pPr>
        <w:jc w:val="right"/>
        <w:rPr>
          <w:rFonts w:ascii="仿宋_GB2312" w:hAnsi="仿宋" w:eastAsia="仿宋_GB2312"/>
          <w:bCs/>
          <w:color w:val="000000" w:themeColor="text1"/>
          <w:sz w:val="30"/>
          <w:szCs w:val="30"/>
          <w14:textFill>
            <w14:solidFill>
              <w14:schemeClr w14:val="tx1"/>
            </w14:solidFill>
          </w14:textFill>
        </w:rPr>
      </w:pPr>
    </w:p>
    <w:p w14:paraId="58592D7E">
      <w:pPr>
        <w:jc w:val="right"/>
        <w:rPr>
          <w:rFonts w:ascii="仿宋_GB2312" w:hAnsi="仿宋" w:eastAsia="仿宋_GB2312"/>
          <w:bCs/>
          <w:color w:val="000000" w:themeColor="text1"/>
          <w:sz w:val="30"/>
          <w:szCs w:val="30"/>
          <w14:textFill>
            <w14:solidFill>
              <w14:schemeClr w14:val="tx1"/>
            </w14:solidFill>
          </w14:textFill>
        </w:rPr>
      </w:pPr>
    </w:p>
    <w:p w14:paraId="7033235F">
      <w:pPr>
        <w:jc w:val="right"/>
        <w:rPr>
          <w:rFonts w:ascii="仿宋_GB2312" w:hAnsi="仿宋" w:eastAsia="仿宋_GB2312"/>
          <w:bCs/>
          <w:color w:val="000000" w:themeColor="text1"/>
          <w:sz w:val="30"/>
          <w:szCs w:val="30"/>
          <w14:textFill>
            <w14:solidFill>
              <w14:schemeClr w14:val="tx1"/>
            </w14:solidFill>
          </w14:textFill>
        </w:rPr>
      </w:pPr>
    </w:p>
    <w:p w14:paraId="74E0E33A">
      <w:pPr>
        <w:jc w:val="right"/>
        <w:rPr>
          <w:rFonts w:ascii="仿宋_GB2312" w:hAnsi="仿宋" w:eastAsia="仿宋_GB2312"/>
          <w:bCs/>
          <w:color w:val="000000" w:themeColor="text1"/>
          <w:sz w:val="30"/>
          <w:szCs w:val="30"/>
          <w14:textFill>
            <w14:solidFill>
              <w14:schemeClr w14:val="tx1"/>
            </w14:solidFill>
          </w14:textFill>
        </w:rPr>
      </w:pPr>
    </w:p>
    <w:p w14:paraId="727A21AD">
      <w:pPr>
        <w:jc w:val="right"/>
        <w:rPr>
          <w:rFonts w:ascii="仿宋_GB2312" w:hAnsi="仿宋" w:eastAsia="仿宋_GB2312"/>
          <w:bCs/>
          <w:color w:val="000000" w:themeColor="text1"/>
          <w:sz w:val="30"/>
          <w:szCs w:val="30"/>
          <w14:textFill>
            <w14:solidFill>
              <w14:schemeClr w14:val="tx1"/>
            </w14:solidFill>
          </w14:textFill>
        </w:rPr>
      </w:pPr>
    </w:p>
    <w:p w14:paraId="526AE28E">
      <w:pPr>
        <w:jc w:val="right"/>
        <w:rPr>
          <w:rFonts w:ascii="仿宋_GB2312" w:hAnsi="仿宋" w:eastAsia="仿宋_GB2312"/>
          <w:bCs/>
          <w:color w:val="000000" w:themeColor="text1"/>
          <w:sz w:val="30"/>
          <w:szCs w:val="30"/>
          <w14:textFill>
            <w14:solidFill>
              <w14:schemeClr w14:val="tx1"/>
            </w14:solidFill>
          </w14:textFill>
        </w:rPr>
      </w:pPr>
    </w:p>
    <w:p w14:paraId="69825366">
      <w:pPr>
        <w:jc w:val="right"/>
        <w:rPr>
          <w:rFonts w:ascii="仿宋_GB2312" w:hAnsi="仿宋" w:eastAsia="仿宋_GB2312"/>
          <w:bCs/>
          <w:color w:val="000000" w:themeColor="text1"/>
          <w:sz w:val="30"/>
          <w:szCs w:val="30"/>
          <w14:textFill>
            <w14:solidFill>
              <w14:schemeClr w14:val="tx1"/>
            </w14:solidFill>
          </w14:textFill>
        </w:rPr>
      </w:pPr>
    </w:p>
    <w:p w14:paraId="47C66CE3">
      <w:pPr>
        <w:ind w:right="1200"/>
        <w:rPr>
          <w:rFonts w:ascii="仿宋_GB2312" w:hAnsi="仿宋" w:eastAsia="仿宋_GB2312"/>
          <w:bCs/>
          <w:color w:val="000000" w:themeColor="text1"/>
          <w:sz w:val="30"/>
          <w:szCs w:val="30"/>
          <w14:textFill>
            <w14:solidFill>
              <w14:schemeClr w14:val="tx1"/>
            </w14:solidFill>
          </w14:textFill>
        </w:rPr>
      </w:pPr>
    </w:p>
    <w:p w14:paraId="224C0B78">
      <w:pPr>
        <w:pStyle w:val="2"/>
        <w:rPr>
          <w:color w:val="000000" w:themeColor="text1"/>
          <w14:textFill>
            <w14:solidFill>
              <w14:schemeClr w14:val="tx1"/>
            </w14:solidFill>
          </w14:textFill>
        </w:rPr>
      </w:pPr>
    </w:p>
    <w:p w14:paraId="5A60CD9D">
      <w:pPr>
        <w:jc w:val="right"/>
        <w:rPr>
          <w:rFonts w:ascii="仿宋_GB2312" w:hAnsi="仿宋" w:eastAsia="仿宋_GB2312"/>
          <w:bCs/>
          <w:color w:val="000000" w:themeColor="text1"/>
          <w:sz w:val="30"/>
          <w:szCs w:val="30"/>
          <w14:textFill>
            <w14:solidFill>
              <w14:schemeClr w14:val="tx1"/>
            </w14:solidFill>
          </w14:textFill>
        </w:rPr>
      </w:pPr>
    </w:p>
    <w:p w14:paraId="4EBCE3C4">
      <w:pPr>
        <w:ind w:right="600"/>
        <w:jc w:val="center"/>
        <w:rPr>
          <w:rFonts w:ascii="仿宋_GB2312" w:hAnsi="宋体" w:eastAsia="仿宋_GB2312"/>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投标人(盖章)</w:t>
      </w:r>
    </w:p>
    <w:p w14:paraId="3F7AA6FA">
      <w:pPr>
        <w:pStyle w:val="2"/>
        <w:rPr>
          <w:color w:val="000000" w:themeColor="text1"/>
          <w14:textFill>
            <w14:solidFill>
              <w14:schemeClr w14:val="tx1"/>
            </w14:solidFill>
          </w14:textFill>
        </w:rPr>
      </w:pPr>
    </w:p>
    <w:p w14:paraId="5F649751">
      <w:pPr>
        <w:pStyle w:val="2"/>
        <w:rPr>
          <w:color w:val="000000" w:themeColor="text1"/>
          <w14:textFill>
            <w14:solidFill>
              <w14:schemeClr w14:val="tx1"/>
            </w14:solidFill>
          </w14:textFill>
        </w:rPr>
      </w:pPr>
    </w:p>
    <w:p w14:paraId="310DD7BE">
      <w:pPr>
        <w:pStyle w:val="2"/>
        <w:rPr>
          <w:color w:val="000000" w:themeColor="text1"/>
          <w14:textFill>
            <w14:solidFill>
              <w14:schemeClr w14:val="tx1"/>
            </w14:solidFill>
          </w14:textFill>
        </w:rPr>
      </w:pPr>
    </w:p>
    <w:p w14:paraId="7B1A5B47">
      <w:pPr>
        <w:pStyle w:val="2"/>
        <w:rPr>
          <w:color w:val="000000" w:themeColor="text1"/>
          <w14:textFill>
            <w14:solidFill>
              <w14:schemeClr w14:val="tx1"/>
            </w14:solidFill>
          </w14:textFill>
        </w:rPr>
      </w:pPr>
    </w:p>
    <w:p w14:paraId="3D2CA908">
      <w:pPr>
        <w:spacing w:line="560" w:lineRule="exact"/>
        <w:jc w:val="center"/>
        <w:rPr>
          <w:rFonts w:ascii="宋体" w:hAnsi="宋体"/>
          <w:b/>
          <w:bCs/>
          <w:color w:val="000000" w:themeColor="text1"/>
          <w:sz w:val="44"/>
          <w:szCs w:val="44"/>
          <w14:textFill>
            <w14:solidFill>
              <w14:schemeClr w14:val="tx1"/>
            </w14:solidFill>
          </w14:textFill>
        </w:rPr>
      </w:pPr>
    </w:p>
    <w:p w14:paraId="38BFC0D4">
      <w:pPr>
        <w:widowControl/>
        <w:jc w:val="left"/>
        <w:rPr>
          <w:rFonts w:ascii="宋体" w:hAnsi="宋体"/>
          <w:b/>
          <w:bCs/>
          <w:color w:val="000000" w:themeColor="text1"/>
          <w:sz w:val="44"/>
          <w:szCs w:val="44"/>
          <w14:textFill>
            <w14:solidFill>
              <w14:schemeClr w14:val="tx1"/>
            </w14:solidFill>
          </w14:textFill>
        </w:rPr>
      </w:pPr>
      <w:r>
        <w:rPr>
          <w:rFonts w:ascii="宋体" w:hAnsi="宋体"/>
          <w:b/>
          <w:bCs/>
          <w:color w:val="000000" w:themeColor="text1"/>
          <w:sz w:val="44"/>
          <w:szCs w:val="44"/>
          <w14:textFill>
            <w14:solidFill>
              <w14:schemeClr w14:val="tx1"/>
            </w14:solidFill>
          </w14:textFill>
        </w:rPr>
        <w:br w:type="page"/>
      </w:r>
    </w:p>
    <w:p w14:paraId="755D63A8">
      <w:pPr>
        <w:spacing w:line="560" w:lineRule="exact"/>
        <w:jc w:val="center"/>
        <w:rPr>
          <w:rFonts w:ascii="宋体" w:hAnsi="宋体"/>
          <w:b/>
          <w:bCs/>
          <w:color w:val="000000" w:themeColor="text1"/>
          <w:sz w:val="44"/>
          <w:szCs w:val="44"/>
          <w14:textFill>
            <w14:solidFill>
              <w14:schemeClr w14:val="tx1"/>
            </w14:solidFill>
          </w14:textFill>
        </w:rPr>
      </w:pPr>
      <w:r>
        <w:rPr>
          <w:rFonts w:hint="eastAsia" w:ascii="宋体" w:hAnsi="宋体"/>
          <w:b/>
          <w:bCs/>
          <w:color w:val="000000" w:themeColor="text1"/>
          <w:sz w:val="44"/>
          <w:szCs w:val="44"/>
          <w14:textFill>
            <w14:solidFill>
              <w14:schemeClr w14:val="tx1"/>
            </w14:solidFill>
          </w14:textFill>
        </w:rPr>
        <w:t>投标人参加本项目投标前三年内无重大违法违纪行为声明原件（格式自定）</w:t>
      </w:r>
    </w:p>
    <w:p w14:paraId="1AC51660">
      <w:pPr>
        <w:jc w:val="right"/>
        <w:rPr>
          <w:rFonts w:ascii="仿宋_GB2312" w:hAnsi="宋体" w:eastAsia="仿宋_GB2312"/>
          <w:b/>
          <w:bCs/>
          <w:color w:val="000000" w:themeColor="text1"/>
          <w:sz w:val="30"/>
          <w:szCs w:val="30"/>
          <w14:textFill>
            <w14:solidFill>
              <w14:schemeClr w14:val="tx1"/>
            </w14:solidFill>
          </w14:textFill>
        </w:rPr>
      </w:pPr>
    </w:p>
    <w:p w14:paraId="15F81B8C">
      <w:pPr>
        <w:jc w:val="right"/>
        <w:rPr>
          <w:rFonts w:ascii="仿宋_GB2312" w:hAnsi="宋体" w:eastAsia="仿宋_GB2312"/>
          <w:b/>
          <w:bCs/>
          <w:color w:val="000000" w:themeColor="text1"/>
          <w:sz w:val="30"/>
          <w:szCs w:val="30"/>
          <w14:textFill>
            <w14:solidFill>
              <w14:schemeClr w14:val="tx1"/>
            </w14:solidFill>
          </w14:textFill>
        </w:rPr>
      </w:pPr>
    </w:p>
    <w:p w14:paraId="6A4585F3">
      <w:pPr>
        <w:jc w:val="right"/>
        <w:rPr>
          <w:rFonts w:ascii="仿宋_GB2312" w:hAnsi="宋体" w:eastAsia="仿宋_GB2312"/>
          <w:b/>
          <w:bCs/>
          <w:color w:val="000000" w:themeColor="text1"/>
          <w:sz w:val="30"/>
          <w:szCs w:val="30"/>
          <w14:textFill>
            <w14:solidFill>
              <w14:schemeClr w14:val="tx1"/>
            </w14:solidFill>
          </w14:textFill>
        </w:rPr>
      </w:pPr>
    </w:p>
    <w:p w14:paraId="0830AF0C">
      <w:pPr>
        <w:jc w:val="right"/>
        <w:rPr>
          <w:rFonts w:ascii="仿宋_GB2312" w:hAnsi="宋体" w:eastAsia="仿宋_GB2312"/>
          <w:b/>
          <w:bCs/>
          <w:color w:val="000000" w:themeColor="text1"/>
          <w:sz w:val="30"/>
          <w:szCs w:val="30"/>
          <w14:textFill>
            <w14:solidFill>
              <w14:schemeClr w14:val="tx1"/>
            </w14:solidFill>
          </w14:textFill>
        </w:rPr>
      </w:pPr>
    </w:p>
    <w:p w14:paraId="4EB804D3">
      <w:pPr>
        <w:jc w:val="right"/>
        <w:rPr>
          <w:rFonts w:ascii="仿宋_GB2312" w:hAnsi="宋体" w:eastAsia="仿宋_GB2312"/>
          <w:b/>
          <w:bCs/>
          <w:color w:val="000000" w:themeColor="text1"/>
          <w:sz w:val="30"/>
          <w:szCs w:val="30"/>
          <w14:textFill>
            <w14:solidFill>
              <w14:schemeClr w14:val="tx1"/>
            </w14:solidFill>
          </w14:textFill>
        </w:rPr>
      </w:pPr>
    </w:p>
    <w:p w14:paraId="049DE59A">
      <w:pPr>
        <w:jc w:val="right"/>
        <w:rPr>
          <w:rFonts w:ascii="仿宋_GB2312" w:hAnsi="宋体" w:eastAsia="仿宋_GB2312"/>
          <w:b/>
          <w:bCs/>
          <w:color w:val="000000" w:themeColor="text1"/>
          <w:sz w:val="30"/>
          <w:szCs w:val="30"/>
          <w14:textFill>
            <w14:solidFill>
              <w14:schemeClr w14:val="tx1"/>
            </w14:solidFill>
          </w14:textFill>
        </w:rPr>
      </w:pPr>
    </w:p>
    <w:p w14:paraId="387DFB58">
      <w:pPr>
        <w:jc w:val="right"/>
        <w:rPr>
          <w:rFonts w:ascii="仿宋_GB2312" w:hAnsi="宋体" w:eastAsia="仿宋_GB2312"/>
          <w:b/>
          <w:bCs/>
          <w:color w:val="000000" w:themeColor="text1"/>
          <w:sz w:val="30"/>
          <w:szCs w:val="30"/>
          <w14:textFill>
            <w14:solidFill>
              <w14:schemeClr w14:val="tx1"/>
            </w14:solidFill>
          </w14:textFill>
        </w:rPr>
      </w:pPr>
    </w:p>
    <w:p w14:paraId="542033DD">
      <w:pPr>
        <w:jc w:val="right"/>
        <w:rPr>
          <w:rFonts w:ascii="仿宋_GB2312" w:hAnsi="宋体" w:eastAsia="仿宋_GB2312"/>
          <w:b/>
          <w:bCs/>
          <w:color w:val="000000" w:themeColor="text1"/>
          <w:sz w:val="30"/>
          <w:szCs w:val="30"/>
          <w14:textFill>
            <w14:solidFill>
              <w14:schemeClr w14:val="tx1"/>
            </w14:solidFill>
          </w14:textFill>
        </w:rPr>
      </w:pPr>
    </w:p>
    <w:p w14:paraId="72727767">
      <w:pPr>
        <w:jc w:val="right"/>
        <w:rPr>
          <w:rFonts w:ascii="仿宋_GB2312" w:hAnsi="宋体" w:eastAsia="仿宋_GB2312"/>
          <w:b/>
          <w:bCs/>
          <w:color w:val="000000" w:themeColor="text1"/>
          <w:sz w:val="30"/>
          <w:szCs w:val="30"/>
          <w14:textFill>
            <w14:solidFill>
              <w14:schemeClr w14:val="tx1"/>
            </w14:solidFill>
          </w14:textFill>
        </w:rPr>
      </w:pPr>
    </w:p>
    <w:p w14:paraId="2C5BAD9E">
      <w:pPr>
        <w:jc w:val="right"/>
        <w:rPr>
          <w:rFonts w:ascii="仿宋_GB2312" w:hAnsi="宋体" w:eastAsia="仿宋_GB2312"/>
          <w:b/>
          <w:bCs/>
          <w:color w:val="000000" w:themeColor="text1"/>
          <w:sz w:val="30"/>
          <w:szCs w:val="30"/>
          <w14:textFill>
            <w14:solidFill>
              <w14:schemeClr w14:val="tx1"/>
            </w14:solidFill>
          </w14:textFill>
        </w:rPr>
      </w:pPr>
    </w:p>
    <w:p w14:paraId="54206256">
      <w:pPr>
        <w:jc w:val="right"/>
        <w:rPr>
          <w:rFonts w:ascii="仿宋_GB2312" w:hAnsi="宋体" w:eastAsia="仿宋_GB2312"/>
          <w:b/>
          <w:bCs/>
          <w:color w:val="000000" w:themeColor="text1"/>
          <w:sz w:val="30"/>
          <w:szCs w:val="30"/>
          <w14:textFill>
            <w14:solidFill>
              <w14:schemeClr w14:val="tx1"/>
            </w14:solidFill>
          </w14:textFill>
        </w:rPr>
      </w:pPr>
    </w:p>
    <w:p w14:paraId="79695235">
      <w:pPr>
        <w:jc w:val="right"/>
        <w:rPr>
          <w:rFonts w:ascii="仿宋_GB2312" w:hAnsi="宋体" w:eastAsia="仿宋_GB2312"/>
          <w:b/>
          <w:bCs/>
          <w:color w:val="000000" w:themeColor="text1"/>
          <w:sz w:val="30"/>
          <w:szCs w:val="30"/>
          <w14:textFill>
            <w14:solidFill>
              <w14:schemeClr w14:val="tx1"/>
            </w14:solidFill>
          </w14:textFill>
        </w:rPr>
      </w:pPr>
    </w:p>
    <w:p w14:paraId="5883BAB5">
      <w:pPr>
        <w:jc w:val="right"/>
        <w:rPr>
          <w:rFonts w:ascii="仿宋_GB2312" w:hAnsi="宋体" w:eastAsia="仿宋_GB2312"/>
          <w:b/>
          <w:bCs/>
          <w:color w:val="000000" w:themeColor="text1"/>
          <w:sz w:val="30"/>
          <w:szCs w:val="30"/>
          <w14:textFill>
            <w14:solidFill>
              <w14:schemeClr w14:val="tx1"/>
            </w14:solidFill>
          </w14:textFill>
        </w:rPr>
      </w:pPr>
    </w:p>
    <w:p w14:paraId="509E8A8B">
      <w:pPr>
        <w:ind w:right="1204"/>
        <w:rPr>
          <w:rFonts w:ascii="仿宋_GB2312" w:hAnsi="宋体" w:eastAsia="仿宋_GB2312"/>
          <w:b/>
          <w:bCs/>
          <w:color w:val="000000" w:themeColor="text1"/>
          <w:sz w:val="30"/>
          <w:szCs w:val="30"/>
          <w14:textFill>
            <w14:solidFill>
              <w14:schemeClr w14:val="tx1"/>
            </w14:solidFill>
          </w14:textFill>
        </w:rPr>
      </w:pPr>
    </w:p>
    <w:p w14:paraId="6D35D9B3">
      <w:pPr>
        <w:jc w:val="right"/>
        <w:rPr>
          <w:rFonts w:ascii="仿宋_GB2312" w:hAnsi="宋体" w:eastAsia="仿宋_GB2312"/>
          <w:b/>
          <w:bCs/>
          <w:color w:val="000000" w:themeColor="text1"/>
          <w:sz w:val="30"/>
          <w:szCs w:val="30"/>
          <w14:textFill>
            <w14:solidFill>
              <w14:schemeClr w14:val="tx1"/>
            </w14:solidFill>
          </w14:textFill>
        </w:rPr>
      </w:pPr>
    </w:p>
    <w:p w14:paraId="45ED94C0">
      <w:pPr>
        <w:jc w:val="right"/>
        <w:rPr>
          <w:rFonts w:ascii="仿宋_GB2312" w:hAnsi="宋体" w:eastAsia="仿宋_GB2312"/>
          <w:b/>
          <w:bCs/>
          <w:color w:val="000000" w:themeColor="text1"/>
          <w:sz w:val="30"/>
          <w:szCs w:val="30"/>
          <w14:textFill>
            <w14:solidFill>
              <w14:schemeClr w14:val="tx1"/>
            </w14:solidFill>
          </w14:textFill>
        </w:rPr>
      </w:pPr>
    </w:p>
    <w:p w14:paraId="467052CE">
      <w:pPr>
        <w:pStyle w:val="2"/>
        <w:rPr>
          <w:color w:val="000000" w:themeColor="text1"/>
          <w14:textFill>
            <w14:solidFill>
              <w14:schemeClr w14:val="tx1"/>
            </w14:solidFill>
          </w14:textFill>
        </w:rPr>
      </w:pPr>
    </w:p>
    <w:p w14:paraId="5E25867F">
      <w:pPr>
        <w:jc w:val="right"/>
        <w:rPr>
          <w:rFonts w:ascii="仿宋_GB2312" w:hAnsi="宋体" w:eastAsia="仿宋_GB2312"/>
          <w:b/>
          <w:bCs/>
          <w:color w:val="000000" w:themeColor="text1"/>
          <w:sz w:val="30"/>
          <w:szCs w:val="30"/>
          <w14:textFill>
            <w14:solidFill>
              <w14:schemeClr w14:val="tx1"/>
            </w14:solidFill>
          </w14:textFill>
        </w:rPr>
      </w:pPr>
    </w:p>
    <w:p w14:paraId="60A591EC">
      <w:pPr>
        <w:pStyle w:val="2"/>
        <w:rPr>
          <w:color w:val="000000" w:themeColor="text1"/>
          <w14:textFill>
            <w14:solidFill>
              <w14:schemeClr w14:val="tx1"/>
            </w14:solidFill>
          </w14:textFill>
        </w:rPr>
      </w:pPr>
    </w:p>
    <w:p w14:paraId="4ADBF821">
      <w:pPr>
        <w:ind w:right="600" w:firstLine="4200" w:firstLineChars="1400"/>
        <w:rPr>
          <w:rFonts w:ascii="仿宋_GB2312" w:hAnsi="宋体" w:eastAsia="仿宋_GB2312"/>
          <w:b/>
          <w:bCs/>
          <w:color w:val="000000" w:themeColor="text1"/>
          <w:sz w:val="30"/>
          <w:szCs w:val="30"/>
          <w14:textFill>
            <w14:solidFill>
              <w14:schemeClr w14:val="tx1"/>
            </w14:solidFill>
          </w14:textFill>
        </w:rPr>
      </w:pPr>
      <w:r>
        <w:rPr>
          <w:rFonts w:hint="eastAsia" w:ascii="仿宋_GB2312" w:hAnsi="宋体" w:eastAsia="仿宋_GB2312"/>
          <w:color w:val="000000" w:themeColor="text1"/>
          <w:sz w:val="30"/>
          <w:szCs w:val="30"/>
          <w14:textFill>
            <w14:solidFill>
              <w14:schemeClr w14:val="tx1"/>
            </w14:solidFill>
          </w14:textFill>
        </w:rPr>
        <w:t>投标人(盖章)：</w:t>
      </w:r>
    </w:p>
    <w:p w14:paraId="73CAEB51">
      <w:pPr>
        <w:rPr>
          <w:rFonts w:ascii="宋体" w:hAnsi="宋体"/>
          <w:b/>
          <w:color w:val="000000" w:themeColor="text1"/>
          <w:sz w:val="44"/>
          <w:szCs w:val="44"/>
          <w14:textFill>
            <w14:solidFill>
              <w14:schemeClr w14:val="tx1"/>
            </w14:solidFill>
          </w14:textFill>
        </w:rPr>
      </w:pPr>
    </w:p>
    <w:p w14:paraId="4AB280C1">
      <w:pPr>
        <w:jc w:val="center"/>
        <w:rPr>
          <w:rFonts w:ascii="仿宋" w:hAnsi="仿宋" w:eastAsia="仿宋"/>
          <w:color w:val="000000" w:themeColor="text1"/>
          <w:sz w:val="40"/>
          <w:szCs w:val="44"/>
          <w14:textFill>
            <w14:solidFill>
              <w14:schemeClr w14:val="tx1"/>
            </w14:solidFill>
          </w14:textFill>
        </w:rPr>
      </w:pPr>
      <w:r>
        <w:rPr>
          <w:rFonts w:hint="eastAsia" w:ascii="仿宋" w:hAnsi="仿宋" w:eastAsia="仿宋"/>
          <w:color w:val="000000" w:themeColor="text1"/>
          <w:sz w:val="40"/>
          <w:szCs w:val="44"/>
          <w14:textFill>
            <w14:solidFill>
              <w14:schemeClr w14:val="tx1"/>
            </w14:solidFill>
          </w14:textFill>
        </w:rPr>
        <w:t>投标人、法定代表人、授权委托人未被最高法院列入失信被执行人</w:t>
      </w:r>
    </w:p>
    <w:p w14:paraId="3D024F8B">
      <w:pPr>
        <w:jc w:val="center"/>
        <w:rPr>
          <w:rFonts w:ascii="仿宋" w:hAnsi="仿宋" w:eastAsia="仿宋"/>
          <w:color w:val="000000" w:themeColor="text1"/>
          <w:sz w:val="40"/>
          <w:szCs w:val="44"/>
          <w14:textFill>
            <w14:solidFill>
              <w14:schemeClr w14:val="tx1"/>
            </w14:solidFill>
          </w14:textFill>
        </w:rPr>
      </w:pPr>
      <w:r>
        <w:rPr>
          <w:rFonts w:hint="eastAsia" w:ascii="仿宋" w:hAnsi="仿宋" w:eastAsia="仿宋"/>
          <w:color w:val="000000" w:themeColor="text1"/>
          <w:sz w:val="40"/>
          <w:szCs w:val="44"/>
          <w14:textFill>
            <w14:solidFill>
              <w14:schemeClr w14:val="tx1"/>
            </w14:solidFill>
          </w14:textFill>
        </w:rPr>
        <w:t>（网址http://zxgk.court.gov.cn/zhzxgk/）</w:t>
      </w:r>
    </w:p>
    <w:p w14:paraId="1CB262C3">
      <w:pPr>
        <w:jc w:val="center"/>
        <w:rPr>
          <w:rFonts w:ascii="仿宋" w:hAnsi="仿宋" w:eastAsia="仿宋"/>
          <w:color w:val="000000" w:themeColor="text1"/>
          <w:sz w:val="40"/>
          <w:szCs w:val="44"/>
          <w14:textFill>
            <w14:solidFill>
              <w14:schemeClr w14:val="tx1"/>
            </w14:solidFill>
          </w14:textFill>
        </w:rPr>
      </w:pPr>
    </w:p>
    <w:p w14:paraId="02838F76">
      <w:pPr>
        <w:jc w:val="center"/>
        <w:rPr>
          <w:rFonts w:ascii="仿宋" w:hAnsi="仿宋" w:eastAsia="仿宋"/>
          <w:color w:val="000000" w:themeColor="text1"/>
          <w:sz w:val="40"/>
          <w:szCs w:val="44"/>
          <w14:textFill>
            <w14:solidFill>
              <w14:schemeClr w14:val="tx1"/>
            </w14:solidFill>
          </w14:textFill>
        </w:rPr>
      </w:pPr>
    </w:p>
    <w:p w14:paraId="0C235353">
      <w:pPr>
        <w:pStyle w:val="2"/>
        <w:rPr>
          <w:color w:val="000000" w:themeColor="text1"/>
          <w14:textFill>
            <w14:solidFill>
              <w14:schemeClr w14:val="tx1"/>
            </w14:solidFill>
          </w14:textFill>
        </w:rPr>
      </w:pPr>
    </w:p>
    <w:p w14:paraId="42404623">
      <w:pPr>
        <w:pStyle w:val="2"/>
        <w:rPr>
          <w:color w:val="000000" w:themeColor="text1"/>
          <w14:textFill>
            <w14:solidFill>
              <w14:schemeClr w14:val="tx1"/>
            </w14:solidFill>
          </w14:textFill>
        </w:rPr>
      </w:pPr>
    </w:p>
    <w:p w14:paraId="36CF72EA">
      <w:pPr>
        <w:pStyle w:val="2"/>
        <w:rPr>
          <w:color w:val="000000" w:themeColor="text1"/>
          <w14:textFill>
            <w14:solidFill>
              <w14:schemeClr w14:val="tx1"/>
            </w14:solidFill>
          </w14:textFill>
        </w:rPr>
      </w:pPr>
    </w:p>
    <w:p w14:paraId="4F784D21">
      <w:pPr>
        <w:pStyle w:val="2"/>
        <w:rPr>
          <w:color w:val="000000" w:themeColor="text1"/>
          <w14:textFill>
            <w14:solidFill>
              <w14:schemeClr w14:val="tx1"/>
            </w14:solidFill>
          </w14:textFill>
        </w:rPr>
      </w:pPr>
    </w:p>
    <w:p w14:paraId="5533C7D3">
      <w:pPr>
        <w:pStyle w:val="2"/>
        <w:rPr>
          <w:color w:val="000000" w:themeColor="text1"/>
          <w14:textFill>
            <w14:solidFill>
              <w14:schemeClr w14:val="tx1"/>
            </w14:solidFill>
          </w14:textFill>
        </w:rPr>
      </w:pPr>
    </w:p>
    <w:p w14:paraId="3E85C584">
      <w:pPr>
        <w:pStyle w:val="2"/>
        <w:rPr>
          <w:color w:val="000000" w:themeColor="text1"/>
          <w14:textFill>
            <w14:solidFill>
              <w14:schemeClr w14:val="tx1"/>
            </w14:solidFill>
          </w14:textFill>
        </w:rPr>
      </w:pPr>
    </w:p>
    <w:p w14:paraId="2CF726F4">
      <w:pPr>
        <w:pStyle w:val="2"/>
        <w:rPr>
          <w:color w:val="000000" w:themeColor="text1"/>
          <w14:textFill>
            <w14:solidFill>
              <w14:schemeClr w14:val="tx1"/>
            </w14:solidFill>
          </w14:textFill>
        </w:rPr>
      </w:pPr>
    </w:p>
    <w:p w14:paraId="209E3BDB">
      <w:pPr>
        <w:pStyle w:val="2"/>
        <w:rPr>
          <w:color w:val="000000" w:themeColor="text1"/>
          <w14:textFill>
            <w14:solidFill>
              <w14:schemeClr w14:val="tx1"/>
            </w14:solidFill>
          </w14:textFill>
        </w:rPr>
      </w:pPr>
    </w:p>
    <w:p w14:paraId="716AF288">
      <w:pPr>
        <w:pStyle w:val="2"/>
        <w:rPr>
          <w:color w:val="000000" w:themeColor="text1"/>
          <w14:textFill>
            <w14:solidFill>
              <w14:schemeClr w14:val="tx1"/>
            </w14:solidFill>
          </w14:textFill>
        </w:rPr>
      </w:pPr>
    </w:p>
    <w:p w14:paraId="2EE75187">
      <w:pPr>
        <w:pStyle w:val="2"/>
        <w:rPr>
          <w:color w:val="000000" w:themeColor="text1"/>
          <w14:textFill>
            <w14:solidFill>
              <w14:schemeClr w14:val="tx1"/>
            </w14:solidFill>
          </w14:textFill>
        </w:rPr>
      </w:pPr>
    </w:p>
    <w:p w14:paraId="7B2F8746">
      <w:pPr>
        <w:pStyle w:val="2"/>
        <w:rPr>
          <w:color w:val="000000" w:themeColor="text1"/>
          <w14:textFill>
            <w14:solidFill>
              <w14:schemeClr w14:val="tx1"/>
            </w14:solidFill>
          </w14:textFill>
        </w:rPr>
      </w:pPr>
    </w:p>
    <w:p w14:paraId="69658376">
      <w:pPr>
        <w:pStyle w:val="2"/>
        <w:rPr>
          <w:color w:val="000000" w:themeColor="text1"/>
          <w14:textFill>
            <w14:solidFill>
              <w14:schemeClr w14:val="tx1"/>
            </w14:solidFill>
          </w14:textFill>
        </w:rPr>
      </w:pPr>
    </w:p>
    <w:p w14:paraId="76712998">
      <w:pPr>
        <w:pStyle w:val="2"/>
        <w:rPr>
          <w:color w:val="000000" w:themeColor="text1"/>
          <w14:textFill>
            <w14:solidFill>
              <w14:schemeClr w14:val="tx1"/>
            </w14:solidFill>
          </w14:textFill>
        </w:rPr>
      </w:pPr>
    </w:p>
    <w:p w14:paraId="6E55A35A">
      <w:pPr>
        <w:pStyle w:val="2"/>
        <w:rPr>
          <w:color w:val="000000" w:themeColor="text1"/>
          <w14:textFill>
            <w14:solidFill>
              <w14:schemeClr w14:val="tx1"/>
            </w14:solidFill>
          </w14:textFill>
        </w:rPr>
      </w:pPr>
    </w:p>
    <w:p w14:paraId="6668ACB4">
      <w:pPr>
        <w:pStyle w:val="2"/>
        <w:rPr>
          <w:color w:val="000000" w:themeColor="text1"/>
          <w14:textFill>
            <w14:solidFill>
              <w14:schemeClr w14:val="tx1"/>
            </w14:solidFill>
          </w14:textFill>
        </w:rPr>
      </w:pPr>
    </w:p>
    <w:p w14:paraId="58B65CB7">
      <w:pPr>
        <w:pStyle w:val="2"/>
        <w:rPr>
          <w:color w:val="000000" w:themeColor="text1"/>
          <w14:textFill>
            <w14:solidFill>
              <w14:schemeClr w14:val="tx1"/>
            </w14:solidFill>
          </w14:textFill>
        </w:rPr>
      </w:pPr>
    </w:p>
    <w:p w14:paraId="670FC4D3">
      <w:pPr>
        <w:pStyle w:val="2"/>
        <w:rPr>
          <w:color w:val="000000" w:themeColor="text1"/>
          <w14:textFill>
            <w14:solidFill>
              <w14:schemeClr w14:val="tx1"/>
            </w14:solidFill>
          </w14:textFill>
        </w:rPr>
      </w:pPr>
    </w:p>
    <w:p w14:paraId="62FEC584">
      <w:pPr>
        <w:pStyle w:val="2"/>
        <w:rPr>
          <w:color w:val="000000" w:themeColor="text1"/>
          <w14:textFill>
            <w14:solidFill>
              <w14:schemeClr w14:val="tx1"/>
            </w14:solidFill>
          </w14:textFill>
        </w:rPr>
      </w:pPr>
    </w:p>
    <w:p w14:paraId="62EC4440">
      <w:pPr>
        <w:pStyle w:val="2"/>
        <w:rPr>
          <w:color w:val="000000" w:themeColor="text1"/>
          <w14:textFill>
            <w14:solidFill>
              <w14:schemeClr w14:val="tx1"/>
            </w14:solidFill>
          </w14:textFill>
        </w:rPr>
      </w:pPr>
    </w:p>
    <w:p w14:paraId="1D03294A">
      <w:pPr>
        <w:pStyle w:val="2"/>
        <w:rPr>
          <w:color w:val="000000" w:themeColor="text1"/>
          <w14:textFill>
            <w14:solidFill>
              <w14:schemeClr w14:val="tx1"/>
            </w14:solidFill>
          </w14:textFill>
        </w:rPr>
      </w:pPr>
    </w:p>
    <w:p w14:paraId="1D53ADCA">
      <w:pPr>
        <w:pStyle w:val="2"/>
        <w:rPr>
          <w:color w:val="000000" w:themeColor="text1"/>
          <w14:textFill>
            <w14:solidFill>
              <w14:schemeClr w14:val="tx1"/>
            </w14:solidFill>
          </w14:textFill>
        </w:rPr>
      </w:pPr>
    </w:p>
    <w:p w14:paraId="2E3ED0D0">
      <w:pPr>
        <w:pStyle w:val="2"/>
        <w:rPr>
          <w:color w:val="000000" w:themeColor="text1"/>
          <w14:textFill>
            <w14:solidFill>
              <w14:schemeClr w14:val="tx1"/>
            </w14:solidFill>
          </w14:textFill>
        </w:rPr>
      </w:pPr>
    </w:p>
    <w:p w14:paraId="3ADD7868">
      <w:pPr>
        <w:pStyle w:val="2"/>
        <w:rPr>
          <w:color w:val="000000" w:themeColor="text1"/>
          <w14:textFill>
            <w14:solidFill>
              <w14:schemeClr w14:val="tx1"/>
            </w14:solidFill>
          </w14:textFill>
        </w:rPr>
      </w:pPr>
    </w:p>
    <w:p w14:paraId="5D60F423">
      <w:pPr>
        <w:pStyle w:val="2"/>
        <w:rPr>
          <w:color w:val="000000" w:themeColor="text1"/>
          <w14:textFill>
            <w14:solidFill>
              <w14:schemeClr w14:val="tx1"/>
            </w14:solidFill>
          </w14:textFill>
        </w:rPr>
      </w:pPr>
    </w:p>
    <w:p w14:paraId="6B82D20E">
      <w:pPr>
        <w:pStyle w:val="2"/>
        <w:rPr>
          <w:color w:val="000000" w:themeColor="text1"/>
          <w14:textFill>
            <w14:solidFill>
              <w14:schemeClr w14:val="tx1"/>
            </w14:solidFill>
          </w14:textFill>
        </w:rPr>
      </w:pPr>
    </w:p>
    <w:p w14:paraId="14C16025">
      <w:pPr>
        <w:pStyle w:val="2"/>
        <w:rPr>
          <w:color w:val="000000" w:themeColor="text1"/>
          <w14:textFill>
            <w14:solidFill>
              <w14:schemeClr w14:val="tx1"/>
            </w14:solidFill>
          </w14:textFill>
        </w:rPr>
      </w:pPr>
    </w:p>
    <w:p w14:paraId="5992250F">
      <w:pPr>
        <w:pStyle w:val="2"/>
        <w:rPr>
          <w:color w:val="000000" w:themeColor="text1"/>
          <w14:textFill>
            <w14:solidFill>
              <w14:schemeClr w14:val="tx1"/>
            </w14:solidFill>
          </w14:textFill>
        </w:rPr>
      </w:pPr>
    </w:p>
    <w:p w14:paraId="56A4A470">
      <w:pPr>
        <w:pStyle w:val="2"/>
        <w:rPr>
          <w:color w:val="000000" w:themeColor="text1"/>
          <w14:textFill>
            <w14:solidFill>
              <w14:schemeClr w14:val="tx1"/>
            </w14:solidFill>
          </w14:textFill>
        </w:rPr>
      </w:pPr>
    </w:p>
    <w:p w14:paraId="05453D6D">
      <w:pPr>
        <w:pStyle w:val="2"/>
        <w:rPr>
          <w:color w:val="000000" w:themeColor="text1"/>
          <w14:textFill>
            <w14:solidFill>
              <w14:schemeClr w14:val="tx1"/>
            </w14:solidFill>
          </w14:textFill>
        </w:rPr>
      </w:pPr>
    </w:p>
    <w:p w14:paraId="4C521ED1">
      <w:pPr>
        <w:pStyle w:val="2"/>
        <w:rPr>
          <w:color w:val="000000" w:themeColor="text1"/>
          <w14:textFill>
            <w14:solidFill>
              <w14:schemeClr w14:val="tx1"/>
            </w14:solidFill>
          </w14:textFill>
        </w:rPr>
      </w:pPr>
    </w:p>
    <w:p w14:paraId="057515D1">
      <w:pPr>
        <w:pStyle w:val="2"/>
        <w:rPr>
          <w:color w:val="000000" w:themeColor="text1"/>
          <w14:textFill>
            <w14:solidFill>
              <w14:schemeClr w14:val="tx1"/>
            </w14:solidFill>
          </w14:textFill>
        </w:rPr>
      </w:pPr>
    </w:p>
    <w:p w14:paraId="77D296E3">
      <w:pPr>
        <w:jc w:val="center"/>
        <w:rPr>
          <w:rFonts w:ascii="仿宋" w:hAnsi="仿宋" w:eastAsia="仿宋"/>
          <w:color w:val="000000" w:themeColor="text1"/>
          <w:sz w:val="40"/>
          <w:szCs w:val="44"/>
          <w14:textFill>
            <w14:solidFill>
              <w14:schemeClr w14:val="tx1"/>
            </w14:solidFill>
          </w14:textFill>
        </w:rPr>
      </w:pPr>
    </w:p>
    <w:p w14:paraId="4374E0D1">
      <w:pPr>
        <w:widowControl/>
        <w:jc w:val="center"/>
        <w:rPr>
          <w:rFonts w:ascii="黑体" w:hAnsi="黑体" w:eastAsia="黑体"/>
          <w:sz w:val="44"/>
          <w:szCs w:val="44"/>
        </w:rPr>
      </w:pPr>
      <w:r>
        <w:rPr>
          <w:rFonts w:hint="eastAsia" w:ascii="黑体" w:hAnsi="黑体" w:eastAsia="黑体"/>
          <w:sz w:val="44"/>
          <w:szCs w:val="44"/>
        </w:rPr>
        <w:t>20</w:t>
      </w:r>
      <w:r>
        <w:rPr>
          <w:rFonts w:ascii="黑体" w:hAnsi="黑体" w:eastAsia="黑体"/>
          <w:sz w:val="44"/>
          <w:szCs w:val="44"/>
        </w:rPr>
        <w:t>2</w:t>
      </w:r>
      <w:r>
        <w:rPr>
          <w:rFonts w:hint="eastAsia" w:ascii="黑体" w:hAnsi="黑体" w:eastAsia="黑体"/>
          <w:sz w:val="44"/>
          <w:szCs w:val="44"/>
        </w:rPr>
        <w:t>3年至今国内类似项目业绩表</w:t>
      </w:r>
    </w:p>
    <w:tbl>
      <w:tblPr>
        <w:tblStyle w:val="46"/>
        <w:tblpPr w:leftFromText="180" w:rightFromText="180" w:vertAnchor="text" w:tblpXSpec="center" w:tblpY="267"/>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917"/>
        <w:gridCol w:w="2552"/>
        <w:gridCol w:w="1134"/>
        <w:gridCol w:w="1417"/>
        <w:gridCol w:w="1276"/>
        <w:gridCol w:w="1210"/>
      </w:tblGrid>
      <w:tr w14:paraId="16A18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34" w:type="dxa"/>
            <w:vAlign w:val="center"/>
          </w:tcPr>
          <w:p w14:paraId="75E180D3">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序号</w:t>
            </w:r>
          </w:p>
        </w:tc>
        <w:tc>
          <w:tcPr>
            <w:tcW w:w="917" w:type="dxa"/>
            <w:vAlign w:val="center"/>
          </w:tcPr>
          <w:p w14:paraId="671802C1">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用户名称</w:t>
            </w:r>
          </w:p>
        </w:tc>
        <w:tc>
          <w:tcPr>
            <w:tcW w:w="2552" w:type="dxa"/>
            <w:vAlign w:val="center"/>
          </w:tcPr>
          <w:p w14:paraId="1F2E99BB">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项目名称</w:t>
            </w:r>
          </w:p>
        </w:tc>
        <w:tc>
          <w:tcPr>
            <w:tcW w:w="1134" w:type="dxa"/>
            <w:vAlign w:val="center"/>
          </w:tcPr>
          <w:p w14:paraId="59CC58D3">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合同额</w:t>
            </w:r>
          </w:p>
        </w:tc>
        <w:tc>
          <w:tcPr>
            <w:tcW w:w="1417" w:type="dxa"/>
            <w:vAlign w:val="center"/>
          </w:tcPr>
          <w:p w14:paraId="0F7871D8">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签订时间</w:t>
            </w:r>
          </w:p>
        </w:tc>
        <w:tc>
          <w:tcPr>
            <w:tcW w:w="1276" w:type="dxa"/>
            <w:vAlign w:val="center"/>
          </w:tcPr>
          <w:p w14:paraId="1AB4211F">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电话/联系人</w:t>
            </w:r>
          </w:p>
        </w:tc>
        <w:tc>
          <w:tcPr>
            <w:tcW w:w="1210" w:type="dxa"/>
            <w:vAlign w:val="center"/>
          </w:tcPr>
          <w:p w14:paraId="0B6757D7">
            <w:pPr>
              <w:adjustRightInd w:val="0"/>
              <w:snapToGrid w:val="0"/>
              <w:spacing w:line="20" w:lineRule="atLeast"/>
              <w:jc w:val="center"/>
              <w:rPr>
                <w:rFonts w:ascii="仿宋_GB2312" w:hAnsi="仿宋" w:eastAsia="仿宋_GB2312"/>
                <w:sz w:val="30"/>
                <w:szCs w:val="30"/>
              </w:rPr>
            </w:pPr>
            <w:r>
              <w:rPr>
                <w:rFonts w:hint="eastAsia" w:ascii="仿宋_GB2312" w:hAnsi="仿宋" w:eastAsia="仿宋_GB2312"/>
                <w:sz w:val="30"/>
                <w:szCs w:val="30"/>
              </w:rPr>
              <w:t>备注</w:t>
            </w:r>
          </w:p>
        </w:tc>
      </w:tr>
      <w:tr w14:paraId="06AB3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4CF9FC35">
            <w:pPr>
              <w:jc w:val="center"/>
              <w:rPr>
                <w:rFonts w:ascii="仿宋_GB2312" w:hAnsi="仿宋" w:eastAsia="仿宋_GB2312"/>
                <w:sz w:val="30"/>
                <w:szCs w:val="30"/>
              </w:rPr>
            </w:pPr>
          </w:p>
        </w:tc>
        <w:tc>
          <w:tcPr>
            <w:tcW w:w="917" w:type="dxa"/>
            <w:vAlign w:val="center"/>
          </w:tcPr>
          <w:p w14:paraId="2D4D55F8">
            <w:pPr>
              <w:jc w:val="center"/>
              <w:rPr>
                <w:rFonts w:ascii="仿宋_GB2312" w:hAnsi="仿宋" w:eastAsia="仿宋_GB2312"/>
                <w:sz w:val="30"/>
                <w:szCs w:val="30"/>
              </w:rPr>
            </w:pPr>
          </w:p>
        </w:tc>
        <w:tc>
          <w:tcPr>
            <w:tcW w:w="2552" w:type="dxa"/>
            <w:vAlign w:val="center"/>
          </w:tcPr>
          <w:p w14:paraId="0AE7E756">
            <w:pPr>
              <w:jc w:val="center"/>
              <w:rPr>
                <w:rFonts w:ascii="仿宋_GB2312" w:hAnsi="仿宋" w:eastAsia="仿宋_GB2312"/>
                <w:sz w:val="30"/>
                <w:szCs w:val="30"/>
              </w:rPr>
            </w:pPr>
          </w:p>
        </w:tc>
        <w:tc>
          <w:tcPr>
            <w:tcW w:w="1134" w:type="dxa"/>
            <w:vAlign w:val="center"/>
          </w:tcPr>
          <w:p w14:paraId="7DA2725B">
            <w:pPr>
              <w:jc w:val="center"/>
              <w:rPr>
                <w:rFonts w:ascii="仿宋_GB2312" w:hAnsi="仿宋" w:eastAsia="仿宋_GB2312"/>
                <w:sz w:val="30"/>
                <w:szCs w:val="30"/>
              </w:rPr>
            </w:pPr>
          </w:p>
        </w:tc>
        <w:tc>
          <w:tcPr>
            <w:tcW w:w="1417" w:type="dxa"/>
            <w:vAlign w:val="center"/>
          </w:tcPr>
          <w:p w14:paraId="5C09FC07">
            <w:pPr>
              <w:jc w:val="center"/>
              <w:rPr>
                <w:rFonts w:ascii="仿宋_GB2312" w:hAnsi="仿宋" w:eastAsia="仿宋_GB2312"/>
                <w:sz w:val="30"/>
                <w:szCs w:val="30"/>
              </w:rPr>
            </w:pPr>
          </w:p>
        </w:tc>
        <w:tc>
          <w:tcPr>
            <w:tcW w:w="1276" w:type="dxa"/>
            <w:vAlign w:val="center"/>
          </w:tcPr>
          <w:p w14:paraId="061672D6">
            <w:pPr>
              <w:jc w:val="center"/>
              <w:rPr>
                <w:rFonts w:ascii="仿宋_GB2312" w:hAnsi="仿宋" w:eastAsia="仿宋_GB2312"/>
                <w:sz w:val="30"/>
                <w:szCs w:val="30"/>
              </w:rPr>
            </w:pPr>
          </w:p>
        </w:tc>
        <w:tc>
          <w:tcPr>
            <w:tcW w:w="1210" w:type="dxa"/>
            <w:vAlign w:val="center"/>
          </w:tcPr>
          <w:p w14:paraId="26402A80">
            <w:pPr>
              <w:jc w:val="center"/>
              <w:rPr>
                <w:rFonts w:ascii="仿宋_GB2312" w:hAnsi="仿宋" w:eastAsia="仿宋_GB2312"/>
                <w:sz w:val="30"/>
                <w:szCs w:val="30"/>
              </w:rPr>
            </w:pPr>
          </w:p>
        </w:tc>
      </w:tr>
      <w:tr w14:paraId="5CD66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089E8BA">
            <w:pPr>
              <w:jc w:val="center"/>
              <w:rPr>
                <w:rFonts w:ascii="仿宋_GB2312" w:hAnsi="仿宋" w:eastAsia="仿宋_GB2312"/>
                <w:sz w:val="30"/>
                <w:szCs w:val="30"/>
              </w:rPr>
            </w:pPr>
          </w:p>
        </w:tc>
        <w:tc>
          <w:tcPr>
            <w:tcW w:w="917" w:type="dxa"/>
            <w:vAlign w:val="center"/>
          </w:tcPr>
          <w:p w14:paraId="75B22AEB">
            <w:pPr>
              <w:jc w:val="center"/>
              <w:rPr>
                <w:rFonts w:ascii="仿宋_GB2312" w:hAnsi="仿宋" w:eastAsia="仿宋_GB2312"/>
                <w:sz w:val="30"/>
                <w:szCs w:val="30"/>
              </w:rPr>
            </w:pPr>
          </w:p>
        </w:tc>
        <w:tc>
          <w:tcPr>
            <w:tcW w:w="2552" w:type="dxa"/>
            <w:vAlign w:val="center"/>
          </w:tcPr>
          <w:p w14:paraId="4F25633F">
            <w:pPr>
              <w:jc w:val="center"/>
              <w:rPr>
                <w:rFonts w:ascii="仿宋_GB2312" w:hAnsi="仿宋" w:eastAsia="仿宋_GB2312"/>
                <w:sz w:val="30"/>
                <w:szCs w:val="30"/>
              </w:rPr>
            </w:pPr>
          </w:p>
        </w:tc>
        <w:tc>
          <w:tcPr>
            <w:tcW w:w="1134" w:type="dxa"/>
            <w:vAlign w:val="center"/>
          </w:tcPr>
          <w:p w14:paraId="685D34B0">
            <w:pPr>
              <w:jc w:val="center"/>
              <w:rPr>
                <w:rFonts w:ascii="仿宋_GB2312" w:hAnsi="仿宋" w:eastAsia="仿宋_GB2312"/>
                <w:sz w:val="30"/>
                <w:szCs w:val="30"/>
              </w:rPr>
            </w:pPr>
          </w:p>
        </w:tc>
        <w:tc>
          <w:tcPr>
            <w:tcW w:w="1417" w:type="dxa"/>
            <w:vAlign w:val="center"/>
          </w:tcPr>
          <w:p w14:paraId="5ABB24BE">
            <w:pPr>
              <w:jc w:val="center"/>
              <w:rPr>
                <w:rFonts w:ascii="仿宋_GB2312" w:hAnsi="仿宋" w:eastAsia="仿宋_GB2312"/>
                <w:sz w:val="30"/>
                <w:szCs w:val="30"/>
              </w:rPr>
            </w:pPr>
          </w:p>
        </w:tc>
        <w:tc>
          <w:tcPr>
            <w:tcW w:w="1276" w:type="dxa"/>
            <w:vAlign w:val="center"/>
          </w:tcPr>
          <w:p w14:paraId="587D80F0">
            <w:pPr>
              <w:jc w:val="center"/>
              <w:rPr>
                <w:rFonts w:ascii="仿宋_GB2312" w:hAnsi="仿宋" w:eastAsia="仿宋_GB2312"/>
                <w:sz w:val="30"/>
                <w:szCs w:val="30"/>
              </w:rPr>
            </w:pPr>
          </w:p>
        </w:tc>
        <w:tc>
          <w:tcPr>
            <w:tcW w:w="1210" w:type="dxa"/>
            <w:vAlign w:val="center"/>
          </w:tcPr>
          <w:p w14:paraId="61C850F3">
            <w:pPr>
              <w:jc w:val="center"/>
              <w:rPr>
                <w:rFonts w:ascii="仿宋_GB2312" w:hAnsi="仿宋" w:eastAsia="仿宋_GB2312"/>
                <w:sz w:val="30"/>
                <w:szCs w:val="30"/>
              </w:rPr>
            </w:pPr>
          </w:p>
        </w:tc>
      </w:tr>
      <w:tr w14:paraId="08BB4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28E0EC7B">
            <w:pPr>
              <w:jc w:val="center"/>
              <w:rPr>
                <w:rFonts w:ascii="仿宋_GB2312" w:hAnsi="仿宋" w:eastAsia="仿宋_GB2312"/>
                <w:sz w:val="30"/>
                <w:szCs w:val="30"/>
              </w:rPr>
            </w:pPr>
          </w:p>
        </w:tc>
        <w:tc>
          <w:tcPr>
            <w:tcW w:w="917" w:type="dxa"/>
            <w:vAlign w:val="center"/>
          </w:tcPr>
          <w:p w14:paraId="57DCF888">
            <w:pPr>
              <w:jc w:val="center"/>
              <w:rPr>
                <w:rFonts w:ascii="仿宋_GB2312" w:hAnsi="仿宋" w:eastAsia="仿宋_GB2312"/>
                <w:sz w:val="30"/>
                <w:szCs w:val="30"/>
              </w:rPr>
            </w:pPr>
          </w:p>
        </w:tc>
        <w:tc>
          <w:tcPr>
            <w:tcW w:w="2552" w:type="dxa"/>
            <w:vAlign w:val="center"/>
          </w:tcPr>
          <w:p w14:paraId="53376F0B">
            <w:pPr>
              <w:jc w:val="center"/>
              <w:rPr>
                <w:rFonts w:ascii="仿宋_GB2312" w:hAnsi="仿宋" w:eastAsia="仿宋_GB2312"/>
                <w:sz w:val="30"/>
                <w:szCs w:val="30"/>
              </w:rPr>
            </w:pPr>
          </w:p>
        </w:tc>
        <w:tc>
          <w:tcPr>
            <w:tcW w:w="1134" w:type="dxa"/>
            <w:vAlign w:val="center"/>
          </w:tcPr>
          <w:p w14:paraId="10ABD995">
            <w:pPr>
              <w:jc w:val="center"/>
              <w:rPr>
                <w:rFonts w:ascii="仿宋_GB2312" w:hAnsi="仿宋" w:eastAsia="仿宋_GB2312"/>
                <w:sz w:val="30"/>
                <w:szCs w:val="30"/>
              </w:rPr>
            </w:pPr>
          </w:p>
        </w:tc>
        <w:tc>
          <w:tcPr>
            <w:tcW w:w="1417" w:type="dxa"/>
            <w:vAlign w:val="center"/>
          </w:tcPr>
          <w:p w14:paraId="2BC6E1C7">
            <w:pPr>
              <w:jc w:val="center"/>
              <w:rPr>
                <w:rFonts w:ascii="仿宋_GB2312" w:hAnsi="仿宋" w:eastAsia="仿宋_GB2312"/>
                <w:sz w:val="30"/>
                <w:szCs w:val="30"/>
              </w:rPr>
            </w:pPr>
          </w:p>
        </w:tc>
        <w:tc>
          <w:tcPr>
            <w:tcW w:w="1276" w:type="dxa"/>
            <w:vAlign w:val="center"/>
          </w:tcPr>
          <w:p w14:paraId="07D04F10">
            <w:pPr>
              <w:jc w:val="center"/>
              <w:rPr>
                <w:rFonts w:ascii="仿宋_GB2312" w:hAnsi="仿宋" w:eastAsia="仿宋_GB2312"/>
                <w:sz w:val="30"/>
                <w:szCs w:val="30"/>
              </w:rPr>
            </w:pPr>
          </w:p>
        </w:tc>
        <w:tc>
          <w:tcPr>
            <w:tcW w:w="1210" w:type="dxa"/>
            <w:vAlign w:val="center"/>
          </w:tcPr>
          <w:p w14:paraId="5D75BC07">
            <w:pPr>
              <w:jc w:val="center"/>
              <w:rPr>
                <w:rFonts w:ascii="仿宋_GB2312" w:hAnsi="仿宋" w:eastAsia="仿宋_GB2312"/>
                <w:sz w:val="30"/>
                <w:szCs w:val="30"/>
              </w:rPr>
            </w:pPr>
          </w:p>
        </w:tc>
      </w:tr>
      <w:tr w14:paraId="554C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12AAD2B4">
            <w:pPr>
              <w:jc w:val="center"/>
              <w:rPr>
                <w:rFonts w:ascii="仿宋_GB2312" w:hAnsi="仿宋" w:eastAsia="仿宋_GB2312"/>
                <w:sz w:val="30"/>
                <w:szCs w:val="30"/>
              </w:rPr>
            </w:pPr>
          </w:p>
        </w:tc>
        <w:tc>
          <w:tcPr>
            <w:tcW w:w="917" w:type="dxa"/>
            <w:vAlign w:val="center"/>
          </w:tcPr>
          <w:p w14:paraId="3E620D0C">
            <w:pPr>
              <w:jc w:val="center"/>
              <w:rPr>
                <w:rFonts w:ascii="仿宋_GB2312" w:hAnsi="仿宋" w:eastAsia="仿宋_GB2312"/>
                <w:sz w:val="30"/>
                <w:szCs w:val="30"/>
              </w:rPr>
            </w:pPr>
          </w:p>
        </w:tc>
        <w:tc>
          <w:tcPr>
            <w:tcW w:w="2552" w:type="dxa"/>
            <w:vAlign w:val="center"/>
          </w:tcPr>
          <w:p w14:paraId="529B4E0A">
            <w:pPr>
              <w:jc w:val="center"/>
              <w:rPr>
                <w:rFonts w:ascii="仿宋_GB2312" w:hAnsi="仿宋" w:eastAsia="仿宋_GB2312"/>
                <w:sz w:val="30"/>
                <w:szCs w:val="30"/>
              </w:rPr>
            </w:pPr>
          </w:p>
        </w:tc>
        <w:tc>
          <w:tcPr>
            <w:tcW w:w="1134" w:type="dxa"/>
            <w:vAlign w:val="center"/>
          </w:tcPr>
          <w:p w14:paraId="2B0DB6D1">
            <w:pPr>
              <w:jc w:val="center"/>
              <w:rPr>
                <w:rFonts w:ascii="仿宋_GB2312" w:hAnsi="仿宋" w:eastAsia="仿宋_GB2312"/>
                <w:sz w:val="30"/>
                <w:szCs w:val="30"/>
              </w:rPr>
            </w:pPr>
          </w:p>
        </w:tc>
        <w:tc>
          <w:tcPr>
            <w:tcW w:w="1417" w:type="dxa"/>
            <w:vAlign w:val="center"/>
          </w:tcPr>
          <w:p w14:paraId="482B39F4">
            <w:pPr>
              <w:jc w:val="center"/>
              <w:rPr>
                <w:rFonts w:ascii="仿宋_GB2312" w:hAnsi="仿宋" w:eastAsia="仿宋_GB2312"/>
                <w:sz w:val="30"/>
                <w:szCs w:val="30"/>
              </w:rPr>
            </w:pPr>
          </w:p>
        </w:tc>
        <w:tc>
          <w:tcPr>
            <w:tcW w:w="1276" w:type="dxa"/>
            <w:vAlign w:val="center"/>
          </w:tcPr>
          <w:p w14:paraId="3D5B312A">
            <w:pPr>
              <w:jc w:val="center"/>
              <w:rPr>
                <w:rFonts w:ascii="仿宋_GB2312" w:hAnsi="仿宋" w:eastAsia="仿宋_GB2312"/>
                <w:sz w:val="30"/>
                <w:szCs w:val="30"/>
              </w:rPr>
            </w:pPr>
          </w:p>
        </w:tc>
        <w:tc>
          <w:tcPr>
            <w:tcW w:w="1210" w:type="dxa"/>
            <w:vAlign w:val="center"/>
          </w:tcPr>
          <w:p w14:paraId="6E79E4D5">
            <w:pPr>
              <w:jc w:val="center"/>
              <w:rPr>
                <w:rFonts w:ascii="仿宋_GB2312" w:hAnsi="仿宋" w:eastAsia="仿宋_GB2312"/>
                <w:sz w:val="30"/>
                <w:szCs w:val="30"/>
              </w:rPr>
            </w:pPr>
          </w:p>
        </w:tc>
      </w:tr>
      <w:tr w14:paraId="1252A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A47E0ED">
            <w:pPr>
              <w:jc w:val="center"/>
              <w:rPr>
                <w:rFonts w:ascii="仿宋_GB2312" w:hAnsi="仿宋" w:eastAsia="仿宋_GB2312"/>
                <w:sz w:val="30"/>
                <w:szCs w:val="30"/>
              </w:rPr>
            </w:pPr>
          </w:p>
        </w:tc>
        <w:tc>
          <w:tcPr>
            <w:tcW w:w="917" w:type="dxa"/>
            <w:vAlign w:val="center"/>
          </w:tcPr>
          <w:p w14:paraId="328CEA12">
            <w:pPr>
              <w:jc w:val="center"/>
              <w:rPr>
                <w:rFonts w:ascii="仿宋_GB2312" w:hAnsi="仿宋" w:eastAsia="仿宋_GB2312"/>
                <w:sz w:val="30"/>
                <w:szCs w:val="30"/>
              </w:rPr>
            </w:pPr>
          </w:p>
        </w:tc>
        <w:tc>
          <w:tcPr>
            <w:tcW w:w="2552" w:type="dxa"/>
            <w:vAlign w:val="center"/>
          </w:tcPr>
          <w:p w14:paraId="62FC85AF">
            <w:pPr>
              <w:jc w:val="center"/>
              <w:rPr>
                <w:rFonts w:ascii="仿宋_GB2312" w:hAnsi="仿宋" w:eastAsia="仿宋_GB2312"/>
                <w:sz w:val="30"/>
                <w:szCs w:val="30"/>
              </w:rPr>
            </w:pPr>
          </w:p>
        </w:tc>
        <w:tc>
          <w:tcPr>
            <w:tcW w:w="1134" w:type="dxa"/>
            <w:vAlign w:val="center"/>
          </w:tcPr>
          <w:p w14:paraId="0CA17FEA">
            <w:pPr>
              <w:jc w:val="center"/>
              <w:rPr>
                <w:rFonts w:ascii="仿宋_GB2312" w:hAnsi="仿宋" w:eastAsia="仿宋_GB2312"/>
                <w:sz w:val="30"/>
                <w:szCs w:val="30"/>
              </w:rPr>
            </w:pPr>
          </w:p>
        </w:tc>
        <w:tc>
          <w:tcPr>
            <w:tcW w:w="1417" w:type="dxa"/>
            <w:vAlign w:val="center"/>
          </w:tcPr>
          <w:p w14:paraId="2AB4F8B8">
            <w:pPr>
              <w:jc w:val="center"/>
              <w:rPr>
                <w:rFonts w:ascii="仿宋_GB2312" w:hAnsi="仿宋" w:eastAsia="仿宋_GB2312"/>
                <w:sz w:val="30"/>
                <w:szCs w:val="30"/>
              </w:rPr>
            </w:pPr>
          </w:p>
        </w:tc>
        <w:tc>
          <w:tcPr>
            <w:tcW w:w="1276" w:type="dxa"/>
            <w:vAlign w:val="center"/>
          </w:tcPr>
          <w:p w14:paraId="7BB673F8">
            <w:pPr>
              <w:jc w:val="center"/>
              <w:rPr>
                <w:rFonts w:ascii="仿宋_GB2312" w:hAnsi="仿宋" w:eastAsia="仿宋_GB2312"/>
                <w:sz w:val="30"/>
                <w:szCs w:val="30"/>
              </w:rPr>
            </w:pPr>
          </w:p>
        </w:tc>
        <w:tc>
          <w:tcPr>
            <w:tcW w:w="1210" w:type="dxa"/>
            <w:vAlign w:val="center"/>
          </w:tcPr>
          <w:p w14:paraId="218BFC17">
            <w:pPr>
              <w:jc w:val="center"/>
              <w:rPr>
                <w:rFonts w:ascii="仿宋_GB2312" w:hAnsi="仿宋" w:eastAsia="仿宋_GB2312"/>
                <w:sz w:val="30"/>
                <w:szCs w:val="30"/>
              </w:rPr>
            </w:pPr>
          </w:p>
        </w:tc>
      </w:tr>
      <w:tr w14:paraId="31488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092C8DAD">
            <w:pPr>
              <w:jc w:val="center"/>
              <w:rPr>
                <w:rFonts w:ascii="仿宋_GB2312" w:hAnsi="仿宋" w:eastAsia="仿宋_GB2312"/>
                <w:sz w:val="30"/>
                <w:szCs w:val="30"/>
              </w:rPr>
            </w:pPr>
          </w:p>
        </w:tc>
        <w:tc>
          <w:tcPr>
            <w:tcW w:w="917" w:type="dxa"/>
            <w:vAlign w:val="center"/>
          </w:tcPr>
          <w:p w14:paraId="0D43D92D">
            <w:pPr>
              <w:jc w:val="center"/>
              <w:rPr>
                <w:rFonts w:ascii="仿宋_GB2312" w:hAnsi="仿宋" w:eastAsia="仿宋_GB2312"/>
                <w:sz w:val="30"/>
                <w:szCs w:val="30"/>
              </w:rPr>
            </w:pPr>
          </w:p>
        </w:tc>
        <w:tc>
          <w:tcPr>
            <w:tcW w:w="2552" w:type="dxa"/>
            <w:vAlign w:val="center"/>
          </w:tcPr>
          <w:p w14:paraId="7EEF5714">
            <w:pPr>
              <w:jc w:val="center"/>
              <w:rPr>
                <w:rFonts w:ascii="仿宋_GB2312" w:hAnsi="仿宋" w:eastAsia="仿宋_GB2312"/>
                <w:sz w:val="30"/>
                <w:szCs w:val="30"/>
              </w:rPr>
            </w:pPr>
          </w:p>
        </w:tc>
        <w:tc>
          <w:tcPr>
            <w:tcW w:w="1134" w:type="dxa"/>
            <w:vAlign w:val="center"/>
          </w:tcPr>
          <w:p w14:paraId="3EECA243">
            <w:pPr>
              <w:jc w:val="center"/>
              <w:rPr>
                <w:rFonts w:ascii="仿宋_GB2312" w:hAnsi="仿宋" w:eastAsia="仿宋_GB2312"/>
                <w:sz w:val="30"/>
                <w:szCs w:val="30"/>
              </w:rPr>
            </w:pPr>
          </w:p>
        </w:tc>
        <w:tc>
          <w:tcPr>
            <w:tcW w:w="1417" w:type="dxa"/>
            <w:vAlign w:val="center"/>
          </w:tcPr>
          <w:p w14:paraId="1719B1E5">
            <w:pPr>
              <w:jc w:val="center"/>
              <w:rPr>
                <w:rFonts w:ascii="仿宋_GB2312" w:hAnsi="仿宋" w:eastAsia="仿宋_GB2312"/>
                <w:sz w:val="30"/>
                <w:szCs w:val="30"/>
              </w:rPr>
            </w:pPr>
          </w:p>
        </w:tc>
        <w:tc>
          <w:tcPr>
            <w:tcW w:w="1276" w:type="dxa"/>
            <w:vAlign w:val="center"/>
          </w:tcPr>
          <w:p w14:paraId="4FCA5197">
            <w:pPr>
              <w:jc w:val="center"/>
              <w:rPr>
                <w:rFonts w:ascii="仿宋_GB2312" w:hAnsi="仿宋" w:eastAsia="仿宋_GB2312"/>
                <w:sz w:val="30"/>
                <w:szCs w:val="30"/>
              </w:rPr>
            </w:pPr>
          </w:p>
        </w:tc>
        <w:tc>
          <w:tcPr>
            <w:tcW w:w="1210" w:type="dxa"/>
            <w:vAlign w:val="center"/>
          </w:tcPr>
          <w:p w14:paraId="1FA8FEED">
            <w:pPr>
              <w:jc w:val="center"/>
              <w:rPr>
                <w:rFonts w:ascii="仿宋_GB2312" w:hAnsi="仿宋" w:eastAsia="仿宋_GB2312"/>
                <w:sz w:val="30"/>
                <w:szCs w:val="30"/>
              </w:rPr>
            </w:pPr>
          </w:p>
        </w:tc>
      </w:tr>
      <w:tr w14:paraId="3578C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45931BBD">
            <w:pPr>
              <w:jc w:val="center"/>
              <w:rPr>
                <w:rFonts w:ascii="仿宋_GB2312" w:hAnsi="仿宋" w:eastAsia="仿宋_GB2312"/>
                <w:sz w:val="30"/>
                <w:szCs w:val="30"/>
              </w:rPr>
            </w:pPr>
          </w:p>
        </w:tc>
        <w:tc>
          <w:tcPr>
            <w:tcW w:w="917" w:type="dxa"/>
            <w:vAlign w:val="center"/>
          </w:tcPr>
          <w:p w14:paraId="379BF0EF">
            <w:pPr>
              <w:jc w:val="center"/>
              <w:rPr>
                <w:rFonts w:ascii="仿宋_GB2312" w:hAnsi="仿宋" w:eastAsia="仿宋_GB2312"/>
                <w:sz w:val="30"/>
                <w:szCs w:val="30"/>
              </w:rPr>
            </w:pPr>
          </w:p>
        </w:tc>
        <w:tc>
          <w:tcPr>
            <w:tcW w:w="2552" w:type="dxa"/>
            <w:vAlign w:val="center"/>
          </w:tcPr>
          <w:p w14:paraId="7476E167">
            <w:pPr>
              <w:jc w:val="center"/>
              <w:rPr>
                <w:rFonts w:ascii="仿宋_GB2312" w:hAnsi="仿宋" w:eastAsia="仿宋_GB2312"/>
                <w:sz w:val="30"/>
                <w:szCs w:val="30"/>
              </w:rPr>
            </w:pPr>
          </w:p>
        </w:tc>
        <w:tc>
          <w:tcPr>
            <w:tcW w:w="1134" w:type="dxa"/>
            <w:vAlign w:val="center"/>
          </w:tcPr>
          <w:p w14:paraId="0FB231CB">
            <w:pPr>
              <w:jc w:val="center"/>
              <w:rPr>
                <w:rFonts w:ascii="仿宋_GB2312" w:hAnsi="仿宋" w:eastAsia="仿宋_GB2312"/>
                <w:sz w:val="30"/>
                <w:szCs w:val="30"/>
              </w:rPr>
            </w:pPr>
          </w:p>
        </w:tc>
        <w:tc>
          <w:tcPr>
            <w:tcW w:w="1417" w:type="dxa"/>
            <w:vAlign w:val="center"/>
          </w:tcPr>
          <w:p w14:paraId="422CF883">
            <w:pPr>
              <w:jc w:val="center"/>
              <w:rPr>
                <w:rFonts w:ascii="仿宋_GB2312" w:hAnsi="仿宋" w:eastAsia="仿宋_GB2312"/>
                <w:sz w:val="30"/>
                <w:szCs w:val="30"/>
              </w:rPr>
            </w:pPr>
          </w:p>
        </w:tc>
        <w:tc>
          <w:tcPr>
            <w:tcW w:w="1276" w:type="dxa"/>
            <w:vAlign w:val="center"/>
          </w:tcPr>
          <w:p w14:paraId="5246832B">
            <w:pPr>
              <w:jc w:val="center"/>
              <w:rPr>
                <w:rFonts w:ascii="仿宋_GB2312" w:hAnsi="仿宋" w:eastAsia="仿宋_GB2312"/>
                <w:sz w:val="30"/>
                <w:szCs w:val="30"/>
              </w:rPr>
            </w:pPr>
          </w:p>
        </w:tc>
        <w:tc>
          <w:tcPr>
            <w:tcW w:w="1210" w:type="dxa"/>
            <w:vAlign w:val="center"/>
          </w:tcPr>
          <w:p w14:paraId="7622F0B2">
            <w:pPr>
              <w:jc w:val="center"/>
              <w:rPr>
                <w:rFonts w:ascii="仿宋_GB2312" w:hAnsi="仿宋" w:eastAsia="仿宋_GB2312"/>
                <w:sz w:val="30"/>
                <w:szCs w:val="30"/>
              </w:rPr>
            </w:pPr>
          </w:p>
        </w:tc>
      </w:tr>
      <w:tr w14:paraId="09668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4B610BF">
            <w:pPr>
              <w:jc w:val="center"/>
              <w:rPr>
                <w:rFonts w:ascii="仿宋_GB2312" w:hAnsi="仿宋" w:eastAsia="仿宋_GB2312"/>
                <w:sz w:val="30"/>
                <w:szCs w:val="30"/>
              </w:rPr>
            </w:pPr>
          </w:p>
        </w:tc>
        <w:tc>
          <w:tcPr>
            <w:tcW w:w="917" w:type="dxa"/>
            <w:vAlign w:val="center"/>
          </w:tcPr>
          <w:p w14:paraId="07AD5E6F">
            <w:pPr>
              <w:jc w:val="center"/>
              <w:rPr>
                <w:rFonts w:ascii="仿宋_GB2312" w:hAnsi="仿宋" w:eastAsia="仿宋_GB2312"/>
                <w:sz w:val="30"/>
                <w:szCs w:val="30"/>
              </w:rPr>
            </w:pPr>
          </w:p>
        </w:tc>
        <w:tc>
          <w:tcPr>
            <w:tcW w:w="2552" w:type="dxa"/>
            <w:vAlign w:val="center"/>
          </w:tcPr>
          <w:p w14:paraId="210C834C">
            <w:pPr>
              <w:jc w:val="center"/>
              <w:rPr>
                <w:rFonts w:ascii="仿宋_GB2312" w:hAnsi="仿宋" w:eastAsia="仿宋_GB2312"/>
                <w:sz w:val="30"/>
                <w:szCs w:val="30"/>
              </w:rPr>
            </w:pPr>
          </w:p>
        </w:tc>
        <w:tc>
          <w:tcPr>
            <w:tcW w:w="1134" w:type="dxa"/>
            <w:vAlign w:val="center"/>
          </w:tcPr>
          <w:p w14:paraId="7815AC35">
            <w:pPr>
              <w:jc w:val="center"/>
              <w:rPr>
                <w:rFonts w:ascii="仿宋_GB2312" w:hAnsi="仿宋" w:eastAsia="仿宋_GB2312"/>
                <w:sz w:val="30"/>
                <w:szCs w:val="30"/>
              </w:rPr>
            </w:pPr>
          </w:p>
        </w:tc>
        <w:tc>
          <w:tcPr>
            <w:tcW w:w="1417" w:type="dxa"/>
            <w:vAlign w:val="center"/>
          </w:tcPr>
          <w:p w14:paraId="727C76E5">
            <w:pPr>
              <w:jc w:val="center"/>
              <w:rPr>
                <w:rFonts w:ascii="仿宋_GB2312" w:hAnsi="仿宋" w:eastAsia="仿宋_GB2312"/>
                <w:sz w:val="30"/>
                <w:szCs w:val="30"/>
              </w:rPr>
            </w:pPr>
          </w:p>
        </w:tc>
        <w:tc>
          <w:tcPr>
            <w:tcW w:w="1276" w:type="dxa"/>
            <w:vAlign w:val="center"/>
          </w:tcPr>
          <w:p w14:paraId="2BEA22F5">
            <w:pPr>
              <w:jc w:val="center"/>
              <w:rPr>
                <w:rFonts w:ascii="仿宋_GB2312" w:hAnsi="仿宋" w:eastAsia="仿宋_GB2312"/>
                <w:sz w:val="30"/>
                <w:szCs w:val="30"/>
              </w:rPr>
            </w:pPr>
          </w:p>
        </w:tc>
        <w:tc>
          <w:tcPr>
            <w:tcW w:w="1210" w:type="dxa"/>
            <w:vAlign w:val="center"/>
          </w:tcPr>
          <w:p w14:paraId="504BDCE8">
            <w:pPr>
              <w:jc w:val="center"/>
              <w:rPr>
                <w:rFonts w:ascii="仿宋_GB2312" w:hAnsi="仿宋" w:eastAsia="仿宋_GB2312"/>
                <w:sz w:val="30"/>
                <w:szCs w:val="30"/>
              </w:rPr>
            </w:pPr>
          </w:p>
        </w:tc>
      </w:tr>
      <w:tr w14:paraId="32062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3DD078CE">
            <w:pPr>
              <w:jc w:val="center"/>
              <w:rPr>
                <w:rFonts w:ascii="仿宋_GB2312" w:hAnsi="仿宋" w:eastAsia="仿宋_GB2312"/>
                <w:sz w:val="30"/>
                <w:szCs w:val="30"/>
              </w:rPr>
            </w:pPr>
          </w:p>
        </w:tc>
        <w:tc>
          <w:tcPr>
            <w:tcW w:w="917" w:type="dxa"/>
            <w:vAlign w:val="center"/>
          </w:tcPr>
          <w:p w14:paraId="01B74C1C">
            <w:pPr>
              <w:jc w:val="center"/>
              <w:rPr>
                <w:rFonts w:ascii="仿宋_GB2312" w:hAnsi="仿宋" w:eastAsia="仿宋_GB2312"/>
                <w:sz w:val="30"/>
                <w:szCs w:val="30"/>
              </w:rPr>
            </w:pPr>
          </w:p>
        </w:tc>
        <w:tc>
          <w:tcPr>
            <w:tcW w:w="2552" w:type="dxa"/>
            <w:vAlign w:val="center"/>
          </w:tcPr>
          <w:p w14:paraId="6FEF7668">
            <w:pPr>
              <w:jc w:val="center"/>
              <w:rPr>
                <w:rFonts w:ascii="仿宋_GB2312" w:hAnsi="仿宋" w:eastAsia="仿宋_GB2312"/>
                <w:sz w:val="30"/>
                <w:szCs w:val="30"/>
              </w:rPr>
            </w:pPr>
          </w:p>
        </w:tc>
        <w:tc>
          <w:tcPr>
            <w:tcW w:w="1134" w:type="dxa"/>
            <w:vAlign w:val="center"/>
          </w:tcPr>
          <w:p w14:paraId="509E6261">
            <w:pPr>
              <w:jc w:val="center"/>
              <w:rPr>
                <w:rFonts w:ascii="仿宋_GB2312" w:hAnsi="仿宋" w:eastAsia="仿宋_GB2312"/>
                <w:sz w:val="30"/>
                <w:szCs w:val="30"/>
              </w:rPr>
            </w:pPr>
          </w:p>
        </w:tc>
        <w:tc>
          <w:tcPr>
            <w:tcW w:w="1417" w:type="dxa"/>
            <w:vAlign w:val="center"/>
          </w:tcPr>
          <w:p w14:paraId="6730F1B0">
            <w:pPr>
              <w:jc w:val="center"/>
              <w:rPr>
                <w:rFonts w:ascii="仿宋_GB2312" w:hAnsi="仿宋" w:eastAsia="仿宋_GB2312"/>
                <w:sz w:val="30"/>
                <w:szCs w:val="30"/>
              </w:rPr>
            </w:pPr>
          </w:p>
        </w:tc>
        <w:tc>
          <w:tcPr>
            <w:tcW w:w="1276" w:type="dxa"/>
            <w:vAlign w:val="center"/>
          </w:tcPr>
          <w:p w14:paraId="5BB4CD98">
            <w:pPr>
              <w:jc w:val="center"/>
              <w:rPr>
                <w:rFonts w:ascii="仿宋_GB2312" w:hAnsi="仿宋" w:eastAsia="仿宋_GB2312"/>
                <w:sz w:val="30"/>
                <w:szCs w:val="30"/>
              </w:rPr>
            </w:pPr>
          </w:p>
        </w:tc>
        <w:tc>
          <w:tcPr>
            <w:tcW w:w="1210" w:type="dxa"/>
            <w:vAlign w:val="center"/>
          </w:tcPr>
          <w:p w14:paraId="42402632">
            <w:pPr>
              <w:jc w:val="center"/>
              <w:rPr>
                <w:rFonts w:ascii="仿宋_GB2312" w:hAnsi="仿宋" w:eastAsia="仿宋_GB2312"/>
                <w:sz w:val="30"/>
                <w:szCs w:val="30"/>
              </w:rPr>
            </w:pPr>
          </w:p>
        </w:tc>
      </w:tr>
      <w:tr w14:paraId="4F813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322617F1">
            <w:pPr>
              <w:jc w:val="center"/>
              <w:rPr>
                <w:rFonts w:ascii="仿宋_GB2312" w:hAnsi="仿宋" w:eastAsia="仿宋_GB2312"/>
                <w:sz w:val="30"/>
                <w:szCs w:val="30"/>
              </w:rPr>
            </w:pPr>
          </w:p>
        </w:tc>
        <w:tc>
          <w:tcPr>
            <w:tcW w:w="917" w:type="dxa"/>
            <w:vAlign w:val="center"/>
          </w:tcPr>
          <w:p w14:paraId="7A7136BD">
            <w:pPr>
              <w:jc w:val="center"/>
              <w:rPr>
                <w:rFonts w:ascii="仿宋_GB2312" w:hAnsi="仿宋" w:eastAsia="仿宋_GB2312"/>
                <w:sz w:val="30"/>
                <w:szCs w:val="30"/>
              </w:rPr>
            </w:pPr>
          </w:p>
        </w:tc>
        <w:tc>
          <w:tcPr>
            <w:tcW w:w="2552" w:type="dxa"/>
            <w:vAlign w:val="center"/>
          </w:tcPr>
          <w:p w14:paraId="644DE7B8">
            <w:pPr>
              <w:jc w:val="center"/>
              <w:rPr>
                <w:rFonts w:ascii="仿宋_GB2312" w:hAnsi="仿宋" w:eastAsia="仿宋_GB2312"/>
                <w:sz w:val="30"/>
                <w:szCs w:val="30"/>
              </w:rPr>
            </w:pPr>
          </w:p>
        </w:tc>
        <w:tc>
          <w:tcPr>
            <w:tcW w:w="1134" w:type="dxa"/>
            <w:vAlign w:val="center"/>
          </w:tcPr>
          <w:p w14:paraId="1BBF6FD0">
            <w:pPr>
              <w:jc w:val="center"/>
              <w:rPr>
                <w:rFonts w:ascii="仿宋_GB2312" w:hAnsi="仿宋" w:eastAsia="仿宋_GB2312"/>
                <w:sz w:val="30"/>
                <w:szCs w:val="30"/>
              </w:rPr>
            </w:pPr>
          </w:p>
        </w:tc>
        <w:tc>
          <w:tcPr>
            <w:tcW w:w="1417" w:type="dxa"/>
            <w:vAlign w:val="center"/>
          </w:tcPr>
          <w:p w14:paraId="1A313C9B">
            <w:pPr>
              <w:jc w:val="center"/>
              <w:rPr>
                <w:rFonts w:ascii="仿宋_GB2312" w:hAnsi="仿宋" w:eastAsia="仿宋_GB2312"/>
                <w:sz w:val="30"/>
                <w:szCs w:val="30"/>
              </w:rPr>
            </w:pPr>
          </w:p>
        </w:tc>
        <w:tc>
          <w:tcPr>
            <w:tcW w:w="1276" w:type="dxa"/>
            <w:vAlign w:val="center"/>
          </w:tcPr>
          <w:p w14:paraId="6DEEC911">
            <w:pPr>
              <w:jc w:val="center"/>
              <w:rPr>
                <w:rFonts w:ascii="仿宋_GB2312" w:hAnsi="仿宋" w:eastAsia="仿宋_GB2312"/>
                <w:sz w:val="30"/>
                <w:szCs w:val="30"/>
              </w:rPr>
            </w:pPr>
          </w:p>
        </w:tc>
        <w:tc>
          <w:tcPr>
            <w:tcW w:w="1210" w:type="dxa"/>
            <w:vAlign w:val="center"/>
          </w:tcPr>
          <w:p w14:paraId="7CA48B4E">
            <w:pPr>
              <w:jc w:val="center"/>
              <w:rPr>
                <w:rFonts w:ascii="仿宋_GB2312" w:hAnsi="仿宋" w:eastAsia="仿宋_GB2312"/>
                <w:sz w:val="30"/>
                <w:szCs w:val="30"/>
              </w:rPr>
            </w:pPr>
          </w:p>
        </w:tc>
      </w:tr>
      <w:tr w14:paraId="44F3A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2A7C8DB5">
            <w:pPr>
              <w:jc w:val="center"/>
              <w:rPr>
                <w:rFonts w:ascii="仿宋_GB2312" w:hAnsi="仿宋" w:eastAsia="仿宋_GB2312"/>
                <w:sz w:val="30"/>
                <w:szCs w:val="30"/>
              </w:rPr>
            </w:pPr>
          </w:p>
        </w:tc>
        <w:tc>
          <w:tcPr>
            <w:tcW w:w="917" w:type="dxa"/>
            <w:vAlign w:val="center"/>
          </w:tcPr>
          <w:p w14:paraId="07552DBA">
            <w:pPr>
              <w:jc w:val="center"/>
              <w:rPr>
                <w:rFonts w:ascii="仿宋_GB2312" w:hAnsi="仿宋" w:eastAsia="仿宋_GB2312"/>
                <w:sz w:val="30"/>
                <w:szCs w:val="30"/>
              </w:rPr>
            </w:pPr>
          </w:p>
        </w:tc>
        <w:tc>
          <w:tcPr>
            <w:tcW w:w="2552" w:type="dxa"/>
            <w:vAlign w:val="center"/>
          </w:tcPr>
          <w:p w14:paraId="69C7EB4B">
            <w:pPr>
              <w:jc w:val="center"/>
              <w:rPr>
                <w:rFonts w:ascii="仿宋_GB2312" w:hAnsi="仿宋" w:eastAsia="仿宋_GB2312"/>
                <w:sz w:val="30"/>
                <w:szCs w:val="30"/>
              </w:rPr>
            </w:pPr>
          </w:p>
        </w:tc>
        <w:tc>
          <w:tcPr>
            <w:tcW w:w="1134" w:type="dxa"/>
            <w:vAlign w:val="center"/>
          </w:tcPr>
          <w:p w14:paraId="359A9B53">
            <w:pPr>
              <w:jc w:val="center"/>
              <w:rPr>
                <w:rFonts w:ascii="仿宋_GB2312" w:hAnsi="仿宋" w:eastAsia="仿宋_GB2312"/>
                <w:sz w:val="30"/>
                <w:szCs w:val="30"/>
              </w:rPr>
            </w:pPr>
          </w:p>
        </w:tc>
        <w:tc>
          <w:tcPr>
            <w:tcW w:w="1417" w:type="dxa"/>
            <w:vAlign w:val="center"/>
          </w:tcPr>
          <w:p w14:paraId="07459B65">
            <w:pPr>
              <w:jc w:val="center"/>
              <w:rPr>
                <w:rFonts w:ascii="仿宋_GB2312" w:hAnsi="仿宋" w:eastAsia="仿宋_GB2312"/>
                <w:sz w:val="30"/>
                <w:szCs w:val="30"/>
              </w:rPr>
            </w:pPr>
          </w:p>
        </w:tc>
        <w:tc>
          <w:tcPr>
            <w:tcW w:w="1276" w:type="dxa"/>
            <w:vAlign w:val="center"/>
          </w:tcPr>
          <w:p w14:paraId="146715CF">
            <w:pPr>
              <w:jc w:val="center"/>
              <w:rPr>
                <w:rFonts w:ascii="仿宋_GB2312" w:hAnsi="仿宋" w:eastAsia="仿宋_GB2312"/>
                <w:sz w:val="30"/>
                <w:szCs w:val="30"/>
              </w:rPr>
            </w:pPr>
          </w:p>
        </w:tc>
        <w:tc>
          <w:tcPr>
            <w:tcW w:w="1210" w:type="dxa"/>
            <w:vAlign w:val="center"/>
          </w:tcPr>
          <w:p w14:paraId="51BC6ECE">
            <w:pPr>
              <w:jc w:val="center"/>
              <w:rPr>
                <w:rFonts w:ascii="仿宋_GB2312" w:hAnsi="仿宋" w:eastAsia="仿宋_GB2312"/>
                <w:sz w:val="30"/>
                <w:szCs w:val="30"/>
              </w:rPr>
            </w:pPr>
          </w:p>
        </w:tc>
      </w:tr>
      <w:tr w14:paraId="7BE97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538F53DF">
            <w:pPr>
              <w:jc w:val="center"/>
              <w:rPr>
                <w:rFonts w:ascii="仿宋_GB2312" w:hAnsi="仿宋" w:eastAsia="仿宋_GB2312"/>
                <w:sz w:val="30"/>
                <w:szCs w:val="30"/>
              </w:rPr>
            </w:pPr>
          </w:p>
        </w:tc>
        <w:tc>
          <w:tcPr>
            <w:tcW w:w="917" w:type="dxa"/>
            <w:vAlign w:val="center"/>
          </w:tcPr>
          <w:p w14:paraId="3C917D29">
            <w:pPr>
              <w:jc w:val="center"/>
              <w:rPr>
                <w:rFonts w:ascii="仿宋_GB2312" w:hAnsi="仿宋" w:eastAsia="仿宋_GB2312"/>
                <w:sz w:val="30"/>
                <w:szCs w:val="30"/>
              </w:rPr>
            </w:pPr>
          </w:p>
        </w:tc>
        <w:tc>
          <w:tcPr>
            <w:tcW w:w="2552" w:type="dxa"/>
            <w:vAlign w:val="center"/>
          </w:tcPr>
          <w:p w14:paraId="347B5DFE">
            <w:pPr>
              <w:jc w:val="center"/>
              <w:rPr>
                <w:rFonts w:ascii="仿宋_GB2312" w:hAnsi="仿宋" w:eastAsia="仿宋_GB2312"/>
                <w:sz w:val="30"/>
                <w:szCs w:val="30"/>
              </w:rPr>
            </w:pPr>
          </w:p>
        </w:tc>
        <w:tc>
          <w:tcPr>
            <w:tcW w:w="1134" w:type="dxa"/>
            <w:vAlign w:val="center"/>
          </w:tcPr>
          <w:p w14:paraId="7BD1B9C7">
            <w:pPr>
              <w:jc w:val="center"/>
              <w:rPr>
                <w:rFonts w:ascii="仿宋_GB2312" w:hAnsi="仿宋" w:eastAsia="仿宋_GB2312"/>
                <w:sz w:val="30"/>
                <w:szCs w:val="30"/>
              </w:rPr>
            </w:pPr>
          </w:p>
        </w:tc>
        <w:tc>
          <w:tcPr>
            <w:tcW w:w="1417" w:type="dxa"/>
            <w:vAlign w:val="center"/>
          </w:tcPr>
          <w:p w14:paraId="37D105B3">
            <w:pPr>
              <w:jc w:val="center"/>
              <w:rPr>
                <w:rFonts w:ascii="仿宋_GB2312" w:hAnsi="仿宋" w:eastAsia="仿宋_GB2312"/>
                <w:sz w:val="30"/>
                <w:szCs w:val="30"/>
              </w:rPr>
            </w:pPr>
          </w:p>
        </w:tc>
        <w:tc>
          <w:tcPr>
            <w:tcW w:w="1276" w:type="dxa"/>
            <w:vAlign w:val="center"/>
          </w:tcPr>
          <w:p w14:paraId="68D467FC">
            <w:pPr>
              <w:jc w:val="center"/>
              <w:rPr>
                <w:rFonts w:ascii="仿宋_GB2312" w:hAnsi="仿宋" w:eastAsia="仿宋_GB2312"/>
                <w:sz w:val="30"/>
                <w:szCs w:val="30"/>
              </w:rPr>
            </w:pPr>
          </w:p>
        </w:tc>
        <w:tc>
          <w:tcPr>
            <w:tcW w:w="1210" w:type="dxa"/>
            <w:vAlign w:val="center"/>
          </w:tcPr>
          <w:p w14:paraId="37A62516">
            <w:pPr>
              <w:jc w:val="center"/>
              <w:rPr>
                <w:rFonts w:ascii="仿宋_GB2312" w:hAnsi="仿宋" w:eastAsia="仿宋_GB2312"/>
                <w:sz w:val="30"/>
                <w:szCs w:val="30"/>
              </w:rPr>
            </w:pPr>
          </w:p>
        </w:tc>
      </w:tr>
    </w:tbl>
    <w:p w14:paraId="4797A5BA">
      <w:pPr>
        <w:rPr>
          <w:rFonts w:ascii="仿宋_GB2312" w:hAnsi="仿宋" w:eastAsia="仿宋_GB2312"/>
          <w:sz w:val="24"/>
        </w:rPr>
      </w:pPr>
      <w:r>
        <w:rPr>
          <w:rFonts w:hint="eastAsia" w:ascii="仿宋_GB2312" w:hAnsi="仿宋" w:eastAsia="仿宋_GB2312"/>
          <w:sz w:val="24"/>
        </w:rPr>
        <w:t>备注：此表应认真填写，不得提供虚假业绩。</w:t>
      </w:r>
    </w:p>
    <w:p w14:paraId="1FBDBB32">
      <w:pPr>
        <w:ind w:firstLine="720" w:firstLineChars="300"/>
        <w:rPr>
          <w:rFonts w:ascii="仿宋_GB2312" w:hAnsi="仿宋" w:eastAsia="仿宋_GB2312"/>
          <w:sz w:val="24"/>
        </w:rPr>
      </w:pPr>
      <w:r>
        <w:rPr>
          <w:rFonts w:hint="eastAsia" w:ascii="仿宋_GB2312" w:hAnsi="仿宋" w:eastAsia="仿宋_GB2312"/>
          <w:sz w:val="24"/>
        </w:rPr>
        <w:t>后附合同书扫描件；</w:t>
      </w:r>
    </w:p>
    <w:p w14:paraId="4CC332D9">
      <w:pPr>
        <w:ind w:firstLine="720" w:firstLineChars="300"/>
        <w:rPr>
          <w:rFonts w:ascii="仿宋_GB2312" w:hAnsi="仿宋" w:eastAsia="仿宋_GB2312"/>
          <w:sz w:val="24"/>
        </w:rPr>
      </w:pPr>
      <w:r>
        <w:rPr>
          <w:rFonts w:hint="eastAsia" w:ascii="仿宋_GB2312" w:hAnsi="仿宋" w:eastAsia="仿宋_GB2312"/>
          <w:sz w:val="24"/>
        </w:rPr>
        <w:t>界定日期以合同签订时间为准。</w:t>
      </w:r>
    </w:p>
    <w:p w14:paraId="778285D2">
      <w:pPr>
        <w:ind w:firstLine="720" w:firstLineChars="300"/>
        <w:rPr>
          <w:rFonts w:ascii="仿宋_GB2312" w:hAnsi="仿宋" w:eastAsia="仿宋_GB2312"/>
          <w:sz w:val="24"/>
        </w:rPr>
      </w:pPr>
    </w:p>
    <w:p w14:paraId="6554C512">
      <w:pPr>
        <w:wordWrap w:val="0"/>
        <w:jc w:val="right"/>
        <w:rPr>
          <w:rFonts w:ascii="仿宋_GB2312" w:hAnsi="仿宋" w:eastAsia="仿宋_GB2312"/>
          <w:sz w:val="24"/>
        </w:rPr>
      </w:pPr>
      <w:r>
        <w:rPr>
          <w:rFonts w:hint="eastAsia" w:ascii="仿宋_GB2312" w:hAnsi="仿宋" w:eastAsia="仿宋_GB2312"/>
          <w:sz w:val="30"/>
          <w:szCs w:val="30"/>
        </w:rPr>
        <w:t xml:space="preserve">投标人名称(盖章):         </w:t>
      </w:r>
    </w:p>
    <w:p w14:paraId="00192014">
      <w:pPr>
        <w:wordWrap w:val="0"/>
        <w:spacing w:line="560" w:lineRule="exact"/>
        <w:jc w:val="right"/>
        <w:rPr>
          <w:rFonts w:ascii="仿宋" w:hAnsi="仿宋" w:eastAsia="仿宋"/>
          <w:sz w:val="30"/>
          <w:szCs w:val="30"/>
        </w:rPr>
      </w:pPr>
      <w:r>
        <w:rPr>
          <w:rFonts w:hint="eastAsia" w:ascii="仿宋_GB2312" w:hAnsi="仿宋" w:eastAsia="仿宋_GB2312"/>
          <w:sz w:val="30"/>
          <w:szCs w:val="30"/>
        </w:rPr>
        <w:t xml:space="preserve">法定代表人盖章:        </w:t>
      </w:r>
    </w:p>
    <w:p w14:paraId="0419685C">
      <w:pPr>
        <w:jc w:val="center"/>
        <w:rPr>
          <w:rFonts w:ascii="仿宋" w:hAnsi="仿宋" w:eastAsia="仿宋"/>
          <w:color w:val="000000" w:themeColor="text1"/>
          <w:sz w:val="40"/>
          <w:szCs w:val="44"/>
          <w14:textFill>
            <w14:solidFill>
              <w14:schemeClr w14:val="tx1"/>
            </w14:solidFill>
          </w14:textFill>
        </w:rPr>
      </w:pPr>
    </w:p>
    <w:p w14:paraId="72BA8B31">
      <w:pPr>
        <w:jc w:val="center"/>
        <w:rPr>
          <w:rFonts w:ascii="仿宋" w:hAnsi="仿宋" w:eastAsia="仿宋"/>
          <w:color w:val="000000" w:themeColor="text1"/>
          <w:sz w:val="40"/>
          <w:szCs w:val="44"/>
          <w14:textFill>
            <w14:solidFill>
              <w14:schemeClr w14:val="tx1"/>
            </w14:solidFill>
          </w14:textFill>
        </w:rPr>
      </w:pPr>
    </w:p>
    <w:p w14:paraId="763B6E44">
      <w:pPr>
        <w:jc w:val="center"/>
        <w:rPr>
          <w:rFonts w:ascii="仿宋" w:hAnsi="仿宋" w:eastAsia="仿宋"/>
          <w:color w:val="000000" w:themeColor="text1"/>
          <w:sz w:val="40"/>
          <w:szCs w:val="44"/>
          <w14:textFill>
            <w14:solidFill>
              <w14:schemeClr w14:val="tx1"/>
            </w14:solidFill>
          </w14:textFill>
        </w:rPr>
      </w:pPr>
    </w:p>
    <w:p w14:paraId="335A0CB3">
      <w:pPr>
        <w:pStyle w:val="2"/>
      </w:pPr>
    </w:p>
    <w:p w14:paraId="5F98DCE6">
      <w:pPr>
        <w:jc w:val="center"/>
        <w:rPr>
          <w:rFonts w:ascii="仿宋" w:hAnsi="仿宋" w:eastAsia="仿宋"/>
          <w:color w:val="000000" w:themeColor="text1"/>
          <w:sz w:val="40"/>
          <w:szCs w:val="44"/>
          <w14:textFill>
            <w14:solidFill>
              <w14:schemeClr w14:val="tx1"/>
            </w14:solidFill>
          </w14:textFill>
        </w:rPr>
      </w:pPr>
      <w:r>
        <w:rPr>
          <w:rFonts w:hint="eastAsia" w:ascii="仿宋" w:hAnsi="仿宋" w:eastAsia="仿宋"/>
          <w:color w:val="000000" w:themeColor="text1"/>
          <w:sz w:val="40"/>
          <w:szCs w:val="44"/>
          <w14:textFill>
            <w14:solidFill>
              <w14:schemeClr w14:val="tx1"/>
            </w14:solidFill>
          </w14:textFill>
        </w:rPr>
        <w:t>财务状况报告</w:t>
      </w:r>
    </w:p>
    <w:p w14:paraId="065F3DC6">
      <w:pPr>
        <w:jc w:val="center"/>
        <w:rPr>
          <w:rFonts w:ascii="仿宋" w:hAnsi="仿宋" w:eastAsia="仿宋"/>
          <w:color w:val="000000" w:themeColor="text1"/>
          <w:sz w:val="40"/>
          <w:szCs w:val="44"/>
          <w14:textFill>
            <w14:solidFill>
              <w14:schemeClr w14:val="tx1"/>
            </w14:solidFill>
          </w14:textFill>
        </w:rPr>
      </w:pPr>
      <w:r>
        <w:rPr>
          <w:rFonts w:hint="eastAsia" w:ascii="仿宋" w:hAnsi="仿宋" w:eastAsia="仿宋"/>
          <w:color w:val="000000" w:themeColor="text1"/>
          <w:sz w:val="40"/>
          <w:szCs w:val="44"/>
          <w14:textFill>
            <w14:solidFill>
              <w14:schemeClr w14:val="tx1"/>
            </w14:solidFill>
          </w14:textFill>
        </w:rPr>
        <w:t>（加盖投标人签章）</w:t>
      </w:r>
    </w:p>
    <w:p w14:paraId="0ED17CB8">
      <w:pPr>
        <w:jc w:val="center"/>
        <w:rPr>
          <w:rFonts w:ascii="仿宋" w:hAnsi="仿宋" w:eastAsia="仿宋"/>
          <w:color w:val="000000" w:themeColor="text1"/>
          <w:sz w:val="40"/>
          <w:szCs w:val="44"/>
          <w14:textFill>
            <w14:solidFill>
              <w14:schemeClr w14:val="tx1"/>
            </w14:solidFill>
          </w14:textFill>
        </w:rPr>
      </w:pPr>
    </w:p>
    <w:p w14:paraId="15AA63A1">
      <w:pPr>
        <w:jc w:val="center"/>
        <w:rPr>
          <w:rFonts w:ascii="仿宋" w:hAnsi="仿宋" w:eastAsia="仿宋"/>
          <w:color w:val="000000" w:themeColor="text1"/>
          <w:sz w:val="40"/>
          <w:szCs w:val="44"/>
          <w14:textFill>
            <w14:solidFill>
              <w14:schemeClr w14:val="tx1"/>
            </w14:solidFill>
          </w14:textFill>
        </w:rPr>
      </w:pPr>
    </w:p>
    <w:p w14:paraId="44BCE796">
      <w:pPr>
        <w:jc w:val="center"/>
        <w:rPr>
          <w:rFonts w:ascii="仿宋" w:hAnsi="仿宋" w:eastAsia="仿宋"/>
          <w:color w:val="000000" w:themeColor="text1"/>
          <w:sz w:val="40"/>
          <w:szCs w:val="44"/>
          <w14:textFill>
            <w14:solidFill>
              <w14:schemeClr w14:val="tx1"/>
            </w14:solidFill>
          </w14:textFill>
        </w:rPr>
      </w:pPr>
    </w:p>
    <w:p w14:paraId="1E0D4601">
      <w:pPr>
        <w:jc w:val="center"/>
        <w:rPr>
          <w:rFonts w:ascii="仿宋" w:hAnsi="仿宋" w:eastAsia="仿宋"/>
          <w:color w:val="000000" w:themeColor="text1"/>
          <w:sz w:val="40"/>
          <w:szCs w:val="44"/>
          <w14:textFill>
            <w14:solidFill>
              <w14:schemeClr w14:val="tx1"/>
            </w14:solidFill>
          </w14:textFill>
        </w:rPr>
      </w:pPr>
    </w:p>
    <w:p w14:paraId="7E43460A">
      <w:pPr>
        <w:jc w:val="center"/>
        <w:rPr>
          <w:rFonts w:ascii="仿宋" w:hAnsi="仿宋" w:eastAsia="仿宋"/>
          <w:color w:val="000000" w:themeColor="text1"/>
          <w:sz w:val="40"/>
          <w:szCs w:val="44"/>
          <w14:textFill>
            <w14:solidFill>
              <w14:schemeClr w14:val="tx1"/>
            </w14:solidFill>
          </w14:textFill>
        </w:rPr>
      </w:pPr>
    </w:p>
    <w:p w14:paraId="75E2D7E1">
      <w:pPr>
        <w:jc w:val="center"/>
        <w:rPr>
          <w:rFonts w:ascii="仿宋" w:hAnsi="仿宋" w:eastAsia="仿宋"/>
          <w:color w:val="000000" w:themeColor="text1"/>
          <w:sz w:val="40"/>
          <w:szCs w:val="44"/>
          <w14:textFill>
            <w14:solidFill>
              <w14:schemeClr w14:val="tx1"/>
            </w14:solidFill>
          </w14:textFill>
        </w:rPr>
      </w:pPr>
    </w:p>
    <w:p w14:paraId="1A80C275">
      <w:pPr>
        <w:jc w:val="center"/>
        <w:rPr>
          <w:rFonts w:ascii="仿宋" w:hAnsi="仿宋" w:eastAsia="仿宋"/>
          <w:color w:val="000000" w:themeColor="text1"/>
          <w:sz w:val="40"/>
          <w:szCs w:val="44"/>
          <w14:textFill>
            <w14:solidFill>
              <w14:schemeClr w14:val="tx1"/>
            </w14:solidFill>
          </w14:textFill>
        </w:rPr>
      </w:pPr>
    </w:p>
    <w:p w14:paraId="58B0D5C0">
      <w:pPr>
        <w:jc w:val="center"/>
        <w:rPr>
          <w:rFonts w:ascii="仿宋" w:hAnsi="仿宋" w:eastAsia="仿宋"/>
          <w:color w:val="000000" w:themeColor="text1"/>
          <w:sz w:val="40"/>
          <w:szCs w:val="44"/>
          <w14:textFill>
            <w14:solidFill>
              <w14:schemeClr w14:val="tx1"/>
            </w14:solidFill>
          </w14:textFill>
        </w:rPr>
      </w:pPr>
    </w:p>
    <w:p w14:paraId="1304F906">
      <w:pPr>
        <w:jc w:val="center"/>
        <w:rPr>
          <w:rFonts w:ascii="仿宋" w:hAnsi="仿宋" w:eastAsia="仿宋"/>
          <w:color w:val="000000" w:themeColor="text1"/>
          <w:sz w:val="40"/>
          <w:szCs w:val="44"/>
          <w14:textFill>
            <w14:solidFill>
              <w14:schemeClr w14:val="tx1"/>
            </w14:solidFill>
          </w14:textFill>
        </w:rPr>
      </w:pPr>
    </w:p>
    <w:p w14:paraId="40D21F97">
      <w:pPr>
        <w:jc w:val="center"/>
        <w:rPr>
          <w:rFonts w:ascii="仿宋" w:hAnsi="仿宋" w:eastAsia="仿宋"/>
          <w:color w:val="000000" w:themeColor="text1"/>
          <w:sz w:val="40"/>
          <w:szCs w:val="44"/>
          <w14:textFill>
            <w14:solidFill>
              <w14:schemeClr w14:val="tx1"/>
            </w14:solidFill>
          </w14:textFill>
        </w:rPr>
      </w:pPr>
    </w:p>
    <w:p w14:paraId="5812B779">
      <w:pPr>
        <w:jc w:val="center"/>
        <w:rPr>
          <w:rFonts w:ascii="仿宋" w:hAnsi="仿宋" w:eastAsia="仿宋"/>
          <w:color w:val="000000" w:themeColor="text1"/>
          <w:sz w:val="40"/>
          <w:szCs w:val="44"/>
          <w14:textFill>
            <w14:solidFill>
              <w14:schemeClr w14:val="tx1"/>
            </w14:solidFill>
          </w14:textFill>
        </w:rPr>
      </w:pPr>
    </w:p>
    <w:p w14:paraId="61159211">
      <w:pPr>
        <w:jc w:val="center"/>
        <w:rPr>
          <w:rFonts w:ascii="仿宋" w:hAnsi="仿宋" w:eastAsia="仿宋"/>
          <w:color w:val="000000" w:themeColor="text1"/>
          <w:sz w:val="40"/>
          <w:szCs w:val="44"/>
          <w14:textFill>
            <w14:solidFill>
              <w14:schemeClr w14:val="tx1"/>
            </w14:solidFill>
          </w14:textFill>
        </w:rPr>
      </w:pPr>
    </w:p>
    <w:p w14:paraId="139192B6">
      <w:pPr>
        <w:jc w:val="center"/>
        <w:rPr>
          <w:rFonts w:ascii="仿宋" w:hAnsi="仿宋" w:eastAsia="仿宋"/>
          <w:color w:val="000000" w:themeColor="text1"/>
          <w:sz w:val="40"/>
          <w:szCs w:val="44"/>
          <w14:textFill>
            <w14:solidFill>
              <w14:schemeClr w14:val="tx1"/>
            </w14:solidFill>
          </w14:textFill>
        </w:rPr>
      </w:pPr>
    </w:p>
    <w:p w14:paraId="52B5FF3F">
      <w:pPr>
        <w:jc w:val="center"/>
        <w:rPr>
          <w:rFonts w:ascii="仿宋" w:hAnsi="仿宋" w:eastAsia="仿宋"/>
          <w:color w:val="000000" w:themeColor="text1"/>
          <w:sz w:val="40"/>
          <w:szCs w:val="44"/>
          <w14:textFill>
            <w14:solidFill>
              <w14:schemeClr w14:val="tx1"/>
            </w14:solidFill>
          </w14:textFill>
        </w:rPr>
      </w:pPr>
    </w:p>
    <w:p w14:paraId="2B0DF765">
      <w:pPr>
        <w:jc w:val="center"/>
        <w:rPr>
          <w:rFonts w:ascii="仿宋" w:hAnsi="仿宋" w:eastAsia="仿宋"/>
          <w:color w:val="000000" w:themeColor="text1"/>
          <w:sz w:val="40"/>
          <w:szCs w:val="44"/>
          <w14:textFill>
            <w14:solidFill>
              <w14:schemeClr w14:val="tx1"/>
            </w14:solidFill>
          </w14:textFill>
        </w:rPr>
      </w:pPr>
    </w:p>
    <w:p w14:paraId="51D8998F">
      <w:pPr>
        <w:jc w:val="center"/>
        <w:rPr>
          <w:rFonts w:ascii="仿宋" w:hAnsi="仿宋" w:eastAsia="仿宋"/>
          <w:color w:val="000000" w:themeColor="text1"/>
          <w:sz w:val="40"/>
          <w:szCs w:val="44"/>
          <w14:textFill>
            <w14:solidFill>
              <w14:schemeClr w14:val="tx1"/>
            </w14:solidFill>
          </w14:textFill>
        </w:rPr>
      </w:pPr>
    </w:p>
    <w:p w14:paraId="7D87E1CE">
      <w:pPr>
        <w:jc w:val="center"/>
        <w:rPr>
          <w:rFonts w:ascii="仿宋" w:hAnsi="仿宋" w:eastAsia="仿宋"/>
          <w:color w:val="000000" w:themeColor="text1"/>
          <w:sz w:val="40"/>
          <w:szCs w:val="44"/>
          <w14:textFill>
            <w14:solidFill>
              <w14:schemeClr w14:val="tx1"/>
            </w14:solidFill>
          </w14:textFill>
        </w:rPr>
      </w:pPr>
    </w:p>
    <w:p w14:paraId="60EE9A63">
      <w:pPr>
        <w:jc w:val="center"/>
        <w:rPr>
          <w:rFonts w:ascii="仿宋" w:hAnsi="仿宋" w:eastAsia="仿宋"/>
          <w:color w:val="000000" w:themeColor="text1"/>
          <w:sz w:val="40"/>
          <w:szCs w:val="44"/>
          <w14:textFill>
            <w14:solidFill>
              <w14:schemeClr w14:val="tx1"/>
            </w14:solidFill>
          </w14:textFill>
        </w:rPr>
      </w:pPr>
    </w:p>
    <w:p w14:paraId="3CA5C03A">
      <w:pPr>
        <w:jc w:val="center"/>
        <w:rPr>
          <w:rFonts w:ascii="仿宋" w:hAnsi="仿宋" w:eastAsia="仿宋"/>
          <w:color w:val="000000" w:themeColor="text1"/>
          <w:sz w:val="40"/>
          <w:szCs w:val="44"/>
          <w14:textFill>
            <w14:solidFill>
              <w14:schemeClr w14:val="tx1"/>
            </w14:solidFill>
          </w14:textFill>
        </w:rPr>
      </w:pPr>
    </w:p>
    <w:p w14:paraId="3DCC3900">
      <w:pPr>
        <w:jc w:val="center"/>
        <w:rPr>
          <w:rFonts w:ascii="仿宋" w:hAnsi="仿宋" w:eastAsia="仿宋"/>
          <w:color w:val="000000" w:themeColor="text1"/>
          <w:sz w:val="40"/>
          <w:szCs w:val="44"/>
          <w14:textFill>
            <w14:solidFill>
              <w14:schemeClr w14:val="tx1"/>
            </w14:solidFill>
          </w14:textFill>
        </w:rPr>
      </w:pPr>
    </w:p>
    <w:p w14:paraId="2BA386F3">
      <w:pPr>
        <w:jc w:val="center"/>
        <w:rPr>
          <w:rFonts w:ascii="仿宋" w:hAnsi="仿宋" w:eastAsia="仿宋"/>
          <w:color w:val="000000" w:themeColor="text1"/>
          <w:sz w:val="40"/>
          <w:szCs w:val="44"/>
          <w14:textFill>
            <w14:solidFill>
              <w14:schemeClr w14:val="tx1"/>
            </w14:solidFill>
          </w14:textFill>
        </w:rPr>
      </w:pPr>
      <w:r>
        <w:rPr>
          <w:rFonts w:hint="eastAsia" w:ascii="仿宋" w:hAnsi="仿宋" w:eastAsia="仿宋"/>
          <w:color w:val="000000" w:themeColor="text1"/>
          <w:sz w:val="40"/>
          <w:szCs w:val="44"/>
          <w14:textFill>
            <w14:solidFill>
              <w14:schemeClr w14:val="tx1"/>
            </w14:solidFill>
          </w14:textFill>
        </w:rPr>
        <w:t>投标人基本情况表</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647"/>
        <w:gridCol w:w="567"/>
        <w:gridCol w:w="1098"/>
        <w:gridCol w:w="567"/>
        <w:gridCol w:w="657"/>
        <w:gridCol w:w="1557"/>
        <w:gridCol w:w="46"/>
        <w:gridCol w:w="503"/>
        <w:gridCol w:w="2049"/>
      </w:tblGrid>
      <w:tr w14:paraId="28ADC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3B7CD9B1">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单位名称</w:t>
            </w:r>
          </w:p>
        </w:tc>
        <w:tc>
          <w:tcPr>
            <w:tcW w:w="2889" w:type="dxa"/>
            <w:gridSpan w:val="4"/>
            <w:vAlign w:val="center"/>
          </w:tcPr>
          <w:p w14:paraId="3FB824BB">
            <w:pPr>
              <w:spacing w:line="440" w:lineRule="exact"/>
              <w:jc w:val="center"/>
              <w:rPr>
                <w:rFonts w:ascii="仿宋" w:hAnsi="仿宋" w:eastAsia="仿宋"/>
                <w:color w:val="000000" w:themeColor="text1"/>
                <w:sz w:val="28"/>
                <w:szCs w:val="28"/>
                <w14:textFill>
                  <w14:solidFill>
                    <w14:schemeClr w14:val="tx1"/>
                  </w14:solidFill>
                </w14:textFill>
              </w:rPr>
            </w:pPr>
          </w:p>
        </w:tc>
        <w:tc>
          <w:tcPr>
            <w:tcW w:w="2106" w:type="dxa"/>
            <w:gridSpan w:val="3"/>
            <w:vAlign w:val="center"/>
          </w:tcPr>
          <w:p w14:paraId="1665F413">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地址</w:t>
            </w:r>
          </w:p>
        </w:tc>
        <w:tc>
          <w:tcPr>
            <w:tcW w:w="2049" w:type="dxa"/>
            <w:vAlign w:val="center"/>
          </w:tcPr>
          <w:p w14:paraId="60514415">
            <w:pPr>
              <w:spacing w:line="440" w:lineRule="exact"/>
              <w:jc w:val="center"/>
              <w:rPr>
                <w:rFonts w:ascii="仿宋" w:hAnsi="仿宋" w:eastAsia="仿宋"/>
                <w:color w:val="000000" w:themeColor="text1"/>
                <w:sz w:val="28"/>
                <w:szCs w:val="28"/>
                <w14:textFill>
                  <w14:solidFill>
                    <w14:schemeClr w14:val="tx1"/>
                  </w14:solidFill>
                </w14:textFill>
              </w:rPr>
            </w:pPr>
          </w:p>
        </w:tc>
      </w:tr>
      <w:tr w14:paraId="6BCBB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2E00EF48">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办公电话/传真</w:t>
            </w:r>
          </w:p>
        </w:tc>
        <w:tc>
          <w:tcPr>
            <w:tcW w:w="2889" w:type="dxa"/>
            <w:gridSpan w:val="4"/>
            <w:vAlign w:val="center"/>
          </w:tcPr>
          <w:p w14:paraId="74E85AD2">
            <w:pPr>
              <w:spacing w:line="440" w:lineRule="exact"/>
              <w:jc w:val="center"/>
              <w:rPr>
                <w:rFonts w:ascii="仿宋" w:hAnsi="仿宋" w:eastAsia="仿宋"/>
                <w:color w:val="000000" w:themeColor="text1"/>
                <w:sz w:val="28"/>
                <w:szCs w:val="28"/>
                <w14:textFill>
                  <w14:solidFill>
                    <w14:schemeClr w14:val="tx1"/>
                  </w14:solidFill>
                </w14:textFill>
              </w:rPr>
            </w:pPr>
          </w:p>
        </w:tc>
        <w:tc>
          <w:tcPr>
            <w:tcW w:w="2106" w:type="dxa"/>
            <w:gridSpan w:val="3"/>
            <w:vAlign w:val="center"/>
          </w:tcPr>
          <w:p w14:paraId="10F116F0">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联系人</w:t>
            </w:r>
          </w:p>
        </w:tc>
        <w:tc>
          <w:tcPr>
            <w:tcW w:w="2049" w:type="dxa"/>
            <w:vAlign w:val="center"/>
          </w:tcPr>
          <w:p w14:paraId="0C09B75A">
            <w:pPr>
              <w:spacing w:line="440" w:lineRule="exact"/>
              <w:jc w:val="center"/>
              <w:rPr>
                <w:rFonts w:ascii="仿宋" w:hAnsi="仿宋" w:eastAsia="仿宋"/>
                <w:color w:val="000000" w:themeColor="text1"/>
                <w:sz w:val="28"/>
                <w:szCs w:val="28"/>
                <w14:textFill>
                  <w14:solidFill>
                    <w14:schemeClr w14:val="tx1"/>
                  </w14:solidFill>
                </w14:textFill>
              </w:rPr>
            </w:pPr>
          </w:p>
        </w:tc>
      </w:tr>
      <w:tr w14:paraId="447B2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01AE8EED">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所属/主管部门</w:t>
            </w:r>
          </w:p>
        </w:tc>
        <w:tc>
          <w:tcPr>
            <w:tcW w:w="7044" w:type="dxa"/>
            <w:gridSpan w:val="8"/>
            <w:vAlign w:val="center"/>
          </w:tcPr>
          <w:p w14:paraId="20ADBEBD">
            <w:pPr>
              <w:spacing w:line="440" w:lineRule="exact"/>
              <w:jc w:val="center"/>
              <w:rPr>
                <w:rFonts w:ascii="仿宋" w:hAnsi="仿宋" w:eastAsia="仿宋"/>
                <w:color w:val="000000" w:themeColor="text1"/>
                <w:sz w:val="28"/>
                <w:szCs w:val="28"/>
                <w14:textFill>
                  <w14:solidFill>
                    <w14:schemeClr w14:val="tx1"/>
                  </w14:solidFill>
                </w14:textFill>
              </w:rPr>
            </w:pPr>
          </w:p>
        </w:tc>
      </w:tr>
      <w:tr w14:paraId="46083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4447ACF2">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总经理</w:t>
            </w:r>
          </w:p>
        </w:tc>
        <w:tc>
          <w:tcPr>
            <w:tcW w:w="1665" w:type="dxa"/>
            <w:gridSpan w:val="2"/>
            <w:vAlign w:val="center"/>
          </w:tcPr>
          <w:p w14:paraId="0CC287A0">
            <w:pPr>
              <w:spacing w:line="440" w:lineRule="exact"/>
              <w:jc w:val="center"/>
              <w:rPr>
                <w:rFonts w:ascii="仿宋" w:hAnsi="仿宋" w:eastAsia="仿宋"/>
                <w:color w:val="000000" w:themeColor="text1"/>
                <w:sz w:val="28"/>
                <w:szCs w:val="28"/>
                <w14:textFill>
                  <w14:solidFill>
                    <w14:schemeClr w14:val="tx1"/>
                  </w14:solidFill>
                </w14:textFill>
              </w:rPr>
            </w:pPr>
          </w:p>
        </w:tc>
        <w:tc>
          <w:tcPr>
            <w:tcW w:w="2827" w:type="dxa"/>
            <w:gridSpan w:val="4"/>
            <w:vAlign w:val="center"/>
          </w:tcPr>
          <w:p w14:paraId="1DD9B216">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固定办公面积（平米）</w:t>
            </w:r>
          </w:p>
        </w:tc>
        <w:tc>
          <w:tcPr>
            <w:tcW w:w="2552" w:type="dxa"/>
            <w:gridSpan w:val="2"/>
            <w:vAlign w:val="center"/>
          </w:tcPr>
          <w:p w14:paraId="4391A8DE">
            <w:pPr>
              <w:spacing w:line="440" w:lineRule="exact"/>
              <w:jc w:val="center"/>
              <w:rPr>
                <w:rFonts w:ascii="仿宋" w:hAnsi="仿宋" w:eastAsia="仿宋"/>
                <w:color w:val="000000" w:themeColor="text1"/>
                <w:sz w:val="28"/>
                <w:szCs w:val="28"/>
                <w14:textFill>
                  <w14:solidFill>
                    <w14:schemeClr w14:val="tx1"/>
                  </w14:solidFill>
                </w14:textFill>
              </w:rPr>
            </w:pPr>
          </w:p>
        </w:tc>
      </w:tr>
      <w:tr w14:paraId="4807E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restart"/>
            <w:vAlign w:val="center"/>
          </w:tcPr>
          <w:p w14:paraId="43A4E4F8">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注册情况</w:t>
            </w:r>
          </w:p>
        </w:tc>
        <w:tc>
          <w:tcPr>
            <w:tcW w:w="2214" w:type="dxa"/>
            <w:gridSpan w:val="2"/>
            <w:vAlign w:val="center"/>
          </w:tcPr>
          <w:p w14:paraId="27F0C953">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工商注册号</w:t>
            </w:r>
          </w:p>
        </w:tc>
        <w:tc>
          <w:tcPr>
            <w:tcW w:w="6477" w:type="dxa"/>
            <w:gridSpan w:val="7"/>
            <w:vAlign w:val="center"/>
          </w:tcPr>
          <w:p w14:paraId="5B6836B7">
            <w:pPr>
              <w:spacing w:line="440" w:lineRule="exact"/>
              <w:jc w:val="center"/>
              <w:rPr>
                <w:rFonts w:ascii="仿宋" w:hAnsi="仿宋" w:eastAsia="仿宋"/>
                <w:color w:val="000000" w:themeColor="text1"/>
                <w:sz w:val="28"/>
                <w:szCs w:val="28"/>
                <w14:textFill>
                  <w14:solidFill>
                    <w14:schemeClr w14:val="tx1"/>
                  </w14:solidFill>
                </w14:textFill>
              </w:rPr>
            </w:pPr>
          </w:p>
        </w:tc>
      </w:tr>
      <w:tr w14:paraId="2426F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717013BA">
            <w:pPr>
              <w:spacing w:line="440" w:lineRule="exact"/>
              <w:jc w:val="center"/>
              <w:rPr>
                <w:rFonts w:ascii="仿宋" w:hAnsi="仿宋" w:eastAsia="仿宋"/>
                <w:color w:val="000000" w:themeColor="text1"/>
                <w:sz w:val="28"/>
                <w:szCs w:val="28"/>
                <w14:textFill>
                  <w14:solidFill>
                    <w14:schemeClr w14:val="tx1"/>
                  </w14:solidFill>
                </w14:textFill>
              </w:rPr>
            </w:pPr>
          </w:p>
        </w:tc>
        <w:tc>
          <w:tcPr>
            <w:tcW w:w="2214" w:type="dxa"/>
            <w:gridSpan w:val="2"/>
            <w:vAlign w:val="center"/>
          </w:tcPr>
          <w:p w14:paraId="73B1B4DD">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注册资本（万元）</w:t>
            </w:r>
          </w:p>
        </w:tc>
        <w:tc>
          <w:tcPr>
            <w:tcW w:w="6477" w:type="dxa"/>
            <w:gridSpan w:val="7"/>
            <w:vAlign w:val="center"/>
          </w:tcPr>
          <w:p w14:paraId="03746A84">
            <w:pPr>
              <w:spacing w:line="440" w:lineRule="exact"/>
              <w:jc w:val="center"/>
              <w:rPr>
                <w:rFonts w:ascii="仿宋" w:hAnsi="仿宋" w:eastAsia="仿宋"/>
                <w:color w:val="000000" w:themeColor="text1"/>
                <w:sz w:val="28"/>
                <w:szCs w:val="28"/>
                <w14:textFill>
                  <w14:solidFill>
                    <w14:schemeClr w14:val="tx1"/>
                  </w14:solidFill>
                </w14:textFill>
              </w:rPr>
            </w:pPr>
          </w:p>
        </w:tc>
      </w:tr>
      <w:tr w14:paraId="01C00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04E6CCE1">
            <w:pPr>
              <w:spacing w:line="440" w:lineRule="exact"/>
              <w:jc w:val="center"/>
              <w:rPr>
                <w:rFonts w:ascii="仿宋" w:hAnsi="仿宋" w:eastAsia="仿宋"/>
                <w:color w:val="000000" w:themeColor="text1"/>
                <w:sz w:val="28"/>
                <w:szCs w:val="28"/>
                <w14:textFill>
                  <w14:solidFill>
                    <w14:schemeClr w14:val="tx1"/>
                  </w14:solidFill>
                </w14:textFill>
              </w:rPr>
            </w:pPr>
          </w:p>
        </w:tc>
        <w:tc>
          <w:tcPr>
            <w:tcW w:w="2214" w:type="dxa"/>
            <w:gridSpan w:val="2"/>
            <w:vAlign w:val="center"/>
          </w:tcPr>
          <w:p w14:paraId="254E990D">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法定代表人</w:t>
            </w:r>
          </w:p>
        </w:tc>
        <w:tc>
          <w:tcPr>
            <w:tcW w:w="1665" w:type="dxa"/>
            <w:gridSpan w:val="2"/>
            <w:vAlign w:val="center"/>
          </w:tcPr>
          <w:p w14:paraId="53523BDF">
            <w:pPr>
              <w:spacing w:line="440" w:lineRule="exact"/>
              <w:jc w:val="center"/>
              <w:rPr>
                <w:rFonts w:ascii="仿宋" w:hAnsi="仿宋" w:eastAsia="仿宋"/>
                <w:color w:val="000000" w:themeColor="text1"/>
                <w:sz w:val="28"/>
                <w:szCs w:val="28"/>
                <w14:textFill>
                  <w14:solidFill>
                    <w14:schemeClr w14:val="tx1"/>
                  </w14:solidFill>
                </w14:textFill>
              </w:rPr>
            </w:pPr>
          </w:p>
        </w:tc>
        <w:tc>
          <w:tcPr>
            <w:tcW w:w="2214" w:type="dxa"/>
            <w:gridSpan w:val="2"/>
            <w:vAlign w:val="center"/>
          </w:tcPr>
          <w:p w14:paraId="14CFC40A">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单位类型</w:t>
            </w:r>
          </w:p>
        </w:tc>
        <w:tc>
          <w:tcPr>
            <w:tcW w:w="2598" w:type="dxa"/>
            <w:gridSpan w:val="3"/>
            <w:vAlign w:val="center"/>
          </w:tcPr>
          <w:p w14:paraId="01A067F0">
            <w:pPr>
              <w:spacing w:line="440" w:lineRule="exact"/>
              <w:jc w:val="center"/>
              <w:rPr>
                <w:rFonts w:ascii="仿宋" w:hAnsi="仿宋" w:eastAsia="仿宋"/>
                <w:color w:val="000000" w:themeColor="text1"/>
                <w:sz w:val="28"/>
                <w:szCs w:val="28"/>
                <w14:textFill>
                  <w14:solidFill>
                    <w14:schemeClr w14:val="tx1"/>
                  </w14:solidFill>
                </w14:textFill>
              </w:rPr>
            </w:pPr>
          </w:p>
        </w:tc>
      </w:tr>
      <w:tr w14:paraId="0629D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3FCFBAA8">
            <w:pPr>
              <w:spacing w:line="440" w:lineRule="exact"/>
              <w:jc w:val="center"/>
              <w:rPr>
                <w:rFonts w:ascii="仿宋" w:hAnsi="仿宋" w:eastAsia="仿宋"/>
                <w:color w:val="000000" w:themeColor="text1"/>
                <w:sz w:val="28"/>
                <w:szCs w:val="28"/>
                <w14:textFill>
                  <w14:solidFill>
                    <w14:schemeClr w14:val="tx1"/>
                  </w14:solidFill>
                </w14:textFill>
              </w:rPr>
            </w:pPr>
          </w:p>
        </w:tc>
        <w:tc>
          <w:tcPr>
            <w:tcW w:w="2214" w:type="dxa"/>
            <w:gridSpan w:val="2"/>
            <w:vAlign w:val="center"/>
          </w:tcPr>
          <w:p w14:paraId="1F389CE1">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成立时间</w:t>
            </w:r>
          </w:p>
        </w:tc>
        <w:tc>
          <w:tcPr>
            <w:tcW w:w="1665" w:type="dxa"/>
            <w:gridSpan w:val="2"/>
            <w:vAlign w:val="center"/>
          </w:tcPr>
          <w:p w14:paraId="59E726CC">
            <w:pPr>
              <w:spacing w:line="440" w:lineRule="exact"/>
              <w:jc w:val="center"/>
              <w:rPr>
                <w:rFonts w:ascii="仿宋" w:hAnsi="仿宋" w:eastAsia="仿宋"/>
                <w:color w:val="000000" w:themeColor="text1"/>
                <w:sz w:val="28"/>
                <w:szCs w:val="28"/>
                <w14:textFill>
                  <w14:solidFill>
                    <w14:schemeClr w14:val="tx1"/>
                  </w14:solidFill>
                </w14:textFill>
              </w:rPr>
            </w:pPr>
          </w:p>
        </w:tc>
        <w:tc>
          <w:tcPr>
            <w:tcW w:w="2214" w:type="dxa"/>
            <w:gridSpan w:val="2"/>
            <w:vAlign w:val="center"/>
          </w:tcPr>
          <w:p w14:paraId="13C84FC1">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营业期限</w:t>
            </w:r>
          </w:p>
        </w:tc>
        <w:tc>
          <w:tcPr>
            <w:tcW w:w="2598" w:type="dxa"/>
            <w:gridSpan w:val="3"/>
            <w:vAlign w:val="center"/>
          </w:tcPr>
          <w:p w14:paraId="06A86B52">
            <w:pPr>
              <w:spacing w:line="440" w:lineRule="exact"/>
              <w:jc w:val="center"/>
              <w:rPr>
                <w:rFonts w:ascii="仿宋" w:hAnsi="仿宋" w:eastAsia="仿宋"/>
                <w:color w:val="000000" w:themeColor="text1"/>
                <w:sz w:val="28"/>
                <w:szCs w:val="28"/>
                <w14:textFill>
                  <w14:solidFill>
                    <w14:schemeClr w14:val="tx1"/>
                  </w14:solidFill>
                </w14:textFill>
              </w:rPr>
            </w:pPr>
          </w:p>
        </w:tc>
      </w:tr>
      <w:tr w14:paraId="714B8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0D64605B">
            <w:pPr>
              <w:spacing w:line="440" w:lineRule="exact"/>
              <w:jc w:val="center"/>
              <w:rPr>
                <w:rFonts w:ascii="仿宋" w:hAnsi="仿宋" w:eastAsia="仿宋"/>
                <w:color w:val="000000" w:themeColor="text1"/>
                <w:sz w:val="28"/>
                <w:szCs w:val="28"/>
                <w14:textFill>
                  <w14:solidFill>
                    <w14:schemeClr w14:val="tx1"/>
                  </w14:solidFill>
                </w14:textFill>
              </w:rPr>
            </w:pPr>
          </w:p>
        </w:tc>
        <w:tc>
          <w:tcPr>
            <w:tcW w:w="2214" w:type="dxa"/>
            <w:gridSpan w:val="2"/>
            <w:vAlign w:val="center"/>
          </w:tcPr>
          <w:p w14:paraId="5ED13376">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经营范围</w:t>
            </w:r>
          </w:p>
        </w:tc>
        <w:tc>
          <w:tcPr>
            <w:tcW w:w="6477" w:type="dxa"/>
            <w:gridSpan w:val="7"/>
            <w:vAlign w:val="center"/>
          </w:tcPr>
          <w:p w14:paraId="1AB01CBF">
            <w:pPr>
              <w:spacing w:line="440" w:lineRule="exact"/>
              <w:jc w:val="center"/>
              <w:rPr>
                <w:rFonts w:ascii="仿宋" w:hAnsi="仿宋" w:eastAsia="仿宋"/>
                <w:color w:val="000000" w:themeColor="text1"/>
                <w:sz w:val="28"/>
                <w:szCs w:val="28"/>
                <w14:textFill>
                  <w14:solidFill>
                    <w14:schemeClr w14:val="tx1"/>
                  </w14:solidFill>
                </w14:textFill>
              </w:rPr>
            </w:pPr>
          </w:p>
        </w:tc>
      </w:tr>
      <w:tr w14:paraId="13F07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9258" w:type="dxa"/>
            <w:gridSpan w:val="10"/>
            <w:vAlign w:val="center"/>
          </w:tcPr>
          <w:p w14:paraId="7A907BF6">
            <w:pPr>
              <w:spacing w:line="440" w:lineRule="exact"/>
              <w:jc w:val="center"/>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投标人情况简介</w:t>
            </w:r>
          </w:p>
        </w:tc>
      </w:tr>
      <w:tr w14:paraId="23B42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0" w:hRule="atLeast"/>
          <w:jc w:val="center"/>
        </w:trPr>
        <w:tc>
          <w:tcPr>
            <w:tcW w:w="9258" w:type="dxa"/>
            <w:gridSpan w:val="10"/>
          </w:tcPr>
          <w:p w14:paraId="0AD8369F">
            <w:pPr>
              <w:spacing w:line="440" w:lineRule="exact"/>
              <w:rPr>
                <w:rFonts w:ascii="仿宋" w:hAnsi="仿宋" w:eastAsia="仿宋"/>
                <w:color w:val="000000" w:themeColor="text1"/>
                <w:sz w:val="28"/>
                <w:szCs w:val="28"/>
                <w14:textFill>
                  <w14:solidFill>
                    <w14:schemeClr w14:val="tx1"/>
                  </w14:solidFill>
                </w14:textFill>
              </w:rPr>
            </w:pPr>
          </w:p>
        </w:tc>
      </w:tr>
    </w:tbl>
    <w:p w14:paraId="527DF5E4">
      <w:pPr>
        <w:jc w:val="center"/>
        <w:rPr>
          <w:rFonts w:ascii="仿宋" w:hAnsi="仿宋" w:eastAsia="仿宋"/>
          <w:b/>
          <w:color w:val="000000" w:themeColor="text1"/>
          <w:sz w:val="44"/>
          <w:szCs w:val="44"/>
          <w14:textFill>
            <w14:solidFill>
              <w14:schemeClr w14:val="tx1"/>
            </w14:solidFill>
          </w14:textFill>
        </w:rPr>
      </w:pPr>
    </w:p>
    <w:p w14:paraId="454F0272">
      <w:pPr>
        <w:wordWrap w:val="0"/>
        <w:spacing w:line="560" w:lineRule="exact"/>
        <w:jc w:val="right"/>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xml:space="preserve">投标人单位（盖章）： </w:t>
      </w:r>
    </w:p>
    <w:p w14:paraId="031DA85C">
      <w:pPr>
        <w:wordWrap w:val="0"/>
        <w:spacing w:line="560" w:lineRule="exact"/>
        <w:jc w:val="right"/>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xml:space="preserve">法定代表人签章： </w:t>
      </w:r>
    </w:p>
    <w:p w14:paraId="23D075D7">
      <w:pPr>
        <w:wordWrap w:val="0"/>
        <w:spacing w:line="560" w:lineRule="exact"/>
        <w:ind w:right="1280"/>
        <w:rPr>
          <w:rFonts w:ascii="仿宋_GB2312" w:hAnsi="仿宋" w:eastAsia="仿宋_GB2312"/>
          <w:color w:val="000000" w:themeColor="text1"/>
          <w:sz w:val="32"/>
          <w:szCs w:val="32"/>
          <w14:textFill>
            <w14:solidFill>
              <w14:schemeClr w14:val="tx1"/>
            </w14:solidFill>
          </w14:textFill>
        </w:rPr>
        <w:sectPr>
          <w:pgSz w:w="11906" w:h="16838"/>
          <w:pgMar w:top="1440" w:right="1080" w:bottom="1440" w:left="1080" w:header="851" w:footer="992" w:gutter="0"/>
          <w:cols w:space="720" w:num="1"/>
          <w:docGrid w:type="lines" w:linePitch="312" w:charSpace="0"/>
        </w:sectPr>
      </w:pPr>
    </w:p>
    <w:p w14:paraId="76FBA670">
      <w:pPr>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技术服务、培训和售后服务内容及承诺</w:t>
      </w:r>
    </w:p>
    <w:p w14:paraId="2F2D03A2">
      <w:pPr>
        <w:jc w:val="center"/>
        <w:rPr>
          <w:rFonts w:ascii="黑体" w:hAnsi="黑体" w:eastAsia="黑体"/>
          <w:color w:val="000000" w:themeColor="text1"/>
          <w:sz w:val="32"/>
          <w:szCs w:val="44"/>
          <w14:textFill>
            <w14:solidFill>
              <w14:schemeClr w14:val="tx1"/>
            </w14:solidFill>
          </w14:textFill>
        </w:rPr>
      </w:pPr>
    </w:p>
    <w:tbl>
      <w:tblPr>
        <w:tblStyle w:val="46"/>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14:paraId="16CD1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4" w:hRule="atLeast"/>
          <w:jc w:val="center"/>
        </w:trPr>
        <w:tc>
          <w:tcPr>
            <w:tcW w:w="8820" w:type="dxa"/>
            <w:tcBorders>
              <w:top w:val="single" w:color="auto" w:sz="4" w:space="0"/>
              <w:left w:val="single" w:color="auto" w:sz="4" w:space="0"/>
              <w:bottom w:val="single" w:color="auto" w:sz="4" w:space="0"/>
              <w:right w:val="single" w:color="auto" w:sz="4" w:space="0"/>
            </w:tcBorders>
          </w:tcPr>
          <w:p w14:paraId="6CF13BE2">
            <w:pPr>
              <w:tabs>
                <w:tab w:val="left" w:pos="1005"/>
              </w:tabs>
              <w:spacing w:line="440" w:lineRule="exact"/>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技术、培训和售后服务承诺：</w:t>
            </w:r>
          </w:p>
          <w:p w14:paraId="7D934BBA">
            <w:pPr>
              <w:tabs>
                <w:tab w:val="left" w:pos="1005"/>
              </w:tabs>
              <w:spacing w:line="440" w:lineRule="exact"/>
              <w:rPr>
                <w:rFonts w:ascii="仿宋_GB2312" w:hAnsi="仿宋" w:eastAsia="仿宋_GB2312"/>
                <w:color w:val="000000" w:themeColor="text1"/>
                <w:sz w:val="30"/>
                <w:szCs w:val="30"/>
                <w14:textFill>
                  <w14:solidFill>
                    <w14:schemeClr w14:val="tx1"/>
                  </w14:solidFill>
                </w14:textFill>
              </w:rPr>
            </w:pPr>
          </w:p>
        </w:tc>
      </w:tr>
      <w:tr w14:paraId="5E2A0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3" w:hRule="atLeast"/>
          <w:jc w:val="center"/>
        </w:trPr>
        <w:tc>
          <w:tcPr>
            <w:tcW w:w="8820" w:type="dxa"/>
            <w:tcBorders>
              <w:top w:val="single" w:color="auto" w:sz="4" w:space="0"/>
              <w:left w:val="single" w:color="auto" w:sz="4" w:space="0"/>
              <w:bottom w:val="single" w:color="auto" w:sz="4" w:space="0"/>
              <w:right w:val="single" w:color="auto" w:sz="4" w:space="0"/>
            </w:tcBorders>
          </w:tcPr>
          <w:p w14:paraId="55FFE53A">
            <w:pPr>
              <w:tabs>
                <w:tab w:val="left" w:pos="1005"/>
              </w:tabs>
              <w:spacing w:line="440" w:lineRule="exact"/>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售后服务承诺至少包含下列内容</w:t>
            </w:r>
          </w:p>
          <w:p w14:paraId="5509CD84">
            <w:pPr>
              <w:tabs>
                <w:tab w:val="left" w:pos="1005"/>
              </w:tabs>
              <w:spacing w:line="440" w:lineRule="exact"/>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响应时间：</w:t>
            </w:r>
          </w:p>
          <w:p w14:paraId="741E2CEC">
            <w:pPr>
              <w:tabs>
                <w:tab w:val="left" w:pos="1005"/>
              </w:tabs>
              <w:spacing w:line="440" w:lineRule="exact"/>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到达现场时间：</w:t>
            </w:r>
          </w:p>
          <w:p w14:paraId="57272AA2">
            <w:pPr>
              <w:tabs>
                <w:tab w:val="left" w:pos="1005"/>
              </w:tabs>
              <w:spacing w:line="440" w:lineRule="exact"/>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质保期内措施：</w:t>
            </w:r>
          </w:p>
          <w:p w14:paraId="149B72E1">
            <w:pPr>
              <w:tabs>
                <w:tab w:val="left" w:pos="1005"/>
              </w:tabs>
              <w:spacing w:line="440" w:lineRule="exact"/>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质保期外措施：</w:t>
            </w:r>
          </w:p>
          <w:p w14:paraId="2A92D60A">
            <w:pPr>
              <w:tabs>
                <w:tab w:val="left" w:pos="1005"/>
              </w:tabs>
              <w:spacing w:line="440" w:lineRule="exact"/>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w:t>
            </w:r>
          </w:p>
        </w:tc>
      </w:tr>
    </w:tbl>
    <w:p w14:paraId="0E971CDC">
      <w:pPr>
        <w:ind w:firstLine="4200" w:firstLineChars="1400"/>
        <w:rPr>
          <w:rFonts w:ascii="仿宋" w:hAnsi="仿宋" w:eastAsia="仿宋"/>
          <w:color w:val="000000" w:themeColor="text1"/>
          <w:sz w:val="30"/>
          <w:szCs w:val="30"/>
          <w14:textFill>
            <w14:solidFill>
              <w14:schemeClr w14:val="tx1"/>
            </w14:solidFill>
          </w14:textFill>
        </w:rPr>
      </w:pPr>
    </w:p>
    <w:p w14:paraId="563ACFE7">
      <w:pPr>
        <w:wordWrap w:val="0"/>
        <w:spacing w:line="520" w:lineRule="exact"/>
        <w:ind w:firstLine="4050" w:firstLineChars="1350"/>
        <w:jc w:val="right"/>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 xml:space="preserve">投标人名称(盖章): </w:t>
      </w:r>
    </w:p>
    <w:p w14:paraId="2946C2A9">
      <w:pPr>
        <w:ind w:firstLine="6300" w:firstLineChars="2100"/>
        <w:rPr>
          <w:rFonts w:ascii="仿宋_GB2312" w:eastAsia="仿宋_GB2312"/>
          <w:color w:val="000000" w:themeColor="text1"/>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 xml:space="preserve">法定代表人签章: </w:t>
      </w:r>
      <w:r>
        <w:rPr>
          <w:rFonts w:hint="eastAsia" w:ascii="仿宋_GB2312" w:eastAsia="仿宋_GB2312"/>
          <w:color w:val="000000" w:themeColor="text1"/>
          <w14:textFill>
            <w14:solidFill>
              <w14:schemeClr w14:val="tx1"/>
            </w14:solidFill>
          </w14:textFill>
        </w:rPr>
        <w:tab/>
      </w:r>
    </w:p>
    <w:p w14:paraId="1AA69CE5">
      <w:pPr>
        <w:pStyle w:val="2"/>
        <w:ind w:firstLine="0"/>
        <w:rPr>
          <w:color w:val="000000" w:themeColor="text1"/>
          <w14:textFill>
            <w14:solidFill>
              <w14:schemeClr w14:val="tx1"/>
            </w14:solidFill>
          </w14:textFill>
        </w:rPr>
      </w:pPr>
    </w:p>
    <w:p w14:paraId="04DDCC52">
      <w:pPr>
        <w:pStyle w:val="41"/>
        <w:spacing w:before="0" w:after="0" w:line="360" w:lineRule="auto"/>
        <w:ind w:firstLine="646" w:firstLineChars="201"/>
        <w:rPr>
          <w:rFonts w:ascii="宋体" w:hAnsi="宋体" w:cs="宋体"/>
          <w:color w:val="000000" w:themeColor="text1"/>
          <w14:textFill>
            <w14:solidFill>
              <w14:schemeClr w14:val="tx1"/>
            </w14:solidFill>
          </w14:textFill>
        </w:rPr>
        <w:sectPr>
          <w:pgSz w:w="11906" w:h="16838"/>
          <w:pgMar w:top="1440" w:right="1080" w:bottom="1440" w:left="1080" w:header="851" w:footer="992" w:gutter="0"/>
          <w:cols w:space="425" w:num="1"/>
          <w:docGrid w:type="lines" w:linePitch="312" w:charSpace="0"/>
        </w:sectPr>
      </w:pPr>
      <w:r>
        <w:rPr>
          <w:rFonts w:hint="eastAsia" w:ascii="宋体" w:hAnsi="宋体" w:cs="宋体"/>
          <w:color w:val="000000" w:themeColor="text1"/>
          <w14:textFill>
            <w14:solidFill>
              <w14:schemeClr w14:val="tx1"/>
            </w14:solidFill>
          </w14:textFill>
        </w:rPr>
        <w:t>第六章合同书格式</w:t>
      </w:r>
    </w:p>
    <w:p w14:paraId="6D6623CA">
      <w:pPr>
        <w:spacing w:line="360" w:lineRule="auto"/>
        <w:jc w:val="center"/>
        <w:outlineLvl w:val="0"/>
        <w:rPr>
          <w:rFonts w:ascii="仿宋" w:eastAsia="仿宋"/>
          <w:b/>
          <w:bCs/>
          <w:color w:val="000000" w:themeColor="text1"/>
          <w:sz w:val="52"/>
          <w:szCs w:val="52"/>
          <w14:textFill>
            <w14:solidFill>
              <w14:schemeClr w14:val="tx1"/>
            </w14:solidFill>
          </w14:textFill>
        </w:rPr>
      </w:pPr>
      <w:r>
        <w:rPr>
          <w:rFonts w:hint="eastAsia" w:ascii="仿宋" w:eastAsia="仿宋"/>
          <w:b/>
          <w:bCs/>
          <w:color w:val="000000" w:themeColor="text1"/>
          <w:sz w:val="52"/>
          <w:szCs w:val="52"/>
          <w14:textFill>
            <w14:solidFill>
              <w14:schemeClr w14:val="tx1"/>
            </w14:solidFill>
          </w14:textFill>
        </w:rPr>
        <w:t>威海海高园园林建设有限公司2026年农药化肥供应商采购合同</w:t>
      </w:r>
    </w:p>
    <w:p w14:paraId="0277E1C4">
      <w:pPr>
        <w:spacing w:line="360" w:lineRule="auto"/>
        <w:jc w:val="center"/>
        <w:outlineLvl w:val="0"/>
        <w:rPr>
          <w:rFonts w:ascii="仿宋" w:eastAsia="仿宋"/>
          <w:bCs/>
          <w:color w:val="000000" w:themeColor="text1"/>
          <w:sz w:val="52"/>
          <w:szCs w:val="52"/>
          <w14:textFill>
            <w14:solidFill>
              <w14:schemeClr w14:val="tx1"/>
            </w14:solidFill>
          </w14:textFill>
        </w:rPr>
      </w:pPr>
    </w:p>
    <w:p w14:paraId="4C1CC68A">
      <w:pPr>
        <w:spacing w:line="360" w:lineRule="auto"/>
        <w:jc w:val="center"/>
        <w:rPr>
          <w:rFonts w:ascii="仿宋" w:eastAsia="仿宋"/>
          <w:b/>
          <w:color w:val="000000" w:themeColor="text1"/>
          <w:sz w:val="52"/>
          <w:szCs w:val="52"/>
          <w14:textFill>
            <w14:solidFill>
              <w14:schemeClr w14:val="tx1"/>
            </w14:solidFill>
          </w14:textFill>
        </w:rPr>
      </w:pPr>
    </w:p>
    <w:p w14:paraId="06F967AB">
      <w:pPr>
        <w:spacing w:line="360" w:lineRule="auto"/>
        <w:jc w:val="center"/>
        <w:rPr>
          <w:rFonts w:ascii="仿宋" w:eastAsia="仿宋"/>
          <w:b/>
          <w:color w:val="000000" w:themeColor="text1"/>
          <w:sz w:val="52"/>
          <w:szCs w:val="52"/>
          <w14:textFill>
            <w14:solidFill>
              <w14:schemeClr w14:val="tx1"/>
            </w14:solidFill>
          </w14:textFill>
        </w:rPr>
      </w:pPr>
    </w:p>
    <w:p w14:paraId="290AB2D6">
      <w:pPr>
        <w:rPr>
          <w:rFonts w:ascii="仿宋" w:eastAsia="仿宋"/>
          <w:color w:val="000000" w:themeColor="text1"/>
          <w:sz w:val="32"/>
          <w:szCs w:val="20"/>
          <w14:textFill>
            <w14:solidFill>
              <w14:schemeClr w14:val="tx1"/>
            </w14:solidFill>
          </w14:textFill>
        </w:rPr>
      </w:pPr>
    </w:p>
    <w:p w14:paraId="1A7B7990">
      <w:pPr>
        <w:rPr>
          <w:rFonts w:ascii="仿宋" w:eastAsia="仿宋"/>
          <w:color w:val="000000" w:themeColor="text1"/>
          <w:sz w:val="32"/>
          <w:szCs w:val="20"/>
          <w14:textFill>
            <w14:solidFill>
              <w14:schemeClr w14:val="tx1"/>
            </w14:solidFill>
          </w14:textFill>
        </w:rPr>
      </w:pPr>
      <w:r>
        <w:rPr>
          <w:rFonts w:hint="eastAsia" w:ascii="宋体" w:cs="宋体"/>
          <w:color w:val="000000" w:themeColor="text1"/>
          <w14:textFill>
            <w14:solidFill>
              <w14:schemeClr w14:val="tx1"/>
            </w14:solidFill>
          </w14:textFill>
        </w:rPr>
        <w:t> </w:t>
      </w:r>
    </w:p>
    <w:p w14:paraId="0DF3372C">
      <w:pPr>
        <w:tabs>
          <w:tab w:val="right" w:pos="8312"/>
        </w:tabs>
        <w:spacing w:line="520" w:lineRule="exact"/>
        <w:ind w:firstLine="1911" w:firstLineChars="595"/>
        <w:rPr>
          <w:rFonts w:ascii="仿宋" w:eastAsia="仿宋"/>
          <w:b/>
          <w:color w:val="000000" w:themeColor="text1"/>
          <w:sz w:val="32"/>
          <w:szCs w:val="32"/>
          <w14:textFill>
            <w14:solidFill>
              <w14:schemeClr w14:val="tx1"/>
            </w14:solidFill>
          </w14:textFill>
        </w:rPr>
      </w:pPr>
    </w:p>
    <w:p w14:paraId="46984CC1">
      <w:pPr>
        <w:tabs>
          <w:tab w:val="right" w:pos="8312"/>
        </w:tabs>
        <w:spacing w:line="520" w:lineRule="exact"/>
        <w:ind w:firstLine="1911" w:firstLineChars="595"/>
        <w:rPr>
          <w:rFonts w:ascii="仿宋" w:eastAsia="仿宋"/>
          <w:b/>
          <w:color w:val="000000" w:themeColor="text1"/>
          <w:sz w:val="32"/>
          <w:szCs w:val="32"/>
          <w14:textFill>
            <w14:solidFill>
              <w14:schemeClr w14:val="tx1"/>
            </w14:solidFill>
          </w14:textFill>
        </w:rPr>
      </w:pPr>
    </w:p>
    <w:p w14:paraId="5BC563AD">
      <w:pPr>
        <w:tabs>
          <w:tab w:val="right" w:pos="8312"/>
        </w:tabs>
        <w:spacing w:line="520" w:lineRule="exact"/>
        <w:ind w:firstLine="1911" w:firstLineChars="595"/>
        <w:rPr>
          <w:rFonts w:ascii="仿宋" w:eastAsia="仿宋"/>
          <w:b/>
          <w:color w:val="000000" w:themeColor="text1"/>
          <w:sz w:val="32"/>
          <w:szCs w:val="32"/>
          <w14:textFill>
            <w14:solidFill>
              <w14:schemeClr w14:val="tx1"/>
            </w14:solidFill>
          </w14:textFill>
        </w:rPr>
      </w:pPr>
    </w:p>
    <w:p w14:paraId="3E8DBC57">
      <w:pPr>
        <w:spacing w:line="520" w:lineRule="exact"/>
        <w:rPr>
          <w:rFonts w:ascii="仿宋" w:eastAsia="仿宋"/>
          <w:color w:val="000000" w:themeColor="text1"/>
          <w:sz w:val="32"/>
          <w14:textFill>
            <w14:solidFill>
              <w14:schemeClr w14:val="tx1"/>
            </w14:solidFill>
          </w14:textFill>
        </w:rPr>
      </w:pPr>
      <w:r>
        <w:rPr>
          <w:rFonts w:hint="eastAsia" w:ascii="宋体" w:cs="宋体"/>
          <w:color w:val="000000" w:themeColor="text1"/>
          <w:sz w:val="32"/>
          <w14:textFill>
            <w14:solidFill>
              <w14:schemeClr w14:val="tx1"/>
            </w14:solidFill>
          </w14:textFill>
        </w:rPr>
        <w:t> </w:t>
      </w:r>
    </w:p>
    <w:p w14:paraId="5E7F1CF0">
      <w:pPr>
        <w:spacing w:line="276" w:lineRule="auto"/>
        <w:ind w:firstLine="1280" w:firstLineChars="400"/>
        <w:rPr>
          <w:rFonts w:ascii="仿宋" w:eastAsia="仿宋" w:cs="宋体"/>
          <w:color w:val="000000" w:themeColor="text1"/>
          <w:sz w:val="32"/>
          <w:szCs w:val="32"/>
          <w14:textFill>
            <w14:solidFill>
              <w14:schemeClr w14:val="tx1"/>
            </w14:solidFill>
          </w14:textFill>
        </w:rPr>
      </w:pPr>
      <w:r>
        <w:rPr>
          <w:rFonts w:hint="eastAsia" w:ascii="仿宋" w:eastAsia="仿宋" w:cs="宋体"/>
          <w:color w:val="000000" w:themeColor="text1"/>
          <w:sz w:val="32"/>
          <w:szCs w:val="32"/>
          <w14:textFill>
            <w14:solidFill>
              <w14:schemeClr w14:val="tx1"/>
            </w14:solidFill>
          </w14:textFill>
        </w:rPr>
        <w:t>采购人：威海海高园园林建设有限公司</w:t>
      </w:r>
    </w:p>
    <w:p w14:paraId="4D85FA07">
      <w:pPr>
        <w:spacing w:line="276" w:lineRule="auto"/>
        <w:ind w:firstLine="1280" w:firstLineChars="400"/>
        <w:rPr>
          <w:rFonts w:ascii="仿宋" w:eastAsia="仿宋" w:cs="宋体"/>
          <w:color w:val="000000" w:themeColor="text1"/>
          <w:sz w:val="32"/>
          <w:szCs w:val="32"/>
          <w14:textFill>
            <w14:solidFill>
              <w14:schemeClr w14:val="tx1"/>
            </w14:solidFill>
          </w14:textFill>
        </w:rPr>
      </w:pPr>
      <w:r>
        <w:rPr>
          <w:rFonts w:hint="eastAsia" w:ascii="仿宋" w:eastAsia="仿宋" w:cs="宋体"/>
          <w:color w:val="000000" w:themeColor="text1"/>
          <w:sz w:val="32"/>
          <w:szCs w:val="32"/>
          <w14:textFill>
            <w14:solidFill>
              <w14:schemeClr w14:val="tx1"/>
            </w14:solidFill>
          </w14:textFill>
        </w:rPr>
        <w:t>成交单位：成交供应商</w:t>
      </w:r>
    </w:p>
    <w:p w14:paraId="27D5CC64">
      <w:pPr>
        <w:pStyle w:val="23"/>
        <w:spacing w:line="520" w:lineRule="exact"/>
        <w:ind w:firstLine="1280" w:firstLineChars="400"/>
        <w:rPr>
          <w:rFonts w:hint="eastAsia" w:eastAsia="仿宋"/>
          <w:color w:val="000000" w:themeColor="text1"/>
          <w:sz w:val="32"/>
          <w:szCs w:val="32"/>
          <w:lang w:eastAsia="zh-CN"/>
          <w14:textFill>
            <w14:solidFill>
              <w14:schemeClr w14:val="tx1"/>
            </w14:solidFill>
          </w14:textFill>
        </w:rPr>
      </w:pPr>
      <w:r>
        <w:rPr>
          <w:rFonts w:hint="eastAsia" w:ascii="仿宋" w:eastAsia="仿宋"/>
          <w:color w:val="000000" w:themeColor="text1"/>
          <w:sz w:val="32"/>
          <w:szCs w:val="32"/>
          <w14:textFill>
            <w14:solidFill>
              <w14:schemeClr w14:val="tx1"/>
            </w14:solidFill>
          </w14:textFill>
        </w:rPr>
        <w:t>合同编号:</w:t>
      </w:r>
      <w:r>
        <w:rPr>
          <w:rFonts w:hint="eastAsia" w:ascii="仿宋" w:eastAsia="仿宋"/>
          <w:color w:val="000000" w:themeColor="text1"/>
          <w:sz w:val="32"/>
          <w:szCs w:val="32"/>
          <w:lang w:eastAsia="zh-CN"/>
          <w14:textFill>
            <w14:solidFill>
              <w14:schemeClr w14:val="tx1"/>
            </w14:solidFill>
          </w14:textFill>
        </w:rPr>
        <w:t>WHHGYSDGQ2026-10</w:t>
      </w:r>
    </w:p>
    <w:p w14:paraId="500ED6BE">
      <w:pPr>
        <w:widowControl/>
        <w:spacing w:line="276" w:lineRule="auto"/>
        <w:jc w:val="left"/>
        <w:rPr>
          <w:rFonts w:ascii="仿宋" w:eastAsia="仿宋"/>
          <w:color w:val="000000" w:themeColor="text1"/>
          <w:sz w:val="32"/>
          <w:szCs w:val="32"/>
          <w14:textFill>
            <w14:solidFill>
              <w14:schemeClr w14:val="tx1"/>
            </w14:solidFill>
          </w14:textFill>
        </w:rPr>
      </w:pPr>
      <w:r>
        <w:rPr>
          <w:rFonts w:hint="eastAsia" w:ascii="仿宋" w:eastAsia="仿宋"/>
          <w:color w:val="000000" w:themeColor="text1"/>
          <w:sz w:val="32"/>
          <w:szCs w:val="32"/>
          <w14:textFill>
            <w14:solidFill>
              <w14:schemeClr w14:val="tx1"/>
            </w14:solidFill>
          </w14:textFill>
        </w:rPr>
        <w:t xml:space="preserve">        招标代理机构：山东志诚工程咨询管理有限公司</w:t>
      </w:r>
    </w:p>
    <w:p w14:paraId="64511CA0">
      <w:pPr>
        <w:spacing w:line="276" w:lineRule="auto"/>
        <w:ind w:firstLine="1280" w:firstLineChars="400"/>
        <w:rPr>
          <w:rFonts w:ascii="仿宋" w:eastAsia="仿宋" w:cs="宋体"/>
          <w:color w:val="000000" w:themeColor="text1"/>
          <w:sz w:val="32"/>
          <w:szCs w:val="32"/>
          <w14:textFill>
            <w14:solidFill>
              <w14:schemeClr w14:val="tx1"/>
            </w14:solidFill>
          </w14:textFill>
        </w:rPr>
      </w:pPr>
      <w:r>
        <w:rPr>
          <w:rFonts w:hint="eastAsia" w:ascii="仿宋" w:eastAsia="仿宋" w:cs="宋体"/>
          <w:color w:val="000000" w:themeColor="text1"/>
          <w:sz w:val="32"/>
          <w:szCs w:val="32"/>
          <w14:textFill>
            <w14:solidFill>
              <w14:schemeClr w14:val="tx1"/>
            </w14:solidFill>
          </w14:textFill>
        </w:rPr>
        <w:t>签订日期：2026年   月   日</w:t>
      </w:r>
      <w:r>
        <w:rPr>
          <w:rFonts w:hint="eastAsia" w:ascii="宋体" w:cs="宋体"/>
          <w:color w:val="000000" w:themeColor="text1"/>
          <w:sz w:val="32"/>
          <w:szCs w:val="32"/>
          <w14:textFill>
            <w14:solidFill>
              <w14:schemeClr w14:val="tx1"/>
            </w14:solidFill>
          </w14:textFill>
        </w:rPr>
        <w:t> </w:t>
      </w:r>
    </w:p>
    <w:p w14:paraId="16C40BA8">
      <w:pPr>
        <w:wordWrap w:val="0"/>
        <w:spacing w:line="640" w:lineRule="exact"/>
        <w:ind w:right="560"/>
        <w:jc w:val="right"/>
        <w:rPr>
          <w:rFonts w:ascii="仿宋" w:eastAsia="仿宋"/>
          <w:color w:val="000000" w:themeColor="text1"/>
          <w:sz w:val="28"/>
          <w:szCs w:val="28"/>
          <w14:textFill>
            <w14:solidFill>
              <w14:schemeClr w14:val="tx1"/>
            </w14:solidFill>
          </w14:textFill>
        </w:rPr>
      </w:pPr>
    </w:p>
    <w:p w14:paraId="79FFE439">
      <w:pPr>
        <w:pStyle w:val="23"/>
        <w:spacing w:line="520" w:lineRule="exact"/>
        <w:jc w:val="center"/>
        <w:rPr>
          <w:rFonts w:ascii="仿宋" w:eastAsia="仿宋"/>
          <w:color w:val="000000" w:themeColor="text1"/>
          <w:sz w:val="28"/>
          <w:szCs w:val="28"/>
          <w14:textFill>
            <w14:solidFill>
              <w14:schemeClr w14:val="tx1"/>
            </w14:solidFill>
          </w14:textFill>
        </w:rPr>
      </w:pPr>
    </w:p>
    <w:p w14:paraId="68E367C0">
      <w:pPr>
        <w:pStyle w:val="23"/>
        <w:spacing w:line="520" w:lineRule="exact"/>
        <w:jc w:val="center"/>
        <w:rPr>
          <w:rFonts w:ascii="仿宋" w:eastAsia="仿宋"/>
          <w:color w:val="000000" w:themeColor="text1"/>
          <w:sz w:val="28"/>
          <w:szCs w:val="28"/>
          <w14:textFill>
            <w14:solidFill>
              <w14:schemeClr w14:val="tx1"/>
            </w14:solidFill>
          </w14:textFill>
        </w:rPr>
      </w:pPr>
    </w:p>
    <w:p w14:paraId="77101321">
      <w:pPr>
        <w:pStyle w:val="23"/>
        <w:spacing w:line="520" w:lineRule="exact"/>
        <w:jc w:val="center"/>
        <w:rPr>
          <w:rFonts w:ascii="仿宋" w:eastAsia="仿宋"/>
          <w:color w:val="000000" w:themeColor="text1"/>
          <w:sz w:val="28"/>
          <w:szCs w:val="28"/>
          <w14:textFill>
            <w14:solidFill>
              <w14:schemeClr w14:val="tx1"/>
            </w14:solidFill>
          </w14:textFill>
        </w:rPr>
      </w:pPr>
    </w:p>
    <w:p w14:paraId="3EBAC5C9">
      <w:pPr>
        <w:pStyle w:val="23"/>
        <w:spacing w:line="520" w:lineRule="exact"/>
        <w:jc w:val="center"/>
        <w:rPr>
          <w:rFonts w:ascii="仿宋" w:eastAsia="仿宋"/>
          <w:color w:val="000000" w:themeColor="text1"/>
          <w:sz w:val="28"/>
          <w:szCs w:val="28"/>
          <w14:textFill>
            <w14:solidFill>
              <w14:schemeClr w14:val="tx1"/>
            </w14:solidFill>
          </w14:textFill>
        </w:rPr>
      </w:pPr>
    </w:p>
    <w:p w14:paraId="1CE62CE6">
      <w:pPr>
        <w:widowControl/>
        <w:jc w:val="left"/>
        <w:rPr>
          <w:rFonts w:ascii="仿宋" w:hAnsi="Courier New" w:eastAsia="仿宋"/>
          <w:color w:val="000000" w:themeColor="text1"/>
          <w:kern w:val="0"/>
          <w:sz w:val="28"/>
          <w:szCs w:val="28"/>
          <w14:textFill>
            <w14:solidFill>
              <w14:schemeClr w14:val="tx1"/>
            </w14:solidFill>
          </w14:textFill>
        </w:rPr>
      </w:pPr>
      <w:r>
        <w:rPr>
          <w:rFonts w:ascii="仿宋" w:eastAsia="仿宋"/>
          <w:color w:val="000000" w:themeColor="text1"/>
          <w:sz w:val="28"/>
          <w:szCs w:val="28"/>
          <w14:textFill>
            <w14:solidFill>
              <w14:schemeClr w14:val="tx1"/>
            </w14:solidFill>
          </w14:textFill>
        </w:rPr>
        <w:br w:type="page"/>
      </w:r>
    </w:p>
    <w:p w14:paraId="26287235">
      <w:pPr>
        <w:pStyle w:val="23"/>
        <w:spacing w:line="520" w:lineRule="exact"/>
        <w:ind w:left="105" w:hanging="105"/>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甲方：</w:t>
      </w:r>
      <w:r>
        <w:rPr>
          <w:rFonts w:hint="eastAsia" w:ascii="仿宋" w:eastAsia="仿宋"/>
          <w:color w:val="000000" w:themeColor="text1"/>
          <w:sz w:val="28"/>
          <w:szCs w:val="28"/>
          <w:u w:val="single"/>
          <w14:textFill>
            <w14:solidFill>
              <w14:schemeClr w14:val="tx1"/>
            </w14:solidFill>
          </w14:textFill>
        </w:rPr>
        <w:t>威海海高园园林建设有限公司</w:t>
      </w:r>
    </w:p>
    <w:p w14:paraId="78B23278">
      <w:pPr>
        <w:pStyle w:val="23"/>
        <w:spacing w:line="520" w:lineRule="exact"/>
        <w:ind w:left="105" w:hanging="105"/>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乙方：</w:t>
      </w:r>
      <w:r>
        <w:rPr>
          <w:rFonts w:hint="eastAsia" w:ascii="仿宋" w:eastAsia="仿宋"/>
          <w:color w:val="000000" w:themeColor="text1"/>
          <w:sz w:val="28"/>
          <w:szCs w:val="28"/>
          <w:u w:val="single"/>
          <w14:textFill>
            <w14:solidFill>
              <w14:schemeClr w14:val="tx1"/>
            </w14:solidFill>
          </w14:textFill>
        </w:rPr>
        <w:t xml:space="preserve">成交供应商                 </w:t>
      </w:r>
    </w:p>
    <w:p w14:paraId="674726EB">
      <w:pPr>
        <w:pStyle w:val="23"/>
        <w:spacing w:line="520" w:lineRule="exact"/>
        <w:ind w:firstLine="567"/>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本合同于2026年  月  日，由甲、乙双方共同签订。甲方为威海海高园园林建设有限公司、乙方为成交供应商。合同双方依据《中华人民共和国民法典》及相关法律法规的规定，就采购项目的相关事宜，协商一致，达成以下条款：</w:t>
      </w:r>
    </w:p>
    <w:p w14:paraId="2FACF2FE">
      <w:pPr>
        <w:pStyle w:val="23"/>
        <w:spacing w:line="520" w:lineRule="exact"/>
        <w:ind w:firstLine="551" w:firstLineChars="196"/>
        <w:rPr>
          <w:rFonts w:ascii="仿宋" w:eastAsia="仿宋"/>
          <w:b/>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一、合同的组成部分：</w:t>
      </w:r>
    </w:p>
    <w:p w14:paraId="18F2CA26">
      <w:pPr>
        <w:spacing w:line="480" w:lineRule="exact"/>
        <w:ind w:firstLine="557" w:firstLineChars="199"/>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1.本合同书</w:t>
      </w:r>
    </w:p>
    <w:p w14:paraId="3541DF69">
      <w:pPr>
        <w:spacing w:line="480" w:lineRule="exact"/>
        <w:ind w:firstLine="557" w:firstLineChars="199"/>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2.成交通知书</w:t>
      </w:r>
    </w:p>
    <w:p w14:paraId="3B247D30">
      <w:pPr>
        <w:spacing w:line="48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3.</w:t>
      </w:r>
      <w:r>
        <w:rPr>
          <w:rFonts w:hint="eastAsia" w:ascii="仿宋" w:eastAsia="仿宋"/>
          <w:color w:val="000000" w:themeColor="text1"/>
          <w:sz w:val="28"/>
          <w:szCs w:val="28"/>
          <w:lang w:eastAsia="zh-CN"/>
          <w14:textFill>
            <w14:solidFill>
              <w14:schemeClr w14:val="tx1"/>
            </w14:solidFill>
          </w14:textFill>
        </w:rPr>
        <w:t>WHHGYSDGQ2026-10</w:t>
      </w:r>
      <w:r>
        <w:rPr>
          <w:rFonts w:hint="eastAsia" w:ascii="仿宋" w:eastAsia="仿宋"/>
          <w:color w:val="000000" w:themeColor="text1"/>
          <w:sz w:val="28"/>
          <w:szCs w:val="28"/>
          <w14:textFill>
            <w14:solidFill>
              <w14:schemeClr w14:val="tx1"/>
            </w14:solidFill>
          </w14:textFill>
        </w:rPr>
        <w:t>招标文件</w:t>
      </w:r>
    </w:p>
    <w:p w14:paraId="01E35D34">
      <w:pPr>
        <w:spacing w:line="48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4.乙方的投标文件</w:t>
      </w:r>
    </w:p>
    <w:p w14:paraId="0A7B414D">
      <w:pPr>
        <w:spacing w:line="48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5.乙方在评审过程中澄清的文件</w:t>
      </w:r>
    </w:p>
    <w:p w14:paraId="3584DD4D">
      <w:pPr>
        <w:spacing w:line="48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上述文件相互补充，合同双方必须予以遵守执行。若有不明确或不一致之处，以上列次序在先者为准。</w:t>
      </w:r>
    </w:p>
    <w:p w14:paraId="452A9187">
      <w:pPr>
        <w:pStyle w:val="23"/>
        <w:tabs>
          <w:tab w:val="left" w:pos="900"/>
        </w:tabs>
        <w:spacing w:line="520" w:lineRule="exact"/>
        <w:ind w:firstLine="551" w:firstLineChars="196"/>
        <w:rPr>
          <w:rFonts w:ascii="仿宋" w:eastAsia="仿宋"/>
          <w:b/>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二、标的物及数量</w:t>
      </w:r>
    </w:p>
    <w:p w14:paraId="0D1DCC4D">
      <w:pPr>
        <w:pStyle w:val="23"/>
        <w:tabs>
          <w:tab w:val="left" w:pos="900"/>
        </w:tabs>
        <w:spacing w:line="48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本合同标的物为</w:t>
      </w:r>
      <w:r>
        <w:rPr>
          <w:rFonts w:hint="eastAsia" w:ascii="仿宋" w:eastAsia="仿宋"/>
          <w:color w:val="000000" w:themeColor="text1"/>
          <w:sz w:val="28"/>
          <w:szCs w:val="28"/>
          <w:u w:val="single"/>
          <w14:textFill>
            <w14:solidFill>
              <w14:schemeClr w14:val="tx1"/>
            </w14:solidFill>
          </w14:textFill>
        </w:rPr>
        <w:t xml:space="preserve">         采购项目</w:t>
      </w:r>
      <w:r>
        <w:rPr>
          <w:rFonts w:hint="eastAsia" w:ascii="仿宋" w:eastAsia="仿宋"/>
          <w:color w:val="000000" w:themeColor="text1"/>
          <w:sz w:val="28"/>
          <w:szCs w:val="28"/>
          <w14:textFill>
            <w14:solidFill>
              <w14:schemeClr w14:val="tx1"/>
            </w14:solidFill>
          </w14:textFill>
        </w:rPr>
        <w:t>。型号、规格、数量、技术参数等详见《》。</w:t>
      </w:r>
    </w:p>
    <w:p w14:paraId="4B335ACC">
      <w:pPr>
        <w:pStyle w:val="23"/>
        <w:tabs>
          <w:tab w:val="left" w:pos="60"/>
        </w:tabs>
        <w:spacing w:line="520" w:lineRule="exact"/>
        <w:ind w:firstLine="565" w:firstLineChars="201"/>
        <w:rPr>
          <w:rFonts w:ascii="仿宋" w:eastAsia="仿宋"/>
          <w:b/>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三、价款</w:t>
      </w:r>
    </w:p>
    <w:p w14:paraId="0C2F2020">
      <w:pPr>
        <w:pStyle w:val="23"/>
        <w:tabs>
          <w:tab w:val="left" w:pos="900"/>
        </w:tabs>
        <w:spacing w:line="48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本合同总价款为人民币</w:t>
      </w:r>
      <w:r>
        <w:rPr>
          <w:rFonts w:hint="eastAsia" w:ascii="仿宋" w:eastAsia="仿宋"/>
          <w:color w:val="000000" w:themeColor="text1"/>
          <w:sz w:val="28"/>
          <w:szCs w:val="28"/>
          <w:u w:val="single"/>
          <w14:textFill>
            <w14:solidFill>
              <w14:schemeClr w14:val="tx1"/>
            </w14:solidFill>
          </w14:textFill>
        </w:rPr>
        <w:t xml:space="preserve">   拾  万   仟佰  元  角  分</w:t>
      </w:r>
      <w:r>
        <w:rPr>
          <w:rFonts w:hint="eastAsia" w:ascii="仿宋" w:eastAsia="仿宋"/>
          <w:color w:val="000000" w:themeColor="text1"/>
          <w:sz w:val="28"/>
          <w:szCs w:val="28"/>
          <w14:textFill>
            <w14:solidFill>
              <w14:schemeClr w14:val="tx1"/>
            </w14:solidFill>
          </w14:textFill>
        </w:rPr>
        <w:t>（￥元）。单价或价格构成情况详见《》。</w:t>
      </w:r>
    </w:p>
    <w:p w14:paraId="06F02134">
      <w:pPr>
        <w:pStyle w:val="23"/>
        <w:tabs>
          <w:tab w:val="left" w:pos="900"/>
        </w:tabs>
        <w:spacing w:line="520" w:lineRule="exact"/>
        <w:ind w:firstLine="567"/>
        <w:rPr>
          <w:rFonts w:ascii="仿宋" w:eastAsia="仿宋"/>
          <w:b/>
          <w:bCs/>
          <w:color w:val="000000" w:themeColor="text1"/>
          <w:sz w:val="28"/>
          <w:szCs w:val="28"/>
          <w14:textFill>
            <w14:solidFill>
              <w14:schemeClr w14:val="tx1"/>
            </w14:solidFill>
          </w14:textFill>
        </w:rPr>
      </w:pPr>
      <w:r>
        <w:rPr>
          <w:rFonts w:hint="eastAsia" w:ascii="仿宋" w:eastAsia="仿宋"/>
          <w:b/>
          <w:bCs/>
          <w:color w:val="000000" w:themeColor="text1"/>
          <w:sz w:val="28"/>
          <w:szCs w:val="28"/>
          <w14:textFill>
            <w14:solidFill>
              <w14:schemeClr w14:val="tx1"/>
            </w14:solidFill>
          </w14:textFill>
        </w:rPr>
        <w:t>四、质量及专利权：</w:t>
      </w:r>
    </w:p>
    <w:p w14:paraId="4536767F">
      <w:pPr>
        <w:pStyle w:val="23"/>
        <w:spacing w:line="50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1.乙方所报产品技术参数或质量指标必须符合</w:t>
      </w:r>
      <w:r>
        <w:rPr>
          <w:rFonts w:hint="eastAsia" w:ascii="仿宋" w:eastAsia="仿宋"/>
          <w:color w:val="000000" w:themeColor="text1"/>
          <w:sz w:val="28"/>
          <w:szCs w:val="28"/>
          <w:lang w:eastAsia="zh-CN"/>
          <w14:textFill>
            <w14:solidFill>
              <w14:schemeClr w14:val="tx1"/>
            </w14:solidFill>
          </w14:textFill>
        </w:rPr>
        <w:t>WHHGYSDGQ2026-10</w:t>
      </w:r>
      <w:r>
        <w:rPr>
          <w:rFonts w:hint="eastAsia" w:ascii="仿宋" w:eastAsia="仿宋"/>
          <w:color w:val="000000" w:themeColor="text1"/>
          <w:sz w:val="28"/>
          <w:szCs w:val="28"/>
          <w14:textFill>
            <w14:solidFill>
              <w14:schemeClr w14:val="tx1"/>
            </w14:solidFill>
          </w14:textFill>
        </w:rPr>
        <w:t>招标文件的要求及乙方投标文件的承诺。</w:t>
      </w:r>
    </w:p>
    <w:p w14:paraId="556CBF3A">
      <w:pPr>
        <w:pStyle w:val="23"/>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2.乙方不但应保证甲方在中华人民共和国境内使用其提供的标的物或标的物的任何一部分，免受第三方提起的侵犯其专利权、商标权、著作权或其他产权纠纷，乙方还应当保证对其所供货物享有合法完整的产权（包括但不限于专利权、商标权、著作权等在内的相关权利），否则由乙方承担一切法律责任。</w:t>
      </w:r>
    </w:p>
    <w:p w14:paraId="47F0ECC9">
      <w:pPr>
        <w:pStyle w:val="23"/>
        <w:spacing w:line="520" w:lineRule="exact"/>
        <w:ind w:firstLine="565" w:firstLineChars="202"/>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3.质量保证期：质量保证期为年，自验收合格之日起计算。</w:t>
      </w:r>
    </w:p>
    <w:p w14:paraId="00B8B743">
      <w:pPr>
        <w:spacing w:line="520" w:lineRule="exact"/>
        <w:ind w:firstLine="567"/>
        <w:rPr>
          <w:rFonts w:ascii="仿宋" w:eastAsia="仿宋"/>
          <w:b/>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五、</w:t>
      </w:r>
      <w:r>
        <w:rPr>
          <w:rFonts w:hint="eastAsia" w:ascii="仿宋" w:eastAsia="仿宋"/>
          <w:b/>
          <w:bCs/>
          <w:color w:val="000000" w:themeColor="text1"/>
          <w:sz w:val="28"/>
          <w:szCs w:val="28"/>
          <w14:textFill>
            <w14:solidFill>
              <w14:schemeClr w14:val="tx1"/>
            </w14:solidFill>
          </w14:textFill>
        </w:rPr>
        <w:t>交货地点及联系方式</w:t>
      </w:r>
      <w:r>
        <w:rPr>
          <w:rFonts w:hint="eastAsia" w:ascii="仿宋" w:eastAsia="仿宋"/>
          <w:b/>
          <w:color w:val="000000" w:themeColor="text1"/>
          <w:sz w:val="28"/>
          <w:szCs w:val="28"/>
          <w14:textFill>
            <w14:solidFill>
              <w14:schemeClr w14:val="tx1"/>
            </w14:solidFill>
          </w14:textFill>
        </w:rPr>
        <w:t>：</w:t>
      </w:r>
    </w:p>
    <w:p w14:paraId="495B2974">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交货、安装、调试地点（根据实际情况列明）：</w:t>
      </w:r>
      <w:r>
        <w:rPr>
          <w:rFonts w:hint="eastAsia" w:ascii="仿宋" w:eastAsia="仿宋"/>
          <w:color w:val="000000" w:themeColor="text1"/>
          <w:kern w:val="0"/>
          <w:sz w:val="28"/>
          <w:szCs w:val="28"/>
          <w14:textFill>
            <w14:solidFill>
              <w14:schemeClr w14:val="tx1"/>
            </w14:solidFill>
          </w14:textFill>
        </w:rPr>
        <w:t>或甲方指定地点</w:t>
      </w:r>
      <w:r>
        <w:rPr>
          <w:rFonts w:hint="eastAsia" w:ascii="仿宋" w:eastAsia="仿宋"/>
          <w:color w:val="000000" w:themeColor="text1"/>
          <w:sz w:val="28"/>
          <w:szCs w:val="28"/>
          <w14:textFill>
            <w14:solidFill>
              <w14:schemeClr w14:val="tx1"/>
            </w14:solidFill>
          </w14:textFill>
        </w:rPr>
        <w:t>。</w:t>
      </w:r>
    </w:p>
    <w:p w14:paraId="4952361C">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甲方指定联系人：</w:t>
      </w:r>
      <w:r>
        <w:rPr>
          <w:rFonts w:hint="eastAsia" w:ascii="仿宋" w:eastAsia="仿宋"/>
          <w:color w:val="000000" w:themeColor="text1"/>
          <w:sz w:val="28"/>
          <w:szCs w:val="28"/>
          <w:u w:val="single"/>
          <w14:textFill>
            <w14:solidFill>
              <w14:schemeClr w14:val="tx1"/>
            </w14:solidFill>
          </w14:textFill>
        </w:rPr>
        <w:t>　　　　</w:t>
      </w:r>
      <w:r>
        <w:rPr>
          <w:rFonts w:hint="eastAsia" w:ascii="仿宋" w:eastAsia="仿宋"/>
          <w:color w:val="000000" w:themeColor="text1"/>
          <w:sz w:val="28"/>
          <w:szCs w:val="28"/>
          <w14:textFill>
            <w14:solidFill>
              <w14:schemeClr w14:val="tx1"/>
            </w14:solidFill>
          </w14:textFill>
        </w:rPr>
        <w:t>；联系电话：</w:t>
      </w:r>
      <w:r>
        <w:rPr>
          <w:rFonts w:hint="eastAsia" w:ascii="仿宋" w:eastAsia="仿宋"/>
          <w:color w:val="000000" w:themeColor="text1"/>
          <w:sz w:val="28"/>
          <w:szCs w:val="28"/>
          <w:u w:val="single"/>
          <w14:textFill>
            <w14:solidFill>
              <w14:schemeClr w14:val="tx1"/>
            </w14:solidFill>
          </w14:textFill>
        </w:rPr>
        <w:t>　　　　　</w:t>
      </w:r>
      <w:r>
        <w:rPr>
          <w:rFonts w:hint="eastAsia" w:ascii="仿宋" w:eastAsia="仿宋"/>
          <w:color w:val="000000" w:themeColor="text1"/>
          <w:sz w:val="28"/>
          <w:szCs w:val="28"/>
          <w14:textFill>
            <w14:solidFill>
              <w14:schemeClr w14:val="tx1"/>
            </w14:solidFill>
          </w14:textFill>
        </w:rPr>
        <w:t>。</w:t>
      </w:r>
    </w:p>
    <w:p w14:paraId="71F2B5D9">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乙方指定联系人：</w:t>
      </w:r>
      <w:r>
        <w:rPr>
          <w:rFonts w:hint="eastAsia" w:ascii="仿宋" w:eastAsia="仿宋"/>
          <w:color w:val="000000" w:themeColor="text1"/>
          <w:sz w:val="28"/>
          <w:szCs w:val="28"/>
          <w:u w:val="single"/>
          <w14:textFill>
            <w14:solidFill>
              <w14:schemeClr w14:val="tx1"/>
            </w14:solidFill>
          </w14:textFill>
        </w:rPr>
        <w:t>　　　　</w:t>
      </w:r>
      <w:r>
        <w:rPr>
          <w:rFonts w:hint="eastAsia" w:ascii="仿宋" w:eastAsia="仿宋"/>
          <w:color w:val="000000" w:themeColor="text1"/>
          <w:sz w:val="28"/>
          <w:szCs w:val="28"/>
          <w14:textFill>
            <w14:solidFill>
              <w14:schemeClr w14:val="tx1"/>
            </w14:solidFill>
          </w14:textFill>
        </w:rPr>
        <w:t>；联系电话：</w:t>
      </w:r>
      <w:r>
        <w:rPr>
          <w:rFonts w:hint="eastAsia" w:ascii="仿宋" w:eastAsia="仿宋"/>
          <w:color w:val="000000" w:themeColor="text1"/>
          <w:sz w:val="28"/>
          <w:szCs w:val="28"/>
          <w:u w:val="single"/>
          <w14:textFill>
            <w14:solidFill>
              <w14:schemeClr w14:val="tx1"/>
            </w14:solidFill>
          </w14:textFill>
        </w:rPr>
        <w:t>　　　　　</w:t>
      </w:r>
      <w:r>
        <w:rPr>
          <w:rFonts w:hint="eastAsia" w:ascii="仿宋" w:eastAsia="仿宋"/>
          <w:color w:val="000000" w:themeColor="text1"/>
          <w:sz w:val="28"/>
          <w:szCs w:val="28"/>
          <w14:textFill>
            <w14:solidFill>
              <w14:schemeClr w14:val="tx1"/>
            </w14:solidFill>
          </w14:textFill>
        </w:rPr>
        <w:t>。</w:t>
      </w:r>
    </w:p>
    <w:p w14:paraId="07373255">
      <w:pPr>
        <w:spacing w:line="520" w:lineRule="exact"/>
        <w:ind w:firstLine="567"/>
        <w:rPr>
          <w:rFonts w:ascii="仿宋" w:eastAsia="仿宋"/>
          <w:b/>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六、交货、安装、调试完毕期限：</w:t>
      </w:r>
    </w:p>
    <w:p w14:paraId="6B929AF4">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乙方应当在接到甲方通知之日起日内将本合同标的物安装并调试完毕，并达到合格标准。</w:t>
      </w:r>
    </w:p>
    <w:p w14:paraId="724F65B1">
      <w:pPr>
        <w:spacing w:line="520" w:lineRule="exact"/>
        <w:ind w:firstLine="567"/>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乙</w:t>
      </w:r>
      <w:r>
        <w:rPr>
          <w:rFonts w:hint="eastAsia" w:ascii="仿宋" w:eastAsia="仿宋"/>
          <w:bCs/>
          <w:color w:val="000000" w:themeColor="text1"/>
          <w:sz w:val="28"/>
          <w:szCs w:val="28"/>
          <w14:textFill>
            <w14:solidFill>
              <w14:schemeClr w14:val="tx1"/>
            </w14:solidFill>
          </w14:textFill>
        </w:rPr>
        <w:t>方所供标的物应当按照通用的方式包装，没有通用方式的，应当采取足以保护标的物的包装方式。以确保其安全无损地运抵合同约定的收货或安装地点。</w:t>
      </w:r>
    </w:p>
    <w:p w14:paraId="6AFD3C99">
      <w:pPr>
        <w:spacing w:line="520" w:lineRule="exact"/>
        <w:ind w:firstLine="567"/>
        <w:rPr>
          <w:rFonts w:ascii="仿宋" w:eastAsia="仿宋"/>
          <w:b/>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七、验收：</w:t>
      </w:r>
    </w:p>
    <w:p w14:paraId="100A98D2">
      <w:pPr>
        <w:spacing w:line="48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1.产品应按照国家及有关部门的规定进行包装，以确保其安全无损地运抵交货地点。</w:t>
      </w:r>
    </w:p>
    <w:p w14:paraId="01955EAC">
      <w:pPr>
        <w:spacing w:line="48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2.乙方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造成的损失均由甲方承担。</w:t>
      </w:r>
    </w:p>
    <w:p w14:paraId="5A5DB0AB">
      <w:pPr>
        <w:spacing w:line="480" w:lineRule="exact"/>
        <w:ind w:firstLine="560" w:firstLineChars="200"/>
        <w:rPr>
          <w:rFonts w:ascii="仿宋" w:eastAsia="仿宋"/>
          <w:b/>
          <w:bCs/>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3.产品必须在运抵交货地点经甲方检验同意后才能开启包装。</w:t>
      </w:r>
    </w:p>
    <w:p w14:paraId="574F7533">
      <w:pPr>
        <w:spacing w:line="48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4.乙方须在每台设备的显著位置用统一式样的标签标明供货单位、供货时间、质保期限及联系电话，否则验收不合格。</w:t>
      </w:r>
    </w:p>
    <w:p w14:paraId="1E500C1B">
      <w:pPr>
        <w:spacing w:line="48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5.产品属于《强制性产品认证管理规定》范围内的，必须具有“CCC”中国强制认证标志，否则验收不合格。</w:t>
      </w:r>
    </w:p>
    <w:p w14:paraId="7FED34D5">
      <w:pPr>
        <w:spacing w:line="48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6.乙方将标的物供货完毕后，甲方应严格按照招标文件的规定及合同的约定进行验收。</w:t>
      </w:r>
    </w:p>
    <w:p w14:paraId="4A10C517">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7. 进口产品交货时需向甲方提供海关报关单、商品检验单等有关手续。</w:t>
      </w:r>
    </w:p>
    <w:p w14:paraId="0065EAFC">
      <w:pPr>
        <w:pStyle w:val="23"/>
        <w:tabs>
          <w:tab w:val="left" w:pos="720"/>
          <w:tab w:val="left" w:pos="1080"/>
        </w:tabs>
        <w:spacing w:line="520" w:lineRule="exact"/>
        <w:ind w:firstLine="567"/>
        <w:rPr>
          <w:rFonts w:ascii="仿宋" w:eastAsia="仿宋"/>
          <w:b/>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八、《验收报告》的签署及送达：</w:t>
      </w:r>
    </w:p>
    <w:p w14:paraId="60F4810A">
      <w:pPr>
        <w:spacing w:line="46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1.项目验收合格，甲方应及时、完整、真实地签署《荣成市国有企业货物服务采购验收报告》（以下简称《验收报告》）。</w:t>
      </w:r>
    </w:p>
    <w:p w14:paraId="1F073F04">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2.</w:t>
      </w:r>
      <w:r>
        <w:rPr>
          <w:rFonts w:hint="eastAsia" w:ascii="仿宋" w:eastAsia="仿宋"/>
          <w:bCs/>
          <w:color w:val="000000" w:themeColor="text1"/>
          <w:sz w:val="28"/>
          <w:szCs w:val="28"/>
          <w14:textFill>
            <w14:solidFill>
              <w14:schemeClr w14:val="tx1"/>
            </w14:solidFill>
          </w14:textFill>
        </w:rPr>
        <w:t>合同履行达到验收条件时，</w:t>
      </w:r>
      <w:r>
        <w:rPr>
          <w:rFonts w:hint="eastAsia" w:ascii="仿宋" w:eastAsia="仿宋"/>
          <w:color w:val="000000" w:themeColor="text1"/>
          <w:sz w:val="28"/>
          <w:szCs w:val="28"/>
          <w14:textFill>
            <w14:solidFill>
              <w14:schemeClr w14:val="tx1"/>
            </w14:solidFill>
          </w14:textFill>
        </w:rPr>
        <w:t>乙方应当向甲方发出验收建议，及时通知甲方进行验收，并提供同项目验收相关的生产、技术、服务、数量、质量、安全等资料。甲方应当自收到验收建议之日起七个工作日内启动项目验收，乙方应当予以全面配合。</w:t>
      </w:r>
    </w:p>
    <w:p w14:paraId="74095145">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3.项目验收不合格，乙方应当立即进行整改或采取修理、更换、重作、退货、减少价款等补救措施。在甲方规定的时间内整改或采取补救措施后仍不合格的，甲方有权解除合同。解除合同的相关事项按《民典法》等法律法规的规定处理。乙方在规定时间内整改或采取补救措施后能达到合格标准的，甲方为其签署验收合格报告，但因此而延误项目交付或交货时间的，乙方应当按本合同的约定支付违约金并赔偿损失。</w:t>
      </w:r>
    </w:p>
    <w:p w14:paraId="247FB596">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4.对项目验收发生的检测（检验）费、劳务报酬等费用支出，采购合同有约定的按照约定执行；无约定的，由采购人承担。因供应商问题导致重新组织项目验收的，由供应商负担验收费用。</w:t>
      </w:r>
    </w:p>
    <w:p w14:paraId="5265F629">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5.即使甲方未及时进行验收或者虽经验收但未发现问题的，并不免除乙方的任何质量义务。</w:t>
      </w:r>
    </w:p>
    <w:p w14:paraId="2CA1655A">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6.</w:t>
      </w:r>
      <w:r>
        <w:rPr>
          <w:rFonts w:hint="eastAsia" w:ascii="仿宋" w:eastAsia="仿宋"/>
          <w:bCs/>
          <w:color w:val="000000" w:themeColor="text1"/>
          <w:sz w:val="28"/>
          <w:szCs w:val="28"/>
          <w14:textFill>
            <w14:solidFill>
              <w14:schemeClr w14:val="tx1"/>
            </w14:solidFill>
          </w14:textFill>
        </w:rPr>
        <w:t>质保期内，</w:t>
      </w:r>
      <w:r>
        <w:rPr>
          <w:rFonts w:hint="eastAsia" w:ascii="仿宋" w:eastAsia="仿宋"/>
          <w:color w:val="000000" w:themeColor="text1"/>
          <w:sz w:val="28"/>
          <w:szCs w:val="28"/>
          <w14:textFill>
            <w14:solidFill>
              <w14:schemeClr w14:val="tx1"/>
            </w14:solidFill>
          </w14:textFill>
        </w:rPr>
        <w:t>出现质量问</w:t>
      </w:r>
      <w:r>
        <w:rPr>
          <w:rFonts w:hint="eastAsia" w:ascii="仿宋" w:eastAsia="仿宋"/>
          <w:bCs/>
          <w:color w:val="000000" w:themeColor="text1"/>
          <w:sz w:val="28"/>
          <w:szCs w:val="28"/>
          <w14:textFill>
            <w14:solidFill>
              <w14:schemeClr w14:val="tx1"/>
            </w14:solidFill>
          </w14:textFill>
        </w:rPr>
        <w:t>题时，乙方免费负责三包（包退、包换、包修）。其服务必须达到或超过货物生产厂提供的承诺。质保期届满后，乙方仍要保证提供优质的售后服务，并收取成本价格。</w:t>
      </w:r>
    </w:p>
    <w:p w14:paraId="46B9FB19">
      <w:pPr>
        <w:pStyle w:val="23"/>
        <w:tabs>
          <w:tab w:val="left" w:pos="720"/>
          <w:tab w:val="left" w:pos="900"/>
        </w:tabs>
        <w:spacing w:line="520" w:lineRule="exact"/>
        <w:ind w:left="50" w:leftChars="24" w:firstLine="551" w:firstLineChars="196"/>
        <w:rPr>
          <w:rFonts w:ascii="仿宋" w:eastAsia="仿宋"/>
          <w:b/>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九、付款</w:t>
      </w:r>
    </w:p>
    <w:p w14:paraId="67E2B9E8">
      <w:pPr>
        <w:spacing w:line="520" w:lineRule="exact"/>
        <w:ind w:firstLine="560" w:firstLineChars="200"/>
        <w:rPr>
          <w:rFonts w:ascii="仿宋" w:eastAsia="仿宋"/>
          <w:bCs/>
          <w:color w:val="000000" w:themeColor="text1"/>
          <w:sz w:val="28"/>
          <w:szCs w:val="28"/>
          <w14:textFill>
            <w14:solidFill>
              <w14:schemeClr w14:val="tx1"/>
            </w14:solidFill>
          </w14:textFill>
        </w:rPr>
      </w:pPr>
      <w:r>
        <w:rPr>
          <w:rFonts w:hint="eastAsia" w:ascii="仿宋" w:eastAsia="仿宋"/>
          <w:bCs/>
          <w:color w:val="000000" w:themeColor="text1"/>
          <w:sz w:val="28"/>
          <w:szCs w:val="28"/>
          <w14:textFill>
            <w14:solidFill>
              <w14:schemeClr w14:val="tx1"/>
            </w14:solidFill>
          </w14:textFill>
        </w:rPr>
        <w:t>1.项目验收合格为本合同价款支付的必备条件。验收不合格的，不予支付价款。涉及分段验收付款的项目，应具备符合合同约定内容的阶段性验收报告。</w:t>
      </w:r>
    </w:p>
    <w:p w14:paraId="0002F298">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2.本合同以人民币付款。</w:t>
      </w:r>
    </w:p>
    <w:p w14:paraId="0C21679F">
      <w:pPr>
        <w:pStyle w:val="23"/>
        <w:tabs>
          <w:tab w:val="left" w:pos="1040"/>
        </w:tabs>
        <w:spacing w:line="520" w:lineRule="exact"/>
        <w:ind w:firstLine="560" w:firstLineChars="200"/>
        <w:jc w:val="left"/>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3.付款方式：</w:t>
      </w:r>
      <w:r>
        <w:rPr>
          <w:rFonts w:ascii="仿宋" w:eastAsia="仿宋"/>
          <w:color w:val="000000" w:themeColor="text1"/>
          <w:sz w:val="28"/>
          <w:szCs w:val="28"/>
          <w14:textFill>
            <w14:solidFill>
              <w14:schemeClr w14:val="tx1"/>
            </w14:solidFill>
          </w14:textFill>
        </w:rPr>
        <w:t xml:space="preserve"> </w:t>
      </w:r>
    </w:p>
    <w:p w14:paraId="7890ED4A">
      <w:pPr>
        <w:pStyle w:val="23"/>
        <w:tabs>
          <w:tab w:val="left" w:pos="1040"/>
        </w:tabs>
        <w:spacing w:line="520" w:lineRule="exact"/>
        <w:ind w:firstLine="560" w:firstLineChars="200"/>
        <w:jc w:val="left"/>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4.付款信息</w:t>
      </w:r>
    </w:p>
    <w:p w14:paraId="6AEC3633">
      <w:pPr>
        <w:pStyle w:val="23"/>
        <w:tabs>
          <w:tab w:val="left" w:pos="1040"/>
        </w:tabs>
        <w:spacing w:line="520" w:lineRule="exact"/>
        <w:ind w:firstLine="980" w:firstLineChars="350"/>
        <w:jc w:val="left"/>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 xml:space="preserve">收 款 人：           </w:t>
      </w:r>
    </w:p>
    <w:p w14:paraId="02E82F41">
      <w:pPr>
        <w:pStyle w:val="23"/>
        <w:tabs>
          <w:tab w:val="left" w:pos="1040"/>
        </w:tabs>
        <w:spacing w:line="520" w:lineRule="exact"/>
        <w:ind w:firstLine="980" w:firstLineChars="350"/>
        <w:jc w:val="left"/>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 xml:space="preserve">开户银行：        </w:t>
      </w:r>
    </w:p>
    <w:p w14:paraId="2069734F">
      <w:pPr>
        <w:pStyle w:val="23"/>
        <w:tabs>
          <w:tab w:val="left" w:pos="1040"/>
        </w:tabs>
        <w:spacing w:line="520" w:lineRule="exact"/>
        <w:ind w:firstLine="980" w:firstLineChars="350"/>
        <w:jc w:val="left"/>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银行账号：</w:t>
      </w:r>
    </w:p>
    <w:p w14:paraId="08795501">
      <w:pPr>
        <w:pStyle w:val="23"/>
        <w:tabs>
          <w:tab w:val="left" w:pos="1040"/>
        </w:tabs>
        <w:spacing w:line="520" w:lineRule="exact"/>
        <w:ind w:firstLine="980" w:firstLineChars="350"/>
        <w:jc w:val="left"/>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 xml:space="preserve">联 系 人：           </w:t>
      </w:r>
    </w:p>
    <w:p w14:paraId="31BEAD6E">
      <w:pPr>
        <w:pStyle w:val="23"/>
        <w:tabs>
          <w:tab w:val="left" w:pos="1040"/>
        </w:tabs>
        <w:spacing w:line="520" w:lineRule="exact"/>
        <w:ind w:firstLine="980" w:firstLineChars="350"/>
        <w:jc w:val="left"/>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联系电话：</w:t>
      </w:r>
    </w:p>
    <w:p w14:paraId="7B1012EC">
      <w:pPr>
        <w:pStyle w:val="23"/>
        <w:tabs>
          <w:tab w:val="left" w:pos="1040"/>
        </w:tabs>
        <w:spacing w:line="520" w:lineRule="exact"/>
        <w:ind w:firstLine="551" w:firstLineChars="196"/>
        <w:jc w:val="left"/>
        <w:rPr>
          <w:rFonts w:ascii="仿宋" w:eastAsia="仿宋"/>
          <w:b/>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十、售后服务</w:t>
      </w:r>
    </w:p>
    <w:p w14:paraId="32B2F041">
      <w:pPr>
        <w:pStyle w:val="23"/>
        <w:spacing w:line="520" w:lineRule="exact"/>
        <w:ind w:left="50" w:leftChars="24"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1.供货调试完毕后，根据甲方需要，乙方派技术人员现场服务，负责培训甲方人员熟练使用该产品，处理现场出现的技术问题等，并由乙方承担相应的费用。</w:t>
      </w:r>
    </w:p>
    <w:p w14:paraId="15B7C5A8">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2.产品出现问题时，无论质保期内外乙方均需保证小时内响应甲方的要求，小时到达现场并完成修复。若修理时间超过2日或需返回原生产厂维修，质保期内乙方必须向用户单位提供备用产品，以保证甲方工作的正常进行。</w:t>
      </w:r>
    </w:p>
    <w:p w14:paraId="462681EB">
      <w:pPr>
        <w:spacing w:line="520" w:lineRule="exact"/>
        <w:ind w:firstLine="567"/>
        <w:rPr>
          <w:rFonts w:ascii="仿宋" w:eastAsia="仿宋"/>
          <w:b/>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十一、变更、修改和转让</w:t>
      </w:r>
    </w:p>
    <w:p w14:paraId="4E52DD93">
      <w:pPr>
        <w:pStyle w:val="23"/>
        <w:spacing w:line="520" w:lineRule="exact"/>
        <w:ind w:firstLine="567"/>
        <w:rPr>
          <w:rFonts w:ascii="仿宋" w:eastAsia="仿宋"/>
          <w:b/>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乙方应严格按合同要求供货，未经甲方书面同意，乙方不得擅自就合同标的的数量、质量、供货完毕日期、技术规格以及其他的合同条款进行变更、修改；不得部分或者全部转让其应履行的合同义务。</w:t>
      </w:r>
    </w:p>
    <w:p w14:paraId="5C0B3BFF">
      <w:pPr>
        <w:spacing w:line="520" w:lineRule="exact"/>
        <w:ind w:firstLine="562" w:firstLineChars="200"/>
        <w:rPr>
          <w:rFonts w:ascii="仿宋" w:eastAsia="仿宋"/>
          <w:color w:val="000000" w:themeColor="text1"/>
          <w:sz w:val="28"/>
          <w:szCs w:val="28"/>
          <w14:textFill>
            <w14:solidFill>
              <w14:schemeClr w14:val="tx1"/>
            </w14:solidFill>
          </w14:textFill>
        </w:rPr>
      </w:pPr>
      <w:r>
        <w:rPr>
          <w:rFonts w:hint="eastAsia" w:ascii="仿宋" w:eastAsia="仿宋"/>
          <w:b/>
          <w:bCs/>
          <w:color w:val="000000" w:themeColor="text1"/>
          <w:sz w:val="28"/>
          <w:szCs w:val="28"/>
          <w14:textFill>
            <w14:solidFill>
              <w14:schemeClr w14:val="tx1"/>
            </w14:solidFill>
          </w14:textFill>
        </w:rPr>
        <w:t>十二、合同解除</w:t>
      </w:r>
    </w:p>
    <w:p w14:paraId="36099F8C">
      <w:pPr>
        <w:widowControl/>
        <w:spacing w:line="520" w:lineRule="exact"/>
        <w:ind w:firstLine="560" w:firstLineChars="200"/>
        <w:jc w:val="left"/>
        <w:rPr>
          <w:rFonts w:ascii="仿宋" w:eastAsia="仿宋" w:cs="宋体"/>
          <w:color w:val="000000" w:themeColor="text1"/>
          <w:kern w:val="0"/>
          <w:sz w:val="28"/>
          <w:szCs w:val="28"/>
          <w14:textFill>
            <w14:solidFill>
              <w14:schemeClr w14:val="tx1"/>
            </w14:solidFill>
          </w14:textFill>
        </w:rPr>
      </w:pPr>
      <w:r>
        <w:rPr>
          <w:rFonts w:hint="eastAsia" w:ascii="仿宋" w:eastAsia="仿宋" w:cs="宋体"/>
          <w:color w:val="000000" w:themeColor="text1"/>
          <w:kern w:val="0"/>
          <w:sz w:val="28"/>
          <w:szCs w:val="28"/>
          <w14:textFill>
            <w14:solidFill>
              <w14:schemeClr w14:val="tx1"/>
            </w14:solidFill>
          </w14:textFill>
        </w:rPr>
        <w:t>1.出现下列情况之一的，甲方或乙方提出申请，招标代理机构将向违约方发出书面通知，解除本合同，解约方有权要求违约方按合同总金额20%支付违约金，并赔偿损失。</w:t>
      </w:r>
    </w:p>
    <w:p w14:paraId="2A3A85A4">
      <w:pPr>
        <w:widowControl/>
        <w:spacing w:line="520" w:lineRule="exact"/>
        <w:ind w:firstLine="567"/>
        <w:jc w:val="left"/>
        <w:rPr>
          <w:rFonts w:ascii="仿宋" w:eastAsia="仿宋" w:cs="宋体"/>
          <w:color w:val="000000" w:themeColor="text1"/>
          <w:kern w:val="0"/>
          <w:sz w:val="28"/>
          <w:szCs w:val="28"/>
          <w14:textFill>
            <w14:solidFill>
              <w14:schemeClr w14:val="tx1"/>
            </w14:solidFill>
          </w14:textFill>
        </w:rPr>
      </w:pPr>
      <w:r>
        <w:rPr>
          <w:rFonts w:hint="eastAsia" w:ascii="仿宋" w:eastAsia="仿宋" w:cs="宋体"/>
          <w:color w:val="000000" w:themeColor="text1"/>
          <w:kern w:val="0"/>
          <w:sz w:val="28"/>
          <w:szCs w:val="28"/>
          <w14:textFill>
            <w14:solidFill>
              <w14:schemeClr w14:val="tx1"/>
            </w14:solidFill>
          </w14:textFill>
        </w:rPr>
        <w:t>（1）乙方拒绝履行合同或以自己的行为表明不履行合同的；</w:t>
      </w:r>
    </w:p>
    <w:p w14:paraId="2225BEDE">
      <w:pPr>
        <w:widowControl/>
        <w:spacing w:line="520" w:lineRule="exact"/>
        <w:ind w:firstLine="567"/>
        <w:jc w:val="left"/>
        <w:rPr>
          <w:rFonts w:ascii="仿宋" w:eastAsia="仿宋" w:cs="宋体"/>
          <w:color w:val="000000" w:themeColor="text1"/>
          <w:kern w:val="0"/>
          <w:sz w:val="28"/>
          <w:szCs w:val="28"/>
          <w14:textFill>
            <w14:solidFill>
              <w14:schemeClr w14:val="tx1"/>
            </w14:solidFill>
          </w14:textFill>
        </w:rPr>
      </w:pPr>
      <w:r>
        <w:rPr>
          <w:rFonts w:hint="eastAsia" w:ascii="仿宋" w:eastAsia="仿宋" w:cs="宋体"/>
          <w:color w:val="000000" w:themeColor="text1"/>
          <w:kern w:val="0"/>
          <w:sz w:val="28"/>
          <w:szCs w:val="28"/>
          <w14:textFill>
            <w14:solidFill>
              <w14:schemeClr w14:val="tx1"/>
            </w14:solidFill>
          </w14:textFill>
        </w:rPr>
        <w:t>（2）乙方延迟履行合同义务，经催告后仍不履行的；</w:t>
      </w:r>
    </w:p>
    <w:p w14:paraId="1D181FC5">
      <w:pPr>
        <w:widowControl/>
        <w:spacing w:line="520" w:lineRule="exact"/>
        <w:ind w:firstLine="567"/>
        <w:jc w:val="left"/>
        <w:rPr>
          <w:rFonts w:ascii="仿宋" w:eastAsia="仿宋" w:cs="宋体"/>
          <w:color w:val="000000" w:themeColor="text1"/>
          <w:kern w:val="0"/>
          <w:sz w:val="28"/>
          <w:szCs w:val="28"/>
          <w14:textFill>
            <w14:solidFill>
              <w14:schemeClr w14:val="tx1"/>
            </w14:solidFill>
          </w14:textFill>
        </w:rPr>
      </w:pPr>
      <w:r>
        <w:rPr>
          <w:rFonts w:hint="eastAsia" w:ascii="仿宋" w:eastAsia="仿宋" w:cs="宋体"/>
          <w:color w:val="000000" w:themeColor="text1"/>
          <w:kern w:val="0"/>
          <w:sz w:val="28"/>
          <w:szCs w:val="28"/>
          <w14:textFill>
            <w14:solidFill>
              <w14:schemeClr w14:val="tx1"/>
            </w14:solidFill>
          </w14:textFill>
        </w:rPr>
        <w:t>（3）乙方履行合同义务不符合约定致使不能实现合同目的的；</w:t>
      </w:r>
    </w:p>
    <w:p w14:paraId="4187893B">
      <w:pPr>
        <w:widowControl/>
        <w:spacing w:line="520" w:lineRule="exact"/>
        <w:ind w:firstLine="567"/>
        <w:jc w:val="left"/>
        <w:rPr>
          <w:rFonts w:ascii="仿宋" w:eastAsia="仿宋" w:cs="宋体"/>
          <w:color w:val="000000" w:themeColor="text1"/>
          <w:kern w:val="0"/>
          <w:sz w:val="28"/>
          <w:szCs w:val="28"/>
          <w14:textFill>
            <w14:solidFill>
              <w14:schemeClr w14:val="tx1"/>
            </w14:solidFill>
          </w14:textFill>
        </w:rPr>
      </w:pPr>
      <w:r>
        <w:rPr>
          <w:rFonts w:hint="eastAsia" w:ascii="仿宋" w:eastAsia="仿宋" w:cs="宋体"/>
          <w:color w:val="000000" w:themeColor="text1"/>
          <w:kern w:val="0"/>
          <w:sz w:val="28"/>
          <w:szCs w:val="28"/>
          <w14:textFill>
            <w14:solidFill>
              <w14:schemeClr w14:val="tx1"/>
            </w14:solidFill>
          </w14:textFill>
        </w:rPr>
        <w:t>（4）乙方履行合同义务不符合约定拒绝整改，或经整改后仍不合格的；</w:t>
      </w:r>
    </w:p>
    <w:p w14:paraId="07A86CE9">
      <w:pPr>
        <w:widowControl/>
        <w:spacing w:line="520" w:lineRule="exact"/>
        <w:ind w:firstLine="567"/>
        <w:jc w:val="left"/>
        <w:rPr>
          <w:rFonts w:ascii="仿宋" w:eastAsia="仿宋" w:cs="宋体"/>
          <w:color w:val="000000" w:themeColor="text1"/>
          <w:kern w:val="0"/>
          <w:sz w:val="28"/>
          <w:szCs w:val="28"/>
          <w14:textFill>
            <w14:solidFill>
              <w14:schemeClr w14:val="tx1"/>
            </w14:solidFill>
          </w14:textFill>
        </w:rPr>
      </w:pPr>
      <w:r>
        <w:rPr>
          <w:rFonts w:hint="eastAsia" w:ascii="仿宋" w:eastAsia="仿宋" w:cs="宋体"/>
          <w:color w:val="000000" w:themeColor="text1"/>
          <w:kern w:val="0"/>
          <w:sz w:val="28"/>
          <w:szCs w:val="28"/>
          <w14:textFill>
            <w14:solidFill>
              <w14:schemeClr w14:val="tx1"/>
            </w14:solidFill>
          </w14:textFill>
        </w:rPr>
        <w:t>（5）乙方有其他严重违约情形的；</w:t>
      </w:r>
    </w:p>
    <w:p w14:paraId="6366DD44">
      <w:pPr>
        <w:widowControl/>
        <w:spacing w:line="520" w:lineRule="exact"/>
        <w:ind w:firstLine="567"/>
        <w:jc w:val="left"/>
        <w:rPr>
          <w:rFonts w:ascii="仿宋" w:eastAsia="仿宋" w:cs="宋体"/>
          <w:color w:val="000000" w:themeColor="text1"/>
          <w:kern w:val="0"/>
          <w:sz w:val="28"/>
          <w:szCs w:val="28"/>
          <w14:textFill>
            <w14:solidFill>
              <w14:schemeClr w14:val="tx1"/>
            </w14:solidFill>
          </w14:textFill>
        </w:rPr>
      </w:pPr>
      <w:r>
        <w:rPr>
          <w:rFonts w:hint="eastAsia" w:ascii="仿宋" w:eastAsia="仿宋" w:cs="宋体"/>
          <w:color w:val="000000" w:themeColor="text1"/>
          <w:kern w:val="0"/>
          <w:sz w:val="28"/>
          <w:szCs w:val="28"/>
          <w14:textFill>
            <w14:solidFill>
              <w14:schemeClr w14:val="tx1"/>
            </w14:solidFill>
          </w14:textFill>
        </w:rPr>
        <w:t>（6）甲方应当提供而未向乙方提供履约条件的。</w:t>
      </w:r>
    </w:p>
    <w:p w14:paraId="7C436380">
      <w:pPr>
        <w:widowControl/>
        <w:spacing w:line="520" w:lineRule="exact"/>
        <w:ind w:firstLine="567"/>
        <w:jc w:val="left"/>
        <w:rPr>
          <w:rFonts w:ascii="仿宋" w:eastAsia="仿宋" w:cs="宋体"/>
          <w:color w:val="000000" w:themeColor="text1"/>
          <w:kern w:val="0"/>
          <w:sz w:val="28"/>
          <w:szCs w:val="28"/>
          <w14:textFill>
            <w14:solidFill>
              <w14:schemeClr w14:val="tx1"/>
            </w14:solidFill>
          </w14:textFill>
        </w:rPr>
      </w:pPr>
      <w:r>
        <w:rPr>
          <w:rFonts w:hint="eastAsia" w:ascii="仿宋" w:eastAsia="仿宋" w:cs="宋体"/>
          <w:color w:val="000000" w:themeColor="text1"/>
          <w:kern w:val="0"/>
          <w:sz w:val="28"/>
          <w:szCs w:val="28"/>
          <w14:textFill>
            <w14:solidFill>
              <w14:schemeClr w14:val="tx1"/>
            </w14:solidFill>
          </w14:textFill>
        </w:rPr>
        <w:t>2.</w:t>
      </w:r>
      <w:r>
        <w:rPr>
          <w:rFonts w:hint="eastAsia" w:ascii="仿宋" w:eastAsia="仿宋" w:cs="宋体"/>
          <w:color w:val="000000" w:themeColor="text1"/>
          <w:sz w:val="28"/>
          <w:szCs w:val="28"/>
          <w14:textFill>
            <w14:solidFill>
              <w14:schemeClr w14:val="tx1"/>
            </w14:solidFill>
          </w14:textFill>
        </w:rPr>
        <w:t>被解除方对解除合同有异议的，应当在收到解除通知之日起15日内向荣成市人民法院起诉。</w:t>
      </w:r>
    </w:p>
    <w:p w14:paraId="404D119F">
      <w:pPr>
        <w:spacing w:line="520" w:lineRule="exact"/>
        <w:ind w:firstLine="562" w:firstLineChars="200"/>
        <w:rPr>
          <w:rFonts w:ascii="仿宋" w:eastAsia="仿宋"/>
          <w:b/>
          <w:bCs/>
          <w:color w:val="000000" w:themeColor="text1"/>
          <w:sz w:val="28"/>
          <w:szCs w:val="28"/>
          <w14:textFill>
            <w14:solidFill>
              <w14:schemeClr w14:val="tx1"/>
            </w14:solidFill>
          </w14:textFill>
        </w:rPr>
      </w:pPr>
      <w:r>
        <w:rPr>
          <w:rFonts w:hint="eastAsia" w:ascii="仿宋" w:eastAsia="仿宋"/>
          <w:b/>
          <w:bCs/>
          <w:color w:val="000000" w:themeColor="text1"/>
          <w:sz w:val="28"/>
          <w:szCs w:val="28"/>
          <w14:textFill>
            <w14:solidFill>
              <w14:schemeClr w14:val="tx1"/>
            </w14:solidFill>
          </w14:textFill>
        </w:rPr>
        <w:t>十三、违约赔偿</w:t>
      </w:r>
    </w:p>
    <w:p w14:paraId="67A9DECB">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1. 乙方违反第四条质量及专利权第一款的约定而降低标准及违反第十一条变更、修改和转让的约定，甲方将责令其限期更换或者纠正，由此而造成延期，按本条第二款的规定支付违约赔偿；</w:t>
      </w:r>
      <w:r>
        <w:rPr>
          <w:rStyle w:val="398"/>
          <w:rFonts w:hint="eastAsia" w:ascii="仿宋" w:eastAsia="仿宋"/>
          <w:color w:val="000000" w:themeColor="text1"/>
          <w:sz w:val="28"/>
          <w:szCs w:val="28"/>
          <w14:textFill>
            <w14:solidFill>
              <w14:schemeClr w14:val="tx1"/>
            </w14:solidFill>
          </w14:textFill>
        </w:rPr>
        <w:t>如违反</w:t>
      </w:r>
      <w:r>
        <w:rPr>
          <w:rFonts w:hint="eastAsia" w:ascii="仿宋" w:eastAsia="仿宋"/>
          <w:color w:val="000000" w:themeColor="text1"/>
          <w:sz w:val="28"/>
          <w:szCs w:val="28"/>
          <w14:textFill>
            <w14:solidFill>
              <w14:schemeClr w14:val="tx1"/>
            </w14:solidFill>
          </w14:textFill>
        </w:rPr>
        <w:t>第四条质量及专利权第一款</w:t>
      </w:r>
      <w:r>
        <w:rPr>
          <w:rStyle w:val="398"/>
          <w:rFonts w:hint="eastAsia" w:ascii="仿宋" w:eastAsia="仿宋"/>
          <w:color w:val="000000" w:themeColor="text1"/>
          <w:sz w:val="28"/>
          <w:szCs w:val="28"/>
          <w14:textFill>
            <w14:solidFill>
              <w14:schemeClr w14:val="tx1"/>
            </w14:solidFill>
          </w14:textFill>
        </w:rPr>
        <w:t>约定，造成甲方无法继续使用标的物及对第三方承担赔偿责任的，乙方应当承担对甲方造成的一切损失（包括但不限于甲方的采购款、利息、维权费用等）</w:t>
      </w:r>
      <w:r>
        <w:rPr>
          <w:rFonts w:hint="eastAsia" w:ascii="仿宋" w:eastAsia="仿宋"/>
          <w:color w:val="000000" w:themeColor="text1"/>
          <w:sz w:val="28"/>
          <w:szCs w:val="28"/>
          <w14:textFill>
            <w14:solidFill>
              <w14:schemeClr w14:val="tx1"/>
            </w14:solidFill>
          </w14:textFill>
        </w:rPr>
        <w:t>。</w:t>
      </w:r>
    </w:p>
    <w:p w14:paraId="7AD5105F">
      <w:pPr>
        <w:spacing w:line="520" w:lineRule="exact"/>
        <w:ind w:firstLine="529" w:firstLineChars="189"/>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2.乙方违反第六条关于履行期的约定，逾期交货、逾期交付验收或者经验收不合格而重新供货、交付验收，每逾期一日按照逾期部分合同价款的3‰向甲方支付违约金，直至到货，不足一日，按一日计算（下同），甲方有权要求乙方赔偿因此造成的全部经济损失。</w:t>
      </w:r>
    </w:p>
    <w:p w14:paraId="5AE20BAA">
      <w:pPr>
        <w:spacing w:line="520" w:lineRule="exact"/>
        <w:ind w:firstLine="529" w:firstLineChars="189"/>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3.因乙方违约致使合同被解除的，如果在解除前甲方已经实际使用了乙方的产品而解除后需要退货的，则对使用期间的损耗或折旧甲方不负责补偿。</w:t>
      </w:r>
    </w:p>
    <w:p w14:paraId="2CE65C0A">
      <w:pPr>
        <w:spacing w:line="520" w:lineRule="exact"/>
        <w:ind w:firstLine="529" w:firstLineChars="189"/>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4.项目验收不合格执行本合同第八条第三款。</w:t>
      </w:r>
    </w:p>
    <w:p w14:paraId="1C65B8F6">
      <w:pPr>
        <w:spacing w:line="520" w:lineRule="exact"/>
        <w:ind w:firstLine="529" w:firstLineChars="189"/>
        <w:rPr>
          <w:rFonts w:ascii="仿宋" w:eastAsia="仿宋"/>
          <w:bCs/>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5.</w:t>
      </w:r>
      <w:r>
        <w:rPr>
          <w:rFonts w:hint="eastAsia" w:ascii="仿宋" w:eastAsia="仿宋"/>
          <w:bCs/>
          <w:color w:val="000000" w:themeColor="text1"/>
          <w:sz w:val="28"/>
          <w:szCs w:val="28"/>
          <w14:textFill>
            <w14:solidFill>
              <w14:schemeClr w14:val="tx1"/>
            </w14:solidFill>
          </w14:textFill>
        </w:rPr>
        <w:t>乙方无正当理由不履行本合同的，乙方应按本合同的约定承担违约责任。乙方履行合同不符合约定导致甲方解除合同的，乙方应按本合同的约定承担违约责任。乙方履行合同不符合约定但经采取补救措施后达到合同约定标准的，甲方有权在应向乙方支付的合同价款中扣除乙方承担的违约金和赔偿的损失。</w:t>
      </w:r>
    </w:p>
    <w:p w14:paraId="05757A3B">
      <w:pPr>
        <w:spacing w:line="520" w:lineRule="exact"/>
        <w:ind w:firstLine="529" w:firstLineChars="189"/>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6.一方因不可抗力导致合同不能履行的，不承担违约责任。但</w:t>
      </w:r>
      <w:r>
        <w:rPr>
          <w:rFonts w:hint="eastAsia" w:ascii="仿宋" w:eastAsia="仿宋" w:cs="仿宋_GB2312"/>
          <w:color w:val="000000" w:themeColor="text1"/>
          <w:sz w:val="28"/>
          <w:szCs w:val="28"/>
          <w:shd w:val="clear" w:color="auto" w:fill="FFFFFF"/>
          <w14:textFill>
            <w14:solidFill>
              <w14:schemeClr w14:val="tx1"/>
            </w14:solidFill>
          </w14:textFill>
        </w:rPr>
        <w:t>应当及时通知对方，以减轻可能给对方造成的损失，并应当在合理期限内提供证明。</w:t>
      </w:r>
      <w:r>
        <w:rPr>
          <w:rFonts w:hint="eastAsia" w:ascii="仿宋" w:eastAsia="仿宋"/>
          <w:color w:val="000000" w:themeColor="text1"/>
          <w:sz w:val="28"/>
          <w:szCs w:val="28"/>
          <w14:textFill>
            <w14:solidFill>
              <w14:schemeClr w14:val="tx1"/>
            </w14:solidFill>
          </w14:textFill>
        </w:rPr>
        <w:t>“不可抗力”是指不能预见、不能避免并不能克服的客观情况，如：战争、严重火灾、洪水、台风、地震等事件。</w:t>
      </w:r>
    </w:p>
    <w:p w14:paraId="06DEDA24">
      <w:pPr>
        <w:spacing w:line="520" w:lineRule="exact"/>
        <w:ind w:firstLine="529" w:firstLineChars="189"/>
        <w:rPr>
          <w:rFonts w:ascii="仿宋" w:eastAsia="仿宋" w:cs="仿宋_GB2312"/>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7.</w:t>
      </w:r>
      <w:r>
        <w:rPr>
          <w:rFonts w:hint="eastAsia" w:ascii="仿宋" w:eastAsia="仿宋" w:cs="仿宋_GB2312"/>
          <w:color w:val="000000" w:themeColor="text1"/>
          <w:sz w:val="28"/>
          <w:szCs w:val="28"/>
          <w14:textFill>
            <w14:solidFill>
              <w14:schemeClr w14:val="tx1"/>
            </w14:solidFill>
          </w14:textFill>
        </w:rPr>
        <w:t>乙方存在下列行为的，纳入</w:t>
      </w:r>
      <w:r>
        <w:rPr>
          <w:rFonts w:hint="eastAsia" w:ascii="仿宋" w:eastAsia="仿宋" w:cs="宋体"/>
          <w:color w:val="000000" w:themeColor="text1"/>
          <w:kern w:val="0"/>
          <w:sz w:val="28"/>
          <w:szCs w:val="28"/>
          <w14:textFill>
            <w14:solidFill>
              <w14:schemeClr w14:val="tx1"/>
            </w14:solidFill>
          </w14:textFill>
        </w:rPr>
        <w:t>招标代理机构的</w:t>
      </w:r>
      <w:r>
        <w:rPr>
          <w:rFonts w:hint="eastAsia" w:ascii="仿宋" w:eastAsia="仿宋" w:cs="仿宋_GB2312"/>
          <w:color w:val="000000" w:themeColor="text1"/>
          <w:sz w:val="28"/>
          <w:szCs w:val="28"/>
          <w14:textFill>
            <w14:solidFill>
              <w14:schemeClr w14:val="tx1"/>
            </w14:solidFill>
          </w14:textFill>
        </w:rPr>
        <w:t>诚信记录：</w:t>
      </w:r>
    </w:p>
    <w:p w14:paraId="2E634D1A">
      <w:pPr>
        <w:spacing w:line="520" w:lineRule="exact"/>
        <w:ind w:firstLine="529" w:firstLineChars="189"/>
        <w:rPr>
          <w:rFonts w:ascii="仿宋" w:eastAsia="仿宋"/>
          <w:color w:val="000000" w:themeColor="text1"/>
          <w:sz w:val="28"/>
          <w:szCs w:val="28"/>
          <w14:textFill>
            <w14:solidFill>
              <w14:schemeClr w14:val="tx1"/>
            </w14:solidFill>
          </w14:textFill>
        </w:rPr>
      </w:pPr>
      <w:r>
        <w:rPr>
          <w:rFonts w:hint="eastAsia" w:ascii="仿宋" w:eastAsia="仿宋" w:cs="仿宋_GB2312"/>
          <w:color w:val="000000" w:themeColor="text1"/>
          <w:sz w:val="28"/>
          <w:szCs w:val="28"/>
          <w14:textFill>
            <w14:solidFill>
              <w14:schemeClr w14:val="tx1"/>
            </w14:solidFill>
          </w14:textFill>
        </w:rPr>
        <w:t>（1）无正当理由放弃采购合同履约的；</w:t>
      </w:r>
    </w:p>
    <w:p w14:paraId="3291B6DD">
      <w:pPr>
        <w:spacing w:line="520" w:lineRule="exact"/>
        <w:ind w:firstLine="531" w:firstLineChars="189"/>
        <w:rPr>
          <w:rFonts w:ascii="仿宋" w:eastAsia="仿宋" w:cs="仿宋_GB2312"/>
          <w:b/>
          <w:bCs/>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（2）</w:t>
      </w:r>
      <w:r>
        <w:rPr>
          <w:rFonts w:hint="eastAsia" w:ascii="仿宋" w:eastAsia="仿宋" w:cs="仿宋_GB2312"/>
          <w:b/>
          <w:bCs/>
          <w:color w:val="000000" w:themeColor="text1"/>
          <w:sz w:val="28"/>
          <w:szCs w:val="28"/>
          <w14:textFill>
            <w14:solidFill>
              <w14:schemeClr w14:val="tx1"/>
            </w14:solidFill>
          </w14:textFill>
        </w:rPr>
        <w:t>不履行合同义务，情节严重的；</w:t>
      </w:r>
    </w:p>
    <w:p w14:paraId="1B20FCA7">
      <w:pPr>
        <w:spacing w:line="520" w:lineRule="exact"/>
        <w:ind w:firstLine="529" w:firstLineChars="189"/>
        <w:rPr>
          <w:rFonts w:ascii="仿宋" w:eastAsia="仿宋" w:cs="仿宋_GB2312"/>
          <w:color w:val="000000" w:themeColor="text1"/>
          <w:sz w:val="28"/>
          <w:szCs w:val="28"/>
          <w14:textFill>
            <w14:solidFill>
              <w14:schemeClr w14:val="tx1"/>
            </w14:solidFill>
          </w14:textFill>
        </w:rPr>
      </w:pPr>
      <w:r>
        <w:rPr>
          <w:rFonts w:hint="eastAsia" w:ascii="仿宋" w:eastAsia="仿宋" w:cs="仿宋_GB2312"/>
          <w:bCs/>
          <w:color w:val="000000" w:themeColor="text1"/>
          <w:sz w:val="28"/>
          <w:szCs w:val="28"/>
          <w14:textFill>
            <w14:solidFill>
              <w14:schemeClr w14:val="tx1"/>
            </w14:solidFill>
          </w14:textFill>
        </w:rPr>
        <w:t>（3）</w:t>
      </w:r>
      <w:r>
        <w:rPr>
          <w:rFonts w:hint="eastAsia" w:ascii="仿宋" w:eastAsia="仿宋" w:cs="仿宋_GB2312"/>
          <w:color w:val="000000" w:themeColor="text1"/>
          <w:sz w:val="28"/>
          <w:szCs w:val="28"/>
          <w14:textFill>
            <w14:solidFill>
              <w14:schemeClr w14:val="tx1"/>
            </w14:solidFill>
          </w14:textFill>
        </w:rPr>
        <w:t>在数量、质量、技术、服务、安全、标准、功能、工艺等方面不符合采购合同约定，给采购人造成较大损失或者影响的；</w:t>
      </w:r>
    </w:p>
    <w:p w14:paraId="5B894744">
      <w:pPr>
        <w:spacing w:line="520" w:lineRule="exact"/>
        <w:ind w:firstLine="529" w:firstLineChars="189"/>
        <w:rPr>
          <w:rFonts w:ascii="仿宋" w:eastAsia="仿宋" w:cs="仿宋_GB2312"/>
          <w:color w:val="000000" w:themeColor="text1"/>
          <w:sz w:val="28"/>
          <w:szCs w:val="28"/>
          <w14:textFill>
            <w14:solidFill>
              <w14:schemeClr w14:val="tx1"/>
            </w14:solidFill>
          </w14:textFill>
        </w:rPr>
      </w:pPr>
      <w:r>
        <w:rPr>
          <w:rFonts w:hint="eastAsia" w:ascii="仿宋" w:eastAsia="仿宋" w:cs="仿宋_GB2312"/>
          <w:color w:val="000000" w:themeColor="text1"/>
          <w:sz w:val="28"/>
          <w:szCs w:val="28"/>
          <w14:textFill>
            <w14:solidFill>
              <w14:schemeClr w14:val="tx1"/>
            </w14:solidFill>
          </w14:textFill>
        </w:rPr>
        <w:t>（4）因履约问题影响采购项目功能实现又拒不纠正的；</w:t>
      </w:r>
    </w:p>
    <w:p w14:paraId="3C7FE92D">
      <w:pPr>
        <w:spacing w:line="520" w:lineRule="exact"/>
        <w:ind w:firstLine="529" w:firstLineChars="189"/>
        <w:rPr>
          <w:rFonts w:ascii="仿宋" w:eastAsia="仿宋" w:cs="仿宋_GB2312"/>
          <w:color w:val="000000" w:themeColor="text1"/>
          <w:sz w:val="28"/>
          <w:szCs w:val="28"/>
          <w14:textFill>
            <w14:solidFill>
              <w14:schemeClr w14:val="tx1"/>
            </w14:solidFill>
          </w14:textFill>
        </w:rPr>
      </w:pPr>
      <w:r>
        <w:rPr>
          <w:rFonts w:hint="eastAsia" w:ascii="仿宋" w:eastAsia="仿宋" w:cs="仿宋_GB2312"/>
          <w:color w:val="000000" w:themeColor="text1"/>
          <w:sz w:val="28"/>
          <w:szCs w:val="28"/>
          <w14:textFill>
            <w14:solidFill>
              <w14:schemeClr w14:val="tx1"/>
            </w14:solidFill>
          </w14:textFill>
        </w:rPr>
        <w:t>（5）与甲方工作人员或者验收小组成员串通，实施虚假履约验收的；</w:t>
      </w:r>
    </w:p>
    <w:p w14:paraId="1221254A">
      <w:pPr>
        <w:spacing w:line="520" w:lineRule="exact"/>
        <w:ind w:firstLine="529" w:firstLineChars="189"/>
        <w:rPr>
          <w:rFonts w:ascii="仿宋" w:eastAsia="仿宋" w:cs="仿宋_GB2312"/>
          <w:color w:val="000000" w:themeColor="text1"/>
          <w:sz w:val="28"/>
          <w:szCs w:val="28"/>
          <w14:textFill>
            <w14:solidFill>
              <w14:schemeClr w14:val="tx1"/>
            </w14:solidFill>
          </w14:textFill>
        </w:rPr>
      </w:pPr>
      <w:r>
        <w:rPr>
          <w:rFonts w:hint="eastAsia" w:ascii="仿宋" w:eastAsia="仿宋" w:cs="仿宋_GB2312"/>
          <w:color w:val="000000" w:themeColor="text1"/>
          <w:sz w:val="28"/>
          <w:szCs w:val="28"/>
          <w14:textFill>
            <w14:solidFill>
              <w14:schemeClr w14:val="tx1"/>
            </w14:solidFill>
          </w14:textFill>
        </w:rPr>
        <w:t>（6）其他损害公共利益、采购人利益、第三方权益且情节较重的。</w:t>
      </w:r>
    </w:p>
    <w:p w14:paraId="1CA0355E">
      <w:pPr>
        <w:spacing w:line="520" w:lineRule="exact"/>
        <w:ind w:firstLine="529" w:firstLineChars="189"/>
        <w:rPr>
          <w:rFonts w:ascii="仿宋" w:eastAsia="仿宋" w:cs="仿宋_GB2312"/>
          <w:color w:val="000000" w:themeColor="text1"/>
          <w:sz w:val="28"/>
          <w:szCs w:val="28"/>
          <w14:textFill>
            <w14:solidFill>
              <w14:schemeClr w14:val="tx1"/>
            </w14:solidFill>
          </w14:textFill>
        </w:rPr>
      </w:pPr>
      <w:r>
        <w:rPr>
          <w:rFonts w:hint="eastAsia" w:ascii="仿宋" w:eastAsia="仿宋" w:cs="仿宋_GB2312"/>
          <w:color w:val="000000" w:themeColor="text1"/>
          <w:sz w:val="28"/>
          <w:szCs w:val="28"/>
          <w14:textFill>
            <w14:solidFill>
              <w14:schemeClr w14:val="tx1"/>
            </w14:solidFill>
          </w14:textFill>
        </w:rPr>
        <w:t>8.由违约方承担因违约给对方造成的诉讼费、保全费、保全保险费、律师代理费、差旅费等因处理纠纷产生的所有费用。</w:t>
      </w:r>
    </w:p>
    <w:p w14:paraId="492C1471">
      <w:pPr>
        <w:spacing w:line="520" w:lineRule="exact"/>
        <w:ind w:firstLine="562" w:firstLineChars="200"/>
        <w:rPr>
          <w:rFonts w:ascii="仿宋" w:eastAsia="仿宋"/>
          <w:b/>
          <w:bCs/>
          <w:color w:val="000000" w:themeColor="text1"/>
          <w:sz w:val="28"/>
          <w:szCs w:val="28"/>
          <w14:textFill>
            <w14:solidFill>
              <w14:schemeClr w14:val="tx1"/>
            </w14:solidFill>
          </w14:textFill>
        </w:rPr>
      </w:pPr>
      <w:r>
        <w:rPr>
          <w:rFonts w:hint="eastAsia" w:ascii="仿宋" w:eastAsia="仿宋"/>
          <w:b/>
          <w:bCs/>
          <w:color w:val="000000" w:themeColor="text1"/>
          <w:sz w:val="28"/>
          <w:szCs w:val="28"/>
          <w14:textFill>
            <w14:solidFill>
              <w14:schemeClr w14:val="tx1"/>
            </w14:solidFill>
          </w14:textFill>
        </w:rPr>
        <w:t>十四、争议解决</w:t>
      </w:r>
    </w:p>
    <w:p w14:paraId="3B18FCDB">
      <w:pPr>
        <w:spacing w:line="520" w:lineRule="exact"/>
        <w:ind w:firstLine="560" w:firstLineChars="200"/>
        <w:rPr>
          <w:rFonts w:ascii="仿宋" w:eastAsia="仿宋" w:cs="仿宋_GB2312"/>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1</w:t>
      </w:r>
      <w:r>
        <w:rPr>
          <w:rFonts w:hint="eastAsia" w:ascii="仿宋" w:eastAsia="仿宋" w:cs="仿宋_GB2312"/>
          <w:color w:val="000000" w:themeColor="text1"/>
          <w:sz w:val="28"/>
          <w:szCs w:val="28"/>
          <w14:textFill>
            <w14:solidFill>
              <w14:schemeClr w14:val="tx1"/>
            </w14:solidFill>
          </w14:textFill>
        </w:rPr>
        <w:t>.合同执行期内，甲、乙双方均不得随意变更或解除合同。合同如有未尽事宜，须经双方共同协商，作出补充协议，补充协议与本合同具有同等效力。</w:t>
      </w:r>
    </w:p>
    <w:p w14:paraId="48A9342D">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2.合同各方应通过友好协商，解决执行本合同中所发生的或与本合同有关的一切争议，如协商不成，甲、乙双方可向荣成市人民法院提起诉讼。</w:t>
      </w:r>
    </w:p>
    <w:p w14:paraId="1E437B4A">
      <w:pPr>
        <w:spacing w:line="520" w:lineRule="exact"/>
        <w:ind w:firstLine="560" w:firstLineChars="200"/>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3.在诉讼期间，本合同无争议的部分应继续履行。</w:t>
      </w:r>
    </w:p>
    <w:p w14:paraId="1DDD90AA">
      <w:pPr>
        <w:spacing w:line="520" w:lineRule="exact"/>
        <w:ind w:firstLine="562" w:firstLineChars="200"/>
        <w:rPr>
          <w:rFonts w:ascii="仿宋" w:eastAsia="仿宋"/>
          <w:b/>
          <w:bCs/>
          <w:color w:val="000000" w:themeColor="text1"/>
          <w:sz w:val="28"/>
          <w:szCs w:val="28"/>
          <w14:textFill>
            <w14:solidFill>
              <w14:schemeClr w14:val="tx1"/>
            </w14:solidFill>
          </w14:textFill>
        </w:rPr>
      </w:pPr>
      <w:r>
        <w:rPr>
          <w:rFonts w:hint="eastAsia" w:ascii="仿宋" w:eastAsia="仿宋"/>
          <w:b/>
          <w:bCs/>
          <w:color w:val="000000" w:themeColor="text1"/>
          <w:sz w:val="28"/>
          <w:szCs w:val="28"/>
          <w14:textFill>
            <w14:solidFill>
              <w14:schemeClr w14:val="tx1"/>
            </w14:solidFill>
          </w14:textFill>
        </w:rPr>
        <w:t>十五、合同生效</w:t>
      </w:r>
    </w:p>
    <w:p w14:paraId="580387DF">
      <w:pPr>
        <w:pStyle w:val="23"/>
        <w:spacing w:line="520" w:lineRule="exact"/>
        <w:ind w:firstLine="567"/>
        <w:rPr>
          <w:rFonts w:ascii="仿宋" w:eastAsia="仿宋"/>
          <w:color w:val="000000" w:themeColor="text1"/>
          <w:sz w:val="28"/>
          <w:szCs w:val="28"/>
          <w:shd w:val="pct10" w:color="auto" w:fill="FFFFFF"/>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本合同由各方代表签字并加盖各方公章或合同章及骑缝章后生效。本合同书共四份，招标代理公司执行一份，甲、乙两方及威海市公共资源交易中心荣成分中心各执一份，</w:t>
      </w:r>
      <w:r>
        <w:rPr>
          <w:rFonts w:hint="eastAsia" w:ascii="仿宋" w:eastAsia="仿宋" w:cs="仿宋_GB2312"/>
          <w:color w:val="000000" w:themeColor="text1"/>
          <w:sz w:val="28"/>
          <w:szCs w:val="28"/>
          <w14:textFill>
            <w14:solidFill>
              <w14:schemeClr w14:val="tx1"/>
            </w14:solidFill>
          </w14:textFill>
        </w:rPr>
        <w:t>具有同等的法律效力。</w:t>
      </w:r>
    </w:p>
    <w:p w14:paraId="1A80661B">
      <w:pPr>
        <w:spacing w:line="520" w:lineRule="exact"/>
        <w:ind w:firstLine="562" w:firstLineChars="200"/>
        <w:rPr>
          <w:rFonts w:ascii="仿宋" w:eastAsia="仿宋"/>
          <w:color w:val="000000" w:themeColor="text1"/>
          <w:sz w:val="28"/>
          <w:szCs w:val="28"/>
          <w14:textFill>
            <w14:solidFill>
              <w14:schemeClr w14:val="tx1"/>
            </w14:solidFill>
          </w14:textFill>
        </w:rPr>
      </w:pPr>
      <w:r>
        <w:rPr>
          <w:rFonts w:hint="eastAsia" w:ascii="仿宋" w:eastAsia="仿宋"/>
          <w:b/>
          <w:color w:val="000000" w:themeColor="text1"/>
          <w:sz w:val="28"/>
          <w:szCs w:val="28"/>
          <w14:textFill>
            <w14:solidFill>
              <w14:schemeClr w14:val="tx1"/>
            </w14:solidFill>
          </w14:textFill>
        </w:rPr>
        <w:t>十六、签约地点：</w:t>
      </w:r>
      <w:r>
        <w:rPr>
          <w:rFonts w:hint="eastAsia" w:ascii="仿宋" w:eastAsia="仿宋"/>
          <w:color w:val="000000" w:themeColor="text1"/>
          <w:sz w:val="28"/>
          <w:szCs w:val="28"/>
          <w14:textFill>
            <w14:solidFill>
              <w14:schemeClr w14:val="tx1"/>
            </w14:solidFill>
          </w14:textFill>
        </w:rPr>
        <w:t>山东省荣成市。</w:t>
      </w:r>
    </w:p>
    <w:p w14:paraId="4AD9E975">
      <w:pPr>
        <w:spacing w:line="360" w:lineRule="exact"/>
        <w:ind w:firstLine="700" w:firstLineChars="250"/>
        <w:rPr>
          <w:rFonts w:ascii="仿宋" w:eastAsia="仿宋"/>
          <w:color w:val="000000" w:themeColor="text1"/>
          <w:sz w:val="28"/>
          <w:szCs w:val="28"/>
          <w14:textFill>
            <w14:solidFill>
              <w14:schemeClr w14:val="tx1"/>
            </w14:solidFill>
          </w14:textFill>
        </w:rPr>
      </w:pPr>
    </w:p>
    <w:p w14:paraId="24DE0A91">
      <w:pPr>
        <w:spacing w:line="360" w:lineRule="exact"/>
        <w:rPr>
          <w:rFonts w:ascii="仿宋" w:eastAsia="仿宋"/>
          <w:color w:val="000000" w:themeColor="text1"/>
          <w:sz w:val="28"/>
          <w:szCs w:val="28"/>
          <w14:textFill>
            <w14:solidFill>
              <w14:schemeClr w14:val="tx1"/>
            </w14:solidFill>
          </w14:textFill>
        </w:rPr>
      </w:pPr>
    </w:p>
    <w:p w14:paraId="75482714">
      <w:pPr>
        <w:spacing w:line="360" w:lineRule="exact"/>
        <w:ind w:firstLine="700" w:firstLineChars="250"/>
        <w:rPr>
          <w:rFonts w:ascii="仿宋" w:eastAsia="仿宋"/>
          <w:color w:val="000000" w:themeColor="text1"/>
          <w:sz w:val="28"/>
          <w:szCs w:val="28"/>
          <w14:textFill>
            <w14:solidFill>
              <w14:schemeClr w14:val="tx1"/>
            </w14:solidFill>
          </w14:textFill>
        </w:rPr>
      </w:pPr>
    </w:p>
    <w:p w14:paraId="6C101244">
      <w:pPr>
        <w:spacing w:line="360" w:lineRule="exact"/>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甲    方：威海海高园园林建设有限公司</w:t>
      </w:r>
    </w:p>
    <w:p w14:paraId="3F99990A">
      <w:pPr>
        <w:spacing w:line="360" w:lineRule="exact"/>
        <w:rPr>
          <w:rFonts w:ascii="仿宋" w:eastAsia="仿宋"/>
          <w:color w:val="000000" w:themeColor="text1"/>
          <w:sz w:val="28"/>
          <w:szCs w:val="28"/>
          <w14:textFill>
            <w14:solidFill>
              <w14:schemeClr w14:val="tx1"/>
            </w14:solidFill>
          </w14:textFill>
        </w:rPr>
      </w:pPr>
    </w:p>
    <w:p w14:paraId="0290E27D">
      <w:pPr>
        <w:spacing w:line="360" w:lineRule="exact"/>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单位盖章：</w:t>
      </w:r>
    </w:p>
    <w:p w14:paraId="0B4D7E53">
      <w:pPr>
        <w:spacing w:line="360" w:lineRule="exact"/>
        <w:rPr>
          <w:rFonts w:ascii="仿宋" w:eastAsia="仿宋"/>
          <w:color w:val="000000" w:themeColor="text1"/>
          <w:sz w:val="28"/>
          <w:szCs w:val="28"/>
          <w14:textFill>
            <w14:solidFill>
              <w14:schemeClr w14:val="tx1"/>
            </w14:solidFill>
          </w14:textFill>
        </w:rPr>
      </w:pPr>
    </w:p>
    <w:p w14:paraId="36F3F060">
      <w:pPr>
        <w:spacing w:line="360" w:lineRule="exact"/>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代表签字：</w:t>
      </w:r>
    </w:p>
    <w:p w14:paraId="47596284">
      <w:pPr>
        <w:spacing w:line="360" w:lineRule="exact"/>
        <w:rPr>
          <w:rFonts w:ascii="仿宋" w:eastAsia="仿宋"/>
          <w:color w:val="000000" w:themeColor="text1"/>
          <w:sz w:val="28"/>
          <w:szCs w:val="28"/>
          <w14:textFill>
            <w14:solidFill>
              <w14:schemeClr w14:val="tx1"/>
            </w14:solidFill>
          </w14:textFill>
        </w:rPr>
      </w:pPr>
    </w:p>
    <w:p w14:paraId="4B252FBA">
      <w:pPr>
        <w:spacing w:line="360" w:lineRule="exact"/>
        <w:rPr>
          <w:rFonts w:ascii="仿宋" w:eastAsia="仿宋"/>
          <w:color w:val="000000" w:themeColor="text1"/>
          <w:sz w:val="28"/>
          <w:szCs w:val="28"/>
          <w14:textFill>
            <w14:solidFill>
              <w14:schemeClr w14:val="tx1"/>
            </w14:solidFill>
          </w14:textFill>
        </w:rPr>
      </w:pPr>
    </w:p>
    <w:p w14:paraId="6CA4E13D">
      <w:pPr>
        <w:spacing w:line="360" w:lineRule="exact"/>
        <w:rPr>
          <w:rFonts w:ascii="仿宋" w:eastAsia="仿宋"/>
          <w:b/>
          <w:bCs/>
          <w:color w:val="000000" w:themeColor="text1"/>
          <w:sz w:val="28"/>
          <w:szCs w:val="28"/>
          <w:shd w:val="pct10" w:color="auto" w:fill="FFFFFF"/>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乙    方：成交供应商</w:t>
      </w:r>
    </w:p>
    <w:p w14:paraId="0C61C5DE">
      <w:pPr>
        <w:pStyle w:val="23"/>
        <w:spacing w:line="360" w:lineRule="exact"/>
        <w:rPr>
          <w:rFonts w:ascii="仿宋" w:eastAsia="仿宋"/>
          <w:color w:val="000000" w:themeColor="text1"/>
          <w:sz w:val="28"/>
          <w:szCs w:val="28"/>
          <w14:textFill>
            <w14:solidFill>
              <w14:schemeClr w14:val="tx1"/>
            </w14:solidFill>
          </w14:textFill>
        </w:rPr>
      </w:pPr>
    </w:p>
    <w:p w14:paraId="1DF08DEC">
      <w:pPr>
        <w:pStyle w:val="23"/>
        <w:spacing w:line="360" w:lineRule="exact"/>
        <w:rPr>
          <w:rFonts w:ascii="仿宋" w:eastAsia="仿宋"/>
          <w:color w:val="000000" w:themeColor="text1"/>
          <w:sz w:val="28"/>
          <w:szCs w:val="28"/>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 xml:space="preserve">单位盖章: </w:t>
      </w:r>
    </w:p>
    <w:p w14:paraId="30815A05">
      <w:pPr>
        <w:pStyle w:val="23"/>
        <w:spacing w:line="360" w:lineRule="exact"/>
        <w:rPr>
          <w:rFonts w:ascii="仿宋" w:eastAsia="仿宋"/>
          <w:color w:val="000000" w:themeColor="text1"/>
          <w:sz w:val="28"/>
          <w:szCs w:val="28"/>
          <w14:textFill>
            <w14:solidFill>
              <w14:schemeClr w14:val="tx1"/>
            </w14:solidFill>
          </w14:textFill>
        </w:rPr>
      </w:pPr>
    </w:p>
    <w:p w14:paraId="6D675000">
      <w:pPr>
        <w:pStyle w:val="2"/>
        <w:ind w:firstLine="0"/>
        <w:rPr>
          <w:rFonts w:ascii="仿宋" w:hAnsi="仿宋" w:eastAsia="仿宋"/>
          <w:color w:val="000000" w:themeColor="text1"/>
          <w14:textFill>
            <w14:solidFill>
              <w14:schemeClr w14:val="tx1"/>
            </w14:solidFill>
          </w14:textFill>
        </w:rPr>
      </w:pPr>
      <w:r>
        <w:rPr>
          <w:rFonts w:hint="eastAsia" w:ascii="仿宋" w:eastAsia="仿宋"/>
          <w:color w:val="000000" w:themeColor="text1"/>
          <w:sz w:val="28"/>
          <w:szCs w:val="28"/>
          <w14:textFill>
            <w14:solidFill>
              <w14:schemeClr w14:val="tx1"/>
            </w14:solidFill>
          </w14:textFill>
        </w:rPr>
        <w:t>代表签字:</w:t>
      </w:r>
    </w:p>
    <w:p w14:paraId="177203B3"/>
    <w:p w14:paraId="2C53FEE9"/>
    <w:p w14:paraId="62B9E35C"/>
    <w:p w14:paraId="062CC642"/>
    <w:p w14:paraId="6B71E313"/>
    <w:p w14:paraId="1303277F"/>
    <w:p w14:paraId="12C92D82"/>
    <w:p w14:paraId="430F9328">
      <w:pPr>
        <w:pStyle w:val="23"/>
        <w:tabs>
          <w:tab w:val="left" w:pos="900"/>
        </w:tabs>
        <w:spacing w:line="480" w:lineRule="exact"/>
        <w:ind w:left="46" w:leftChars="22" w:firstLine="420" w:firstLineChars="200"/>
        <w:rPr>
          <w:rFonts w:ascii="仿宋" w:hAnsi="仿宋" w:eastAsia="仿宋"/>
        </w:rPr>
      </w:pPr>
      <w:r>
        <w:tab/>
      </w:r>
      <w:r>
        <w:rPr>
          <w:rFonts w:hint="eastAsia" w:ascii="仿宋_GB2312" w:hAnsi="仿宋" w:eastAsia="仿宋_GB2312" w:cs="宋体"/>
          <w:b/>
          <w:sz w:val="30"/>
          <w:szCs w:val="30"/>
        </w:rPr>
        <w:t>注：本合同范本仅供参考，成交后需根据情况另行修改。</w:t>
      </w:r>
    </w:p>
    <w:p w14:paraId="0763F32F">
      <w:pPr>
        <w:tabs>
          <w:tab w:val="left" w:pos="2962"/>
        </w:tabs>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方正舒体"/>
    <w:panose1 w:val="00000000000000000000"/>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MetaPlusLF">
    <w:altName w:val="Georgia"/>
    <w:panose1 w:val="00000000000000000000"/>
    <w:charset w:val="00"/>
    <w:family w:val="auto"/>
    <w:pitch w:val="default"/>
    <w:sig w:usb0="00000000"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华文仿宋">
    <w:panose1 w:val="02010600040101010101"/>
    <w:charset w:val="86"/>
    <w:family w:val="auto"/>
    <w:pitch w:val="default"/>
    <w:sig w:usb0="00000287" w:usb1="080F0000" w:usb2="00000000" w:usb3="00000000" w:csb0="0004009F" w:csb1="DFD70000"/>
  </w:font>
  <w:font w:name="Helvetica">
    <w:panose1 w:val="020B0504020202030204"/>
    <w:charset w:val="00"/>
    <w:family w:val="swiss"/>
    <w:pitch w:val="default"/>
    <w:sig w:usb0="00000007" w:usb1="00000000" w:usb2="00000000" w:usb3="00000000" w:csb0="00000093"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modern"/>
    <w:pitch w:val="default"/>
    <w:sig w:usb0="800002BF" w:usb1="38CF7CFA" w:usb2="00000016"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89814"/>
    </w:sdtPr>
    <w:sdtContent>
      <w:p w14:paraId="7D7C522E">
        <w:pPr>
          <w:pStyle w:val="28"/>
          <w:jc w:val="center"/>
        </w:pPr>
        <w:r>
          <w:fldChar w:fldCharType="begin"/>
        </w:r>
        <w:r>
          <w:instrText xml:space="preserve"> PAGE   \* MERGEFORMAT </w:instrText>
        </w:r>
        <w:r>
          <w:fldChar w:fldCharType="separate"/>
        </w:r>
        <w:r>
          <w:rPr>
            <w:lang w:val="zh-CN"/>
          </w:rPr>
          <w:t>2</w:t>
        </w:r>
        <w:r>
          <w:rPr>
            <w:lang w:val="zh-CN"/>
          </w:rPr>
          <w:fldChar w:fldCharType="end"/>
        </w:r>
      </w:p>
    </w:sdtContent>
  </w:sdt>
  <w:p w14:paraId="2569B117">
    <w:pPr>
      <w:pStyle w:val="28"/>
      <w:pBdr>
        <w:top w:val="single" w:color="auto" w:sz="4" w:space="1"/>
      </w:pBdr>
      <w:spacing w:before="120" w:beforeLines="50"/>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4A770">
    <w:pPr>
      <w:jc w:val="center"/>
    </w:pPr>
    <w:r>
      <w:fldChar w:fldCharType="begin"/>
    </w:r>
    <w:r>
      <w:instrText xml:space="preserve"> PAGE   \* MERGEFORMAT </w:instrText>
    </w:r>
    <w:r>
      <w:fldChar w:fldCharType="separate"/>
    </w:r>
    <w:r>
      <w:t>7</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73DCE">
    <w:pPr>
      <w:jc w:val="center"/>
    </w:pPr>
    <w:r>
      <w:fldChar w:fldCharType="begin"/>
    </w:r>
    <w:r>
      <w:instrText xml:space="preserve"> PAGE   \* MERGEFORMAT </w:instrText>
    </w:r>
    <w:r>
      <w:fldChar w:fldCharType="separate"/>
    </w:r>
    <w:r>
      <w:t>51</w:t>
    </w:r>
    <w:r>
      <w:rPr>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DF797">
    <w:pPr>
      <w:rPr>
        <w:rFonts w:ascii="宋体" w:hAnsi="宋体"/>
        <w:b/>
        <w:bCs/>
      </w:rPr>
    </w:pPr>
    <w:r>
      <w:rPr>
        <w:rFonts w:hint="eastAsia" w:ascii="宋体" w:hAnsi="宋体"/>
        <w:bCs/>
      </w:rPr>
      <w:t>湖北省政府采购中心编制</w:t>
    </w:r>
    <w:r>
      <w:rPr>
        <w:rFonts w:ascii="宋体" w:hAnsi="宋体"/>
        <w:bCs/>
      </w:rPr>
      <w:t>V3.0.2017.0930</w:t>
    </w:r>
  </w:p>
  <w:p w14:paraId="01804249">
    <w:pPr>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22</w:t>
    </w:r>
    <w:r>
      <w:rPr>
        <w:rFonts w:ascii="宋体" w:hAnsi="宋体"/>
        <w:b/>
        <w:bCs/>
      </w:rPr>
      <w:fldChar w:fldCharType="end"/>
    </w:r>
    <w:r>
      <w:rPr>
        <w:rFonts w:ascii="宋体" w:hAnsi="宋体"/>
        <w:b/>
        <w:lang w:val="zh-CN"/>
      </w:rPr>
      <w:t xml:space="preserve">/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76</w:t>
    </w:r>
    <w:r>
      <w:rPr>
        <w:rFonts w:ascii="宋体" w:hAnsi="宋体"/>
        <w:b/>
        <w:bCs/>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15529">
    <w:pPr>
      <w:pStyle w:val="29"/>
    </w:pPr>
    <w:r>
      <w:fldChar w:fldCharType="begin"/>
    </w:r>
    <w:r>
      <w:instrText xml:space="preserve">PAGE   \* MERGEFORMAT</w:instrText>
    </w:r>
    <w:r>
      <w:fldChar w:fldCharType="separate"/>
    </w:r>
    <w:r>
      <w:t>52</w:t>
    </w:r>
    <w:r>
      <w:rPr>
        <w:lang w:val="zh-CN"/>
      </w:rPr>
      <w:fldChar w:fldCharType="end"/>
    </w:r>
  </w:p>
  <w:p w14:paraId="3BCCC955">
    <w:pPr>
      <w:pStyle w:val="17"/>
      <w:spacing w:line="14" w:lineRule="auto"/>
      <w:jc w:val="center"/>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00FDB">
    <w:pPr>
      <w:jc w:val="center"/>
    </w:pPr>
    <w:r>
      <w:fldChar w:fldCharType="begin"/>
    </w:r>
    <w:r>
      <w:instrText xml:space="preserve"> PAGE   \* MERGEFORMAT </w:instrText>
    </w:r>
    <w:r>
      <w:fldChar w:fldCharType="separate"/>
    </w:r>
    <w:r>
      <w:t>53</w:t>
    </w:r>
    <w:r>
      <w:rPr>
        <w:lang w:val="zh-C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D336C">
    <w:pPr>
      <w:pStyle w:val="28"/>
      <w:framePr w:wrap="around" w:vAnchor="text" w:hAnchor="margin" w:xAlign="center" w:y="1"/>
      <w:rPr>
        <w:rStyle w:val="50"/>
      </w:rPr>
    </w:pPr>
    <w:r>
      <w:fldChar w:fldCharType="begin"/>
    </w:r>
    <w:r>
      <w:rPr>
        <w:rStyle w:val="50"/>
      </w:rPr>
      <w:instrText xml:space="preserve">PAGE  </w:instrText>
    </w:r>
    <w:r>
      <w:fldChar w:fldCharType="separate"/>
    </w:r>
    <w:r>
      <w:rPr>
        <w:rStyle w:val="50"/>
      </w:rPr>
      <w:t>71</w:t>
    </w:r>
    <w:r>
      <w:fldChar w:fldCharType="end"/>
    </w:r>
  </w:p>
  <w:p w14:paraId="497A93F8">
    <w:pPr>
      <w:pStyle w:val="2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4C352">
    <w:pPr>
      <w:pStyle w:val="2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1A36E">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F0193">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E85C2">
    <w:pPr>
      <w:pStyle w:val="17"/>
      <w:jc w:val="left"/>
      <w:rPr>
        <w:rFonts w:ascii="宋体" w:hAnsi="宋体"/>
        <w:b/>
      </w:rPr>
    </w:pPr>
    <w:r>
      <w:rPr>
        <w:rFonts w:hint="eastAsia" w:ascii="宋体" w:hAnsi="宋体"/>
        <w:b/>
      </w:rPr>
      <w:t>项目名称：XXXXXXXXXXXX项目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69D44">
    <w:pPr>
      <w:pStyle w:val="29"/>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4562C">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22"/>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057037C5"/>
    <w:multiLevelType w:val="multilevel"/>
    <w:tmpl w:val="057037C5"/>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204A74A4"/>
    <w:multiLevelType w:val="multilevel"/>
    <w:tmpl w:val="204A74A4"/>
    <w:lvl w:ilvl="0" w:tentative="0">
      <w:start w:val="1"/>
      <w:numFmt w:val="decimal"/>
      <w:pStyle w:val="34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5602973F"/>
    <w:multiLevelType w:val="singleLevel"/>
    <w:tmpl w:val="5602973F"/>
    <w:lvl w:ilvl="0" w:tentative="0">
      <w:start w:val="11"/>
      <w:numFmt w:val="decimal"/>
      <w:pStyle w:val="236"/>
      <w:suff w:val="nothing"/>
      <w:lvlText w:val="（%1）"/>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YyYjFlZGJmYTZjYWY5YmRmOTJmZTIyODQwOWZhOGEifQ=="/>
  </w:docVars>
  <w:rsids>
    <w:rsidRoot w:val="00E729D8"/>
    <w:rsid w:val="00003B04"/>
    <w:rsid w:val="000048B3"/>
    <w:rsid w:val="00004F29"/>
    <w:rsid w:val="00006295"/>
    <w:rsid w:val="0000633F"/>
    <w:rsid w:val="00006983"/>
    <w:rsid w:val="00007BF4"/>
    <w:rsid w:val="000103AD"/>
    <w:rsid w:val="000115A9"/>
    <w:rsid w:val="0001417A"/>
    <w:rsid w:val="00015421"/>
    <w:rsid w:val="000206C9"/>
    <w:rsid w:val="000224AA"/>
    <w:rsid w:val="0002262D"/>
    <w:rsid w:val="00025447"/>
    <w:rsid w:val="000260B3"/>
    <w:rsid w:val="00030295"/>
    <w:rsid w:val="00030B07"/>
    <w:rsid w:val="00030F8C"/>
    <w:rsid w:val="000316F2"/>
    <w:rsid w:val="00031983"/>
    <w:rsid w:val="0003228E"/>
    <w:rsid w:val="00032582"/>
    <w:rsid w:val="000337A9"/>
    <w:rsid w:val="0004428F"/>
    <w:rsid w:val="000461D8"/>
    <w:rsid w:val="00050873"/>
    <w:rsid w:val="00050C5F"/>
    <w:rsid w:val="00052A50"/>
    <w:rsid w:val="0005771C"/>
    <w:rsid w:val="000618DA"/>
    <w:rsid w:val="00066975"/>
    <w:rsid w:val="0006771B"/>
    <w:rsid w:val="00070AE6"/>
    <w:rsid w:val="000712D9"/>
    <w:rsid w:val="000756A0"/>
    <w:rsid w:val="00076F62"/>
    <w:rsid w:val="00080AEE"/>
    <w:rsid w:val="00080E3C"/>
    <w:rsid w:val="00081B46"/>
    <w:rsid w:val="00082AAE"/>
    <w:rsid w:val="0008368A"/>
    <w:rsid w:val="00083892"/>
    <w:rsid w:val="00083BC0"/>
    <w:rsid w:val="00086B8A"/>
    <w:rsid w:val="00091B08"/>
    <w:rsid w:val="00092C93"/>
    <w:rsid w:val="00095AEC"/>
    <w:rsid w:val="00096240"/>
    <w:rsid w:val="00096A0F"/>
    <w:rsid w:val="000A0F92"/>
    <w:rsid w:val="000A198D"/>
    <w:rsid w:val="000A1AFB"/>
    <w:rsid w:val="000A3C2B"/>
    <w:rsid w:val="000A60EC"/>
    <w:rsid w:val="000A6447"/>
    <w:rsid w:val="000A7720"/>
    <w:rsid w:val="000B1B7B"/>
    <w:rsid w:val="000B2D5C"/>
    <w:rsid w:val="000B4896"/>
    <w:rsid w:val="000B65FB"/>
    <w:rsid w:val="000B6F61"/>
    <w:rsid w:val="000C10AD"/>
    <w:rsid w:val="000C329D"/>
    <w:rsid w:val="000C4CB0"/>
    <w:rsid w:val="000C4D4D"/>
    <w:rsid w:val="000C62AF"/>
    <w:rsid w:val="000C6407"/>
    <w:rsid w:val="000C6BAE"/>
    <w:rsid w:val="000C72C4"/>
    <w:rsid w:val="000C7C85"/>
    <w:rsid w:val="000D0129"/>
    <w:rsid w:val="000D1AFE"/>
    <w:rsid w:val="000D27B5"/>
    <w:rsid w:val="000D2849"/>
    <w:rsid w:val="000D4349"/>
    <w:rsid w:val="000D4BD6"/>
    <w:rsid w:val="000D4CCC"/>
    <w:rsid w:val="000E14BC"/>
    <w:rsid w:val="000E3B19"/>
    <w:rsid w:val="000E3E45"/>
    <w:rsid w:val="000E3EDC"/>
    <w:rsid w:val="000E428E"/>
    <w:rsid w:val="000E473D"/>
    <w:rsid w:val="000E5EE5"/>
    <w:rsid w:val="000E6EE0"/>
    <w:rsid w:val="000F002B"/>
    <w:rsid w:val="000F01A3"/>
    <w:rsid w:val="000F2BB3"/>
    <w:rsid w:val="000F41B9"/>
    <w:rsid w:val="000F5361"/>
    <w:rsid w:val="000F581D"/>
    <w:rsid w:val="000F6D10"/>
    <w:rsid w:val="00100081"/>
    <w:rsid w:val="00102A25"/>
    <w:rsid w:val="00103135"/>
    <w:rsid w:val="00104F04"/>
    <w:rsid w:val="001058AF"/>
    <w:rsid w:val="00105F5E"/>
    <w:rsid w:val="0010784B"/>
    <w:rsid w:val="001129E9"/>
    <w:rsid w:val="00116FB6"/>
    <w:rsid w:val="0012295D"/>
    <w:rsid w:val="001260A4"/>
    <w:rsid w:val="00127474"/>
    <w:rsid w:val="00132D84"/>
    <w:rsid w:val="00133712"/>
    <w:rsid w:val="00134C3A"/>
    <w:rsid w:val="00137650"/>
    <w:rsid w:val="0014036F"/>
    <w:rsid w:val="001413E4"/>
    <w:rsid w:val="001420A1"/>
    <w:rsid w:val="00142795"/>
    <w:rsid w:val="0014339B"/>
    <w:rsid w:val="0014495C"/>
    <w:rsid w:val="0014541D"/>
    <w:rsid w:val="00145A47"/>
    <w:rsid w:val="001519FC"/>
    <w:rsid w:val="00153C4E"/>
    <w:rsid w:val="001562B8"/>
    <w:rsid w:val="00162599"/>
    <w:rsid w:val="00166110"/>
    <w:rsid w:val="00166C60"/>
    <w:rsid w:val="001724C4"/>
    <w:rsid w:val="0017275F"/>
    <w:rsid w:val="001811B9"/>
    <w:rsid w:val="00182683"/>
    <w:rsid w:val="00185F39"/>
    <w:rsid w:val="00191262"/>
    <w:rsid w:val="00192825"/>
    <w:rsid w:val="00192E49"/>
    <w:rsid w:val="0019481B"/>
    <w:rsid w:val="001A1B90"/>
    <w:rsid w:val="001A43C1"/>
    <w:rsid w:val="001A5316"/>
    <w:rsid w:val="001B3EE7"/>
    <w:rsid w:val="001B796F"/>
    <w:rsid w:val="001B7D6B"/>
    <w:rsid w:val="001B7F7C"/>
    <w:rsid w:val="001C2721"/>
    <w:rsid w:val="001C4496"/>
    <w:rsid w:val="001C4ADB"/>
    <w:rsid w:val="001C5FAD"/>
    <w:rsid w:val="001C77B5"/>
    <w:rsid w:val="001D114C"/>
    <w:rsid w:val="001D2425"/>
    <w:rsid w:val="001D4B99"/>
    <w:rsid w:val="001D4FC3"/>
    <w:rsid w:val="001D6913"/>
    <w:rsid w:val="001E1230"/>
    <w:rsid w:val="001E21BF"/>
    <w:rsid w:val="001E27C4"/>
    <w:rsid w:val="001E318E"/>
    <w:rsid w:val="001E3260"/>
    <w:rsid w:val="001E4D1B"/>
    <w:rsid w:val="001F12EE"/>
    <w:rsid w:val="001F23A8"/>
    <w:rsid w:val="001F352E"/>
    <w:rsid w:val="001F4559"/>
    <w:rsid w:val="0020199A"/>
    <w:rsid w:val="002028A6"/>
    <w:rsid w:val="00202914"/>
    <w:rsid w:val="00202E71"/>
    <w:rsid w:val="00203165"/>
    <w:rsid w:val="00204AE8"/>
    <w:rsid w:val="00204D06"/>
    <w:rsid w:val="00206D82"/>
    <w:rsid w:val="00212E00"/>
    <w:rsid w:val="00214222"/>
    <w:rsid w:val="00214B46"/>
    <w:rsid w:val="0021657E"/>
    <w:rsid w:val="00221D00"/>
    <w:rsid w:val="00222F7D"/>
    <w:rsid w:val="0022330C"/>
    <w:rsid w:val="002237B9"/>
    <w:rsid w:val="00226E77"/>
    <w:rsid w:val="00231CB3"/>
    <w:rsid w:val="00232037"/>
    <w:rsid w:val="0023291D"/>
    <w:rsid w:val="002347C2"/>
    <w:rsid w:val="0023588A"/>
    <w:rsid w:val="00241A5E"/>
    <w:rsid w:val="00242933"/>
    <w:rsid w:val="00242DF5"/>
    <w:rsid w:val="002442DD"/>
    <w:rsid w:val="002472F7"/>
    <w:rsid w:val="00247C24"/>
    <w:rsid w:val="0025057A"/>
    <w:rsid w:val="0025135C"/>
    <w:rsid w:val="002515E7"/>
    <w:rsid w:val="0025354A"/>
    <w:rsid w:val="002554F6"/>
    <w:rsid w:val="0025766A"/>
    <w:rsid w:val="00261E49"/>
    <w:rsid w:val="0026370A"/>
    <w:rsid w:val="00267879"/>
    <w:rsid w:val="00272E3E"/>
    <w:rsid w:val="002730AA"/>
    <w:rsid w:val="00273E6F"/>
    <w:rsid w:val="002765A3"/>
    <w:rsid w:val="0027756F"/>
    <w:rsid w:val="0028316F"/>
    <w:rsid w:val="00287900"/>
    <w:rsid w:val="00287F38"/>
    <w:rsid w:val="002918D6"/>
    <w:rsid w:val="00293463"/>
    <w:rsid w:val="0029410F"/>
    <w:rsid w:val="00294740"/>
    <w:rsid w:val="0029645E"/>
    <w:rsid w:val="00296C32"/>
    <w:rsid w:val="00297B49"/>
    <w:rsid w:val="002A0B14"/>
    <w:rsid w:val="002A167A"/>
    <w:rsid w:val="002A4F2D"/>
    <w:rsid w:val="002A51A4"/>
    <w:rsid w:val="002A548D"/>
    <w:rsid w:val="002B09C5"/>
    <w:rsid w:val="002B0A47"/>
    <w:rsid w:val="002B1D21"/>
    <w:rsid w:val="002B2DA9"/>
    <w:rsid w:val="002B3EF4"/>
    <w:rsid w:val="002B480D"/>
    <w:rsid w:val="002B5187"/>
    <w:rsid w:val="002B6E0A"/>
    <w:rsid w:val="002B7B17"/>
    <w:rsid w:val="002D2697"/>
    <w:rsid w:val="002D37E3"/>
    <w:rsid w:val="002D3B9C"/>
    <w:rsid w:val="002D3F71"/>
    <w:rsid w:val="002D471C"/>
    <w:rsid w:val="002D4B5E"/>
    <w:rsid w:val="002D772A"/>
    <w:rsid w:val="002E10FF"/>
    <w:rsid w:val="002E201D"/>
    <w:rsid w:val="002F015B"/>
    <w:rsid w:val="002F0221"/>
    <w:rsid w:val="002F10EC"/>
    <w:rsid w:val="002F27D3"/>
    <w:rsid w:val="002F3B4C"/>
    <w:rsid w:val="002F40CC"/>
    <w:rsid w:val="002F4571"/>
    <w:rsid w:val="002F5E0F"/>
    <w:rsid w:val="002F5FCC"/>
    <w:rsid w:val="002F7DA0"/>
    <w:rsid w:val="0030124D"/>
    <w:rsid w:val="0030181B"/>
    <w:rsid w:val="00302A95"/>
    <w:rsid w:val="00303EAE"/>
    <w:rsid w:val="00304109"/>
    <w:rsid w:val="003044E5"/>
    <w:rsid w:val="003061E9"/>
    <w:rsid w:val="00306655"/>
    <w:rsid w:val="00306B58"/>
    <w:rsid w:val="003120C5"/>
    <w:rsid w:val="00312FB9"/>
    <w:rsid w:val="00313351"/>
    <w:rsid w:val="00314D1E"/>
    <w:rsid w:val="00314E28"/>
    <w:rsid w:val="00316553"/>
    <w:rsid w:val="00316ECB"/>
    <w:rsid w:val="00322E47"/>
    <w:rsid w:val="00322F68"/>
    <w:rsid w:val="00322FE0"/>
    <w:rsid w:val="00323437"/>
    <w:rsid w:val="003266BD"/>
    <w:rsid w:val="00326EA8"/>
    <w:rsid w:val="003309B7"/>
    <w:rsid w:val="0033203E"/>
    <w:rsid w:val="00335A46"/>
    <w:rsid w:val="003403D9"/>
    <w:rsid w:val="003409CA"/>
    <w:rsid w:val="00341BDB"/>
    <w:rsid w:val="00350109"/>
    <w:rsid w:val="00351FCA"/>
    <w:rsid w:val="00354D6F"/>
    <w:rsid w:val="00354E87"/>
    <w:rsid w:val="003552F0"/>
    <w:rsid w:val="00360EC2"/>
    <w:rsid w:val="0036279E"/>
    <w:rsid w:val="0036333E"/>
    <w:rsid w:val="00363CAD"/>
    <w:rsid w:val="00366245"/>
    <w:rsid w:val="003666FE"/>
    <w:rsid w:val="00370012"/>
    <w:rsid w:val="003715AC"/>
    <w:rsid w:val="00371D8D"/>
    <w:rsid w:val="003734F4"/>
    <w:rsid w:val="003745D5"/>
    <w:rsid w:val="003757B2"/>
    <w:rsid w:val="0038088A"/>
    <w:rsid w:val="00383974"/>
    <w:rsid w:val="0039110E"/>
    <w:rsid w:val="003915F0"/>
    <w:rsid w:val="003919F2"/>
    <w:rsid w:val="00392732"/>
    <w:rsid w:val="00392E45"/>
    <w:rsid w:val="003932D4"/>
    <w:rsid w:val="003943C1"/>
    <w:rsid w:val="003A49C8"/>
    <w:rsid w:val="003A4DE2"/>
    <w:rsid w:val="003A57FD"/>
    <w:rsid w:val="003A7605"/>
    <w:rsid w:val="003A7A87"/>
    <w:rsid w:val="003B03D9"/>
    <w:rsid w:val="003B485F"/>
    <w:rsid w:val="003B5711"/>
    <w:rsid w:val="003C0ACE"/>
    <w:rsid w:val="003C0B4D"/>
    <w:rsid w:val="003C3BA7"/>
    <w:rsid w:val="003C5D35"/>
    <w:rsid w:val="003C62D2"/>
    <w:rsid w:val="003C6BF9"/>
    <w:rsid w:val="003C7563"/>
    <w:rsid w:val="003D0986"/>
    <w:rsid w:val="003D21BB"/>
    <w:rsid w:val="003D53CB"/>
    <w:rsid w:val="003D58B1"/>
    <w:rsid w:val="003D7474"/>
    <w:rsid w:val="003E04E4"/>
    <w:rsid w:val="003E0EBA"/>
    <w:rsid w:val="003E22DE"/>
    <w:rsid w:val="003E2503"/>
    <w:rsid w:val="003E3C7B"/>
    <w:rsid w:val="003E4150"/>
    <w:rsid w:val="003E77FA"/>
    <w:rsid w:val="003F3A85"/>
    <w:rsid w:val="003F5495"/>
    <w:rsid w:val="003F63F0"/>
    <w:rsid w:val="00400BCB"/>
    <w:rsid w:val="00401046"/>
    <w:rsid w:val="00401659"/>
    <w:rsid w:val="004059FF"/>
    <w:rsid w:val="004103D5"/>
    <w:rsid w:val="004116BF"/>
    <w:rsid w:val="00412813"/>
    <w:rsid w:val="00412DE0"/>
    <w:rsid w:val="004146EB"/>
    <w:rsid w:val="00415953"/>
    <w:rsid w:val="00415E3B"/>
    <w:rsid w:val="00415E9E"/>
    <w:rsid w:val="00416391"/>
    <w:rsid w:val="00417D82"/>
    <w:rsid w:val="0042115B"/>
    <w:rsid w:val="00421263"/>
    <w:rsid w:val="00422364"/>
    <w:rsid w:val="00424559"/>
    <w:rsid w:val="00424C5A"/>
    <w:rsid w:val="004250FB"/>
    <w:rsid w:val="00430117"/>
    <w:rsid w:val="004318A6"/>
    <w:rsid w:val="0043338A"/>
    <w:rsid w:val="0043638B"/>
    <w:rsid w:val="004372EA"/>
    <w:rsid w:val="004372F3"/>
    <w:rsid w:val="00437933"/>
    <w:rsid w:val="00440970"/>
    <w:rsid w:val="004413CE"/>
    <w:rsid w:val="00441B51"/>
    <w:rsid w:val="004458A8"/>
    <w:rsid w:val="00446374"/>
    <w:rsid w:val="00446551"/>
    <w:rsid w:val="0044704F"/>
    <w:rsid w:val="004558FC"/>
    <w:rsid w:val="00462397"/>
    <w:rsid w:val="004646D8"/>
    <w:rsid w:val="00464E11"/>
    <w:rsid w:val="004656ED"/>
    <w:rsid w:val="004663AC"/>
    <w:rsid w:val="004668A1"/>
    <w:rsid w:val="00470302"/>
    <w:rsid w:val="00472369"/>
    <w:rsid w:val="00472976"/>
    <w:rsid w:val="00472AA4"/>
    <w:rsid w:val="004739C8"/>
    <w:rsid w:val="0047709E"/>
    <w:rsid w:val="004778DC"/>
    <w:rsid w:val="00481337"/>
    <w:rsid w:val="004837BD"/>
    <w:rsid w:val="00484253"/>
    <w:rsid w:val="00484A38"/>
    <w:rsid w:val="0049097F"/>
    <w:rsid w:val="00491D41"/>
    <w:rsid w:val="00492833"/>
    <w:rsid w:val="00494BFA"/>
    <w:rsid w:val="00495856"/>
    <w:rsid w:val="00495DB1"/>
    <w:rsid w:val="00496896"/>
    <w:rsid w:val="004A2235"/>
    <w:rsid w:val="004A3153"/>
    <w:rsid w:val="004A4841"/>
    <w:rsid w:val="004A58E3"/>
    <w:rsid w:val="004A6CBD"/>
    <w:rsid w:val="004B016C"/>
    <w:rsid w:val="004B4205"/>
    <w:rsid w:val="004B4434"/>
    <w:rsid w:val="004B6C77"/>
    <w:rsid w:val="004B7AE5"/>
    <w:rsid w:val="004B7CDD"/>
    <w:rsid w:val="004C14C0"/>
    <w:rsid w:val="004C1E38"/>
    <w:rsid w:val="004C4873"/>
    <w:rsid w:val="004C5FC6"/>
    <w:rsid w:val="004D13C5"/>
    <w:rsid w:val="004D1C72"/>
    <w:rsid w:val="004D1D1B"/>
    <w:rsid w:val="004D36D9"/>
    <w:rsid w:val="004D51AC"/>
    <w:rsid w:val="004D5EEE"/>
    <w:rsid w:val="004D61F3"/>
    <w:rsid w:val="004D6F8A"/>
    <w:rsid w:val="004D7D21"/>
    <w:rsid w:val="004E031D"/>
    <w:rsid w:val="004E0C18"/>
    <w:rsid w:val="004E0F67"/>
    <w:rsid w:val="004E1D64"/>
    <w:rsid w:val="004E2AD0"/>
    <w:rsid w:val="004E2E7C"/>
    <w:rsid w:val="004E36C2"/>
    <w:rsid w:val="004E4452"/>
    <w:rsid w:val="004E776E"/>
    <w:rsid w:val="004F1854"/>
    <w:rsid w:val="004F22B5"/>
    <w:rsid w:val="004F3018"/>
    <w:rsid w:val="004F3C91"/>
    <w:rsid w:val="004F5039"/>
    <w:rsid w:val="004F53A1"/>
    <w:rsid w:val="004F607F"/>
    <w:rsid w:val="005029F3"/>
    <w:rsid w:val="00502FEE"/>
    <w:rsid w:val="0050432D"/>
    <w:rsid w:val="00510221"/>
    <w:rsid w:val="00512E9B"/>
    <w:rsid w:val="00513190"/>
    <w:rsid w:val="00515DA9"/>
    <w:rsid w:val="00517237"/>
    <w:rsid w:val="005179E1"/>
    <w:rsid w:val="00517D4E"/>
    <w:rsid w:val="00522773"/>
    <w:rsid w:val="005248BB"/>
    <w:rsid w:val="0053114B"/>
    <w:rsid w:val="0053135D"/>
    <w:rsid w:val="0053164E"/>
    <w:rsid w:val="00537146"/>
    <w:rsid w:val="005415CF"/>
    <w:rsid w:val="00541B36"/>
    <w:rsid w:val="005437ED"/>
    <w:rsid w:val="005547F9"/>
    <w:rsid w:val="005554B1"/>
    <w:rsid w:val="00556E35"/>
    <w:rsid w:val="00557A16"/>
    <w:rsid w:val="00561388"/>
    <w:rsid w:val="00561F91"/>
    <w:rsid w:val="005624C5"/>
    <w:rsid w:val="005631B3"/>
    <w:rsid w:val="00567661"/>
    <w:rsid w:val="00570032"/>
    <w:rsid w:val="00570334"/>
    <w:rsid w:val="00570FF7"/>
    <w:rsid w:val="00571099"/>
    <w:rsid w:val="00572D28"/>
    <w:rsid w:val="005746A6"/>
    <w:rsid w:val="0057778A"/>
    <w:rsid w:val="00577A91"/>
    <w:rsid w:val="00580EC5"/>
    <w:rsid w:val="005833D9"/>
    <w:rsid w:val="00583FA5"/>
    <w:rsid w:val="005848BB"/>
    <w:rsid w:val="00584AE9"/>
    <w:rsid w:val="0059049D"/>
    <w:rsid w:val="00590FC5"/>
    <w:rsid w:val="005941B8"/>
    <w:rsid w:val="00594B12"/>
    <w:rsid w:val="00594F86"/>
    <w:rsid w:val="00596086"/>
    <w:rsid w:val="0059660E"/>
    <w:rsid w:val="005A4313"/>
    <w:rsid w:val="005B1354"/>
    <w:rsid w:val="005B23B2"/>
    <w:rsid w:val="005B4981"/>
    <w:rsid w:val="005C4E42"/>
    <w:rsid w:val="005C79F4"/>
    <w:rsid w:val="005D0216"/>
    <w:rsid w:val="005D0B77"/>
    <w:rsid w:val="005D2303"/>
    <w:rsid w:val="005D537B"/>
    <w:rsid w:val="005D5D92"/>
    <w:rsid w:val="005D6A60"/>
    <w:rsid w:val="005E2C33"/>
    <w:rsid w:val="005E7D1E"/>
    <w:rsid w:val="005F196D"/>
    <w:rsid w:val="005F6CA3"/>
    <w:rsid w:val="006030D6"/>
    <w:rsid w:val="006042CC"/>
    <w:rsid w:val="006074C3"/>
    <w:rsid w:val="00607A2B"/>
    <w:rsid w:val="00610CC6"/>
    <w:rsid w:val="00611A3F"/>
    <w:rsid w:val="00612862"/>
    <w:rsid w:val="006159C2"/>
    <w:rsid w:val="00616E2F"/>
    <w:rsid w:val="00617EB4"/>
    <w:rsid w:val="00622FB2"/>
    <w:rsid w:val="0062388B"/>
    <w:rsid w:val="0062527C"/>
    <w:rsid w:val="006254BD"/>
    <w:rsid w:val="00625788"/>
    <w:rsid w:val="00626BEE"/>
    <w:rsid w:val="00626CD4"/>
    <w:rsid w:val="00634B01"/>
    <w:rsid w:val="00635614"/>
    <w:rsid w:val="006372DA"/>
    <w:rsid w:val="00640C75"/>
    <w:rsid w:val="00642FD4"/>
    <w:rsid w:val="006447B9"/>
    <w:rsid w:val="00645A45"/>
    <w:rsid w:val="00645E68"/>
    <w:rsid w:val="00650DB8"/>
    <w:rsid w:val="006531C5"/>
    <w:rsid w:val="00653EFA"/>
    <w:rsid w:val="00655252"/>
    <w:rsid w:val="00655336"/>
    <w:rsid w:val="006556C3"/>
    <w:rsid w:val="0065725A"/>
    <w:rsid w:val="00664551"/>
    <w:rsid w:val="00667414"/>
    <w:rsid w:val="00667AA0"/>
    <w:rsid w:val="006700F7"/>
    <w:rsid w:val="00684516"/>
    <w:rsid w:val="0068466C"/>
    <w:rsid w:val="00684A9A"/>
    <w:rsid w:val="006855F3"/>
    <w:rsid w:val="00685953"/>
    <w:rsid w:val="006869FB"/>
    <w:rsid w:val="0068764E"/>
    <w:rsid w:val="00690ABD"/>
    <w:rsid w:val="00690B5C"/>
    <w:rsid w:val="006951F6"/>
    <w:rsid w:val="00696331"/>
    <w:rsid w:val="00697206"/>
    <w:rsid w:val="006A1A3C"/>
    <w:rsid w:val="006A3824"/>
    <w:rsid w:val="006A4778"/>
    <w:rsid w:val="006A4E17"/>
    <w:rsid w:val="006A650B"/>
    <w:rsid w:val="006B27B9"/>
    <w:rsid w:val="006B3BCA"/>
    <w:rsid w:val="006B72EE"/>
    <w:rsid w:val="006B737C"/>
    <w:rsid w:val="006B7B2B"/>
    <w:rsid w:val="006C10A5"/>
    <w:rsid w:val="006C361E"/>
    <w:rsid w:val="006C4109"/>
    <w:rsid w:val="006C5D7A"/>
    <w:rsid w:val="006C74A3"/>
    <w:rsid w:val="006C7681"/>
    <w:rsid w:val="006D0B5A"/>
    <w:rsid w:val="006D0E2B"/>
    <w:rsid w:val="006D22D9"/>
    <w:rsid w:val="006D2ED9"/>
    <w:rsid w:val="006D517F"/>
    <w:rsid w:val="006D798F"/>
    <w:rsid w:val="006E22CA"/>
    <w:rsid w:val="006E3033"/>
    <w:rsid w:val="006E440F"/>
    <w:rsid w:val="006E7479"/>
    <w:rsid w:val="006F2328"/>
    <w:rsid w:val="006F5CF4"/>
    <w:rsid w:val="00702503"/>
    <w:rsid w:val="00706767"/>
    <w:rsid w:val="00707235"/>
    <w:rsid w:val="00707F6C"/>
    <w:rsid w:val="00712207"/>
    <w:rsid w:val="0071277B"/>
    <w:rsid w:val="00713E98"/>
    <w:rsid w:val="007146CD"/>
    <w:rsid w:val="00722A9E"/>
    <w:rsid w:val="007237BE"/>
    <w:rsid w:val="007245EA"/>
    <w:rsid w:val="00727507"/>
    <w:rsid w:val="00727992"/>
    <w:rsid w:val="00727EFC"/>
    <w:rsid w:val="00730F6B"/>
    <w:rsid w:val="00731700"/>
    <w:rsid w:val="00731FD5"/>
    <w:rsid w:val="0073404A"/>
    <w:rsid w:val="00735A3F"/>
    <w:rsid w:val="00735A4C"/>
    <w:rsid w:val="00735FD3"/>
    <w:rsid w:val="00744B81"/>
    <w:rsid w:val="00745AAE"/>
    <w:rsid w:val="007467A6"/>
    <w:rsid w:val="00746899"/>
    <w:rsid w:val="007533F0"/>
    <w:rsid w:val="00756456"/>
    <w:rsid w:val="0075690B"/>
    <w:rsid w:val="00761D41"/>
    <w:rsid w:val="00763483"/>
    <w:rsid w:val="007654F0"/>
    <w:rsid w:val="00765885"/>
    <w:rsid w:val="00766340"/>
    <w:rsid w:val="0077017C"/>
    <w:rsid w:val="007703F0"/>
    <w:rsid w:val="00772BB0"/>
    <w:rsid w:val="00773049"/>
    <w:rsid w:val="007747F8"/>
    <w:rsid w:val="00774A35"/>
    <w:rsid w:val="007768D9"/>
    <w:rsid w:val="00780F8F"/>
    <w:rsid w:val="00785ED3"/>
    <w:rsid w:val="00791455"/>
    <w:rsid w:val="00793F89"/>
    <w:rsid w:val="00794EB0"/>
    <w:rsid w:val="0079559D"/>
    <w:rsid w:val="00795FDC"/>
    <w:rsid w:val="007972E9"/>
    <w:rsid w:val="007A22FF"/>
    <w:rsid w:val="007A3F45"/>
    <w:rsid w:val="007A7B81"/>
    <w:rsid w:val="007B01F2"/>
    <w:rsid w:val="007B0350"/>
    <w:rsid w:val="007B1040"/>
    <w:rsid w:val="007B7C67"/>
    <w:rsid w:val="007C319C"/>
    <w:rsid w:val="007C3E31"/>
    <w:rsid w:val="007C7A5F"/>
    <w:rsid w:val="007D2629"/>
    <w:rsid w:val="007D3206"/>
    <w:rsid w:val="007D339C"/>
    <w:rsid w:val="007D464D"/>
    <w:rsid w:val="007D586F"/>
    <w:rsid w:val="007D74F5"/>
    <w:rsid w:val="007E14AE"/>
    <w:rsid w:val="007E17C4"/>
    <w:rsid w:val="007E2777"/>
    <w:rsid w:val="007E2BEE"/>
    <w:rsid w:val="007E3C56"/>
    <w:rsid w:val="007E3D53"/>
    <w:rsid w:val="007E452D"/>
    <w:rsid w:val="007E6852"/>
    <w:rsid w:val="007E780D"/>
    <w:rsid w:val="007F0D58"/>
    <w:rsid w:val="007F0E0E"/>
    <w:rsid w:val="007F1F2B"/>
    <w:rsid w:val="007F312A"/>
    <w:rsid w:val="007F51D3"/>
    <w:rsid w:val="007F5FDE"/>
    <w:rsid w:val="007F678F"/>
    <w:rsid w:val="008003D4"/>
    <w:rsid w:val="00800D67"/>
    <w:rsid w:val="00803F49"/>
    <w:rsid w:val="00805F86"/>
    <w:rsid w:val="0080753F"/>
    <w:rsid w:val="00810AF3"/>
    <w:rsid w:val="00810FE8"/>
    <w:rsid w:val="00811871"/>
    <w:rsid w:val="0081596F"/>
    <w:rsid w:val="00816F04"/>
    <w:rsid w:val="00821E24"/>
    <w:rsid w:val="008236A2"/>
    <w:rsid w:val="00823955"/>
    <w:rsid w:val="00823E18"/>
    <w:rsid w:val="00824684"/>
    <w:rsid w:val="00825FB9"/>
    <w:rsid w:val="00826CA2"/>
    <w:rsid w:val="00835120"/>
    <w:rsid w:val="0083524C"/>
    <w:rsid w:val="0083553B"/>
    <w:rsid w:val="00836873"/>
    <w:rsid w:val="00841753"/>
    <w:rsid w:val="0084175F"/>
    <w:rsid w:val="008420A6"/>
    <w:rsid w:val="00842169"/>
    <w:rsid w:val="00844BA0"/>
    <w:rsid w:val="0084512A"/>
    <w:rsid w:val="008461BB"/>
    <w:rsid w:val="008475FB"/>
    <w:rsid w:val="00851741"/>
    <w:rsid w:val="0085237C"/>
    <w:rsid w:val="008524F1"/>
    <w:rsid w:val="00852C94"/>
    <w:rsid w:val="00860155"/>
    <w:rsid w:val="0086086D"/>
    <w:rsid w:val="0087076E"/>
    <w:rsid w:val="00870BDA"/>
    <w:rsid w:val="0087168C"/>
    <w:rsid w:val="00871991"/>
    <w:rsid w:val="00873E10"/>
    <w:rsid w:val="008776A9"/>
    <w:rsid w:val="008776BD"/>
    <w:rsid w:val="00877D38"/>
    <w:rsid w:val="008810E5"/>
    <w:rsid w:val="008825B9"/>
    <w:rsid w:val="00883798"/>
    <w:rsid w:val="0088691F"/>
    <w:rsid w:val="00886FDE"/>
    <w:rsid w:val="00893148"/>
    <w:rsid w:val="00894EF5"/>
    <w:rsid w:val="008955B4"/>
    <w:rsid w:val="008974CF"/>
    <w:rsid w:val="008977B6"/>
    <w:rsid w:val="008A2A02"/>
    <w:rsid w:val="008A4F1B"/>
    <w:rsid w:val="008A58AA"/>
    <w:rsid w:val="008A6177"/>
    <w:rsid w:val="008A6E45"/>
    <w:rsid w:val="008A711A"/>
    <w:rsid w:val="008A7CEE"/>
    <w:rsid w:val="008B0B29"/>
    <w:rsid w:val="008B1D53"/>
    <w:rsid w:val="008B2C61"/>
    <w:rsid w:val="008B60DC"/>
    <w:rsid w:val="008B6407"/>
    <w:rsid w:val="008B6561"/>
    <w:rsid w:val="008B6677"/>
    <w:rsid w:val="008B7B24"/>
    <w:rsid w:val="008C1F1B"/>
    <w:rsid w:val="008C20DE"/>
    <w:rsid w:val="008C2952"/>
    <w:rsid w:val="008C31A6"/>
    <w:rsid w:val="008C4C1D"/>
    <w:rsid w:val="008C5C3A"/>
    <w:rsid w:val="008C63D2"/>
    <w:rsid w:val="008C7B52"/>
    <w:rsid w:val="008D097E"/>
    <w:rsid w:val="008D195C"/>
    <w:rsid w:val="008D1B06"/>
    <w:rsid w:val="008D36AD"/>
    <w:rsid w:val="008D3CA2"/>
    <w:rsid w:val="008D63C1"/>
    <w:rsid w:val="008E01E6"/>
    <w:rsid w:val="008E26AA"/>
    <w:rsid w:val="008E2E6D"/>
    <w:rsid w:val="008E3A74"/>
    <w:rsid w:val="008E3E0C"/>
    <w:rsid w:val="008E47BE"/>
    <w:rsid w:val="008E56FA"/>
    <w:rsid w:val="008F114B"/>
    <w:rsid w:val="008F2E34"/>
    <w:rsid w:val="008F5AA6"/>
    <w:rsid w:val="009030AB"/>
    <w:rsid w:val="00904FB6"/>
    <w:rsid w:val="0090563A"/>
    <w:rsid w:val="00907FDE"/>
    <w:rsid w:val="009121EE"/>
    <w:rsid w:val="00912846"/>
    <w:rsid w:val="00912FA3"/>
    <w:rsid w:val="009150EC"/>
    <w:rsid w:val="00917116"/>
    <w:rsid w:val="0092188A"/>
    <w:rsid w:val="00923263"/>
    <w:rsid w:val="0092570D"/>
    <w:rsid w:val="00930527"/>
    <w:rsid w:val="009309A5"/>
    <w:rsid w:val="0093190F"/>
    <w:rsid w:val="00932DCC"/>
    <w:rsid w:val="0093320D"/>
    <w:rsid w:val="009349C3"/>
    <w:rsid w:val="00934EDF"/>
    <w:rsid w:val="00936417"/>
    <w:rsid w:val="00936781"/>
    <w:rsid w:val="00941003"/>
    <w:rsid w:val="00943043"/>
    <w:rsid w:val="0095004F"/>
    <w:rsid w:val="009504ED"/>
    <w:rsid w:val="009525ED"/>
    <w:rsid w:val="00953EDF"/>
    <w:rsid w:val="00954CE1"/>
    <w:rsid w:val="00954F5F"/>
    <w:rsid w:val="00955915"/>
    <w:rsid w:val="00955A32"/>
    <w:rsid w:val="00955C41"/>
    <w:rsid w:val="00960C67"/>
    <w:rsid w:val="0096120D"/>
    <w:rsid w:val="0096153F"/>
    <w:rsid w:val="00962773"/>
    <w:rsid w:val="00962EF1"/>
    <w:rsid w:val="00964731"/>
    <w:rsid w:val="009650E9"/>
    <w:rsid w:val="00965665"/>
    <w:rsid w:val="00965B6A"/>
    <w:rsid w:val="00967951"/>
    <w:rsid w:val="0097005A"/>
    <w:rsid w:val="00972DB7"/>
    <w:rsid w:val="009745F1"/>
    <w:rsid w:val="00980033"/>
    <w:rsid w:val="00980BEC"/>
    <w:rsid w:val="0098321F"/>
    <w:rsid w:val="0098642D"/>
    <w:rsid w:val="00992190"/>
    <w:rsid w:val="00992B25"/>
    <w:rsid w:val="009A1CF4"/>
    <w:rsid w:val="009A400D"/>
    <w:rsid w:val="009A4166"/>
    <w:rsid w:val="009A4E3F"/>
    <w:rsid w:val="009A7ABA"/>
    <w:rsid w:val="009B013C"/>
    <w:rsid w:val="009B133B"/>
    <w:rsid w:val="009B191F"/>
    <w:rsid w:val="009B2915"/>
    <w:rsid w:val="009B35C8"/>
    <w:rsid w:val="009B527B"/>
    <w:rsid w:val="009B71C2"/>
    <w:rsid w:val="009C0C68"/>
    <w:rsid w:val="009C47C5"/>
    <w:rsid w:val="009C6D61"/>
    <w:rsid w:val="009D1720"/>
    <w:rsid w:val="009D2F33"/>
    <w:rsid w:val="009D4A16"/>
    <w:rsid w:val="009D62EA"/>
    <w:rsid w:val="009D7294"/>
    <w:rsid w:val="009E2400"/>
    <w:rsid w:val="009E7D7A"/>
    <w:rsid w:val="009F34A5"/>
    <w:rsid w:val="009F4AB5"/>
    <w:rsid w:val="00A001A0"/>
    <w:rsid w:val="00A028E9"/>
    <w:rsid w:val="00A05463"/>
    <w:rsid w:val="00A11101"/>
    <w:rsid w:val="00A11676"/>
    <w:rsid w:val="00A15CDC"/>
    <w:rsid w:val="00A15E96"/>
    <w:rsid w:val="00A16FFF"/>
    <w:rsid w:val="00A220F8"/>
    <w:rsid w:val="00A26B8F"/>
    <w:rsid w:val="00A273C1"/>
    <w:rsid w:val="00A2771D"/>
    <w:rsid w:val="00A33ECB"/>
    <w:rsid w:val="00A34A71"/>
    <w:rsid w:val="00A3576D"/>
    <w:rsid w:val="00A37A1F"/>
    <w:rsid w:val="00A37E8E"/>
    <w:rsid w:val="00A407E6"/>
    <w:rsid w:val="00A4157B"/>
    <w:rsid w:val="00A41779"/>
    <w:rsid w:val="00A43423"/>
    <w:rsid w:val="00A43D34"/>
    <w:rsid w:val="00A44D5F"/>
    <w:rsid w:val="00A44EA9"/>
    <w:rsid w:val="00A45DE9"/>
    <w:rsid w:val="00A4749A"/>
    <w:rsid w:val="00A50085"/>
    <w:rsid w:val="00A511F0"/>
    <w:rsid w:val="00A5706F"/>
    <w:rsid w:val="00A57800"/>
    <w:rsid w:val="00A60A49"/>
    <w:rsid w:val="00A63F00"/>
    <w:rsid w:val="00A64FBB"/>
    <w:rsid w:val="00A65B8F"/>
    <w:rsid w:val="00A71329"/>
    <w:rsid w:val="00A71383"/>
    <w:rsid w:val="00A71DA9"/>
    <w:rsid w:val="00A72A37"/>
    <w:rsid w:val="00A7407B"/>
    <w:rsid w:val="00A7782E"/>
    <w:rsid w:val="00A77B1F"/>
    <w:rsid w:val="00A82C68"/>
    <w:rsid w:val="00A8451E"/>
    <w:rsid w:val="00A84548"/>
    <w:rsid w:val="00A85688"/>
    <w:rsid w:val="00A857F5"/>
    <w:rsid w:val="00A86A54"/>
    <w:rsid w:val="00A8721B"/>
    <w:rsid w:val="00A917C2"/>
    <w:rsid w:val="00A92EF0"/>
    <w:rsid w:val="00A939E5"/>
    <w:rsid w:val="00A94D76"/>
    <w:rsid w:val="00AA27F6"/>
    <w:rsid w:val="00AA34D7"/>
    <w:rsid w:val="00AA3887"/>
    <w:rsid w:val="00AA499E"/>
    <w:rsid w:val="00AA49B9"/>
    <w:rsid w:val="00AA639D"/>
    <w:rsid w:val="00AA643A"/>
    <w:rsid w:val="00AA6DB7"/>
    <w:rsid w:val="00AB51F5"/>
    <w:rsid w:val="00AC13D4"/>
    <w:rsid w:val="00AC15CC"/>
    <w:rsid w:val="00AC53C8"/>
    <w:rsid w:val="00AC6A8C"/>
    <w:rsid w:val="00AD08BB"/>
    <w:rsid w:val="00AD10B0"/>
    <w:rsid w:val="00AD2176"/>
    <w:rsid w:val="00AD2D6E"/>
    <w:rsid w:val="00AD3BB8"/>
    <w:rsid w:val="00AD6199"/>
    <w:rsid w:val="00AD6874"/>
    <w:rsid w:val="00AD6A09"/>
    <w:rsid w:val="00AE38B4"/>
    <w:rsid w:val="00AE3986"/>
    <w:rsid w:val="00AE6762"/>
    <w:rsid w:val="00AF156F"/>
    <w:rsid w:val="00AF31A2"/>
    <w:rsid w:val="00AF7016"/>
    <w:rsid w:val="00AF74E3"/>
    <w:rsid w:val="00AF77EB"/>
    <w:rsid w:val="00B0609E"/>
    <w:rsid w:val="00B06246"/>
    <w:rsid w:val="00B11656"/>
    <w:rsid w:val="00B12A5A"/>
    <w:rsid w:val="00B172A6"/>
    <w:rsid w:val="00B178F5"/>
    <w:rsid w:val="00B17C65"/>
    <w:rsid w:val="00B20A23"/>
    <w:rsid w:val="00B226D9"/>
    <w:rsid w:val="00B24367"/>
    <w:rsid w:val="00B2534E"/>
    <w:rsid w:val="00B350D3"/>
    <w:rsid w:val="00B35209"/>
    <w:rsid w:val="00B35D68"/>
    <w:rsid w:val="00B376EA"/>
    <w:rsid w:val="00B408F7"/>
    <w:rsid w:val="00B40F08"/>
    <w:rsid w:val="00B458A0"/>
    <w:rsid w:val="00B47726"/>
    <w:rsid w:val="00B507C5"/>
    <w:rsid w:val="00B5147E"/>
    <w:rsid w:val="00B53364"/>
    <w:rsid w:val="00B56134"/>
    <w:rsid w:val="00B57416"/>
    <w:rsid w:val="00B63974"/>
    <w:rsid w:val="00B63B93"/>
    <w:rsid w:val="00B63E1E"/>
    <w:rsid w:val="00B63FAC"/>
    <w:rsid w:val="00B66C39"/>
    <w:rsid w:val="00B677F5"/>
    <w:rsid w:val="00B714BF"/>
    <w:rsid w:val="00B714E2"/>
    <w:rsid w:val="00B7483A"/>
    <w:rsid w:val="00B751B2"/>
    <w:rsid w:val="00B75657"/>
    <w:rsid w:val="00B75D3F"/>
    <w:rsid w:val="00B75F70"/>
    <w:rsid w:val="00B778D5"/>
    <w:rsid w:val="00B77A4D"/>
    <w:rsid w:val="00B808B5"/>
    <w:rsid w:val="00B84B99"/>
    <w:rsid w:val="00B85C88"/>
    <w:rsid w:val="00B87350"/>
    <w:rsid w:val="00B87EAD"/>
    <w:rsid w:val="00B902CC"/>
    <w:rsid w:val="00B94404"/>
    <w:rsid w:val="00B947C1"/>
    <w:rsid w:val="00B94DD5"/>
    <w:rsid w:val="00B96F99"/>
    <w:rsid w:val="00BA1335"/>
    <w:rsid w:val="00BA190B"/>
    <w:rsid w:val="00BA2F46"/>
    <w:rsid w:val="00BA300B"/>
    <w:rsid w:val="00BA65B8"/>
    <w:rsid w:val="00BB4E8C"/>
    <w:rsid w:val="00BB557F"/>
    <w:rsid w:val="00BB60B5"/>
    <w:rsid w:val="00BB6DBD"/>
    <w:rsid w:val="00BB780E"/>
    <w:rsid w:val="00BB7976"/>
    <w:rsid w:val="00BB7D07"/>
    <w:rsid w:val="00BC0C76"/>
    <w:rsid w:val="00BC101E"/>
    <w:rsid w:val="00BC4579"/>
    <w:rsid w:val="00BC55AD"/>
    <w:rsid w:val="00BC584F"/>
    <w:rsid w:val="00BC5C38"/>
    <w:rsid w:val="00BC7DB7"/>
    <w:rsid w:val="00BD1D0F"/>
    <w:rsid w:val="00BD3D3B"/>
    <w:rsid w:val="00BD608E"/>
    <w:rsid w:val="00BD765F"/>
    <w:rsid w:val="00BE0CA5"/>
    <w:rsid w:val="00BE2450"/>
    <w:rsid w:val="00BE28C4"/>
    <w:rsid w:val="00BE2952"/>
    <w:rsid w:val="00BE2A5E"/>
    <w:rsid w:val="00BE5DA5"/>
    <w:rsid w:val="00BE6A13"/>
    <w:rsid w:val="00BF4591"/>
    <w:rsid w:val="00BF5E9C"/>
    <w:rsid w:val="00C002C2"/>
    <w:rsid w:val="00C019B3"/>
    <w:rsid w:val="00C02097"/>
    <w:rsid w:val="00C0299C"/>
    <w:rsid w:val="00C031D3"/>
    <w:rsid w:val="00C04EB5"/>
    <w:rsid w:val="00C07FD3"/>
    <w:rsid w:val="00C11EAE"/>
    <w:rsid w:val="00C12098"/>
    <w:rsid w:val="00C124CF"/>
    <w:rsid w:val="00C149DF"/>
    <w:rsid w:val="00C16FF4"/>
    <w:rsid w:val="00C21E33"/>
    <w:rsid w:val="00C2263B"/>
    <w:rsid w:val="00C232CD"/>
    <w:rsid w:val="00C2333B"/>
    <w:rsid w:val="00C2418F"/>
    <w:rsid w:val="00C24C51"/>
    <w:rsid w:val="00C25F23"/>
    <w:rsid w:val="00C2718E"/>
    <w:rsid w:val="00C302E6"/>
    <w:rsid w:val="00C3072E"/>
    <w:rsid w:val="00C30A8D"/>
    <w:rsid w:val="00C3184A"/>
    <w:rsid w:val="00C33EB4"/>
    <w:rsid w:val="00C3405E"/>
    <w:rsid w:val="00C34233"/>
    <w:rsid w:val="00C369A7"/>
    <w:rsid w:val="00C40FE5"/>
    <w:rsid w:val="00C44843"/>
    <w:rsid w:val="00C46F20"/>
    <w:rsid w:val="00C51199"/>
    <w:rsid w:val="00C5290E"/>
    <w:rsid w:val="00C56B56"/>
    <w:rsid w:val="00C577DA"/>
    <w:rsid w:val="00C57B0B"/>
    <w:rsid w:val="00C57D7E"/>
    <w:rsid w:val="00C60BD4"/>
    <w:rsid w:val="00C60C11"/>
    <w:rsid w:val="00C60CCE"/>
    <w:rsid w:val="00C62405"/>
    <w:rsid w:val="00C63C57"/>
    <w:rsid w:val="00C65370"/>
    <w:rsid w:val="00C65742"/>
    <w:rsid w:val="00C704F8"/>
    <w:rsid w:val="00C72569"/>
    <w:rsid w:val="00C72652"/>
    <w:rsid w:val="00C7387E"/>
    <w:rsid w:val="00C74BD9"/>
    <w:rsid w:val="00C83730"/>
    <w:rsid w:val="00C83AFA"/>
    <w:rsid w:val="00C83ECB"/>
    <w:rsid w:val="00C91A3F"/>
    <w:rsid w:val="00C92CB2"/>
    <w:rsid w:val="00C93C49"/>
    <w:rsid w:val="00C94D5B"/>
    <w:rsid w:val="00C95590"/>
    <w:rsid w:val="00C96329"/>
    <w:rsid w:val="00C963BB"/>
    <w:rsid w:val="00C97CFA"/>
    <w:rsid w:val="00CA1961"/>
    <w:rsid w:val="00CA2016"/>
    <w:rsid w:val="00CA213A"/>
    <w:rsid w:val="00CA6DD9"/>
    <w:rsid w:val="00CB01E1"/>
    <w:rsid w:val="00CB1BA8"/>
    <w:rsid w:val="00CB1EA9"/>
    <w:rsid w:val="00CB40A9"/>
    <w:rsid w:val="00CB4F80"/>
    <w:rsid w:val="00CB5531"/>
    <w:rsid w:val="00CC1691"/>
    <w:rsid w:val="00CC2A6A"/>
    <w:rsid w:val="00CC3788"/>
    <w:rsid w:val="00CC3944"/>
    <w:rsid w:val="00CC4D5D"/>
    <w:rsid w:val="00CD03A4"/>
    <w:rsid w:val="00CD17E7"/>
    <w:rsid w:val="00CD365E"/>
    <w:rsid w:val="00CD3A1B"/>
    <w:rsid w:val="00CD4023"/>
    <w:rsid w:val="00CD5E47"/>
    <w:rsid w:val="00CD72FC"/>
    <w:rsid w:val="00CD7629"/>
    <w:rsid w:val="00CE1BFC"/>
    <w:rsid w:val="00CE2191"/>
    <w:rsid w:val="00CE5978"/>
    <w:rsid w:val="00CE7E98"/>
    <w:rsid w:val="00CF04E4"/>
    <w:rsid w:val="00CF0F67"/>
    <w:rsid w:val="00CF351D"/>
    <w:rsid w:val="00CF38E3"/>
    <w:rsid w:val="00CF4670"/>
    <w:rsid w:val="00CF556F"/>
    <w:rsid w:val="00D01AB1"/>
    <w:rsid w:val="00D03E96"/>
    <w:rsid w:val="00D06DD2"/>
    <w:rsid w:val="00D12F39"/>
    <w:rsid w:val="00D1473C"/>
    <w:rsid w:val="00D1621D"/>
    <w:rsid w:val="00D167FB"/>
    <w:rsid w:val="00D1690F"/>
    <w:rsid w:val="00D1700C"/>
    <w:rsid w:val="00D170E1"/>
    <w:rsid w:val="00D21FFD"/>
    <w:rsid w:val="00D22D6E"/>
    <w:rsid w:val="00D2471F"/>
    <w:rsid w:val="00D25DA2"/>
    <w:rsid w:val="00D3540D"/>
    <w:rsid w:val="00D375EC"/>
    <w:rsid w:val="00D41004"/>
    <w:rsid w:val="00D426CF"/>
    <w:rsid w:val="00D43737"/>
    <w:rsid w:val="00D56859"/>
    <w:rsid w:val="00D57160"/>
    <w:rsid w:val="00D6005E"/>
    <w:rsid w:val="00D607A9"/>
    <w:rsid w:val="00D60DFB"/>
    <w:rsid w:val="00D61084"/>
    <w:rsid w:val="00D61BE1"/>
    <w:rsid w:val="00D638ED"/>
    <w:rsid w:val="00D64F5E"/>
    <w:rsid w:val="00D668D4"/>
    <w:rsid w:val="00D66C48"/>
    <w:rsid w:val="00D67C99"/>
    <w:rsid w:val="00D731C0"/>
    <w:rsid w:val="00D732F9"/>
    <w:rsid w:val="00D7547C"/>
    <w:rsid w:val="00D80912"/>
    <w:rsid w:val="00D82004"/>
    <w:rsid w:val="00D822E3"/>
    <w:rsid w:val="00D82BB0"/>
    <w:rsid w:val="00D84879"/>
    <w:rsid w:val="00D85A2E"/>
    <w:rsid w:val="00D85FA5"/>
    <w:rsid w:val="00D8615A"/>
    <w:rsid w:val="00D86EB0"/>
    <w:rsid w:val="00D906BB"/>
    <w:rsid w:val="00D91214"/>
    <w:rsid w:val="00D93448"/>
    <w:rsid w:val="00D94F8D"/>
    <w:rsid w:val="00DA3F55"/>
    <w:rsid w:val="00DA4AEE"/>
    <w:rsid w:val="00DA54D8"/>
    <w:rsid w:val="00DA6020"/>
    <w:rsid w:val="00DA6398"/>
    <w:rsid w:val="00DA7BF4"/>
    <w:rsid w:val="00DB3856"/>
    <w:rsid w:val="00DB428A"/>
    <w:rsid w:val="00DB6056"/>
    <w:rsid w:val="00DB7550"/>
    <w:rsid w:val="00DB7ACE"/>
    <w:rsid w:val="00DC03B3"/>
    <w:rsid w:val="00DC115B"/>
    <w:rsid w:val="00DC1C83"/>
    <w:rsid w:val="00DC2097"/>
    <w:rsid w:val="00DC3843"/>
    <w:rsid w:val="00DC422F"/>
    <w:rsid w:val="00DC64F6"/>
    <w:rsid w:val="00DC689F"/>
    <w:rsid w:val="00DC7059"/>
    <w:rsid w:val="00DC70A2"/>
    <w:rsid w:val="00DD2C3D"/>
    <w:rsid w:val="00DD5E8A"/>
    <w:rsid w:val="00DE0860"/>
    <w:rsid w:val="00DE3B98"/>
    <w:rsid w:val="00DE46BB"/>
    <w:rsid w:val="00DE68F3"/>
    <w:rsid w:val="00DE6BF2"/>
    <w:rsid w:val="00DF03F7"/>
    <w:rsid w:val="00DF0D3B"/>
    <w:rsid w:val="00DF1145"/>
    <w:rsid w:val="00DF2DA4"/>
    <w:rsid w:val="00DF6615"/>
    <w:rsid w:val="00E00778"/>
    <w:rsid w:val="00E0167F"/>
    <w:rsid w:val="00E0673D"/>
    <w:rsid w:val="00E101ED"/>
    <w:rsid w:val="00E14757"/>
    <w:rsid w:val="00E16F11"/>
    <w:rsid w:val="00E2215F"/>
    <w:rsid w:val="00E2278E"/>
    <w:rsid w:val="00E24C33"/>
    <w:rsid w:val="00E2579D"/>
    <w:rsid w:val="00E353B3"/>
    <w:rsid w:val="00E36076"/>
    <w:rsid w:val="00E364D4"/>
    <w:rsid w:val="00E378AC"/>
    <w:rsid w:val="00E402BB"/>
    <w:rsid w:val="00E429F8"/>
    <w:rsid w:val="00E44787"/>
    <w:rsid w:val="00E51520"/>
    <w:rsid w:val="00E52CE9"/>
    <w:rsid w:val="00E52F68"/>
    <w:rsid w:val="00E5602B"/>
    <w:rsid w:val="00E5638C"/>
    <w:rsid w:val="00E57352"/>
    <w:rsid w:val="00E60088"/>
    <w:rsid w:val="00E608A1"/>
    <w:rsid w:val="00E620E3"/>
    <w:rsid w:val="00E62646"/>
    <w:rsid w:val="00E63B3C"/>
    <w:rsid w:val="00E66DDB"/>
    <w:rsid w:val="00E6709A"/>
    <w:rsid w:val="00E67E17"/>
    <w:rsid w:val="00E729D8"/>
    <w:rsid w:val="00E730BD"/>
    <w:rsid w:val="00E7348E"/>
    <w:rsid w:val="00E7452D"/>
    <w:rsid w:val="00E80671"/>
    <w:rsid w:val="00E82C50"/>
    <w:rsid w:val="00E83A17"/>
    <w:rsid w:val="00E840FA"/>
    <w:rsid w:val="00E84254"/>
    <w:rsid w:val="00E8489F"/>
    <w:rsid w:val="00E867DB"/>
    <w:rsid w:val="00E87196"/>
    <w:rsid w:val="00E87D52"/>
    <w:rsid w:val="00E90209"/>
    <w:rsid w:val="00E910DB"/>
    <w:rsid w:val="00E9144A"/>
    <w:rsid w:val="00E95E08"/>
    <w:rsid w:val="00EA065E"/>
    <w:rsid w:val="00EA106D"/>
    <w:rsid w:val="00EA1F6F"/>
    <w:rsid w:val="00EA34EB"/>
    <w:rsid w:val="00EA3677"/>
    <w:rsid w:val="00EA3F10"/>
    <w:rsid w:val="00EA57EF"/>
    <w:rsid w:val="00EA6DB0"/>
    <w:rsid w:val="00EB2163"/>
    <w:rsid w:val="00EB30FD"/>
    <w:rsid w:val="00EB3DBE"/>
    <w:rsid w:val="00EB3E8C"/>
    <w:rsid w:val="00EB4B86"/>
    <w:rsid w:val="00EC05E4"/>
    <w:rsid w:val="00EC3914"/>
    <w:rsid w:val="00ED43B4"/>
    <w:rsid w:val="00ED52F6"/>
    <w:rsid w:val="00ED5D25"/>
    <w:rsid w:val="00ED6628"/>
    <w:rsid w:val="00ED7570"/>
    <w:rsid w:val="00EE3149"/>
    <w:rsid w:val="00EF0D7D"/>
    <w:rsid w:val="00EF10C1"/>
    <w:rsid w:val="00EF5850"/>
    <w:rsid w:val="00F00BA4"/>
    <w:rsid w:val="00F030C2"/>
    <w:rsid w:val="00F033FC"/>
    <w:rsid w:val="00F06343"/>
    <w:rsid w:val="00F11931"/>
    <w:rsid w:val="00F13441"/>
    <w:rsid w:val="00F143A8"/>
    <w:rsid w:val="00F14F39"/>
    <w:rsid w:val="00F1531B"/>
    <w:rsid w:val="00F16D8F"/>
    <w:rsid w:val="00F17004"/>
    <w:rsid w:val="00F20F8C"/>
    <w:rsid w:val="00F219DB"/>
    <w:rsid w:val="00F21F26"/>
    <w:rsid w:val="00F2450D"/>
    <w:rsid w:val="00F24FF6"/>
    <w:rsid w:val="00F266EC"/>
    <w:rsid w:val="00F26B48"/>
    <w:rsid w:val="00F31007"/>
    <w:rsid w:val="00F31271"/>
    <w:rsid w:val="00F3282E"/>
    <w:rsid w:val="00F329CE"/>
    <w:rsid w:val="00F32A3E"/>
    <w:rsid w:val="00F35C4C"/>
    <w:rsid w:val="00F366C4"/>
    <w:rsid w:val="00F4068C"/>
    <w:rsid w:val="00F44707"/>
    <w:rsid w:val="00F45748"/>
    <w:rsid w:val="00F46315"/>
    <w:rsid w:val="00F46BB4"/>
    <w:rsid w:val="00F46C94"/>
    <w:rsid w:val="00F50B64"/>
    <w:rsid w:val="00F52A99"/>
    <w:rsid w:val="00F53AEE"/>
    <w:rsid w:val="00F56143"/>
    <w:rsid w:val="00F61E11"/>
    <w:rsid w:val="00F62849"/>
    <w:rsid w:val="00F63787"/>
    <w:rsid w:val="00F71DE5"/>
    <w:rsid w:val="00F72B66"/>
    <w:rsid w:val="00F7675B"/>
    <w:rsid w:val="00F80BE3"/>
    <w:rsid w:val="00F810ED"/>
    <w:rsid w:val="00F82E30"/>
    <w:rsid w:val="00F8587B"/>
    <w:rsid w:val="00F85D4C"/>
    <w:rsid w:val="00F86B43"/>
    <w:rsid w:val="00F8728B"/>
    <w:rsid w:val="00F91AE1"/>
    <w:rsid w:val="00F93A28"/>
    <w:rsid w:val="00F93A5D"/>
    <w:rsid w:val="00F95275"/>
    <w:rsid w:val="00F96B17"/>
    <w:rsid w:val="00F971A1"/>
    <w:rsid w:val="00FA196A"/>
    <w:rsid w:val="00FA2B3E"/>
    <w:rsid w:val="00FA5EB2"/>
    <w:rsid w:val="00FA7FD0"/>
    <w:rsid w:val="00FB026B"/>
    <w:rsid w:val="00FB0F80"/>
    <w:rsid w:val="00FB3532"/>
    <w:rsid w:val="00FB38D8"/>
    <w:rsid w:val="00FB6390"/>
    <w:rsid w:val="00FC09AB"/>
    <w:rsid w:val="00FC1D39"/>
    <w:rsid w:val="00FD0FAF"/>
    <w:rsid w:val="00FD269E"/>
    <w:rsid w:val="00FD28D1"/>
    <w:rsid w:val="00FD2B5A"/>
    <w:rsid w:val="00FD39B3"/>
    <w:rsid w:val="00FD57F6"/>
    <w:rsid w:val="00FD5945"/>
    <w:rsid w:val="00FD60B7"/>
    <w:rsid w:val="00FE062A"/>
    <w:rsid w:val="00FE3B89"/>
    <w:rsid w:val="00FE7F44"/>
    <w:rsid w:val="00FF0A7D"/>
    <w:rsid w:val="00FF1F6E"/>
    <w:rsid w:val="00FF235B"/>
    <w:rsid w:val="00FF24A0"/>
    <w:rsid w:val="00FF27A4"/>
    <w:rsid w:val="00FF55C8"/>
    <w:rsid w:val="02520836"/>
    <w:rsid w:val="03A27284"/>
    <w:rsid w:val="047D7AA8"/>
    <w:rsid w:val="06B3590D"/>
    <w:rsid w:val="082617B3"/>
    <w:rsid w:val="08860F11"/>
    <w:rsid w:val="08D521F0"/>
    <w:rsid w:val="10CD0B16"/>
    <w:rsid w:val="12BC16CB"/>
    <w:rsid w:val="16CD4B69"/>
    <w:rsid w:val="17A62E5D"/>
    <w:rsid w:val="291641BA"/>
    <w:rsid w:val="2A6D3B32"/>
    <w:rsid w:val="2D9D1C2B"/>
    <w:rsid w:val="2F0922B4"/>
    <w:rsid w:val="2FBC7F5F"/>
    <w:rsid w:val="3889699F"/>
    <w:rsid w:val="396E311B"/>
    <w:rsid w:val="46612811"/>
    <w:rsid w:val="46C91F85"/>
    <w:rsid w:val="482C47F7"/>
    <w:rsid w:val="522F7782"/>
    <w:rsid w:val="5F750250"/>
    <w:rsid w:val="623025A4"/>
    <w:rsid w:val="636101AA"/>
    <w:rsid w:val="63B565B3"/>
    <w:rsid w:val="63E7212E"/>
    <w:rsid w:val="6463123F"/>
    <w:rsid w:val="676634E7"/>
    <w:rsid w:val="6ABE2660"/>
    <w:rsid w:val="6B115B35"/>
    <w:rsid w:val="6B696BB8"/>
    <w:rsid w:val="6C8B798C"/>
    <w:rsid w:val="70EF6D4C"/>
    <w:rsid w:val="718070C4"/>
    <w:rsid w:val="72762017"/>
    <w:rsid w:val="751B7F9D"/>
    <w:rsid w:val="7606590B"/>
    <w:rsid w:val="762A586E"/>
    <w:rsid w:val="7FFC13E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9"/>
    <w:qFormat/>
    <w:uiPriority w:val="0"/>
    <w:pPr>
      <w:keepNext/>
      <w:keepLines/>
      <w:spacing w:before="340" w:after="330" w:line="576" w:lineRule="auto"/>
      <w:outlineLvl w:val="0"/>
    </w:pPr>
    <w:rPr>
      <w:rFonts w:ascii="宋体" w:hAnsi="Courier New"/>
      <w:b/>
      <w:bCs/>
      <w:kern w:val="44"/>
      <w:sz w:val="44"/>
      <w:szCs w:val="44"/>
    </w:rPr>
  </w:style>
  <w:style w:type="paragraph" w:styleId="4">
    <w:name w:val="heading 2"/>
    <w:basedOn w:val="1"/>
    <w:next w:val="1"/>
    <w:link w:val="68"/>
    <w:qFormat/>
    <w:uiPriority w:val="0"/>
    <w:pPr>
      <w:keepNext/>
      <w:keepLines/>
      <w:spacing w:before="260" w:after="260" w:line="415" w:lineRule="auto"/>
      <w:outlineLvl w:val="1"/>
    </w:pPr>
    <w:rPr>
      <w:rFonts w:ascii="Arial" w:hAnsi="Arial" w:eastAsia="黑体"/>
      <w:b/>
      <w:bCs/>
      <w:sz w:val="32"/>
      <w:szCs w:val="32"/>
    </w:rPr>
  </w:style>
  <w:style w:type="paragraph" w:styleId="5">
    <w:name w:val="heading 3"/>
    <w:basedOn w:val="1"/>
    <w:next w:val="1"/>
    <w:link w:val="182"/>
    <w:qFormat/>
    <w:uiPriority w:val="0"/>
    <w:pPr>
      <w:keepNext/>
      <w:keepLines/>
      <w:spacing w:before="260" w:after="260" w:line="415" w:lineRule="auto"/>
      <w:outlineLvl w:val="2"/>
    </w:pPr>
    <w:rPr>
      <w:b/>
      <w:sz w:val="32"/>
      <w:szCs w:val="20"/>
    </w:rPr>
  </w:style>
  <w:style w:type="paragraph" w:styleId="6">
    <w:name w:val="heading 4"/>
    <w:basedOn w:val="1"/>
    <w:next w:val="1"/>
    <w:link w:val="210"/>
    <w:qFormat/>
    <w:uiPriority w:val="9"/>
    <w:pPr>
      <w:keepNext/>
      <w:keepLines/>
      <w:spacing w:before="280" w:after="290" w:line="374" w:lineRule="auto"/>
      <w:outlineLvl w:val="3"/>
    </w:pPr>
    <w:rPr>
      <w:rFonts w:ascii="Arial" w:hAnsi="Arial" w:eastAsia="黑体"/>
      <w:b/>
      <w:sz w:val="28"/>
      <w:szCs w:val="20"/>
    </w:rPr>
  </w:style>
  <w:style w:type="paragraph" w:styleId="7">
    <w:name w:val="heading 5"/>
    <w:basedOn w:val="1"/>
    <w:next w:val="1"/>
    <w:link w:val="220"/>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8">
    <w:name w:val="heading 6"/>
    <w:basedOn w:val="1"/>
    <w:next w:val="1"/>
    <w:link w:val="218"/>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9">
    <w:name w:val="heading 7"/>
    <w:basedOn w:val="1"/>
    <w:next w:val="1"/>
    <w:link w:val="223"/>
    <w:qFormat/>
    <w:uiPriority w:val="0"/>
    <w:pPr>
      <w:keepNext/>
      <w:keepLines/>
      <w:spacing w:before="240" w:after="64" w:line="320" w:lineRule="auto"/>
      <w:outlineLvl w:val="6"/>
    </w:pPr>
    <w:rPr>
      <w:b/>
      <w:bCs/>
      <w:kern w:val="0"/>
      <w:sz w:val="24"/>
    </w:rPr>
  </w:style>
  <w:style w:type="paragraph" w:styleId="10">
    <w:name w:val="heading 8"/>
    <w:basedOn w:val="1"/>
    <w:next w:val="1"/>
    <w:link w:val="192"/>
    <w:qFormat/>
    <w:uiPriority w:val="0"/>
    <w:pPr>
      <w:keepNext/>
      <w:keepLines/>
      <w:spacing w:before="240" w:after="64" w:line="320" w:lineRule="auto"/>
      <w:outlineLvl w:val="7"/>
    </w:pPr>
    <w:rPr>
      <w:rFonts w:ascii="Cambria" w:hAnsi="Cambria"/>
      <w:kern w:val="0"/>
      <w:sz w:val="24"/>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170"/>
    <w:qFormat/>
    <w:uiPriority w:val="0"/>
    <w:pPr>
      <w:ind w:firstLine="420"/>
    </w:pPr>
    <w:rPr>
      <w:rFonts w:ascii="等线" w:hAnsi="等线" w:eastAsia="等线"/>
      <w:szCs w:val="22"/>
    </w:rPr>
  </w:style>
  <w:style w:type="paragraph" w:styleId="11">
    <w:name w:val="toc 7"/>
    <w:basedOn w:val="1"/>
    <w:next w:val="1"/>
    <w:unhideWhenUsed/>
    <w:qFormat/>
    <w:uiPriority w:val="0"/>
    <w:pPr>
      <w:ind w:left="2520" w:leftChars="1200"/>
    </w:pPr>
    <w:rPr>
      <w:szCs w:val="20"/>
    </w:rPr>
  </w:style>
  <w:style w:type="paragraph" w:styleId="12">
    <w:name w:val="List Number 2"/>
    <w:basedOn w:val="1"/>
    <w:qFormat/>
    <w:uiPriority w:val="0"/>
    <w:pPr>
      <w:tabs>
        <w:tab w:val="left" w:pos="780"/>
      </w:tabs>
      <w:ind w:left="840" w:hanging="360"/>
    </w:pPr>
    <w:rPr>
      <w:szCs w:val="20"/>
    </w:rPr>
  </w:style>
  <w:style w:type="paragraph" w:styleId="13">
    <w:name w:val="Document Map"/>
    <w:basedOn w:val="1"/>
    <w:link w:val="127"/>
    <w:qFormat/>
    <w:uiPriority w:val="0"/>
    <w:pPr>
      <w:shd w:val="clear" w:color="auto" w:fill="000080"/>
    </w:pPr>
    <w:rPr>
      <w:rFonts w:ascii="等线" w:hAnsi="等线" w:eastAsia="等线"/>
    </w:rPr>
  </w:style>
  <w:style w:type="paragraph" w:styleId="14">
    <w:name w:val="toa heading"/>
    <w:basedOn w:val="1"/>
    <w:next w:val="1"/>
    <w:qFormat/>
    <w:uiPriority w:val="0"/>
    <w:pPr>
      <w:spacing w:before="120"/>
    </w:pPr>
    <w:rPr>
      <w:rFonts w:ascii="Arial" w:hAnsi="Arial" w:cs="Arial"/>
      <w:sz w:val="24"/>
    </w:rPr>
  </w:style>
  <w:style w:type="paragraph" w:styleId="15">
    <w:name w:val="annotation text"/>
    <w:basedOn w:val="1"/>
    <w:link w:val="73"/>
    <w:qFormat/>
    <w:uiPriority w:val="0"/>
    <w:pPr>
      <w:jc w:val="left"/>
    </w:pPr>
    <w:rPr>
      <w:rFonts w:ascii="Calibri" w:hAnsi="Calibri"/>
    </w:rPr>
  </w:style>
  <w:style w:type="paragraph" w:styleId="16">
    <w:name w:val="Body Text 3"/>
    <w:basedOn w:val="1"/>
    <w:link w:val="309"/>
    <w:qFormat/>
    <w:uiPriority w:val="0"/>
    <w:pPr>
      <w:spacing w:after="120"/>
    </w:pPr>
    <w:rPr>
      <w:sz w:val="16"/>
      <w:szCs w:val="16"/>
    </w:rPr>
  </w:style>
  <w:style w:type="paragraph" w:styleId="17">
    <w:name w:val="Body Text"/>
    <w:basedOn w:val="1"/>
    <w:link w:val="77"/>
    <w:qFormat/>
    <w:uiPriority w:val="0"/>
    <w:pPr>
      <w:spacing w:line="420" w:lineRule="auto"/>
    </w:pPr>
    <w:rPr>
      <w:kern w:val="0"/>
      <w:sz w:val="24"/>
    </w:rPr>
  </w:style>
  <w:style w:type="paragraph" w:styleId="18">
    <w:name w:val="Body Text Indent"/>
    <w:basedOn w:val="1"/>
    <w:link w:val="79"/>
    <w:qFormat/>
    <w:uiPriority w:val="0"/>
    <w:pPr>
      <w:spacing w:line="440" w:lineRule="exact"/>
      <w:ind w:firstLine="630"/>
    </w:pPr>
    <w:rPr>
      <w:rFonts w:ascii="宋体" w:hAnsi="宋体" w:eastAsia="等线"/>
      <w:sz w:val="28"/>
    </w:rPr>
  </w:style>
  <w:style w:type="paragraph" w:styleId="19">
    <w:name w:val="List 2"/>
    <w:basedOn w:val="1"/>
    <w:qFormat/>
    <w:uiPriority w:val="0"/>
    <w:pPr>
      <w:ind w:left="100" w:leftChars="200" w:hanging="200" w:hangingChars="200"/>
      <w:contextualSpacing/>
    </w:pPr>
  </w:style>
  <w:style w:type="paragraph" w:styleId="20">
    <w:name w:val="Block Text"/>
    <w:basedOn w:val="1"/>
    <w:qFormat/>
    <w:uiPriority w:val="99"/>
    <w:pPr>
      <w:widowControl/>
      <w:tabs>
        <w:tab w:val="left" w:pos="284"/>
      </w:tabs>
      <w:ind w:left="788" w:right="-594"/>
    </w:pPr>
    <w:rPr>
      <w:rFonts w:ascii="创艺繁楷体" w:hAnsi="Calibri" w:eastAsia="创艺繁楷体"/>
      <w:szCs w:val="22"/>
    </w:rPr>
  </w:style>
  <w:style w:type="paragraph" w:styleId="21">
    <w:name w:val="toc 5"/>
    <w:basedOn w:val="1"/>
    <w:next w:val="1"/>
    <w:unhideWhenUsed/>
    <w:qFormat/>
    <w:uiPriority w:val="0"/>
    <w:pPr>
      <w:ind w:left="1680" w:leftChars="800"/>
    </w:pPr>
    <w:rPr>
      <w:szCs w:val="20"/>
    </w:rPr>
  </w:style>
  <w:style w:type="paragraph" w:styleId="22">
    <w:name w:val="toc 3"/>
    <w:basedOn w:val="1"/>
    <w:next w:val="1"/>
    <w:unhideWhenUsed/>
    <w:qFormat/>
    <w:uiPriority w:val="0"/>
    <w:pPr>
      <w:ind w:left="840" w:leftChars="400"/>
    </w:pPr>
    <w:rPr>
      <w:szCs w:val="21"/>
    </w:rPr>
  </w:style>
  <w:style w:type="paragraph" w:styleId="23">
    <w:name w:val="Plain Text"/>
    <w:basedOn w:val="1"/>
    <w:link w:val="172"/>
    <w:qFormat/>
    <w:uiPriority w:val="0"/>
    <w:rPr>
      <w:rFonts w:ascii="宋体" w:hAnsi="Courier New"/>
      <w:kern w:val="0"/>
      <w:szCs w:val="21"/>
    </w:rPr>
  </w:style>
  <w:style w:type="paragraph" w:styleId="24">
    <w:name w:val="toc 8"/>
    <w:basedOn w:val="1"/>
    <w:next w:val="1"/>
    <w:unhideWhenUsed/>
    <w:qFormat/>
    <w:uiPriority w:val="0"/>
    <w:pPr>
      <w:ind w:left="2940" w:leftChars="1400"/>
    </w:pPr>
    <w:rPr>
      <w:szCs w:val="20"/>
    </w:rPr>
  </w:style>
  <w:style w:type="paragraph" w:styleId="25">
    <w:name w:val="Date"/>
    <w:basedOn w:val="1"/>
    <w:next w:val="1"/>
    <w:link w:val="82"/>
    <w:qFormat/>
    <w:uiPriority w:val="0"/>
    <w:rPr>
      <w:rFonts w:ascii="宋体" w:hAnsi="Courier New" w:eastAsia="楷体_GB2312"/>
      <w:sz w:val="32"/>
      <w:szCs w:val="20"/>
    </w:rPr>
  </w:style>
  <w:style w:type="paragraph" w:styleId="26">
    <w:name w:val="Body Text Indent 2"/>
    <w:basedOn w:val="1"/>
    <w:link w:val="180"/>
    <w:qFormat/>
    <w:uiPriority w:val="0"/>
    <w:pPr>
      <w:tabs>
        <w:tab w:val="left" w:pos="540"/>
      </w:tabs>
      <w:ind w:firstLine="538" w:firstLineChars="192"/>
    </w:pPr>
    <w:rPr>
      <w:rFonts w:ascii="等线" w:hAnsi="等线" w:eastAsia="等线"/>
      <w:sz w:val="28"/>
    </w:rPr>
  </w:style>
  <w:style w:type="paragraph" w:styleId="27">
    <w:name w:val="Balloon Text"/>
    <w:basedOn w:val="1"/>
    <w:link w:val="87"/>
    <w:qFormat/>
    <w:uiPriority w:val="0"/>
    <w:rPr>
      <w:sz w:val="18"/>
      <w:szCs w:val="18"/>
    </w:rPr>
  </w:style>
  <w:style w:type="paragraph" w:styleId="28">
    <w:name w:val="footer"/>
    <w:basedOn w:val="1"/>
    <w:link w:val="56"/>
    <w:unhideWhenUsed/>
    <w:qFormat/>
    <w:uiPriority w:val="99"/>
    <w:pPr>
      <w:tabs>
        <w:tab w:val="center" w:pos="4153"/>
        <w:tab w:val="right" w:pos="8306"/>
      </w:tabs>
      <w:snapToGrid w:val="0"/>
      <w:jc w:val="left"/>
    </w:pPr>
    <w:rPr>
      <w:sz w:val="18"/>
      <w:szCs w:val="18"/>
    </w:rPr>
  </w:style>
  <w:style w:type="paragraph" w:styleId="29">
    <w:name w:val="header"/>
    <w:basedOn w:val="1"/>
    <w:link w:val="55"/>
    <w:unhideWhenUsed/>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link w:val="211"/>
    <w:qFormat/>
    <w:uiPriority w:val="39"/>
    <w:pPr>
      <w:tabs>
        <w:tab w:val="right" w:leader="dot" w:pos="8834"/>
      </w:tabs>
      <w:spacing w:before="120" w:after="120"/>
      <w:jc w:val="left"/>
    </w:pPr>
    <w:rPr>
      <w:b/>
      <w:bCs/>
      <w:caps/>
      <w:sz w:val="28"/>
      <w:szCs w:val="28"/>
    </w:rPr>
  </w:style>
  <w:style w:type="paragraph" w:styleId="31">
    <w:name w:val="toc 4"/>
    <w:basedOn w:val="1"/>
    <w:next w:val="1"/>
    <w:unhideWhenUsed/>
    <w:qFormat/>
    <w:uiPriority w:val="0"/>
    <w:pPr>
      <w:ind w:left="1260" w:leftChars="600"/>
    </w:pPr>
    <w:rPr>
      <w:szCs w:val="20"/>
    </w:rPr>
  </w:style>
  <w:style w:type="paragraph" w:styleId="32">
    <w:name w:val="Subtitle"/>
    <w:basedOn w:val="1"/>
    <w:next w:val="1"/>
    <w:link w:val="88"/>
    <w:qFormat/>
    <w:uiPriority w:val="0"/>
    <w:pPr>
      <w:spacing w:before="240" w:after="60" w:line="312" w:lineRule="auto"/>
      <w:jc w:val="center"/>
      <w:outlineLvl w:val="1"/>
    </w:pPr>
    <w:rPr>
      <w:rFonts w:ascii="Cambria" w:hAnsi="Cambria" w:eastAsia="方正楷体简体"/>
      <w:kern w:val="28"/>
      <w:sz w:val="32"/>
      <w:szCs w:val="32"/>
    </w:rPr>
  </w:style>
  <w:style w:type="paragraph" w:styleId="33">
    <w:name w:val="toc 6"/>
    <w:basedOn w:val="1"/>
    <w:next w:val="1"/>
    <w:unhideWhenUsed/>
    <w:qFormat/>
    <w:uiPriority w:val="0"/>
    <w:pPr>
      <w:ind w:left="2100" w:leftChars="1000"/>
    </w:pPr>
    <w:rPr>
      <w:szCs w:val="20"/>
    </w:rPr>
  </w:style>
  <w:style w:type="paragraph" w:styleId="34">
    <w:name w:val="Body Text Indent 3"/>
    <w:basedOn w:val="1"/>
    <w:link w:val="177"/>
    <w:qFormat/>
    <w:uiPriority w:val="0"/>
    <w:pPr>
      <w:ind w:firstLine="420" w:firstLineChars="150"/>
    </w:pPr>
    <w:rPr>
      <w:rFonts w:ascii="等线" w:hAnsi="等线" w:eastAsia="等线"/>
      <w:sz w:val="28"/>
    </w:rPr>
  </w:style>
  <w:style w:type="paragraph" w:styleId="35">
    <w:name w:val="toc 2"/>
    <w:basedOn w:val="1"/>
    <w:next w:val="1"/>
    <w:qFormat/>
    <w:uiPriority w:val="0"/>
    <w:pPr>
      <w:ind w:left="420" w:leftChars="200"/>
    </w:pPr>
    <w:rPr>
      <w:szCs w:val="21"/>
    </w:rPr>
  </w:style>
  <w:style w:type="paragraph" w:styleId="36">
    <w:name w:val="toc 9"/>
    <w:basedOn w:val="1"/>
    <w:next w:val="1"/>
    <w:unhideWhenUsed/>
    <w:qFormat/>
    <w:uiPriority w:val="0"/>
    <w:pPr>
      <w:ind w:left="3360" w:leftChars="1600"/>
    </w:pPr>
    <w:rPr>
      <w:szCs w:val="20"/>
    </w:rPr>
  </w:style>
  <w:style w:type="paragraph" w:styleId="37">
    <w:name w:val="Body Text 2"/>
    <w:basedOn w:val="1"/>
    <w:link w:val="241"/>
    <w:qFormat/>
    <w:uiPriority w:val="0"/>
    <w:pPr>
      <w:spacing w:line="200" w:lineRule="exact"/>
      <w:jc w:val="center"/>
    </w:pPr>
    <w:rPr>
      <w:rFonts w:ascii="宋体" w:hAnsi="宋体"/>
      <w:color w:val="000000"/>
      <w:sz w:val="18"/>
      <w:szCs w:val="18"/>
    </w:rPr>
  </w:style>
  <w:style w:type="paragraph" w:styleId="38">
    <w:name w:val="HTML Preformatted"/>
    <w:basedOn w:val="1"/>
    <w:link w:val="24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9">
    <w:name w:val="Normal (Web)"/>
    <w:basedOn w:val="1"/>
    <w:qFormat/>
    <w:uiPriority w:val="0"/>
    <w:pPr>
      <w:widowControl/>
      <w:spacing w:before="240" w:after="240"/>
      <w:jc w:val="left"/>
    </w:pPr>
    <w:rPr>
      <w:rFonts w:ascii="宋体" w:hAnsi="宋体" w:cs="宋体"/>
      <w:kern w:val="0"/>
      <w:sz w:val="24"/>
    </w:rPr>
  </w:style>
  <w:style w:type="paragraph" w:styleId="40">
    <w:name w:val="index 1"/>
    <w:basedOn w:val="1"/>
    <w:next w:val="1"/>
    <w:qFormat/>
    <w:uiPriority w:val="0"/>
    <w:pPr>
      <w:widowControl/>
      <w:jc w:val="left"/>
    </w:pPr>
    <w:rPr>
      <w:rFonts w:ascii="Arial" w:hAnsi="Arial" w:cs="Arial"/>
      <w:b/>
      <w:bCs/>
      <w:kern w:val="0"/>
      <w:sz w:val="17"/>
      <w:szCs w:val="20"/>
      <w:lang w:eastAsia="en-US"/>
    </w:rPr>
  </w:style>
  <w:style w:type="paragraph" w:styleId="41">
    <w:name w:val="Title"/>
    <w:basedOn w:val="1"/>
    <w:next w:val="1"/>
    <w:link w:val="91"/>
    <w:qFormat/>
    <w:uiPriority w:val="0"/>
    <w:pPr>
      <w:spacing w:before="240" w:after="60"/>
      <w:jc w:val="center"/>
      <w:outlineLvl w:val="0"/>
    </w:pPr>
    <w:rPr>
      <w:rFonts w:ascii="Cambria" w:hAnsi="Cambria"/>
      <w:b/>
      <w:bCs/>
      <w:sz w:val="32"/>
      <w:szCs w:val="32"/>
    </w:rPr>
  </w:style>
  <w:style w:type="paragraph" w:styleId="42">
    <w:name w:val="annotation subject"/>
    <w:basedOn w:val="18"/>
    <w:next w:val="18"/>
    <w:link w:val="75"/>
    <w:qFormat/>
    <w:uiPriority w:val="0"/>
    <w:rPr>
      <w:rFonts w:ascii="等线" w:hAnsi="等线"/>
      <w:b/>
      <w:bCs/>
    </w:rPr>
  </w:style>
  <w:style w:type="paragraph" w:styleId="43">
    <w:name w:val="Body Text First Indent"/>
    <w:basedOn w:val="44"/>
    <w:link w:val="346"/>
    <w:qFormat/>
    <w:uiPriority w:val="0"/>
    <w:pPr>
      <w:tabs>
        <w:tab w:val="left" w:pos="420"/>
      </w:tabs>
      <w:spacing w:after="120" w:line="240" w:lineRule="auto"/>
      <w:ind w:firstLine="420" w:firstLineChars="100"/>
    </w:pPr>
  </w:style>
  <w:style w:type="paragraph" w:customStyle="1" w:styleId="44">
    <w:name w:val="正文要点"/>
    <w:basedOn w:val="1"/>
    <w:next w:val="45"/>
    <w:link w:val="98"/>
    <w:qFormat/>
    <w:uiPriority w:val="0"/>
    <w:pPr>
      <w:tabs>
        <w:tab w:val="left" w:pos="420"/>
      </w:tabs>
      <w:spacing w:line="360" w:lineRule="auto"/>
      <w:ind w:left="840" w:hanging="420"/>
    </w:pPr>
    <w:rPr>
      <w:szCs w:val="21"/>
    </w:rPr>
  </w:style>
  <w:style w:type="paragraph" w:customStyle="1" w:styleId="45">
    <w:name w:val="正文要点内容"/>
    <w:basedOn w:val="44"/>
    <w:link w:val="97"/>
    <w:qFormat/>
    <w:uiPriority w:val="0"/>
    <w:pPr>
      <w:tabs>
        <w:tab w:val="left" w:pos="840"/>
        <w:tab w:val="clear" w:pos="420"/>
      </w:tabs>
      <w:ind w:left="400" w:leftChars="400" w:firstLine="200" w:firstLineChars="200"/>
    </w:pPr>
  </w:style>
  <w:style w:type="table" w:styleId="47">
    <w:name w:val="Table Grid"/>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49">
    <w:name w:val="Strong"/>
    <w:qFormat/>
    <w:uiPriority w:val="0"/>
    <w:rPr>
      <w:b/>
      <w:bCs/>
    </w:rPr>
  </w:style>
  <w:style w:type="character" w:styleId="50">
    <w:name w:val="page number"/>
    <w:qFormat/>
    <w:uiPriority w:val="0"/>
    <w:rPr>
      <w:rFonts w:cs="Times New Roman"/>
    </w:rPr>
  </w:style>
  <w:style w:type="character" w:styleId="51">
    <w:name w:val="FollowedHyperlink"/>
    <w:qFormat/>
    <w:uiPriority w:val="99"/>
    <w:rPr>
      <w:color w:val="954F72"/>
      <w:u w:val="single"/>
    </w:rPr>
  </w:style>
  <w:style w:type="character" w:styleId="52">
    <w:name w:val="Emphasis"/>
    <w:qFormat/>
    <w:uiPriority w:val="0"/>
    <w:rPr>
      <w:i/>
    </w:rPr>
  </w:style>
  <w:style w:type="character" w:styleId="53">
    <w:name w:val="Hyperlink"/>
    <w:qFormat/>
    <w:uiPriority w:val="99"/>
    <w:rPr>
      <w:color w:val="0000FF"/>
      <w:u w:val="single"/>
    </w:rPr>
  </w:style>
  <w:style w:type="character" w:styleId="54">
    <w:name w:val="annotation reference"/>
    <w:qFormat/>
    <w:uiPriority w:val="0"/>
    <w:rPr>
      <w:sz w:val="21"/>
      <w:szCs w:val="21"/>
    </w:rPr>
  </w:style>
  <w:style w:type="character" w:customStyle="1" w:styleId="55">
    <w:name w:val="页眉 Char1"/>
    <w:basedOn w:val="48"/>
    <w:link w:val="29"/>
    <w:qFormat/>
    <w:uiPriority w:val="99"/>
    <w:rPr>
      <w:sz w:val="18"/>
      <w:szCs w:val="18"/>
    </w:rPr>
  </w:style>
  <w:style w:type="character" w:customStyle="1" w:styleId="56">
    <w:name w:val="页脚 Char1"/>
    <w:basedOn w:val="48"/>
    <w:link w:val="28"/>
    <w:qFormat/>
    <w:uiPriority w:val="99"/>
    <w:rPr>
      <w:sz w:val="18"/>
      <w:szCs w:val="18"/>
    </w:rPr>
  </w:style>
  <w:style w:type="character" w:customStyle="1" w:styleId="57">
    <w:name w:val="标题 1 字符"/>
    <w:basedOn w:val="48"/>
    <w:qFormat/>
    <w:uiPriority w:val="0"/>
    <w:rPr>
      <w:rFonts w:ascii="Times New Roman" w:hAnsi="Times New Roman" w:eastAsia="宋体" w:cs="Times New Roman"/>
      <w:b/>
      <w:bCs/>
      <w:kern w:val="44"/>
      <w:sz w:val="44"/>
      <w:szCs w:val="44"/>
    </w:rPr>
  </w:style>
  <w:style w:type="character" w:customStyle="1" w:styleId="58">
    <w:name w:val="标题 2 字符"/>
    <w:basedOn w:val="48"/>
    <w:qFormat/>
    <w:uiPriority w:val="0"/>
    <w:rPr>
      <w:rFonts w:asciiTheme="majorHAnsi" w:hAnsiTheme="majorHAnsi" w:eastAsiaTheme="majorEastAsia" w:cstheme="majorBidi"/>
      <w:b/>
      <w:bCs/>
      <w:sz w:val="32"/>
      <w:szCs w:val="32"/>
    </w:rPr>
  </w:style>
  <w:style w:type="character" w:customStyle="1" w:styleId="59">
    <w:name w:val="标题 3 字符"/>
    <w:basedOn w:val="48"/>
    <w:qFormat/>
    <w:uiPriority w:val="0"/>
    <w:rPr>
      <w:rFonts w:ascii="Times New Roman" w:hAnsi="Times New Roman" w:eastAsia="宋体" w:cs="Times New Roman"/>
      <w:b/>
      <w:bCs/>
      <w:sz w:val="32"/>
      <w:szCs w:val="32"/>
    </w:rPr>
  </w:style>
  <w:style w:type="character" w:customStyle="1" w:styleId="60">
    <w:name w:val="标题 4 字符"/>
    <w:basedOn w:val="48"/>
    <w:qFormat/>
    <w:uiPriority w:val="9"/>
    <w:rPr>
      <w:rFonts w:asciiTheme="majorHAnsi" w:hAnsiTheme="majorHAnsi" w:eastAsiaTheme="majorEastAsia" w:cstheme="majorBidi"/>
      <w:b/>
      <w:bCs/>
      <w:sz w:val="28"/>
      <w:szCs w:val="28"/>
    </w:rPr>
  </w:style>
  <w:style w:type="character" w:customStyle="1" w:styleId="61">
    <w:name w:val="标题 5 字符"/>
    <w:basedOn w:val="48"/>
    <w:qFormat/>
    <w:uiPriority w:val="0"/>
    <w:rPr>
      <w:rFonts w:ascii="Times New Roman" w:hAnsi="Times New Roman" w:eastAsia="宋体" w:cs="Times New Roman"/>
      <w:b/>
      <w:bCs/>
      <w:sz w:val="28"/>
      <w:szCs w:val="28"/>
    </w:rPr>
  </w:style>
  <w:style w:type="character" w:customStyle="1" w:styleId="62">
    <w:name w:val="标题 6 字符"/>
    <w:basedOn w:val="48"/>
    <w:qFormat/>
    <w:uiPriority w:val="0"/>
    <w:rPr>
      <w:rFonts w:asciiTheme="majorHAnsi" w:hAnsiTheme="majorHAnsi" w:eastAsiaTheme="majorEastAsia" w:cstheme="majorBidi"/>
      <w:b/>
      <w:bCs/>
      <w:sz w:val="24"/>
      <w:szCs w:val="24"/>
    </w:rPr>
  </w:style>
  <w:style w:type="character" w:customStyle="1" w:styleId="63">
    <w:name w:val="标题 7 字符"/>
    <w:basedOn w:val="48"/>
    <w:qFormat/>
    <w:uiPriority w:val="0"/>
    <w:rPr>
      <w:rFonts w:ascii="Times New Roman" w:hAnsi="Times New Roman" w:eastAsia="宋体" w:cs="Times New Roman"/>
      <w:b/>
      <w:bCs/>
      <w:sz w:val="24"/>
      <w:szCs w:val="24"/>
    </w:rPr>
  </w:style>
  <w:style w:type="character" w:customStyle="1" w:styleId="64">
    <w:name w:val="标题 8 字符"/>
    <w:basedOn w:val="48"/>
    <w:qFormat/>
    <w:uiPriority w:val="0"/>
    <w:rPr>
      <w:rFonts w:asciiTheme="majorHAnsi" w:hAnsiTheme="majorHAnsi" w:eastAsiaTheme="majorEastAsia" w:cstheme="majorBidi"/>
      <w:sz w:val="24"/>
      <w:szCs w:val="24"/>
    </w:rPr>
  </w:style>
  <w:style w:type="character" w:customStyle="1" w:styleId="65">
    <w:name w:val="页眉 字符1"/>
    <w:basedOn w:val="48"/>
    <w:qFormat/>
    <w:uiPriority w:val="0"/>
    <w:rPr>
      <w:kern w:val="2"/>
      <w:sz w:val="18"/>
      <w:szCs w:val="18"/>
    </w:rPr>
  </w:style>
  <w:style w:type="character" w:customStyle="1" w:styleId="66">
    <w:name w:val="页脚 字符1"/>
    <w:basedOn w:val="48"/>
    <w:qFormat/>
    <w:uiPriority w:val="0"/>
    <w:rPr>
      <w:kern w:val="2"/>
      <w:sz w:val="18"/>
      <w:szCs w:val="18"/>
    </w:rPr>
  </w:style>
  <w:style w:type="character" w:customStyle="1" w:styleId="67">
    <w:name w:val="文档结构图 字符"/>
    <w:basedOn w:val="48"/>
    <w:qFormat/>
    <w:uiPriority w:val="0"/>
    <w:rPr>
      <w:rFonts w:ascii="Microsoft YaHei UI" w:hAnsi="Times New Roman" w:eastAsia="Microsoft YaHei UI" w:cs="Times New Roman"/>
      <w:sz w:val="18"/>
      <w:szCs w:val="18"/>
    </w:rPr>
  </w:style>
  <w:style w:type="character" w:customStyle="1" w:styleId="68">
    <w:name w:val="标题 2 Char"/>
    <w:basedOn w:val="48"/>
    <w:link w:val="4"/>
    <w:qFormat/>
    <w:uiPriority w:val="0"/>
    <w:rPr>
      <w:rFonts w:ascii="Arial" w:hAnsi="Arial" w:eastAsia="黑体" w:cs="Times New Roman"/>
      <w:b/>
      <w:bCs/>
      <w:sz w:val="32"/>
      <w:szCs w:val="32"/>
    </w:rPr>
  </w:style>
  <w:style w:type="character" w:customStyle="1" w:styleId="69">
    <w:name w:val="标题 1 Char"/>
    <w:basedOn w:val="48"/>
    <w:link w:val="3"/>
    <w:qFormat/>
    <w:uiPriority w:val="0"/>
    <w:rPr>
      <w:rFonts w:ascii="宋体" w:hAnsi="Courier New" w:eastAsia="宋体" w:cs="Times New Roman"/>
      <w:b/>
      <w:bCs/>
      <w:kern w:val="44"/>
      <w:sz w:val="44"/>
      <w:szCs w:val="44"/>
    </w:rPr>
  </w:style>
  <w:style w:type="character" w:customStyle="1" w:styleId="70">
    <w:name w:val="标题 3 Char"/>
    <w:basedOn w:val="48"/>
    <w:qFormat/>
    <w:uiPriority w:val="0"/>
    <w:rPr>
      <w:b/>
      <w:bCs/>
      <w:kern w:val="2"/>
      <w:sz w:val="32"/>
      <w:szCs w:val="32"/>
    </w:rPr>
  </w:style>
  <w:style w:type="character" w:customStyle="1" w:styleId="71">
    <w:name w:val="标题 4 Char"/>
    <w:basedOn w:val="48"/>
    <w:qFormat/>
    <w:uiPriority w:val="0"/>
    <w:rPr>
      <w:rFonts w:ascii="仿宋_GB2312" w:eastAsia="仿宋_GB2312" w:cs="仿宋_GB2312"/>
      <w:kern w:val="2"/>
      <w:sz w:val="28"/>
      <w:szCs w:val="28"/>
    </w:rPr>
  </w:style>
  <w:style w:type="character" w:customStyle="1" w:styleId="72">
    <w:name w:val="批注文字 字符"/>
    <w:basedOn w:val="48"/>
    <w:qFormat/>
    <w:uiPriority w:val="0"/>
    <w:rPr>
      <w:rFonts w:ascii="Times New Roman" w:hAnsi="Times New Roman" w:eastAsia="宋体" w:cs="Times New Roman"/>
      <w:szCs w:val="24"/>
    </w:rPr>
  </w:style>
  <w:style w:type="character" w:customStyle="1" w:styleId="73">
    <w:name w:val="批注文字 Char1"/>
    <w:basedOn w:val="48"/>
    <w:link w:val="15"/>
    <w:qFormat/>
    <w:uiPriority w:val="99"/>
    <w:rPr>
      <w:rFonts w:ascii="Calibri" w:hAnsi="Calibri" w:eastAsia="宋体" w:cs="Times New Roman"/>
      <w:szCs w:val="24"/>
    </w:rPr>
  </w:style>
  <w:style w:type="character" w:customStyle="1" w:styleId="74">
    <w:name w:val="批注主题 字符"/>
    <w:basedOn w:val="72"/>
    <w:qFormat/>
    <w:uiPriority w:val="0"/>
    <w:rPr>
      <w:rFonts w:ascii="Times New Roman" w:hAnsi="Times New Roman" w:eastAsia="宋体" w:cs="Times New Roman"/>
      <w:b/>
      <w:bCs/>
      <w:szCs w:val="24"/>
    </w:rPr>
  </w:style>
  <w:style w:type="character" w:customStyle="1" w:styleId="75">
    <w:name w:val="批注主题 Char"/>
    <w:basedOn w:val="73"/>
    <w:link w:val="42"/>
    <w:qFormat/>
    <w:uiPriority w:val="0"/>
    <w:rPr>
      <w:rFonts w:ascii="等线" w:hAnsi="等线" w:eastAsia="等线" w:cs="Times New Roman"/>
      <w:b/>
      <w:bCs/>
      <w:sz w:val="28"/>
      <w:szCs w:val="24"/>
    </w:rPr>
  </w:style>
  <w:style w:type="character" w:customStyle="1" w:styleId="76">
    <w:name w:val="正文文本 字符"/>
    <w:basedOn w:val="48"/>
    <w:qFormat/>
    <w:uiPriority w:val="0"/>
    <w:rPr>
      <w:rFonts w:ascii="Times New Roman" w:hAnsi="Times New Roman" w:eastAsia="宋体" w:cs="Times New Roman"/>
      <w:szCs w:val="24"/>
    </w:rPr>
  </w:style>
  <w:style w:type="character" w:customStyle="1" w:styleId="77">
    <w:name w:val="正文文本 Char"/>
    <w:basedOn w:val="48"/>
    <w:link w:val="17"/>
    <w:qFormat/>
    <w:uiPriority w:val="0"/>
    <w:rPr>
      <w:rFonts w:ascii="Times New Roman" w:hAnsi="Times New Roman" w:eastAsia="宋体" w:cs="Times New Roman"/>
      <w:kern w:val="0"/>
      <w:sz w:val="24"/>
      <w:szCs w:val="24"/>
    </w:rPr>
  </w:style>
  <w:style w:type="character" w:customStyle="1" w:styleId="78">
    <w:name w:val="正文文本缩进 字符"/>
    <w:basedOn w:val="48"/>
    <w:qFormat/>
    <w:uiPriority w:val="0"/>
    <w:rPr>
      <w:rFonts w:ascii="Times New Roman" w:hAnsi="Times New Roman" w:eastAsia="宋体" w:cs="Times New Roman"/>
      <w:szCs w:val="24"/>
    </w:rPr>
  </w:style>
  <w:style w:type="character" w:customStyle="1" w:styleId="79">
    <w:name w:val="正文文本缩进 Char"/>
    <w:basedOn w:val="48"/>
    <w:link w:val="18"/>
    <w:qFormat/>
    <w:uiPriority w:val="0"/>
    <w:rPr>
      <w:rFonts w:ascii="宋体" w:hAnsi="宋体" w:eastAsia="等线" w:cs="Times New Roman"/>
      <w:sz w:val="28"/>
      <w:szCs w:val="24"/>
    </w:rPr>
  </w:style>
  <w:style w:type="character" w:customStyle="1" w:styleId="80">
    <w:name w:val="纯文本 字符"/>
    <w:basedOn w:val="48"/>
    <w:qFormat/>
    <w:uiPriority w:val="0"/>
    <w:rPr>
      <w:rFonts w:hAnsi="Courier New" w:cs="Courier New" w:asciiTheme="minorEastAsia"/>
      <w:szCs w:val="24"/>
    </w:rPr>
  </w:style>
  <w:style w:type="character" w:customStyle="1" w:styleId="81">
    <w:name w:val="纯文本 Char"/>
    <w:basedOn w:val="48"/>
    <w:qFormat/>
    <w:uiPriority w:val="0"/>
    <w:rPr>
      <w:rFonts w:ascii="宋体" w:hAnsi="Courier New"/>
      <w:sz w:val="21"/>
      <w:szCs w:val="21"/>
    </w:rPr>
  </w:style>
  <w:style w:type="character" w:customStyle="1" w:styleId="82">
    <w:name w:val="日期 Char1"/>
    <w:basedOn w:val="48"/>
    <w:link w:val="25"/>
    <w:qFormat/>
    <w:uiPriority w:val="0"/>
    <w:rPr>
      <w:rFonts w:ascii="宋体" w:hAnsi="Courier New" w:eastAsia="楷体_GB2312" w:cs="Times New Roman"/>
      <w:sz w:val="32"/>
      <w:szCs w:val="20"/>
    </w:rPr>
  </w:style>
  <w:style w:type="character" w:customStyle="1" w:styleId="83">
    <w:name w:val="日期 Char"/>
    <w:basedOn w:val="48"/>
    <w:qFormat/>
    <w:uiPriority w:val="0"/>
    <w:rPr>
      <w:rFonts w:ascii="宋体" w:hAnsi="Courier New"/>
      <w:sz w:val="21"/>
      <w:szCs w:val="21"/>
    </w:rPr>
  </w:style>
  <w:style w:type="character" w:customStyle="1" w:styleId="84">
    <w:name w:val="正文文本缩进 2 字符"/>
    <w:basedOn w:val="48"/>
    <w:qFormat/>
    <w:uiPriority w:val="0"/>
    <w:rPr>
      <w:rFonts w:ascii="Times New Roman" w:hAnsi="Times New Roman" w:eastAsia="宋体" w:cs="Times New Roman"/>
      <w:szCs w:val="24"/>
    </w:rPr>
  </w:style>
  <w:style w:type="character" w:customStyle="1" w:styleId="85">
    <w:name w:val="正文文本缩进 2 Char"/>
    <w:basedOn w:val="48"/>
    <w:qFormat/>
    <w:uiPriority w:val="0"/>
    <w:rPr>
      <w:sz w:val="24"/>
      <w:szCs w:val="24"/>
    </w:rPr>
  </w:style>
  <w:style w:type="character" w:customStyle="1" w:styleId="86">
    <w:name w:val="批注框文本 字符"/>
    <w:basedOn w:val="48"/>
    <w:qFormat/>
    <w:uiPriority w:val="0"/>
    <w:rPr>
      <w:rFonts w:ascii="Times New Roman" w:hAnsi="Times New Roman" w:eastAsia="宋体" w:cs="Times New Roman"/>
      <w:sz w:val="18"/>
      <w:szCs w:val="18"/>
    </w:rPr>
  </w:style>
  <w:style w:type="character" w:customStyle="1" w:styleId="87">
    <w:name w:val="批注框文本 Char"/>
    <w:basedOn w:val="48"/>
    <w:link w:val="27"/>
    <w:qFormat/>
    <w:uiPriority w:val="0"/>
    <w:rPr>
      <w:rFonts w:ascii="Times New Roman" w:hAnsi="Times New Roman" w:eastAsia="宋体" w:cs="Times New Roman"/>
      <w:sz w:val="18"/>
      <w:szCs w:val="18"/>
    </w:rPr>
  </w:style>
  <w:style w:type="character" w:customStyle="1" w:styleId="88">
    <w:name w:val="副标题 Char"/>
    <w:basedOn w:val="48"/>
    <w:link w:val="32"/>
    <w:qFormat/>
    <w:uiPriority w:val="0"/>
    <w:rPr>
      <w:rFonts w:ascii="Cambria" w:hAnsi="Cambria" w:eastAsia="方正楷体简体" w:cs="Times New Roman"/>
      <w:kern w:val="28"/>
      <w:sz w:val="32"/>
      <w:szCs w:val="32"/>
    </w:rPr>
  </w:style>
  <w:style w:type="character" w:customStyle="1" w:styleId="89">
    <w:name w:val="正文文本缩进 3 字符"/>
    <w:basedOn w:val="48"/>
    <w:qFormat/>
    <w:uiPriority w:val="0"/>
    <w:rPr>
      <w:rFonts w:ascii="Times New Roman" w:hAnsi="Times New Roman" w:eastAsia="宋体" w:cs="Times New Roman"/>
      <w:sz w:val="16"/>
      <w:szCs w:val="16"/>
    </w:rPr>
  </w:style>
  <w:style w:type="character" w:customStyle="1" w:styleId="90">
    <w:name w:val="正文文本缩进 3 Char"/>
    <w:basedOn w:val="48"/>
    <w:qFormat/>
    <w:uiPriority w:val="0"/>
    <w:rPr>
      <w:sz w:val="16"/>
      <w:szCs w:val="16"/>
    </w:rPr>
  </w:style>
  <w:style w:type="character" w:customStyle="1" w:styleId="91">
    <w:name w:val="标题 Char1"/>
    <w:basedOn w:val="48"/>
    <w:link w:val="41"/>
    <w:qFormat/>
    <w:uiPriority w:val="0"/>
    <w:rPr>
      <w:rFonts w:ascii="Cambria" w:hAnsi="Cambria" w:eastAsia="宋体" w:cs="Times New Roman"/>
      <w:b/>
      <w:bCs/>
      <w:sz w:val="32"/>
      <w:szCs w:val="32"/>
    </w:rPr>
  </w:style>
  <w:style w:type="character" w:customStyle="1" w:styleId="92">
    <w:name w:val="标题 Char"/>
    <w:basedOn w:val="48"/>
    <w:qFormat/>
    <w:uiPriority w:val="0"/>
    <w:rPr>
      <w:rFonts w:ascii="Cambria" w:hAnsi="Cambria" w:eastAsia="方正小标宋简体"/>
      <w:b/>
      <w:bCs/>
      <w:kern w:val="2"/>
      <w:sz w:val="32"/>
      <w:szCs w:val="32"/>
    </w:rPr>
  </w:style>
  <w:style w:type="paragraph" w:customStyle="1" w:styleId="93">
    <w:name w:val="Char"/>
    <w:basedOn w:val="1"/>
    <w:qFormat/>
    <w:uiPriority w:val="0"/>
    <w:rPr>
      <w:szCs w:val="21"/>
    </w:rPr>
  </w:style>
  <w:style w:type="paragraph" w:customStyle="1" w:styleId="94">
    <w:name w:val="样式1"/>
    <w:basedOn w:val="1"/>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95">
    <w:name w:val="TOC 标题1"/>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96">
    <w:name w:val="默认段落字体 Para Char Char Char Char"/>
    <w:basedOn w:val="1"/>
    <w:qFormat/>
    <w:uiPriority w:val="0"/>
    <w:rPr>
      <w:szCs w:val="21"/>
    </w:rPr>
  </w:style>
  <w:style w:type="character" w:customStyle="1" w:styleId="97">
    <w:name w:val="正文要点内容 Char Char"/>
    <w:basedOn w:val="98"/>
    <w:link w:val="45"/>
    <w:qFormat/>
    <w:locked/>
    <w:uiPriority w:val="0"/>
    <w:rPr>
      <w:rFonts w:ascii="Times New Roman" w:hAnsi="Times New Roman" w:eastAsia="宋体" w:cs="Times New Roman"/>
      <w:szCs w:val="21"/>
    </w:rPr>
  </w:style>
  <w:style w:type="character" w:customStyle="1" w:styleId="98">
    <w:name w:val="正文要点 Char Char"/>
    <w:basedOn w:val="48"/>
    <w:link w:val="44"/>
    <w:qFormat/>
    <w:locked/>
    <w:uiPriority w:val="0"/>
    <w:rPr>
      <w:rFonts w:ascii="Times New Roman" w:hAnsi="Times New Roman" w:eastAsia="宋体" w:cs="Times New Roman"/>
      <w:szCs w:val="21"/>
    </w:rPr>
  </w:style>
  <w:style w:type="paragraph" w:customStyle="1" w:styleId="99">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0">
    <w:name w:val="样式 标题 3h3Level 3 HeadH3Heading 3 - oldlevel_3PIM 3BOD 0s..."/>
    <w:basedOn w:val="5"/>
    <w:qFormat/>
    <w:uiPriority w:val="0"/>
    <w:pPr>
      <w:tabs>
        <w:tab w:val="left" w:pos="0"/>
      </w:tabs>
      <w:adjustRightInd w:val="0"/>
      <w:spacing w:before="0" w:after="0" w:line="500" w:lineRule="exact"/>
      <w:textAlignment w:val="baseline"/>
    </w:pPr>
    <w:rPr>
      <w:kern w:val="0"/>
      <w:sz w:val="28"/>
      <w:szCs w:val="28"/>
    </w:rPr>
  </w:style>
  <w:style w:type="paragraph" w:customStyle="1" w:styleId="101">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02">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03">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04">
    <w:name w:val="无间隔1"/>
    <w:link w:val="105"/>
    <w:qFormat/>
    <w:uiPriority w:val="0"/>
    <w:rPr>
      <w:rFonts w:ascii="Calibri" w:hAnsi="Calibri" w:eastAsia="宋体" w:cs="Calibri"/>
      <w:sz w:val="22"/>
      <w:szCs w:val="22"/>
      <w:lang w:val="en-US" w:eastAsia="zh-CN" w:bidi="ar-SA"/>
    </w:rPr>
  </w:style>
  <w:style w:type="character" w:customStyle="1" w:styleId="105">
    <w:name w:val="无间隔 Char"/>
    <w:basedOn w:val="48"/>
    <w:link w:val="104"/>
    <w:qFormat/>
    <w:locked/>
    <w:uiPriority w:val="0"/>
    <w:rPr>
      <w:rFonts w:ascii="Calibri" w:hAnsi="Calibri" w:eastAsia="宋体" w:cs="Calibri"/>
      <w:kern w:val="0"/>
      <w:sz w:val="22"/>
    </w:rPr>
  </w:style>
  <w:style w:type="paragraph" w:customStyle="1" w:styleId="106">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07">
    <w:name w:val="Char1 Char Char Char"/>
    <w:basedOn w:val="1"/>
    <w:qFormat/>
    <w:uiPriority w:val="0"/>
    <w:rPr>
      <w:rFonts w:eastAsia="仿宋_GB2312"/>
      <w:sz w:val="28"/>
      <w:szCs w:val="28"/>
    </w:rPr>
  </w:style>
  <w:style w:type="paragraph" w:customStyle="1" w:styleId="108">
    <w:name w:val="默认段落字体 Para Char Char Char Char Char Char Char Char Char Char"/>
    <w:basedOn w:val="1"/>
    <w:qFormat/>
    <w:uiPriority w:val="0"/>
    <w:rPr>
      <w:rFonts w:ascii="Tahoma" w:hAnsi="Tahoma" w:cs="Tahoma"/>
      <w:sz w:val="24"/>
    </w:rPr>
  </w:style>
  <w:style w:type="paragraph" w:customStyle="1" w:styleId="109">
    <w:name w:val="修订1"/>
    <w:hidden/>
    <w:qFormat/>
    <w:uiPriority w:val="0"/>
    <w:rPr>
      <w:rFonts w:ascii="Times New Roman" w:hAnsi="Times New Roman" w:eastAsia="宋体" w:cs="Times New Roman"/>
      <w:kern w:val="2"/>
      <w:sz w:val="21"/>
      <w:szCs w:val="21"/>
      <w:lang w:val="en-US" w:eastAsia="zh-CN" w:bidi="ar-SA"/>
    </w:rPr>
  </w:style>
  <w:style w:type="paragraph" w:customStyle="1" w:styleId="110">
    <w:name w:val="列出段落1"/>
    <w:basedOn w:val="1"/>
    <w:link w:val="174"/>
    <w:qFormat/>
    <w:uiPriority w:val="0"/>
    <w:pPr>
      <w:ind w:firstLine="420" w:firstLineChars="200"/>
    </w:pPr>
    <w:rPr>
      <w:szCs w:val="21"/>
    </w:rPr>
  </w:style>
  <w:style w:type="character" w:customStyle="1" w:styleId="111">
    <w:name w:val="Title Char"/>
    <w:qFormat/>
    <w:locked/>
    <w:uiPriority w:val="0"/>
    <w:rPr>
      <w:rFonts w:ascii="Cambria" w:hAnsi="Cambria" w:eastAsia="方正小标宋简体" w:cs="Cambria"/>
      <w:b/>
      <w:bCs/>
      <w:kern w:val="2"/>
      <w:sz w:val="32"/>
      <w:szCs w:val="32"/>
    </w:rPr>
  </w:style>
  <w:style w:type="character" w:customStyle="1" w:styleId="112">
    <w:name w:val="Subtitle Char"/>
    <w:qFormat/>
    <w:locked/>
    <w:uiPriority w:val="0"/>
    <w:rPr>
      <w:rFonts w:ascii="Cambria" w:hAnsi="Cambria" w:eastAsia="方正楷体简体" w:cs="Cambria"/>
      <w:kern w:val="28"/>
      <w:sz w:val="32"/>
      <w:szCs w:val="32"/>
    </w:rPr>
  </w:style>
  <w:style w:type="character" w:customStyle="1" w:styleId="113">
    <w:name w:val="Plain Text Char"/>
    <w:qFormat/>
    <w:locked/>
    <w:uiPriority w:val="0"/>
    <w:rPr>
      <w:rFonts w:ascii="宋体" w:hAnsi="Courier New" w:cs="宋体"/>
      <w:sz w:val="21"/>
      <w:szCs w:val="21"/>
    </w:rPr>
  </w:style>
  <w:style w:type="character" w:customStyle="1" w:styleId="114">
    <w:name w:val="Date Char"/>
    <w:qFormat/>
    <w:locked/>
    <w:uiPriority w:val="0"/>
    <w:rPr>
      <w:rFonts w:ascii="宋体" w:hAnsi="Courier New" w:cs="宋体"/>
      <w:sz w:val="21"/>
      <w:szCs w:val="21"/>
    </w:rPr>
  </w:style>
  <w:style w:type="character" w:customStyle="1" w:styleId="115">
    <w:name w:val="Body Text Indent Char"/>
    <w:qFormat/>
    <w:locked/>
    <w:uiPriority w:val="0"/>
    <w:rPr>
      <w:rFonts w:ascii="仿宋_GB2312" w:hAnsi="Times New Roman" w:eastAsia="仿宋_GB2312" w:cs="仿宋_GB2312"/>
      <w:sz w:val="32"/>
      <w:szCs w:val="32"/>
    </w:rPr>
  </w:style>
  <w:style w:type="character" w:customStyle="1" w:styleId="116">
    <w:name w:val="case31"/>
    <w:basedOn w:val="48"/>
    <w:qFormat/>
    <w:uiPriority w:val="0"/>
    <w:rPr>
      <w:sz w:val="21"/>
      <w:szCs w:val="21"/>
    </w:rPr>
  </w:style>
  <w:style w:type="character" w:customStyle="1" w:styleId="117">
    <w:name w:val="Footer Char"/>
    <w:qFormat/>
    <w:locked/>
    <w:uiPriority w:val="0"/>
    <w:rPr>
      <w:rFonts w:ascii="Times New Roman" w:hAnsi="Times New Roman" w:cs="Times New Roman"/>
      <w:sz w:val="18"/>
      <w:szCs w:val="18"/>
    </w:rPr>
  </w:style>
  <w:style w:type="character" w:customStyle="1" w:styleId="118">
    <w:name w:val="Header Char"/>
    <w:qFormat/>
    <w:locked/>
    <w:uiPriority w:val="0"/>
    <w:rPr>
      <w:rFonts w:ascii="Times New Roman" w:hAnsi="Times New Roman" w:cs="Times New Roman"/>
      <w:sz w:val="18"/>
      <w:szCs w:val="18"/>
    </w:rPr>
  </w:style>
  <w:style w:type="character" w:customStyle="1" w:styleId="119">
    <w:name w:val="Body Text Indent 3 Char"/>
    <w:qFormat/>
    <w:locked/>
    <w:uiPriority w:val="0"/>
    <w:rPr>
      <w:rFonts w:ascii="Times New Roman" w:hAnsi="Times New Roman" w:cs="Times New Roman"/>
      <w:sz w:val="16"/>
      <w:szCs w:val="16"/>
    </w:rPr>
  </w:style>
  <w:style w:type="character" w:customStyle="1" w:styleId="120">
    <w:name w:val="Body Text Char"/>
    <w:qFormat/>
    <w:locked/>
    <w:uiPriority w:val="0"/>
    <w:rPr>
      <w:rFonts w:ascii="Times New Roman" w:hAnsi="Times New Roman" w:cs="Times New Roman"/>
      <w:sz w:val="24"/>
      <w:szCs w:val="24"/>
    </w:rPr>
  </w:style>
  <w:style w:type="character" w:customStyle="1" w:styleId="121">
    <w:name w:val="Body Text Indent 2 Char"/>
    <w:qFormat/>
    <w:locked/>
    <w:uiPriority w:val="0"/>
    <w:rPr>
      <w:rFonts w:ascii="Times New Roman" w:hAnsi="Times New Roman" w:cs="Times New Roman"/>
      <w:sz w:val="24"/>
      <w:szCs w:val="24"/>
    </w:rPr>
  </w:style>
  <w:style w:type="character" w:customStyle="1" w:styleId="122">
    <w:name w:val="Char Char4"/>
    <w:basedOn w:val="48"/>
    <w:qFormat/>
    <w:uiPriority w:val="0"/>
    <w:rPr>
      <w:rFonts w:eastAsia="宋体"/>
      <w:b/>
      <w:bCs/>
      <w:kern w:val="44"/>
      <w:sz w:val="44"/>
      <w:szCs w:val="44"/>
      <w:lang w:val="en-US" w:eastAsia="zh-CN"/>
    </w:rPr>
  </w:style>
  <w:style w:type="character" w:customStyle="1" w:styleId="123">
    <w:name w:val="普通文字 Char"/>
    <w:basedOn w:val="48"/>
    <w:qFormat/>
    <w:uiPriority w:val="0"/>
    <w:rPr>
      <w:rFonts w:ascii="宋体" w:hAnsi="Courier New" w:cs="宋体"/>
      <w:sz w:val="21"/>
      <w:szCs w:val="21"/>
    </w:rPr>
  </w:style>
  <w:style w:type="paragraph" w:styleId="124">
    <w:name w:val="No Spacing"/>
    <w:basedOn w:val="1"/>
    <w:link w:val="317"/>
    <w:qFormat/>
    <w:uiPriority w:val="0"/>
    <w:pPr>
      <w:widowControl/>
      <w:jc w:val="left"/>
    </w:pPr>
    <w:rPr>
      <w:rFonts w:ascii="Calibri" w:hAnsi="Calibri"/>
      <w:kern w:val="0"/>
      <w:sz w:val="22"/>
      <w:szCs w:val="22"/>
      <w:lang w:eastAsia="en-US" w:bidi="en-US"/>
    </w:rPr>
  </w:style>
  <w:style w:type="paragraph" w:customStyle="1" w:styleId="125">
    <w:name w:val="TOC 标题2"/>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styleId="126">
    <w:name w:val="List Paragraph"/>
    <w:basedOn w:val="1"/>
    <w:qFormat/>
    <w:uiPriority w:val="0"/>
    <w:pPr>
      <w:widowControl/>
      <w:ind w:left="720"/>
      <w:contextualSpacing/>
      <w:jc w:val="left"/>
    </w:pPr>
    <w:rPr>
      <w:rFonts w:eastAsia="Times New Roman"/>
      <w:kern w:val="0"/>
      <w:sz w:val="24"/>
    </w:rPr>
  </w:style>
  <w:style w:type="character" w:customStyle="1" w:styleId="127">
    <w:name w:val="文档结构图 Char"/>
    <w:basedOn w:val="48"/>
    <w:link w:val="13"/>
    <w:qFormat/>
    <w:uiPriority w:val="0"/>
    <w:rPr>
      <w:rFonts w:ascii="等线" w:hAnsi="等线" w:eastAsia="等线" w:cs="Times New Roman"/>
      <w:szCs w:val="24"/>
      <w:shd w:val="clear" w:color="auto" w:fill="000080"/>
    </w:rPr>
  </w:style>
  <w:style w:type="paragraph" w:customStyle="1" w:styleId="12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9">
    <w:name w:val="font6"/>
    <w:basedOn w:val="1"/>
    <w:qFormat/>
    <w:uiPriority w:val="0"/>
    <w:pPr>
      <w:widowControl/>
      <w:spacing w:before="100" w:beforeAutospacing="1" w:after="100" w:afterAutospacing="1"/>
      <w:jc w:val="left"/>
    </w:pPr>
    <w:rPr>
      <w:kern w:val="0"/>
      <w:szCs w:val="21"/>
    </w:rPr>
  </w:style>
  <w:style w:type="paragraph" w:customStyle="1" w:styleId="130">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31">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32">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3">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34">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5">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6">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7">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8">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39">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4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4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46">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4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4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49">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0">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1">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2">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53">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4">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5">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6">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7">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8">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9">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0">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1">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2">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3">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4">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5">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6">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7">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8">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9">
    <w:name w:val="修订2"/>
    <w:link w:val="215"/>
    <w:qFormat/>
    <w:uiPriority w:val="99"/>
    <w:rPr>
      <w:rFonts w:ascii="Times New Roman" w:hAnsi="Times New Roman" w:eastAsia="宋体" w:cs="Times New Roman"/>
      <w:kern w:val="2"/>
      <w:sz w:val="21"/>
      <w:szCs w:val="21"/>
      <w:lang w:val="en-US" w:eastAsia="zh-CN" w:bidi="ar-SA"/>
    </w:rPr>
  </w:style>
  <w:style w:type="character" w:customStyle="1" w:styleId="170">
    <w:name w:val="正文缩进 Char"/>
    <w:link w:val="2"/>
    <w:qFormat/>
    <w:uiPriority w:val="0"/>
    <w:rPr>
      <w:rFonts w:ascii="等线" w:hAnsi="等线" w:eastAsia="等线" w:cs="Times New Roman"/>
    </w:rPr>
  </w:style>
  <w:style w:type="character" w:customStyle="1" w:styleId="171">
    <w:name w:val="列表段落 字符"/>
    <w:qFormat/>
    <w:uiPriority w:val="0"/>
    <w:rPr>
      <w:rFonts w:ascii="Times New Roman" w:hAnsi="Times New Roman" w:eastAsia="宋体" w:cs="Times New Roman"/>
      <w:szCs w:val="21"/>
    </w:rPr>
  </w:style>
  <w:style w:type="character" w:customStyle="1" w:styleId="172">
    <w:name w:val="纯文本 Char1"/>
    <w:link w:val="23"/>
    <w:qFormat/>
    <w:locked/>
    <w:uiPriority w:val="99"/>
    <w:rPr>
      <w:rFonts w:ascii="宋体" w:hAnsi="Courier New" w:eastAsia="宋体" w:cs="Times New Roman"/>
      <w:kern w:val="0"/>
      <w:szCs w:val="21"/>
    </w:rPr>
  </w:style>
  <w:style w:type="character" w:customStyle="1" w:styleId="173">
    <w:name w:val="列出段落 Char"/>
    <w:qFormat/>
    <w:uiPriority w:val="0"/>
    <w:rPr>
      <w:rFonts w:ascii="Calibri" w:hAnsi="Calibri"/>
      <w:kern w:val="2"/>
      <w:sz w:val="21"/>
      <w:szCs w:val="22"/>
    </w:rPr>
  </w:style>
  <w:style w:type="character" w:customStyle="1" w:styleId="174">
    <w:name w:val="列出段落字符"/>
    <w:link w:val="110"/>
    <w:qFormat/>
    <w:locked/>
    <w:uiPriority w:val="0"/>
    <w:rPr>
      <w:rFonts w:ascii="Times New Roman" w:hAnsi="Times New Roman" w:eastAsia="宋体" w:cs="Times New Roman"/>
      <w:szCs w:val="21"/>
    </w:rPr>
  </w:style>
  <w:style w:type="character" w:customStyle="1" w:styleId="175">
    <w:name w:val="style1"/>
    <w:qFormat/>
    <w:uiPriority w:val="0"/>
  </w:style>
  <w:style w:type="character" w:customStyle="1" w:styleId="176">
    <w:name w:val="up"/>
    <w:qFormat/>
    <w:uiPriority w:val="0"/>
  </w:style>
  <w:style w:type="character" w:customStyle="1" w:styleId="177">
    <w:name w:val="正文文本缩进 3 Char1"/>
    <w:link w:val="34"/>
    <w:qFormat/>
    <w:locked/>
    <w:uiPriority w:val="0"/>
    <w:rPr>
      <w:rFonts w:ascii="等线" w:hAnsi="等线" w:eastAsia="等线" w:cs="Times New Roman"/>
      <w:sz w:val="28"/>
      <w:szCs w:val="24"/>
    </w:rPr>
  </w:style>
  <w:style w:type="character" w:customStyle="1" w:styleId="178">
    <w:name w:val="f101"/>
    <w:qFormat/>
    <w:uiPriority w:val="0"/>
    <w:rPr>
      <w:sz w:val="20"/>
      <w:szCs w:val="20"/>
    </w:rPr>
  </w:style>
  <w:style w:type="character" w:customStyle="1" w:styleId="179">
    <w:name w:val="style201"/>
    <w:qFormat/>
    <w:uiPriority w:val="0"/>
    <w:rPr>
      <w:sz w:val="27"/>
      <w:szCs w:val="27"/>
    </w:rPr>
  </w:style>
  <w:style w:type="character" w:customStyle="1" w:styleId="180">
    <w:name w:val="正文文本缩进 2 Char1"/>
    <w:link w:val="26"/>
    <w:qFormat/>
    <w:locked/>
    <w:uiPriority w:val="0"/>
    <w:rPr>
      <w:rFonts w:ascii="等线" w:hAnsi="等线" w:eastAsia="等线" w:cs="Times New Roman"/>
      <w:sz w:val="28"/>
      <w:szCs w:val="24"/>
    </w:rPr>
  </w:style>
  <w:style w:type="character" w:customStyle="1" w:styleId="181">
    <w:name w:val="标题 2 Char Char Char Char Char Char Char Char Char Char Char Char Char Char Char Char Char Char Char Char Char"/>
    <w:qFormat/>
    <w:uiPriority w:val="0"/>
  </w:style>
  <w:style w:type="character" w:customStyle="1" w:styleId="182">
    <w:name w:val="标题 3 Char1"/>
    <w:link w:val="5"/>
    <w:qFormat/>
    <w:uiPriority w:val="0"/>
    <w:rPr>
      <w:rFonts w:ascii="Times New Roman" w:hAnsi="Times New Roman" w:eastAsia="宋体" w:cs="Times New Roman"/>
      <w:b/>
      <w:sz w:val="32"/>
      <w:szCs w:val="20"/>
    </w:rPr>
  </w:style>
  <w:style w:type="character" w:customStyle="1" w:styleId="183">
    <w:name w:val="正文缩进 字符"/>
    <w:qFormat/>
    <w:uiPriority w:val="0"/>
  </w:style>
  <w:style w:type="character" w:customStyle="1" w:styleId="184">
    <w:name w:val="Char Char11"/>
    <w:link w:val="185"/>
    <w:qFormat/>
    <w:uiPriority w:val="0"/>
    <w:rPr>
      <w:sz w:val="24"/>
    </w:rPr>
  </w:style>
  <w:style w:type="paragraph" w:customStyle="1" w:styleId="185">
    <w:name w:val="正文文本缩进 Char Char"/>
    <w:basedOn w:val="1"/>
    <w:link w:val="184"/>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186">
    <w:name w:val="标题 2 字符1"/>
    <w:qFormat/>
    <w:uiPriority w:val="0"/>
    <w:rPr>
      <w:rFonts w:ascii="Arial" w:hAnsi="Arial" w:eastAsia="黑体" w:cs="Times New Roman"/>
      <w:b/>
      <w:bCs/>
      <w:sz w:val="32"/>
      <w:szCs w:val="32"/>
    </w:rPr>
  </w:style>
  <w:style w:type="character" w:customStyle="1" w:styleId="187">
    <w:name w:val="Heading 3 Char"/>
    <w:qFormat/>
    <w:locked/>
    <w:uiPriority w:val="0"/>
    <w:rPr>
      <w:rFonts w:cs="Times New Roman"/>
      <w:b/>
      <w:kern w:val="2"/>
      <w:sz w:val="32"/>
    </w:rPr>
  </w:style>
  <w:style w:type="character" w:customStyle="1" w:styleId="188">
    <w:name w:val="style121"/>
    <w:qFormat/>
    <w:uiPriority w:val="0"/>
    <w:rPr>
      <w:b/>
      <w:bCs/>
      <w:color w:val="000000"/>
    </w:rPr>
  </w:style>
  <w:style w:type="character" w:customStyle="1" w:styleId="189">
    <w:name w:val="gray_91"/>
    <w:qFormat/>
    <w:uiPriority w:val="0"/>
    <w:rPr>
      <w:rFonts w:hint="default" w:ascii="ˎ̥" w:hAnsi="ˎ̥"/>
      <w:color w:val="666666"/>
      <w:sz w:val="18"/>
      <w:szCs w:val="18"/>
    </w:rPr>
  </w:style>
  <w:style w:type="character" w:customStyle="1" w:styleId="190">
    <w:name w:val="Char Char9"/>
    <w:qFormat/>
    <w:uiPriority w:val="0"/>
    <w:rPr>
      <w:rFonts w:eastAsia="宋体"/>
      <w:kern w:val="2"/>
      <w:sz w:val="18"/>
      <w:szCs w:val="18"/>
      <w:lang w:val="en-US" w:eastAsia="zh-CN" w:bidi="ar-SA"/>
    </w:rPr>
  </w:style>
  <w:style w:type="character" w:customStyle="1" w:styleId="191">
    <w:name w:val="e1"/>
    <w:qFormat/>
    <w:uiPriority w:val="0"/>
  </w:style>
  <w:style w:type="character" w:customStyle="1" w:styleId="192">
    <w:name w:val="标题 8 Char"/>
    <w:link w:val="10"/>
    <w:qFormat/>
    <w:locked/>
    <w:uiPriority w:val="0"/>
    <w:rPr>
      <w:rFonts w:ascii="Cambria" w:hAnsi="Cambria" w:eastAsia="宋体" w:cs="Times New Roman"/>
      <w:kern w:val="0"/>
      <w:sz w:val="24"/>
      <w:szCs w:val="24"/>
    </w:rPr>
  </w:style>
  <w:style w:type="character" w:customStyle="1" w:styleId="193">
    <w:name w:val="f10b"/>
    <w:qFormat/>
    <w:uiPriority w:val="0"/>
  </w:style>
  <w:style w:type="character" w:customStyle="1" w:styleId="194">
    <w:name w:val="Heading 1 Char"/>
    <w:qFormat/>
    <w:locked/>
    <w:uiPriority w:val="0"/>
    <w:rPr>
      <w:rFonts w:ascii="宋体" w:eastAsia="宋体" w:cs="Times New Roman"/>
      <w:b/>
      <w:kern w:val="44"/>
      <w:sz w:val="32"/>
    </w:rPr>
  </w:style>
  <w:style w:type="character" w:customStyle="1" w:styleId="195">
    <w:name w:val="批注主题 字符1"/>
    <w:qFormat/>
    <w:locked/>
    <w:uiPriority w:val="0"/>
    <w:rPr>
      <w:b/>
      <w:bCs/>
      <w:szCs w:val="24"/>
    </w:rPr>
  </w:style>
  <w:style w:type="character" w:customStyle="1" w:styleId="196">
    <w:name w:val="正文文本 字符1"/>
    <w:qFormat/>
    <w:locked/>
    <w:uiPriority w:val="0"/>
    <w:rPr>
      <w:rFonts w:ascii="宋体" w:hAnsi="宋体"/>
      <w:sz w:val="24"/>
      <w:szCs w:val="24"/>
    </w:rPr>
  </w:style>
  <w:style w:type="character" w:customStyle="1" w:styleId="197">
    <w:name w:val="条款样式 Char"/>
    <w:qFormat/>
    <w:locked/>
    <w:uiPriority w:val="0"/>
    <w:rPr>
      <w:rFonts w:ascii="Calibri" w:hAnsi="Calibri"/>
    </w:rPr>
  </w:style>
  <w:style w:type="character" w:customStyle="1" w:styleId="198">
    <w:name w:val="正文（首行缩进两字） Char"/>
    <w:qFormat/>
    <w:uiPriority w:val="0"/>
    <w:rPr>
      <w:rFonts w:eastAsia="宋体"/>
      <w:kern w:val="2"/>
      <w:sz w:val="21"/>
      <w:lang w:val="en-US" w:eastAsia="zh-CN" w:bidi="ar-SA"/>
    </w:rPr>
  </w:style>
  <w:style w:type="character" w:customStyle="1" w:styleId="199">
    <w:name w:val="ca-8"/>
    <w:qFormat/>
    <w:uiPriority w:val="0"/>
  </w:style>
  <w:style w:type="character" w:customStyle="1" w:styleId="200">
    <w:name w:val="huei12b1"/>
    <w:qFormat/>
    <w:uiPriority w:val="0"/>
    <w:rPr>
      <w:b/>
      <w:bCs/>
      <w:color w:val="333333"/>
      <w:sz w:val="18"/>
      <w:szCs w:val="18"/>
    </w:rPr>
  </w:style>
  <w:style w:type="character" w:customStyle="1" w:styleId="201">
    <w:name w:val="正文文本缩进 字符1"/>
    <w:qFormat/>
    <w:locked/>
    <w:uiPriority w:val="0"/>
    <w:rPr>
      <w:rFonts w:ascii="宋体" w:hAnsi="宋体"/>
      <w:sz w:val="28"/>
      <w:szCs w:val="24"/>
    </w:rPr>
  </w:style>
  <w:style w:type="character" w:customStyle="1" w:styleId="202">
    <w:name w:val="样式 正文首行缩进 + (符号) 宋体1 Char"/>
    <w:link w:val="203"/>
    <w:qFormat/>
    <w:uiPriority w:val="0"/>
    <w:rPr>
      <w:sz w:val="24"/>
    </w:rPr>
  </w:style>
  <w:style w:type="paragraph" w:customStyle="1" w:styleId="203">
    <w:name w:val="样式 正文首行缩进 + (符号) 宋体1"/>
    <w:basedOn w:val="43"/>
    <w:link w:val="202"/>
    <w:qFormat/>
    <w:uiPriority w:val="0"/>
    <w:pPr>
      <w:widowControl/>
      <w:spacing w:line="360" w:lineRule="auto"/>
      <w:ind w:firstLine="200" w:firstLineChars="200"/>
      <w:jc w:val="left"/>
    </w:pPr>
    <w:rPr>
      <w:rFonts w:asciiTheme="minorHAnsi" w:hAnsiTheme="minorHAnsi" w:eastAsiaTheme="minorEastAsia" w:cstheme="minorBidi"/>
      <w:sz w:val="24"/>
      <w:szCs w:val="22"/>
    </w:rPr>
  </w:style>
  <w:style w:type="character" w:customStyle="1" w:styleId="204">
    <w:name w:val="span_paramvalue"/>
    <w:qFormat/>
    <w:uiPriority w:val="0"/>
  </w:style>
  <w:style w:type="character" w:customStyle="1" w:styleId="205">
    <w:name w:val="批注文字 Char"/>
    <w:qFormat/>
    <w:locked/>
    <w:uiPriority w:val="0"/>
    <w:rPr>
      <w:kern w:val="2"/>
      <w:sz w:val="21"/>
      <w:szCs w:val="24"/>
    </w:rPr>
  </w:style>
  <w:style w:type="character" w:customStyle="1" w:styleId="206">
    <w:name w:val="页脚 Char"/>
    <w:qFormat/>
    <w:uiPriority w:val="99"/>
    <w:rPr>
      <w:kern w:val="2"/>
      <w:sz w:val="18"/>
      <w:szCs w:val="18"/>
    </w:rPr>
  </w:style>
  <w:style w:type="character" w:customStyle="1" w:styleId="207">
    <w:name w:val="dash6b63-6587--char"/>
    <w:qFormat/>
    <w:uiPriority w:val="0"/>
  </w:style>
  <w:style w:type="character" w:customStyle="1" w:styleId="208">
    <w:name w:val="普通文字 Char3"/>
    <w:qFormat/>
    <w:uiPriority w:val="0"/>
    <w:rPr>
      <w:rFonts w:ascii="宋体" w:hAnsi="Courier New" w:eastAsia="宋体"/>
      <w:kern w:val="2"/>
      <w:sz w:val="21"/>
      <w:lang w:val="en-US" w:eastAsia="zh-CN" w:bidi="ar-SA"/>
    </w:rPr>
  </w:style>
  <w:style w:type="character" w:customStyle="1" w:styleId="209">
    <w:name w:val="Normal Indent Char"/>
    <w:qFormat/>
    <w:locked/>
    <w:uiPriority w:val="0"/>
    <w:rPr>
      <w:rFonts w:ascii="Times New Roman" w:hAnsi="Times New Roman" w:eastAsia="宋体"/>
      <w:sz w:val="24"/>
    </w:rPr>
  </w:style>
  <w:style w:type="character" w:customStyle="1" w:styleId="210">
    <w:name w:val="标题 4 Char1"/>
    <w:link w:val="6"/>
    <w:qFormat/>
    <w:locked/>
    <w:uiPriority w:val="0"/>
    <w:rPr>
      <w:rFonts w:ascii="Arial" w:hAnsi="Arial" w:eastAsia="黑体" w:cs="Times New Roman"/>
      <w:b/>
      <w:sz w:val="28"/>
      <w:szCs w:val="20"/>
    </w:rPr>
  </w:style>
  <w:style w:type="character" w:customStyle="1" w:styleId="211">
    <w:name w:val="目录 1 Char"/>
    <w:link w:val="30"/>
    <w:qFormat/>
    <w:uiPriority w:val="0"/>
    <w:rPr>
      <w:rFonts w:ascii="Times New Roman" w:hAnsi="Times New Roman" w:eastAsia="宋体" w:cs="Times New Roman"/>
      <w:b/>
      <w:bCs/>
      <w:caps/>
      <w:sz w:val="28"/>
      <w:szCs w:val="28"/>
    </w:rPr>
  </w:style>
  <w:style w:type="character" w:customStyle="1" w:styleId="212">
    <w:name w:val="Heading 2 Char"/>
    <w:qFormat/>
    <w:locked/>
    <w:uiPriority w:val="0"/>
    <w:rPr>
      <w:rFonts w:ascii="华文中宋" w:eastAsia="华文中宋" w:cs="Times New Roman"/>
      <w:b/>
      <w:kern w:val="2"/>
      <w:sz w:val="32"/>
    </w:rPr>
  </w:style>
  <w:style w:type="character" w:customStyle="1" w:styleId="213">
    <w:name w:val="文档结构图 字符1"/>
    <w:qFormat/>
    <w:locked/>
    <w:uiPriority w:val="0"/>
    <w:rPr>
      <w:szCs w:val="24"/>
      <w:shd w:val="clear" w:color="auto" w:fill="000080"/>
    </w:rPr>
  </w:style>
  <w:style w:type="character" w:customStyle="1" w:styleId="214">
    <w:name w:val="普通文字 Char4"/>
    <w:qFormat/>
    <w:uiPriority w:val="0"/>
    <w:rPr>
      <w:rFonts w:ascii="宋体" w:hAnsi="Courier New" w:eastAsia="宋体"/>
      <w:kern w:val="2"/>
      <w:sz w:val="21"/>
      <w:lang w:val="en-US" w:eastAsia="zh-CN" w:bidi="ar-SA"/>
    </w:rPr>
  </w:style>
  <w:style w:type="character" w:customStyle="1" w:styleId="215">
    <w:name w:val="修订 字符"/>
    <w:link w:val="169"/>
    <w:qFormat/>
    <w:uiPriority w:val="0"/>
    <w:rPr>
      <w:rFonts w:ascii="Times New Roman" w:hAnsi="Times New Roman" w:eastAsia="宋体" w:cs="Times New Roman"/>
      <w:szCs w:val="21"/>
    </w:rPr>
  </w:style>
  <w:style w:type="character" w:customStyle="1" w:styleId="216">
    <w:name w:val="ca-11"/>
    <w:qFormat/>
    <w:uiPriority w:val="0"/>
  </w:style>
  <w:style w:type="character" w:customStyle="1" w:styleId="217">
    <w:name w:val="dw41"/>
    <w:qFormat/>
    <w:uiPriority w:val="0"/>
    <w:rPr>
      <w:color w:val="FFFFFF"/>
      <w:sz w:val="18"/>
      <w:szCs w:val="18"/>
      <w:u w:val="none"/>
    </w:rPr>
  </w:style>
  <w:style w:type="character" w:customStyle="1" w:styleId="218">
    <w:name w:val="标题 6 Char"/>
    <w:link w:val="8"/>
    <w:qFormat/>
    <w:locked/>
    <w:uiPriority w:val="0"/>
    <w:rPr>
      <w:rFonts w:ascii="Arial" w:hAnsi="Arial" w:eastAsia="宋体" w:cs="Times New Roman"/>
      <w:b/>
      <w:bCs/>
      <w:kern w:val="0"/>
      <w:sz w:val="28"/>
      <w:szCs w:val="18"/>
    </w:rPr>
  </w:style>
  <w:style w:type="character" w:customStyle="1" w:styleId="219">
    <w:name w:val="unnamed11"/>
    <w:qFormat/>
    <w:uiPriority w:val="0"/>
    <w:rPr>
      <w:sz w:val="18"/>
      <w:szCs w:val="18"/>
    </w:rPr>
  </w:style>
  <w:style w:type="character" w:customStyle="1" w:styleId="220">
    <w:name w:val="标题 5 Char"/>
    <w:link w:val="7"/>
    <w:qFormat/>
    <w:locked/>
    <w:uiPriority w:val="0"/>
    <w:rPr>
      <w:rFonts w:ascii="Times New Roman" w:hAnsi="Times New Roman" w:eastAsia="宋体" w:cs="Times New Roman"/>
      <w:b/>
      <w:bCs/>
      <w:kern w:val="0"/>
      <w:sz w:val="28"/>
      <w:szCs w:val="28"/>
    </w:rPr>
  </w:style>
  <w:style w:type="character" w:customStyle="1" w:styleId="221">
    <w:name w:val="hei12b1"/>
    <w:qFormat/>
    <w:uiPriority w:val="0"/>
    <w:rPr>
      <w:b/>
      <w:bCs/>
      <w:color w:val="000000"/>
      <w:sz w:val="18"/>
      <w:szCs w:val="18"/>
    </w:rPr>
  </w:style>
  <w:style w:type="character" w:customStyle="1" w:styleId="222">
    <w:name w:val="（符号）邀请函中一、"/>
    <w:qFormat/>
    <w:uiPriority w:val="0"/>
    <w:rPr>
      <w:rFonts w:ascii="黑体" w:hAnsi="黑体" w:eastAsia="黑体"/>
      <w:b/>
      <w:sz w:val="24"/>
    </w:rPr>
  </w:style>
  <w:style w:type="character" w:customStyle="1" w:styleId="223">
    <w:name w:val="标题 7 Char"/>
    <w:link w:val="9"/>
    <w:qFormat/>
    <w:locked/>
    <w:uiPriority w:val="0"/>
    <w:rPr>
      <w:rFonts w:ascii="Times New Roman" w:hAnsi="Times New Roman" w:eastAsia="宋体" w:cs="Times New Roman"/>
      <w:b/>
      <w:bCs/>
      <w:kern w:val="0"/>
      <w:sz w:val="24"/>
      <w:szCs w:val="24"/>
    </w:rPr>
  </w:style>
  <w:style w:type="character" w:customStyle="1" w:styleId="224">
    <w:name w:val="Table Text Char"/>
    <w:link w:val="225"/>
    <w:qFormat/>
    <w:uiPriority w:val="0"/>
    <w:rPr>
      <w:snapToGrid w:val="0"/>
      <w:szCs w:val="21"/>
    </w:rPr>
  </w:style>
  <w:style w:type="paragraph" w:customStyle="1" w:styleId="225">
    <w:name w:val="Table Text"/>
    <w:basedOn w:val="1"/>
    <w:link w:val="224"/>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26">
    <w:name w:val="Item List Char"/>
    <w:link w:val="227"/>
    <w:qFormat/>
    <w:uiPriority w:val="0"/>
    <w:rPr>
      <w:rFonts w:cs="Arial"/>
      <w:szCs w:val="21"/>
    </w:rPr>
  </w:style>
  <w:style w:type="paragraph" w:customStyle="1" w:styleId="227">
    <w:name w:val="Item List"/>
    <w:basedOn w:val="1"/>
    <w:link w:val="226"/>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28">
    <w:name w:val="批注框文本 字符1"/>
    <w:qFormat/>
    <w:uiPriority w:val="0"/>
    <w:rPr>
      <w:rFonts w:ascii="Times New Roman" w:hAnsi="Times New Roman" w:eastAsia="宋体" w:cs="Times New Roman"/>
      <w:sz w:val="18"/>
      <w:szCs w:val="18"/>
    </w:rPr>
  </w:style>
  <w:style w:type="character" w:customStyle="1" w:styleId="229">
    <w:name w:val="页眉 Char"/>
    <w:qFormat/>
    <w:uiPriority w:val="0"/>
    <w:rPr>
      <w:kern w:val="2"/>
      <w:sz w:val="18"/>
      <w:szCs w:val="18"/>
    </w:rPr>
  </w:style>
  <w:style w:type="paragraph" w:customStyle="1" w:styleId="230">
    <w:name w:val="表格"/>
    <w:basedOn w:val="1"/>
    <w:qFormat/>
    <w:uiPriority w:val="0"/>
    <w:pPr>
      <w:spacing w:line="400" w:lineRule="exact"/>
    </w:pPr>
    <w:rPr>
      <w:sz w:val="24"/>
    </w:rPr>
  </w:style>
  <w:style w:type="paragraph" w:customStyle="1" w:styleId="231">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2">
    <w:name w:val="10-sinobest-标注（3）"/>
    <w:basedOn w:val="1"/>
    <w:qFormat/>
    <w:uiPriority w:val="0"/>
    <w:pPr>
      <w:tabs>
        <w:tab w:val="left" w:pos="840"/>
      </w:tabs>
      <w:spacing w:line="360" w:lineRule="auto"/>
      <w:ind w:left="501" w:hanging="360"/>
    </w:pPr>
    <w:rPr>
      <w:sz w:val="24"/>
    </w:rPr>
  </w:style>
  <w:style w:type="paragraph" w:customStyle="1" w:styleId="233">
    <w:name w:val="MM Topic 8"/>
    <w:basedOn w:val="10"/>
    <w:next w:val="234"/>
    <w:qFormat/>
    <w:uiPriority w:val="0"/>
    <w:pPr>
      <w:tabs>
        <w:tab w:val="left" w:pos="4394"/>
      </w:tabs>
    </w:pPr>
    <w:rPr>
      <w:rFonts w:ascii="Arial" w:hAnsi="Arial" w:eastAsia="黑体"/>
    </w:rPr>
  </w:style>
  <w:style w:type="paragraph" w:customStyle="1" w:styleId="234">
    <w:name w:val="文章正文"/>
    <w:basedOn w:val="1"/>
    <w:qFormat/>
    <w:uiPriority w:val="0"/>
    <w:pPr>
      <w:spacing w:line="360" w:lineRule="auto"/>
      <w:ind w:firstLine="420"/>
    </w:pPr>
    <w:rPr>
      <w:sz w:val="24"/>
    </w:rPr>
  </w:style>
  <w:style w:type="paragraph" w:customStyle="1" w:styleId="235">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36">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37">
    <w:name w:val="正文(首行缩进)"/>
    <w:basedOn w:val="1"/>
    <w:qFormat/>
    <w:uiPriority w:val="0"/>
    <w:pPr>
      <w:ind w:firstLine="200" w:firstLineChars="200"/>
    </w:pPr>
    <w:rPr>
      <w:rFonts w:ascii="Arial Narrow" w:hAnsi="Arial Narrow"/>
      <w:szCs w:val="20"/>
    </w:rPr>
  </w:style>
  <w:style w:type="paragraph" w:customStyle="1" w:styleId="238">
    <w:name w:val="默认段落字体 Para Char Char Char Char Char Char Char Char Char Char Char Char Char Char Char1 Char Char Char Char"/>
    <w:basedOn w:val="126"/>
    <w:qFormat/>
    <w:uiPriority w:val="0"/>
    <w:pPr>
      <w:adjustRightInd w:val="0"/>
      <w:spacing w:line="436" w:lineRule="exact"/>
      <w:ind w:left="357"/>
      <w:outlineLvl w:val="3"/>
    </w:pPr>
    <w:rPr>
      <w:rFonts w:ascii="Tahoma" w:hAnsi="Tahoma"/>
      <w:b/>
    </w:rPr>
  </w:style>
  <w:style w:type="paragraph" w:customStyle="1" w:styleId="239">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40">
    <w:name w:val="HTML 预设格式 Char"/>
    <w:basedOn w:val="48"/>
    <w:link w:val="38"/>
    <w:qFormat/>
    <w:uiPriority w:val="0"/>
    <w:rPr>
      <w:rFonts w:ascii="宋体" w:hAnsi="宋体" w:eastAsia="宋体" w:cs="宋体"/>
      <w:kern w:val="0"/>
      <w:sz w:val="24"/>
      <w:szCs w:val="24"/>
    </w:rPr>
  </w:style>
  <w:style w:type="character" w:customStyle="1" w:styleId="241">
    <w:name w:val="正文文本 2 Char"/>
    <w:basedOn w:val="48"/>
    <w:link w:val="37"/>
    <w:qFormat/>
    <w:uiPriority w:val="0"/>
    <w:rPr>
      <w:rFonts w:ascii="宋体" w:hAnsi="宋体" w:eastAsia="宋体" w:cs="Times New Roman"/>
      <w:color w:val="000000"/>
      <w:sz w:val="18"/>
      <w:szCs w:val="18"/>
    </w:rPr>
  </w:style>
  <w:style w:type="paragraph" w:customStyle="1" w:styleId="242">
    <w:name w:val="正文空两格"/>
    <w:basedOn w:val="1"/>
    <w:qFormat/>
    <w:uiPriority w:val="0"/>
    <w:pPr>
      <w:widowControl/>
      <w:spacing w:before="120" w:line="300" w:lineRule="auto"/>
      <w:ind w:left="1440" w:hanging="480"/>
    </w:pPr>
    <w:rPr>
      <w:rFonts w:ascii="宋体"/>
      <w:sz w:val="24"/>
      <w:szCs w:val="21"/>
    </w:rPr>
  </w:style>
  <w:style w:type="paragraph" w:customStyle="1" w:styleId="243">
    <w:name w:val="pit正文"/>
    <w:basedOn w:val="1"/>
    <w:qFormat/>
    <w:uiPriority w:val="0"/>
    <w:pPr>
      <w:spacing w:line="400" w:lineRule="exact"/>
    </w:pPr>
    <w:rPr>
      <w:spacing w:val="20"/>
      <w:sz w:val="24"/>
      <w:szCs w:val="20"/>
    </w:rPr>
  </w:style>
  <w:style w:type="paragraph" w:customStyle="1" w:styleId="244">
    <w:name w:val="Char1"/>
    <w:basedOn w:val="1"/>
    <w:qFormat/>
    <w:uiPriority w:val="0"/>
    <w:rPr>
      <w:rFonts w:ascii="Tahoma" w:hAnsi="Tahoma"/>
      <w:sz w:val="24"/>
      <w:szCs w:val="20"/>
    </w:rPr>
  </w:style>
  <w:style w:type="paragraph" w:customStyle="1" w:styleId="245">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46">
    <w:name w:val="段落正文"/>
    <w:basedOn w:val="1"/>
    <w:link w:val="352"/>
    <w:qFormat/>
    <w:uiPriority w:val="0"/>
    <w:pPr>
      <w:ind w:firstLine="480" w:firstLineChars="200"/>
    </w:pPr>
    <w:rPr>
      <w:rFonts w:ascii="宋体" w:hAnsi="Cambria" w:eastAsia="等线"/>
      <w:szCs w:val="22"/>
    </w:rPr>
  </w:style>
  <w:style w:type="paragraph" w:customStyle="1" w:styleId="247">
    <w:name w:val="标准正文"/>
    <w:basedOn w:val="1"/>
    <w:next w:val="34"/>
    <w:qFormat/>
    <w:uiPriority w:val="0"/>
    <w:pPr>
      <w:spacing w:before="60" w:after="60" w:line="360" w:lineRule="auto"/>
      <w:ind w:firstLine="482"/>
    </w:pPr>
    <w:rPr>
      <w:rFonts w:ascii="宋体" w:hAnsi="宋体" w:cs="宋体"/>
      <w:sz w:val="24"/>
    </w:rPr>
  </w:style>
  <w:style w:type="paragraph" w:customStyle="1" w:styleId="248">
    <w:name w:val="Default"/>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49">
    <w:name w:val="Char Char2"/>
    <w:basedOn w:val="126"/>
    <w:qFormat/>
    <w:uiPriority w:val="0"/>
  </w:style>
  <w:style w:type="paragraph" w:customStyle="1" w:styleId="250">
    <w:name w:val="方案文档"/>
    <w:basedOn w:val="1"/>
    <w:qFormat/>
    <w:uiPriority w:val="0"/>
    <w:pPr>
      <w:spacing w:before="120" w:after="120" w:line="360" w:lineRule="auto"/>
      <w:ind w:firstLine="567"/>
    </w:pPr>
    <w:rPr>
      <w:rFonts w:ascii="Arial" w:hAnsi="Arial"/>
      <w:sz w:val="24"/>
      <w:szCs w:val="20"/>
    </w:rPr>
  </w:style>
  <w:style w:type="paragraph" w:customStyle="1" w:styleId="251">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52">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53">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4">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55">
    <w:name w:val="表格列样式"/>
    <w:basedOn w:val="1"/>
    <w:qFormat/>
    <w:uiPriority w:val="0"/>
    <w:pPr>
      <w:spacing w:line="360" w:lineRule="auto"/>
      <w:jc w:val="left"/>
    </w:pPr>
    <w:rPr>
      <w:rFonts w:ascii="宋体" w:hAnsi="宋体"/>
      <w:color w:val="000000"/>
      <w:sz w:val="24"/>
      <w:szCs w:val="21"/>
    </w:rPr>
  </w:style>
  <w:style w:type="paragraph" w:customStyle="1" w:styleId="256">
    <w:name w:val="样式 首行缩进:  2 字符"/>
    <w:basedOn w:val="1"/>
    <w:qFormat/>
    <w:uiPriority w:val="0"/>
    <w:pPr>
      <w:spacing w:line="400" w:lineRule="exact"/>
      <w:ind w:firstLine="200" w:firstLineChars="200"/>
    </w:pPr>
    <w:rPr>
      <w:rFonts w:cs="宋体"/>
      <w:sz w:val="24"/>
    </w:rPr>
  </w:style>
  <w:style w:type="paragraph" w:customStyle="1" w:styleId="257">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58">
    <w:name w:val="4端"/>
    <w:basedOn w:val="6"/>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5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0">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61">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62">
    <w:name w:val="_Style 16"/>
    <w:basedOn w:val="1"/>
    <w:qFormat/>
    <w:uiPriority w:val="0"/>
    <w:pPr>
      <w:spacing w:line="360" w:lineRule="auto"/>
      <w:ind w:firstLine="200" w:firstLineChars="200"/>
    </w:pPr>
    <w:rPr>
      <w:rFonts w:ascii="宋体" w:hAnsi="宋体" w:cs="宋体"/>
      <w:sz w:val="24"/>
    </w:rPr>
  </w:style>
  <w:style w:type="paragraph" w:customStyle="1" w:styleId="263">
    <w:name w:val="正文首行缩进两字符"/>
    <w:basedOn w:val="1"/>
    <w:qFormat/>
    <w:uiPriority w:val="0"/>
    <w:pPr>
      <w:spacing w:line="360" w:lineRule="auto"/>
      <w:ind w:firstLine="200" w:firstLineChars="200"/>
    </w:pPr>
  </w:style>
  <w:style w:type="paragraph" w:customStyle="1" w:styleId="264">
    <w:name w:val="本文正文"/>
    <w:basedOn w:val="1"/>
    <w:qFormat/>
    <w:uiPriority w:val="0"/>
    <w:pPr>
      <w:spacing w:line="360" w:lineRule="auto"/>
      <w:ind w:firstLine="480" w:firstLineChars="200"/>
    </w:pPr>
    <w:rPr>
      <w:rFonts w:ascii="宋体"/>
      <w:bCs/>
      <w:sz w:val="24"/>
    </w:rPr>
  </w:style>
  <w:style w:type="paragraph" w:customStyle="1" w:styleId="265">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6">
    <w:name w:val="Char Char Char"/>
    <w:basedOn w:val="1"/>
    <w:qFormat/>
    <w:uiPriority w:val="0"/>
    <w:rPr>
      <w:rFonts w:ascii="Tahoma" w:hAnsi="Tahoma"/>
      <w:sz w:val="24"/>
      <w:szCs w:val="20"/>
    </w:rPr>
  </w:style>
  <w:style w:type="paragraph" w:customStyle="1" w:styleId="267">
    <w:name w:val="Char Char Char Char"/>
    <w:basedOn w:val="1"/>
    <w:qFormat/>
    <w:uiPriority w:val="0"/>
    <w:rPr>
      <w:rFonts w:ascii="Tahoma" w:hAnsi="Tahoma"/>
      <w:sz w:val="24"/>
      <w:szCs w:val="20"/>
    </w:rPr>
  </w:style>
  <w:style w:type="paragraph" w:customStyle="1" w:styleId="268">
    <w:name w:val="样式 正文首行缩进 + 宋体 首行缩进:  2 字符"/>
    <w:basedOn w:val="43"/>
    <w:qFormat/>
    <w:uiPriority w:val="0"/>
    <w:pPr>
      <w:widowControl/>
      <w:spacing w:line="360" w:lineRule="auto"/>
      <w:ind w:firstLine="200" w:firstLineChars="200"/>
      <w:jc w:val="left"/>
    </w:pPr>
    <w:rPr>
      <w:rFonts w:ascii="宋体" w:hAnsi="宋体" w:cs="宋体"/>
      <w:kern w:val="0"/>
      <w:sz w:val="24"/>
      <w:szCs w:val="20"/>
    </w:rPr>
  </w:style>
  <w:style w:type="paragraph" w:customStyle="1" w:styleId="269">
    <w:name w:val="样式 正文首行缩进 + 首行缩进:  2 字符1"/>
    <w:basedOn w:val="43"/>
    <w:qFormat/>
    <w:uiPriority w:val="0"/>
    <w:pPr>
      <w:widowControl/>
      <w:spacing w:line="360" w:lineRule="auto"/>
      <w:ind w:firstLine="200" w:firstLineChars="200"/>
      <w:jc w:val="left"/>
    </w:pPr>
    <w:rPr>
      <w:rFonts w:cs="宋体"/>
      <w:kern w:val="0"/>
      <w:sz w:val="24"/>
      <w:szCs w:val="20"/>
    </w:rPr>
  </w:style>
  <w:style w:type="paragraph" w:customStyle="1" w:styleId="270">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71">
    <w:name w:val="ZJ Paragraph"/>
    <w:basedOn w:val="1"/>
    <w:qFormat/>
    <w:uiPriority w:val="0"/>
    <w:pPr>
      <w:spacing w:before="120" w:after="120"/>
      <w:ind w:firstLine="420"/>
    </w:pPr>
    <w:rPr>
      <w:rFonts w:ascii="华文仿宋" w:hAnsi="华文仿宋" w:eastAsia="华文仿宋"/>
      <w:sz w:val="28"/>
    </w:rPr>
  </w:style>
  <w:style w:type="paragraph" w:customStyle="1" w:styleId="272">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73">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74">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75">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76">
    <w:name w:val="普通"/>
    <w:qFormat/>
    <w:uiPriority w:val="0"/>
    <w:rPr>
      <w:rFonts w:ascii="Arial" w:hAnsi="Arial" w:eastAsia="仿宋_GB2312" w:cs="Times New Roman"/>
      <w:bCs/>
      <w:kern w:val="2"/>
      <w:sz w:val="28"/>
      <w:szCs w:val="28"/>
      <w:lang w:val="en-US" w:eastAsia="zh-CN" w:bidi="ar-SA"/>
    </w:rPr>
  </w:style>
  <w:style w:type="paragraph" w:customStyle="1" w:styleId="277">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78">
    <w:name w:val="font81"/>
    <w:qFormat/>
    <w:uiPriority w:val="0"/>
    <w:rPr>
      <w:rFonts w:ascii="Arial" w:hAnsi="Arial" w:cs="Arial"/>
      <w:color w:val="000000"/>
      <w:sz w:val="24"/>
      <w:szCs w:val="24"/>
      <w:u w:val="none"/>
      <w:lang w:bidi="ar-SA"/>
    </w:rPr>
  </w:style>
  <w:style w:type="character" w:customStyle="1" w:styleId="279">
    <w:name w:val="font61"/>
    <w:qFormat/>
    <w:uiPriority w:val="0"/>
    <w:rPr>
      <w:rFonts w:ascii="宋体" w:eastAsia="宋体"/>
      <w:color w:val="000000"/>
      <w:sz w:val="24"/>
      <w:szCs w:val="24"/>
      <w:u w:val="none"/>
    </w:rPr>
  </w:style>
  <w:style w:type="character" w:customStyle="1" w:styleId="280">
    <w:name w:val="font31"/>
    <w:qFormat/>
    <w:uiPriority w:val="0"/>
    <w:rPr>
      <w:rFonts w:ascii="宋体" w:eastAsia="宋体" w:cs="宋体"/>
      <w:color w:val="000000"/>
      <w:sz w:val="24"/>
      <w:szCs w:val="24"/>
      <w:u w:val="none"/>
      <w:lang w:bidi="ar-SA"/>
    </w:rPr>
  </w:style>
  <w:style w:type="character" w:customStyle="1" w:styleId="281">
    <w:name w:val="Texte Helvética 9"/>
    <w:qFormat/>
    <w:uiPriority w:val="0"/>
    <w:rPr>
      <w:rFonts w:ascii="Helvetica" w:hAnsi="Helvetica" w:cs="Helvetica"/>
      <w:sz w:val="18"/>
      <w:szCs w:val="18"/>
      <w:lang w:bidi="ar-SA"/>
    </w:rPr>
  </w:style>
  <w:style w:type="character" w:customStyle="1" w:styleId="282">
    <w:name w:val="a14baihang201"/>
    <w:qFormat/>
    <w:uiPriority w:val="0"/>
    <w:rPr>
      <w:color w:val="000000"/>
      <w:sz w:val="23"/>
      <w:szCs w:val="23"/>
    </w:rPr>
  </w:style>
  <w:style w:type="character" w:customStyle="1" w:styleId="283">
    <w:name w:val="font11"/>
    <w:qFormat/>
    <w:uiPriority w:val="0"/>
    <w:rPr>
      <w:rFonts w:ascii="宋体" w:eastAsia="宋体"/>
      <w:color w:val="000000"/>
      <w:sz w:val="22"/>
      <w:szCs w:val="22"/>
      <w:u w:val="none"/>
    </w:rPr>
  </w:style>
  <w:style w:type="character" w:customStyle="1" w:styleId="284">
    <w:name w:val="tpc_content1"/>
    <w:qFormat/>
    <w:uiPriority w:val="0"/>
    <w:rPr>
      <w:sz w:val="20"/>
      <w:szCs w:val="20"/>
    </w:rPr>
  </w:style>
  <w:style w:type="character" w:customStyle="1" w:styleId="285">
    <w:name w:val="font41"/>
    <w:qFormat/>
    <w:uiPriority w:val="0"/>
    <w:rPr>
      <w:rFonts w:ascii="宋体" w:eastAsia="宋体"/>
      <w:color w:val="000000"/>
      <w:sz w:val="22"/>
      <w:szCs w:val="22"/>
      <w:u w:val="none"/>
      <w:vertAlign w:val="superscript"/>
    </w:rPr>
  </w:style>
  <w:style w:type="character" w:customStyle="1" w:styleId="286">
    <w:name w:val="font21"/>
    <w:qFormat/>
    <w:uiPriority w:val="0"/>
    <w:rPr>
      <w:rFonts w:ascii="宋体" w:eastAsia="宋体"/>
      <w:color w:val="000000"/>
      <w:sz w:val="24"/>
      <w:szCs w:val="24"/>
      <w:u w:val="none"/>
      <w:vertAlign w:val="superscript"/>
    </w:rPr>
  </w:style>
  <w:style w:type="character" w:customStyle="1" w:styleId="287">
    <w:name w:val="font51"/>
    <w:qFormat/>
    <w:uiPriority w:val="0"/>
    <w:rPr>
      <w:rFonts w:ascii="宋体" w:eastAsia="宋体"/>
      <w:color w:val="000000"/>
      <w:sz w:val="24"/>
      <w:szCs w:val="24"/>
      <w:u w:val="none"/>
    </w:rPr>
  </w:style>
  <w:style w:type="character" w:customStyle="1" w:styleId="288">
    <w:name w:val="font71"/>
    <w:qFormat/>
    <w:uiPriority w:val="0"/>
    <w:rPr>
      <w:rFonts w:ascii="宋体" w:eastAsia="宋体"/>
      <w:color w:val="000000"/>
      <w:sz w:val="24"/>
      <w:szCs w:val="24"/>
      <w:u w:val="none"/>
      <w:vertAlign w:val="superscript"/>
    </w:rPr>
  </w:style>
  <w:style w:type="paragraph" w:customStyle="1" w:styleId="289">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90">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91">
    <w:name w:val="Text"/>
    <w:basedOn w:val="1"/>
    <w:qFormat/>
    <w:uiPriority w:val="0"/>
    <w:pPr>
      <w:widowControl/>
      <w:spacing w:before="120"/>
    </w:pPr>
    <w:rPr>
      <w:kern w:val="0"/>
      <w:sz w:val="24"/>
      <w:szCs w:val="20"/>
      <w:lang w:eastAsia="en-US"/>
    </w:rPr>
  </w:style>
  <w:style w:type="paragraph" w:customStyle="1" w:styleId="292">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293">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94">
    <w:name w:val="条2"/>
    <w:basedOn w:val="1"/>
    <w:next w:val="1"/>
    <w:qFormat/>
    <w:uiPriority w:val="0"/>
    <w:pPr>
      <w:ind w:left="1040"/>
      <w:outlineLvl w:val="1"/>
    </w:pPr>
    <w:rPr>
      <w:rFonts w:ascii="黑体" w:eastAsia="黑体"/>
      <w:kern w:val="21"/>
      <w:szCs w:val="20"/>
    </w:rPr>
  </w:style>
  <w:style w:type="paragraph" w:customStyle="1" w:styleId="295">
    <w:name w:val="Arial 9"/>
    <w:basedOn w:val="1"/>
    <w:qFormat/>
    <w:uiPriority w:val="0"/>
    <w:rPr>
      <w:rFonts w:ascii="Arial" w:hAnsi="Arial" w:cs="Arial"/>
      <w:sz w:val="18"/>
      <w:szCs w:val="18"/>
      <w:lang w:val="fr-FR" w:eastAsia="fr-FR"/>
    </w:rPr>
  </w:style>
  <w:style w:type="paragraph" w:customStyle="1" w:styleId="296">
    <w:name w:val="样式 Arial 9 + 两端对齐 段前: 2 磅 行距: 1.5 倍行距"/>
    <w:basedOn w:val="295"/>
    <w:qFormat/>
    <w:uiPriority w:val="0"/>
    <w:pPr>
      <w:autoSpaceDE w:val="0"/>
      <w:autoSpaceDN w:val="0"/>
      <w:spacing w:before="40" w:line="360" w:lineRule="auto"/>
      <w:ind w:left="1133" w:leftChars="1133"/>
    </w:pPr>
    <w:rPr>
      <w:rFonts w:cs="宋体"/>
      <w:szCs w:val="20"/>
    </w:rPr>
  </w:style>
  <w:style w:type="paragraph" w:customStyle="1" w:styleId="297">
    <w:name w:val="List Paragraph2"/>
    <w:basedOn w:val="1"/>
    <w:qFormat/>
    <w:uiPriority w:val="0"/>
    <w:pPr>
      <w:widowControl/>
      <w:ind w:firstLine="420" w:firstLineChars="200"/>
      <w:jc w:val="left"/>
    </w:pPr>
    <w:rPr>
      <w:kern w:val="0"/>
      <w:sz w:val="20"/>
      <w:szCs w:val="20"/>
    </w:rPr>
  </w:style>
  <w:style w:type="paragraph" w:customStyle="1" w:styleId="298">
    <w:name w:val="Arial 9 texte"/>
    <w:basedOn w:val="1"/>
    <w:qFormat/>
    <w:uiPriority w:val="0"/>
    <w:rPr>
      <w:rFonts w:ascii="Arial" w:hAnsi="Arial" w:cs="Arial"/>
      <w:sz w:val="18"/>
      <w:szCs w:val="18"/>
      <w:lang w:val="fr-FR" w:eastAsia="fr-FR"/>
    </w:rPr>
  </w:style>
  <w:style w:type="paragraph" w:customStyle="1" w:styleId="299">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00">
    <w:name w:val="样式 A2-texte + 左侧:  4 厘米 段前: 0 磅 段后: 0 磅 行距: 1.5 倍行距"/>
    <w:basedOn w:val="293"/>
    <w:qFormat/>
    <w:uiPriority w:val="0"/>
    <w:pPr>
      <w:autoSpaceDE w:val="0"/>
      <w:autoSpaceDN w:val="0"/>
      <w:spacing w:before="0" w:after="0" w:line="360" w:lineRule="auto"/>
      <w:ind w:left="2268"/>
    </w:pPr>
    <w:rPr>
      <w:rFonts w:cs="宋体"/>
      <w:szCs w:val="20"/>
    </w:rPr>
  </w:style>
  <w:style w:type="paragraph" w:customStyle="1" w:styleId="301">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02">
    <w:name w:val="Arial corps 9"/>
    <w:basedOn w:val="292"/>
    <w:qFormat/>
    <w:uiPriority w:val="0"/>
    <w:pPr>
      <w:widowControl w:val="0"/>
      <w:ind w:left="0" w:right="0" w:firstLine="0"/>
    </w:pPr>
    <w:rPr>
      <w:rFonts w:ascii="Arial" w:hAnsi="Arial" w:cs="Arial"/>
    </w:rPr>
  </w:style>
  <w:style w:type="paragraph" w:customStyle="1" w:styleId="303">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04">
    <w:name w:val="样式 A2-texte + 加粗"/>
    <w:basedOn w:val="293"/>
    <w:qFormat/>
    <w:uiPriority w:val="0"/>
    <w:pPr>
      <w:autoSpaceDE w:val="0"/>
      <w:autoSpaceDN w:val="0"/>
    </w:pPr>
    <w:rPr>
      <w:rFonts w:ascii="黑体" w:eastAsia="黑体"/>
      <w:bCs/>
      <w:lang w:val="zh-CN" w:eastAsia="zh-CN"/>
    </w:rPr>
  </w:style>
  <w:style w:type="paragraph" w:customStyle="1" w:styleId="305">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06">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07">
    <w:name w:val="ZB8"/>
    <w:next w:val="16"/>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08">
    <w:name w:val="正文文本 3 字符"/>
    <w:basedOn w:val="48"/>
    <w:qFormat/>
    <w:uiPriority w:val="0"/>
    <w:rPr>
      <w:rFonts w:ascii="Times New Roman" w:hAnsi="Times New Roman" w:eastAsia="宋体" w:cs="Times New Roman"/>
      <w:sz w:val="16"/>
      <w:szCs w:val="16"/>
    </w:rPr>
  </w:style>
  <w:style w:type="character" w:customStyle="1" w:styleId="309">
    <w:name w:val="正文文本 3 Char"/>
    <w:link w:val="16"/>
    <w:qFormat/>
    <w:uiPriority w:val="0"/>
    <w:rPr>
      <w:rFonts w:ascii="Times New Roman" w:hAnsi="Times New Roman" w:eastAsia="宋体" w:cs="Times New Roman"/>
      <w:sz w:val="16"/>
      <w:szCs w:val="16"/>
    </w:rPr>
  </w:style>
  <w:style w:type="paragraph" w:customStyle="1" w:styleId="310">
    <w:name w:val="列表段落1"/>
    <w:basedOn w:val="1"/>
    <w:qFormat/>
    <w:uiPriority w:val="34"/>
    <w:pPr>
      <w:ind w:firstLine="420" w:firstLineChars="200"/>
    </w:pPr>
    <w:rPr>
      <w:rFonts w:ascii="Calibri" w:hAnsi="Calibri"/>
      <w:szCs w:val="22"/>
    </w:rPr>
  </w:style>
  <w:style w:type="character" w:customStyle="1" w:styleId="311">
    <w:name w:val="op-map-singlepoint-info-right1"/>
    <w:qFormat/>
    <w:uiPriority w:val="0"/>
  </w:style>
  <w:style w:type="character" w:customStyle="1" w:styleId="312">
    <w:name w:val="apple-converted-space"/>
    <w:qFormat/>
    <w:uiPriority w:val="0"/>
  </w:style>
  <w:style w:type="paragraph" w:customStyle="1" w:styleId="313">
    <w:name w:val="_Style 1"/>
    <w:basedOn w:val="1"/>
    <w:qFormat/>
    <w:uiPriority w:val="0"/>
    <w:pPr>
      <w:ind w:firstLine="420" w:firstLineChars="200"/>
    </w:pPr>
    <w:rPr>
      <w:rFonts w:ascii="Calibri" w:hAnsi="Calibri"/>
      <w:szCs w:val="22"/>
    </w:rPr>
  </w:style>
  <w:style w:type="paragraph" w:customStyle="1" w:styleId="314">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5">
    <w:name w:val="z-窗体底端1"/>
    <w:basedOn w:val="1"/>
    <w:next w:val="1"/>
    <w:link w:val="316"/>
    <w:qFormat/>
    <w:uiPriority w:val="0"/>
    <w:pPr>
      <w:widowControl/>
      <w:pBdr>
        <w:top w:val="single" w:color="auto" w:sz="6" w:space="1"/>
      </w:pBdr>
      <w:jc w:val="center"/>
    </w:pPr>
    <w:rPr>
      <w:rFonts w:ascii="Arial" w:hAnsi="Arial" w:cs="Arial"/>
      <w:vanish/>
      <w:kern w:val="0"/>
      <w:sz w:val="16"/>
      <w:szCs w:val="16"/>
    </w:rPr>
  </w:style>
  <w:style w:type="character" w:customStyle="1" w:styleId="316">
    <w:name w:val="z-窗体底端 字符"/>
    <w:basedOn w:val="48"/>
    <w:link w:val="315"/>
    <w:qFormat/>
    <w:uiPriority w:val="0"/>
    <w:rPr>
      <w:rFonts w:ascii="Arial" w:hAnsi="Arial" w:eastAsia="宋体" w:cs="Arial"/>
      <w:vanish/>
      <w:kern w:val="0"/>
      <w:sz w:val="16"/>
      <w:szCs w:val="16"/>
    </w:rPr>
  </w:style>
  <w:style w:type="character" w:customStyle="1" w:styleId="317">
    <w:name w:val="无间隔 Char1"/>
    <w:link w:val="124"/>
    <w:qFormat/>
    <w:uiPriority w:val="0"/>
    <w:rPr>
      <w:rFonts w:ascii="Calibri" w:hAnsi="Calibri" w:eastAsia="宋体" w:cs="Times New Roman"/>
      <w:kern w:val="0"/>
      <w:sz w:val="22"/>
      <w:lang w:eastAsia="en-US" w:bidi="en-US"/>
    </w:rPr>
  </w:style>
  <w:style w:type="paragraph" w:customStyle="1" w:styleId="318">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19">
    <w:name w:val="默认段落字体 Para Char Char Char Char Char Char Char"/>
    <w:basedOn w:val="1"/>
    <w:next w:val="1"/>
    <w:qFormat/>
    <w:uiPriority w:val="0"/>
    <w:rPr>
      <w:rFonts w:ascii="Tahoma" w:hAnsi="Tahoma"/>
      <w:sz w:val="24"/>
      <w:szCs w:val="20"/>
    </w:rPr>
  </w:style>
  <w:style w:type="paragraph" w:customStyle="1" w:styleId="320">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21">
    <w:name w:val="jason.dong"/>
    <w:qFormat/>
    <w:uiPriority w:val="0"/>
    <w:rPr>
      <w:rFonts w:hint="default" w:ascii="Arial" w:hAnsi="Arial" w:cs="Arial"/>
      <w:color w:val="0000FF"/>
      <w:sz w:val="20"/>
      <w:szCs w:val="20"/>
    </w:rPr>
  </w:style>
  <w:style w:type="paragraph" w:customStyle="1" w:styleId="322">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23">
    <w:name w:val="_Style 7"/>
    <w:basedOn w:val="1"/>
    <w:qFormat/>
    <w:uiPriority w:val="0"/>
    <w:pPr>
      <w:widowControl/>
      <w:jc w:val="left"/>
    </w:pPr>
    <w:rPr>
      <w:rFonts w:ascii="Calibri" w:hAnsi="Calibri" w:cs="Calibri"/>
      <w:kern w:val="0"/>
      <w:sz w:val="24"/>
      <w:lang w:eastAsia="en-US"/>
    </w:rPr>
  </w:style>
  <w:style w:type="character" w:customStyle="1" w:styleId="324">
    <w:name w:val="title1"/>
    <w:qFormat/>
    <w:uiPriority w:val="0"/>
    <w:rPr>
      <w:b/>
      <w:bCs/>
      <w:color w:val="FFFFFF"/>
      <w:sz w:val="24"/>
      <w:szCs w:val="24"/>
    </w:rPr>
  </w:style>
  <w:style w:type="character" w:customStyle="1" w:styleId="325">
    <w:name w:val="en1"/>
    <w:qFormat/>
    <w:uiPriority w:val="0"/>
    <w:rPr>
      <w:rFonts w:hint="default" w:ascii="Arial" w:hAnsi="Arial" w:cs="Arial"/>
      <w:sz w:val="20"/>
      <w:szCs w:val="20"/>
    </w:rPr>
  </w:style>
  <w:style w:type="character" w:customStyle="1" w:styleId="326">
    <w:name w:val="fontstyle01"/>
    <w:qFormat/>
    <w:uiPriority w:val="0"/>
    <w:rPr>
      <w:rFonts w:hint="eastAsia" w:ascii="华文中宋" w:hAnsi="华文中宋" w:eastAsia="华文中宋"/>
      <w:color w:val="000000"/>
      <w:sz w:val="24"/>
      <w:szCs w:val="24"/>
    </w:rPr>
  </w:style>
  <w:style w:type="paragraph" w:customStyle="1" w:styleId="327">
    <w:name w:val="列出段落2"/>
    <w:basedOn w:val="1"/>
    <w:qFormat/>
    <w:uiPriority w:val="0"/>
    <w:pPr>
      <w:ind w:firstLine="420" w:firstLineChars="200"/>
    </w:pPr>
    <w:rPr>
      <w:rFonts w:ascii="Calibri" w:hAnsi="Calibri"/>
      <w:szCs w:val="22"/>
    </w:rPr>
  </w:style>
  <w:style w:type="paragraph" w:customStyle="1" w:styleId="328">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29">
    <w:name w:val="正文文本 (18)1"/>
    <w:qFormat/>
    <w:uiPriority w:val="0"/>
    <w:rPr>
      <w:rFonts w:ascii="MingLiU" w:hAnsi="MingLiU" w:eastAsia="MingLiU" w:cs="Times New Roman"/>
      <w:sz w:val="26"/>
    </w:rPr>
  </w:style>
  <w:style w:type="paragraph" w:customStyle="1" w:styleId="330">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1">
    <w:name w:val="表 靠左"/>
    <w:basedOn w:val="1"/>
    <w:qFormat/>
    <w:uiPriority w:val="0"/>
    <w:pPr>
      <w:jc w:val="left"/>
    </w:pPr>
    <w:rPr>
      <w:rFonts w:ascii="宋体" w:hAnsi="宋体"/>
    </w:rPr>
  </w:style>
  <w:style w:type="character" w:customStyle="1" w:styleId="332">
    <w:name w:val="纯文本 字符1"/>
    <w:qFormat/>
    <w:locked/>
    <w:uiPriority w:val="0"/>
    <w:rPr>
      <w:rFonts w:ascii="宋体" w:hAnsi="Courier New"/>
      <w:kern w:val="2"/>
      <w:sz w:val="21"/>
    </w:rPr>
  </w:style>
  <w:style w:type="paragraph" w:customStyle="1" w:styleId="333">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34">
    <w:name w:val="列表段落 字符1"/>
    <w:qFormat/>
    <w:uiPriority w:val="0"/>
  </w:style>
  <w:style w:type="paragraph" w:customStyle="1" w:styleId="335">
    <w:name w:val="_Style 6"/>
    <w:basedOn w:val="1"/>
    <w:next w:val="2"/>
    <w:qFormat/>
    <w:uiPriority w:val="0"/>
    <w:pPr>
      <w:ind w:firstLine="420" w:firstLineChars="200"/>
    </w:pPr>
    <w:rPr>
      <w:szCs w:val="22"/>
    </w:rPr>
  </w:style>
  <w:style w:type="character" w:customStyle="1" w:styleId="336">
    <w:name w:val="NormalCharacter"/>
    <w:qFormat/>
    <w:uiPriority w:val="0"/>
  </w:style>
  <w:style w:type="paragraph" w:customStyle="1" w:styleId="337">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38">
    <w:name w:val="font121"/>
    <w:qFormat/>
    <w:uiPriority w:val="0"/>
    <w:rPr>
      <w:rFonts w:hint="eastAsia" w:ascii="宋体" w:hAnsi="宋体" w:eastAsia="宋体" w:cs="宋体"/>
      <w:color w:val="000000"/>
      <w:sz w:val="36"/>
      <w:szCs w:val="36"/>
      <w:u w:val="none"/>
    </w:rPr>
  </w:style>
  <w:style w:type="character" w:customStyle="1" w:styleId="339">
    <w:name w:val="font101"/>
    <w:qFormat/>
    <w:uiPriority w:val="0"/>
    <w:rPr>
      <w:rFonts w:hint="eastAsia" w:ascii="宋体" w:hAnsi="宋体" w:eastAsia="宋体" w:cs="宋体"/>
      <w:color w:val="000000"/>
      <w:sz w:val="22"/>
      <w:szCs w:val="22"/>
      <w:u w:val="none"/>
    </w:rPr>
  </w:style>
  <w:style w:type="paragraph" w:customStyle="1" w:styleId="340">
    <w:name w:val="1级"/>
    <w:basedOn w:val="2"/>
    <w:link w:val="342"/>
    <w:qFormat/>
    <w:uiPriority w:val="0"/>
    <w:pPr>
      <w:numPr>
        <w:ilvl w:val="0"/>
        <w:numId w:val="3"/>
      </w:numPr>
      <w:outlineLvl w:val="0"/>
    </w:pPr>
    <w:rPr>
      <w:rFonts w:ascii="Calibri" w:hAnsi="Calibri"/>
    </w:rPr>
  </w:style>
  <w:style w:type="paragraph" w:customStyle="1" w:styleId="341">
    <w:name w:val="2级"/>
    <w:basedOn w:val="2"/>
    <w:qFormat/>
    <w:uiPriority w:val="0"/>
    <w:pPr>
      <w:tabs>
        <w:tab w:val="left" w:pos="720"/>
      </w:tabs>
      <w:ind w:left="422" w:hanging="422" w:hangingChars="200"/>
      <w:outlineLvl w:val="1"/>
    </w:pPr>
    <w:rPr>
      <w:rFonts w:ascii="Calibri" w:hAnsi="Calibri"/>
      <w:b/>
    </w:rPr>
  </w:style>
  <w:style w:type="character" w:customStyle="1" w:styleId="342">
    <w:name w:val="1级 Char"/>
    <w:link w:val="340"/>
    <w:qFormat/>
    <w:uiPriority w:val="0"/>
    <w:rPr>
      <w:rFonts w:ascii="Calibri" w:hAnsi="Calibri" w:eastAsia="等线" w:cs="Times New Roman"/>
    </w:rPr>
  </w:style>
  <w:style w:type="character" w:customStyle="1" w:styleId="343">
    <w:name w:val="2级 Char"/>
    <w:qFormat/>
    <w:uiPriority w:val="0"/>
    <w:rPr>
      <w:rFonts w:ascii="Calibri" w:hAnsi="Calibri" w:eastAsia="宋体" w:cs="Times New Roman"/>
      <w:b/>
      <w:szCs w:val="21"/>
    </w:rPr>
  </w:style>
  <w:style w:type="paragraph" w:customStyle="1" w:styleId="344">
    <w:name w:val="3级"/>
    <w:basedOn w:val="2"/>
    <w:qFormat/>
    <w:uiPriority w:val="0"/>
    <w:pPr>
      <w:tabs>
        <w:tab w:val="left" w:pos="720"/>
      </w:tabs>
      <w:ind w:left="720" w:hanging="720"/>
      <w:outlineLvl w:val="2"/>
    </w:pPr>
    <w:rPr>
      <w:rFonts w:ascii="宋体" w:hAnsi="宋体"/>
      <w:color w:val="000000"/>
    </w:rPr>
  </w:style>
  <w:style w:type="character" w:customStyle="1" w:styleId="345">
    <w:name w:val="3级 Char"/>
    <w:qFormat/>
    <w:uiPriority w:val="0"/>
    <w:rPr>
      <w:rFonts w:ascii="宋体" w:hAnsi="宋体" w:eastAsia="宋体" w:cs="Times New Roman"/>
      <w:color w:val="000000"/>
      <w:szCs w:val="21"/>
    </w:rPr>
  </w:style>
  <w:style w:type="character" w:customStyle="1" w:styleId="346">
    <w:name w:val="正文首行缩进 Char"/>
    <w:basedOn w:val="76"/>
    <w:link w:val="43"/>
    <w:qFormat/>
    <w:uiPriority w:val="0"/>
    <w:rPr>
      <w:rFonts w:ascii="Times New Roman" w:hAnsi="Times New Roman" w:eastAsia="宋体" w:cs="Times New Roman"/>
      <w:szCs w:val="21"/>
    </w:rPr>
  </w:style>
  <w:style w:type="paragraph" w:customStyle="1" w:styleId="347">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48">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49">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50">
    <w:name w:val="name"/>
    <w:basedOn w:val="48"/>
    <w:qFormat/>
    <w:uiPriority w:val="0"/>
  </w:style>
  <w:style w:type="character" w:customStyle="1" w:styleId="351">
    <w:name w:val="页码1"/>
    <w:qFormat/>
    <w:uiPriority w:val="0"/>
    <w:rPr>
      <w:rFonts w:cs="Times New Roman"/>
    </w:rPr>
  </w:style>
  <w:style w:type="character" w:customStyle="1" w:styleId="352">
    <w:name w:val="段落正文 Char"/>
    <w:link w:val="246"/>
    <w:qFormat/>
    <w:uiPriority w:val="0"/>
    <w:rPr>
      <w:rFonts w:ascii="宋体" w:hAnsi="Cambria" w:eastAsia="等线" w:cs="Times New Roman"/>
    </w:rPr>
  </w:style>
  <w:style w:type="character" w:customStyle="1" w:styleId="353">
    <w:name w:val="Char Char91"/>
    <w:qFormat/>
    <w:uiPriority w:val="0"/>
    <w:rPr>
      <w:rFonts w:eastAsia="宋体"/>
      <w:kern w:val="2"/>
      <w:sz w:val="18"/>
      <w:szCs w:val="18"/>
      <w:lang w:val="en-US" w:eastAsia="zh-CN" w:bidi="ar-SA"/>
    </w:rPr>
  </w:style>
  <w:style w:type="character" w:customStyle="1" w:styleId="354">
    <w:name w:val="Char Char111"/>
    <w:qFormat/>
    <w:uiPriority w:val="0"/>
    <w:rPr>
      <w:rFonts w:eastAsia="宋体"/>
      <w:kern w:val="2"/>
      <w:sz w:val="24"/>
      <w:lang w:bidi="ar-SA"/>
    </w:rPr>
  </w:style>
  <w:style w:type="paragraph" w:customStyle="1" w:styleId="355">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6">
    <w:name w:val="页脚1"/>
    <w:basedOn w:val="1"/>
    <w:next w:val="28"/>
    <w:qFormat/>
    <w:uiPriority w:val="99"/>
    <w:pPr>
      <w:tabs>
        <w:tab w:val="center" w:pos="4153"/>
        <w:tab w:val="right" w:pos="8306"/>
      </w:tabs>
      <w:snapToGrid w:val="0"/>
      <w:jc w:val="left"/>
    </w:pPr>
    <w:rPr>
      <w:sz w:val="18"/>
      <w:szCs w:val="18"/>
    </w:rPr>
  </w:style>
  <w:style w:type="paragraph" w:customStyle="1" w:styleId="357">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58">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9">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0">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1">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62">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3">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4">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5">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6">
    <w:name w:val="Char Char Char1"/>
    <w:basedOn w:val="1"/>
    <w:qFormat/>
    <w:uiPriority w:val="0"/>
    <w:rPr>
      <w:rFonts w:ascii="Tahoma" w:hAnsi="Tahoma"/>
      <w:sz w:val="24"/>
      <w:szCs w:val="20"/>
    </w:rPr>
  </w:style>
  <w:style w:type="paragraph" w:customStyle="1" w:styleId="367">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68">
    <w:name w:val="Char11"/>
    <w:basedOn w:val="1"/>
    <w:qFormat/>
    <w:uiPriority w:val="0"/>
    <w:rPr>
      <w:rFonts w:ascii="Tahoma" w:hAnsi="Tahoma"/>
      <w:sz w:val="24"/>
      <w:szCs w:val="20"/>
    </w:rPr>
  </w:style>
  <w:style w:type="paragraph" w:customStyle="1" w:styleId="369">
    <w:name w:val="Char2"/>
    <w:basedOn w:val="13"/>
    <w:qFormat/>
    <w:uiPriority w:val="0"/>
    <w:pPr>
      <w:widowControl/>
    </w:pPr>
    <w:rPr>
      <w:rFonts w:ascii="Tahoma" w:hAnsi="Tahoma" w:eastAsia="宋体"/>
      <w:sz w:val="24"/>
    </w:rPr>
  </w:style>
  <w:style w:type="paragraph" w:customStyle="1" w:styleId="370">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1">
    <w:name w:val="Table Paragraph"/>
    <w:basedOn w:val="1"/>
    <w:qFormat/>
    <w:uiPriority w:val="1"/>
    <w:rPr>
      <w:rFonts w:ascii="仿宋" w:hAnsi="仿宋" w:eastAsia="仿宋" w:cs="仿宋"/>
      <w:lang w:val="zh-CN" w:bidi="zh-CN"/>
    </w:rPr>
  </w:style>
  <w:style w:type="paragraph" w:customStyle="1" w:styleId="372">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3">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4">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75">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76">
    <w:name w:val="列表段落2"/>
    <w:basedOn w:val="1"/>
    <w:qFormat/>
    <w:uiPriority w:val="0"/>
    <w:pPr>
      <w:widowControl/>
      <w:ind w:left="720"/>
      <w:contextualSpacing/>
      <w:jc w:val="left"/>
    </w:pPr>
    <w:rPr>
      <w:rFonts w:eastAsia="Times New Roman"/>
      <w:kern w:val="0"/>
      <w:sz w:val="24"/>
    </w:rPr>
  </w:style>
  <w:style w:type="paragraph" w:customStyle="1" w:styleId="377">
    <w:name w:val="Char1 Char Char Char1"/>
    <w:basedOn w:val="1"/>
    <w:qFormat/>
    <w:uiPriority w:val="0"/>
    <w:pPr>
      <w:spacing w:line="360" w:lineRule="auto"/>
    </w:pPr>
    <w:rPr>
      <w:rFonts w:ascii="Tahoma" w:hAnsi="Tahoma"/>
      <w:sz w:val="24"/>
      <w:szCs w:val="20"/>
    </w:rPr>
  </w:style>
  <w:style w:type="paragraph" w:customStyle="1" w:styleId="378">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79">
    <w:name w:val="普通(网站)1"/>
    <w:basedOn w:val="1"/>
    <w:qFormat/>
    <w:uiPriority w:val="0"/>
    <w:pPr>
      <w:widowControl/>
      <w:spacing w:before="240" w:after="240"/>
      <w:jc w:val="left"/>
    </w:pPr>
    <w:rPr>
      <w:rFonts w:ascii="宋体" w:hAnsi="宋体" w:cs="宋体"/>
      <w:kern w:val="0"/>
      <w:sz w:val="24"/>
    </w:rPr>
  </w:style>
  <w:style w:type="paragraph" w:customStyle="1" w:styleId="380">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81">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82">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3">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4">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5">
    <w:name w:val="Char Char Char Char1"/>
    <w:basedOn w:val="1"/>
    <w:qFormat/>
    <w:uiPriority w:val="0"/>
    <w:rPr>
      <w:rFonts w:ascii="Tahoma" w:hAnsi="Tahoma"/>
      <w:sz w:val="24"/>
      <w:szCs w:val="20"/>
    </w:rPr>
  </w:style>
  <w:style w:type="paragraph" w:customStyle="1" w:styleId="386">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87">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88">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9">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0">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91">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2">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3">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394">
    <w:name w:val="纯文本 Char2"/>
    <w:qFormat/>
    <w:uiPriority w:val="0"/>
    <w:rPr>
      <w:rFonts w:ascii="宋体" w:hAnsi="Courier New" w:eastAsia="宋体" w:cs="Times New Roman"/>
      <w:kern w:val="0"/>
      <w:sz w:val="20"/>
      <w:szCs w:val="20"/>
    </w:rPr>
  </w:style>
  <w:style w:type="paragraph" w:customStyle="1" w:styleId="395">
    <w:name w:val="mybody"/>
    <w:basedOn w:val="1"/>
    <w:link w:val="396"/>
    <w:qFormat/>
    <w:uiPriority w:val="0"/>
    <w:pPr>
      <w:widowControl/>
      <w:spacing w:beforeLines="100" w:afterLines="100" w:line="288" w:lineRule="auto"/>
      <w:ind w:firstLine="200" w:firstLineChars="200"/>
      <w:jc w:val="left"/>
    </w:pPr>
    <w:rPr>
      <w:rFonts w:ascii="Calibri" w:hAnsi="Calibri"/>
      <w:color w:val="000000"/>
      <w:kern w:val="0"/>
      <w:sz w:val="28"/>
      <w:szCs w:val="22"/>
      <w:lang w:eastAsia="en-US"/>
    </w:rPr>
  </w:style>
  <w:style w:type="character" w:customStyle="1" w:styleId="396">
    <w:name w:val="mybody Char"/>
    <w:link w:val="395"/>
    <w:qFormat/>
    <w:uiPriority w:val="0"/>
    <w:rPr>
      <w:rFonts w:ascii="Calibri" w:hAnsi="Calibri"/>
      <w:color w:val="000000"/>
      <w:sz w:val="28"/>
      <w:szCs w:val="22"/>
      <w:lang w:eastAsia="en-US"/>
    </w:rPr>
  </w:style>
  <w:style w:type="paragraph" w:customStyle="1" w:styleId="397">
    <w:name w:val="Normal (Web) Char"/>
    <w:basedOn w:val="1"/>
    <w:qFormat/>
    <w:uiPriority w:val="0"/>
    <w:pPr>
      <w:widowControl/>
      <w:spacing w:before="100" w:beforeAutospacing="1" w:after="100" w:afterAutospacing="1"/>
      <w:jc w:val="left"/>
    </w:pPr>
    <w:rPr>
      <w:rFonts w:ascii="宋体" w:hAnsi="宋体" w:cs="宋体"/>
      <w:kern w:val="0"/>
      <w:sz w:val="24"/>
      <w:szCs w:val="22"/>
    </w:rPr>
  </w:style>
  <w:style w:type="character" w:customStyle="1" w:styleId="398">
    <w:name w:val="xdrichtextbox"/>
    <w:qFormat/>
    <w:uiPriority w:val="0"/>
  </w:style>
  <w:style w:type="character" w:customStyle="1" w:styleId="399">
    <w:name w:val="批注框文本 Char1"/>
    <w:basedOn w:val="48"/>
    <w:semiHidden/>
    <w:qFormat/>
    <w:uiPriority w:val="99"/>
    <w:rPr>
      <w:rFonts w:ascii="Times New Roman" w:hAnsi="Times New Roman" w:eastAsia="宋体" w:cs="Times New Roman"/>
      <w:sz w:val="18"/>
      <w:szCs w:val="18"/>
    </w:rPr>
  </w:style>
  <w:style w:type="character" w:customStyle="1" w:styleId="400">
    <w:name w:val="批注主题 Char1"/>
    <w:basedOn w:val="73"/>
    <w:semiHidden/>
    <w:qFormat/>
    <w:uiPriority w:val="99"/>
    <w:rPr>
      <w:rFonts w:ascii="Times New Roman" w:hAnsi="Times New Roman" w:eastAsia="宋体" w:cs="Times New Roman"/>
      <w:b/>
      <w:bCs/>
      <w:szCs w:val="24"/>
    </w:rPr>
  </w:style>
  <w:style w:type="character" w:customStyle="1" w:styleId="401">
    <w:name w:val="文档结构图 Char1"/>
    <w:basedOn w:val="48"/>
    <w:semiHidden/>
    <w:qFormat/>
    <w:uiPriority w:val="99"/>
    <w:rPr>
      <w:rFonts w:ascii="宋体" w:hAnsi="Times New Roman" w:eastAsia="宋体" w:cs="Times New Roman"/>
      <w:sz w:val="18"/>
      <w:szCs w:val="18"/>
    </w:rPr>
  </w:style>
  <w:style w:type="paragraph" w:customStyle="1" w:styleId="402">
    <w:name w:val="[基本段落]"/>
    <w:basedOn w:val="1"/>
    <w:qFormat/>
    <w:uiPriority w:val="99"/>
    <w:pPr>
      <w:autoSpaceDE w:val="0"/>
      <w:autoSpaceDN w:val="0"/>
      <w:adjustRightInd w:val="0"/>
      <w:spacing w:line="288" w:lineRule="auto"/>
    </w:pPr>
    <w:rPr>
      <w:rFonts w:ascii="宋体" w:hAnsi="Calibri" w:cs="宋体"/>
      <w:color w:val="000000"/>
      <w:kern w:val="0"/>
      <w:sz w:val="24"/>
      <w:lang w:val="zh-CN"/>
    </w:rPr>
  </w:style>
  <w:style w:type="character" w:customStyle="1" w:styleId="403">
    <w:name w:val="font91"/>
    <w:basedOn w:val="48"/>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A338A-416D-4F38-8B5F-75B237BAC87C}">
  <ds:schemaRefs/>
</ds:datastoreItem>
</file>

<file path=docProps/app.xml><?xml version="1.0" encoding="utf-8"?>
<Properties xmlns="http://schemas.openxmlformats.org/officeDocument/2006/extended-properties" xmlns:vt="http://schemas.openxmlformats.org/officeDocument/2006/docPropsVTypes">
  <Template>Normal</Template>
  <Company>WRGHO.COM</Company>
  <Pages>77</Pages>
  <Words>21923</Words>
  <Characters>23625</Characters>
  <Lines>240</Lines>
  <Paragraphs>67</Paragraphs>
  <TotalTime>328</TotalTime>
  <ScaleCrop>false</ScaleCrop>
  <LinksUpToDate>false</LinksUpToDate>
  <CharactersWithSpaces>23752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2026-03-09T06:25:00Z</dcterms:created>
  <dc:creator>Administrator</dc:creator>
  <cp:lastModifiedBy>F</cp:lastModifiedBy>
  <cp:lastPrinted>2023-03-07T01:34:00Z</cp:lastPrinted>
  <dcterms:modified xsi:type="dcterms:W3CDTF">2026-03-16T06:02:10Z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EC124E240A2C48F383EB8BF71A8842F3</vt:lpwstr>
  </property>
  <property fmtid="{D5CDD505-2E9C-101B-9397-08002B2CF9AE}" pid="4" name="KSOTemplateDocerSaveRecord">
    <vt:lpwstr>eyJoZGlkIjoiNzQ2NzRiZDQ3MDQzZDViZjJkNjkzYTU5Njk0YTA5YjQiLCJ1c2VySWQiOiIzMDUyMDQ0MzcifQ==</vt:lpwstr>
  </property>
</Properties>
</file>