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AB792">
      <w:pPr>
        <w:tabs>
          <w:tab w:val="left" w:pos="7740"/>
        </w:tabs>
        <w:jc w:val="center"/>
        <w:rPr>
          <w:rFonts w:ascii="仿宋_GB2312" w:hAnsi="宋体" w:eastAsia="仿宋_GB2312"/>
          <w:color w:val="000000" w:themeColor="text1"/>
          <w:sz w:val="52"/>
          <w:highlight w:val="none"/>
          <w14:textFill>
            <w14:solidFill>
              <w14:schemeClr w14:val="tx1"/>
            </w14:solidFill>
          </w14:textFill>
        </w:rPr>
      </w:pPr>
      <w:bookmarkStart w:id="0" w:name="_Hlk44653633"/>
      <w:bookmarkStart w:id="21" w:name="_GoBack"/>
    </w:p>
    <w:p w14:paraId="407E3CA6">
      <w:pPr>
        <w:tabs>
          <w:tab w:val="left" w:pos="7740"/>
        </w:tabs>
        <w:jc w:val="center"/>
        <w:rPr>
          <w:rFonts w:ascii="仿宋_GB2312" w:hAnsi="宋体" w:eastAsia="仿宋_GB2312"/>
          <w:color w:val="000000" w:themeColor="text1"/>
          <w:sz w:val="52"/>
          <w:highlight w:val="none"/>
          <w14:textFill>
            <w14:solidFill>
              <w14:schemeClr w14:val="tx1"/>
            </w14:solidFill>
          </w14:textFill>
        </w:rPr>
      </w:pPr>
    </w:p>
    <w:bookmarkEnd w:id="0"/>
    <w:p w14:paraId="14993972">
      <w:pPr>
        <w:tabs>
          <w:tab w:val="left" w:pos="7740"/>
        </w:tabs>
        <w:jc w:val="center"/>
        <w:rPr>
          <w:rFonts w:ascii="仿宋_GB2312" w:hAnsi="宋体" w:eastAsia="仿宋_GB2312"/>
          <w:b/>
          <w:bCs/>
          <w:color w:val="000000" w:themeColor="text1"/>
          <w:sz w:val="84"/>
          <w:highlight w:val="none"/>
          <w14:textFill>
            <w14:solidFill>
              <w14:schemeClr w14:val="tx1"/>
            </w14:solidFill>
          </w14:textFill>
        </w:rPr>
      </w:pPr>
      <w:r>
        <w:rPr>
          <w:rFonts w:hint="eastAsia" w:ascii="仿宋_GB2312" w:hAnsi="宋体" w:eastAsia="仿宋_GB2312"/>
          <w:color w:val="000000" w:themeColor="text1"/>
          <w:sz w:val="52"/>
          <w:highlight w:val="none"/>
          <w:lang w:eastAsia="zh-CN"/>
          <w14:textFill>
            <w14:solidFill>
              <w14:schemeClr w14:val="tx1"/>
            </w14:solidFill>
          </w14:textFill>
        </w:rPr>
        <w:t>威海海高园港城环卫服务有限公司</w:t>
      </w:r>
      <w:r>
        <w:rPr>
          <w:rFonts w:hint="eastAsia" w:ascii="仿宋_GB2312" w:hAnsi="宋体" w:eastAsia="仿宋_GB2312"/>
          <w:color w:val="000000" w:themeColor="text1"/>
          <w:sz w:val="52"/>
          <w:highlight w:val="none"/>
          <w14:textFill>
            <w14:solidFill>
              <w14:schemeClr w14:val="tx1"/>
            </w14:solidFill>
          </w14:textFill>
        </w:rPr>
        <w:cr/>
      </w:r>
      <w:r>
        <w:rPr>
          <w:rFonts w:hint="eastAsia" w:ascii="仿宋_GB2312" w:hAnsi="宋体" w:eastAsia="仿宋_GB2312"/>
          <w:b/>
          <w:bCs/>
          <w:color w:val="000000" w:themeColor="text1"/>
          <w:sz w:val="84"/>
          <w:highlight w:val="none"/>
          <w14:textFill>
            <w14:solidFill>
              <w14:schemeClr w14:val="tx1"/>
            </w14:solidFill>
          </w14:textFill>
        </w:rPr>
        <w:t>招 标 文 件</w:t>
      </w:r>
      <w:r>
        <w:rPr>
          <w:rFonts w:hint="eastAsia" w:ascii="仿宋_GB2312" w:hAnsi="宋体" w:eastAsia="仿宋_GB2312"/>
          <w:b/>
          <w:bCs/>
          <w:color w:val="000000" w:themeColor="text1"/>
          <w:sz w:val="84"/>
          <w:highlight w:val="none"/>
          <w14:textFill>
            <w14:solidFill>
              <w14:schemeClr w14:val="tx1"/>
            </w14:solidFill>
          </w14:textFill>
        </w:rPr>
        <w:cr/>
      </w:r>
    </w:p>
    <w:p w14:paraId="14E9CAC4">
      <w:pPr>
        <w:tabs>
          <w:tab w:val="left" w:pos="7740"/>
        </w:tabs>
        <w:ind w:left="1436" w:leftChars="684" w:firstLine="5040" w:firstLineChars="700"/>
        <w:jc w:val="left"/>
        <w:rPr>
          <w:rFonts w:ascii="仿宋_GB2312" w:hAnsi="宋体" w:eastAsia="仿宋_GB2312"/>
          <w:bCs/>
          <w:color w:val="000000" w:themeColor="text1"/>
          <w:sz w:val="36"/>
          <w:highlight w:val="none"/>
          <w14:textFill>
            <w14:solidFill>
              <w14:schemeClr w14:val="tx1"/>
            </w14:solidFill>
          </w14:textFill>
        </w:rPr>
      </w:pPr>
      <w:r>
        <w:rPr>
          <w:rFonts w:hint="eastAsia" w:ascii="仿宋_GB2312" w:hAnsi="宋体" w:eastAsia="仿宋_GB2312"/>
          <w:color w:val="000000" w:themeColor="text1"/>
          <w:sz w:val="72"/>
          <w:highlight w:val="none"/>
          <w14:textFill>
            <w14:solidFill>
              <w14:schemeClr w14:val="tx1"/>
            </w14:solidFill>
          </w14:textFill>
        </w:rPr>
        <w:cr/>
      </w:r>
      <w:r>
        <w:rPr>
          <w:rFonts w:hint="eastAsia" w:ascii="仿宋_GB2312" w:hAnsi="宋体" w:eastAsia="仿宋_GB2312"/>
          <w:b/>
          <w:bCs/>
          <w:color w:val="000000" w:themeColor="text1"/>
          <w:sz w:val="36"/>
          <w:highlight w:val="none"/>
          <w14:textFill>
            <w14:solidFill>
              <w14:schemeClr w14:val="tx1"/>
            </w14:solidFill>
          </w14:textFill>
        </w:rPr>
        <w:t>采购编号：</w:t>
      </w:r>
      <w:bookmarkStart w:id="1" w:name="OLE_LINK2"/>
      <w:r>
        <w:rPr>
          <w:rFonts w:hint="eastAsia" w:ascii="仿宋_GB2312" w:hAnsi="宋体" w:eastAsia="仿宋_GB2312"/>
          <w:bCs/>
          <w:color w:val="000000" w:themeColor="text1"/>
          <w:sz w:val="36"/>
          <w:highlight w:val="none"/>
          <w:lang w:eastAsia="zh-CN"/>
          <w14:textFill>
            <w14:solidFill>
              <w14:schemeClr w14:val="tx1"/>
            </w14:solidFill>
          </w14:textFill>
        </w:rPr>
        <w:t>WHHGYSDGQ2026-18</w:t>
      </w:r>
      <w:r>
        <w:rPr>
          <w:rFonts w:hint="eastAsia" w:ascii="仿宋_GB2312" w:hAnsi="宋体" w:eastAsia="仿宋_GB2312"/>
          <w:bCs/>
          <w:color w:val="000000" w:themeColor="text1"/>
          <w:sz w:val="36"/>
          <w:highlight w:val="none"/>
          <w14:textFill>
            <w14:solidFill>
              <w14:schemeClr w14:val="tx1"/>
            </w14:solidFill>
          </w14:textFill>
        </w:rPr>
        <w:cr/>
      </w:r>
      <w:bookmarkEnd w:id="1"/>
      <w:r>
        <w:rPr>
          <w:rFonts w:hint="eastAsia" w:ascii="仿宋_GB2312" w:hAnsi="宋体" w:eastAsia="仿宋_GB2312"/>
          <w:b/>
          <w:bCs/>
          <w:color w:val="000000" w:themeColor="text1"/>
          <w:sz w:val="36"/>
          <w:highlight w:val="none"/>
          <w14:textFill>
            <w14:solidFill>
              <w14:schemeClr w14:val="tx1"/>
            </w14:solidFill>
          </w14:textFill>
        </w:rPr>
        <w:t>采购项目：</w:t>
      </w:r>
      <w:r>
        <w:rPr>
          <w:rFonts w:hint="eastAsia" w:ascii="仿宋_GB2312" w:hAnsi="宋体" w:eastAsia="仿宋_GB2312"/>
          <w:color w:val="000000" w:themeColor="text1"/>
          <w:sz w:val="36"/>
          <w:highlight w:val="none"/>
          <w14:textFill>
            <w14:solidFill>
              <w14:schemeClr w14:val="tx1"/>
            </w14:solidFill>
          </w14:textFill>
        </w:rPr>
        <w:t>建筑垃圾分拣中心项目用车</w:t>
      </w:r>
    </w:p>
    <w:p w14:paraId="263618CE">
      <w:pPr>
        <w:tabs>
          <w:tab w:val="left" w:pos="7740"/>
        </w:tabs>
        <w:ind w:firstLine="1428" w:firstLineChars="395"/>
        <w:jc w:val="left"/>
        <w:rPr>
          <w:rFonts w:ascii="仿宋_GB2312" w:hAnsi="宋体" w:eastAsia="仿宋_GB2312"/>
          <w:color w:val="000000" w:themeColor="text1"/>
          <w:sz w:val="44"/>
          <w:highlight w:val="none"/>
          <w14:textFill>
            <w14:solidFill>
              <w14:schemeClr w14:val="tx1"/>
            </w14:solidFill>
          </w14:textFill>
        </w:rPr>
      </w:pPr>
      <w:r>
        <w:rPr>
          <w:rFonts w:hint="eastAsia" w:ascii="仿宋_GB2312" w:hAnsi="宋体" w:eastAsia="仿宋_GB2312"/>
          <w:b/>
          <w:bCs/>
          <w:color w:val="000000" w:themeColor="text1"/>
          <w:sz w:val="36"/>
          <w:highlight w:val="none"/>
          <w14:textFill>
            <w14:solidFill>
              <w14:schemeClr w14:val="tx1"/>
            </w14:solidFill>
          </w14:textFill>
        </w:rPr>
        <w:t>采购方式：</w:t>
      </w:r>
      <w:r>
        <w:rPr>
          <w:rFonts w:hint="eastAsia" w:ascii="仿宋_GB2312" w:hAnsi="宋体" w:eastAsia="仿宋_GB2312"/>
          <w:color w:val="000000" w:themeColor="text1"/>
          <w:sz w:val="36"/>
          <w:highlight w:val="none"/>
          <w14:textFill>
            <w14:solidFill>
              <w14:schemeClr w14:val="tx1"/>
            </w14:solidFill>
          </w14:textFill>
        </w:rPr>
        <w:t>公开招标</w:t>
      </w:r>
      <w:r>
        <w:rPr>
          <w:rFonts w:hint="eastAsia" w:ascii="仿宋_GB2312" w:hAnsi="宋体" w:eastAsia="仿宋_GB2312"/>
          <w:color w:val="000000" w:themeColor="text1"/>
          <w:sz w:val="36"/>
          <w:highlight w:val="none"/>
          <w14:textFill>
            <w14:solidFill>
              <w14:schemeClr w14:val="tx1"/>
            </w14:solidFill>
          </w14:textFill>
        </w:rPr>
        <w:cr/>
      </w:r>
      <w:r>
        <w:rPr>
          <w:rFonts w:hint="eastAsia" w:ascii="仿宋_GB2312" w:hAnsi="宋体" w:eastAsia="仿宋_GB2312"/>
          <w:color w:val="000000" w:themeColor="text1"/>
          <w:sz w:val="44"/>
          <w:highlight w:val="none"/>
          <w14:textFill>
            <w14:solidFill>
              <w14:schemeClr w14:val="tx1"/>
            </w14:solidFill>
          </w14:textFill>
        </w:rPr>
        <w:cr/>
      </w:r>
    </w:p>
    <w:p w14:paraId="745193EB">
      <w:pPr>
        <w:pStyle w:val="13"/>
        <w:rPr>
          <w:color w:val="000000" w:themeColor="text1"/>
          <w:highlight w:val="none"/>
          <w14:textFill>
            <w14:solidFill>
              <w14:schemeClr w14:val="tx1"/>
            </w14:solidFill>
          </w14:textFill>
        </w:rPr>
      </w:pPr>
    </w:p>
    <w:p w14:paraId="74F34C13">
      <w:pPr>
        <w:pStyle w:val="13"/>
        <w:rPr>
          <w:color w:val="000000" w:themeColor="text1"/>
          <w:highlight w:val="none"/>
          <w14:textFill>
            <w14:solidFill>
              <w14:schemeClr w14:val="tx1"/>
            </w14:solidFill>
          </w14:textFill>
        </w:rPr>
      </w:pPr>
    </w:p>
    <w:p w14:paraId="35EB717B">
      <w:pPr>
        <w:pStyle w:val="13"/>
        <w:rPr>
          <w:color w:val="000000" w:themeColor="text1"/>
          <w:highlight w:val="none"/>
          <w14:textFill>
            <w14:solidFill>
              <w14:schemeClr w14:val="tx1"/>
            </w14:solidFill>
          </w14:textFill>
        </w:rPr>
      </w:pPr>
    </w:p>
    <w:p w14:paraId="7124B673">
      <w:pPr>
        <w:pStyle w:val="13"/>
        <w:ind w:firstLine="0"/>
        <w:rPr>
          <w:color w:val="000000" w:themeColor="text1"/>
          <w:highlight w:val="none"/>
          <w14:textFill>
            <w14:solidFill>
              <w14:schemeClr w14:val="tx1"/>
            </w14:solidFill>
          </w14:textFill>
        </w:rPr>
      </w:pPr>
    </w:p>
    <w:p w14:paraId="25F24E86">
      <w:pPr>
        <w:ind w:firstLine="2880" w:firstLineChars="800"/>
        <w:rPr>
          <w:rFonts w:ascii="仿宋_GB2312" w:hAnsi="宋体" w:eastAsia="仿宋_GB2312"/>
          <w:color w:val="000000" w:themeColor="text1"/>
          <w:sz w:val="36"/>
          <w:highlight w:val="none"/>
          <w14:textFill>
            <w14:solidFill>
              <w14:schemeClr w14:val="tx1"/>
            </w14:solidFill>
          </w14:textFill>
        </w:rPr>
      </w:pPr>
      <w:r>
        <w:rPr>
          <w:rFonts w:hint="eastAsia" w:ascii="仿宋_GB2312" w:hAnsi="宋体" w:eastAsia="仿宋_GB2312"/>
          <w:color w:val="000000" w:themeColor="text1"/>
          <w:sz w:val="36"/>
          <w:highlight w:val="none"/>
          <w14:textFill>
            <w14:solidFill>
              <w14:schemeClr w14:val="tx1"/>
            </w14:solidFill>
          </w14:textFill>
        </w:rPr>
        <w:t>山东志诚工程咨询管理有限公司</w:t>
      </w:r>
      <w:r>
        <w:rPr>
          <w:rFonts w:hint="eastAsia" w:ascii="仿宋_GB2312" w:hAnsi="宋体" w:eastAsia="仿宋_GB2312"/>
          <w:color w:val="000000" w:themeColor="text1"/>
          <w:sz w:val="36"/>
          <w:highlight w:val="none"/>
          <w14:textFill>
            <w14:solidFill>
              <w14:schemeClr w14:val="tx1"/>
            </w14:solidFill>
          </w14:textFill>
        </w:rPr>
        <w:cr/>
      </w:r>
      <w:r>
        <w:rPr>
          <w:rFonts w:hint="eastAsia" w:ascii="仿宋_GB2312" w:hAnsi="宋体" w:eastAsia="仿宋_GB2312"/>
          <w:color w:val="000000" w:themeColor="text1"/>
          <w:sz w:val="36"/>
          <w:highlight w:val="none"/>
          <w14:textFill>
            <w14:solidFill>
              <w14:schemeClr w14:val="tx1"/>
            </w14:solidFill>
          </w14:textFill>
        </w:rPr>
        <w:t xml:space="preserve">                       2026年</w:t>
      </w:r>
      <w:r>
        <w:rPr>
          <w:rFonts w:hint="eastAsia" w:ascii="仿宋_GB2312" w:hAnsi="宋体" w:eastAsia="仿宋_GB2312"/>
          <w:color w:val="000000" w:themeColor="text1"/>
          <w:sz w:val="36"/>
          <w:highlight w:val="none"/>
          <w:lang w:val="en-US" w:eastAsia="zh-CN"/>
          <w14:textFill>
            <w14:solidFill>
              <w14:schemeClr w14:val="tx1"/>
            </w14:solidFill>
          </w14:textFill>
        </w:rPr>
        <w:t>4</w:t>
      </w:r>
      <w:r>
        <w:rPr>
          <w:rFonts w:hint="eastAsia" w:ascii="仿宋_GB2312" w:hAnsi="宋体" w:eastAsia="仿宋_GB2312"/>
          <w:color w:val="000000" w:themeColor="text1"/>
          <w:sz w:val="36"/>
          <w:highlight w:val="none"/>
          <w14:textFill>
            <w14:solidFill>
              <w14:schemeClr w14:val="tx1"/>
            </w14:solidFill>
          </w14:textFill>
        </w:rPr>
        <w:t>月</w:t>
      </w:r>
      <w:r>
        <w:rPr>
          <w:rFonts w:hint="eastAsia" w:ascii="仿宋_GB2312" w:hAnsi="宋体" w:eastAsia="仿宋_GB2312"/>
          <w:color w:val="000000" w:themeColor="text1"/>
          <w:sz w:val="36"/>
          <w:highlight w:val="none"/>
          <w14:textFill>
            <w14:solidFill>
              <w14:schemeClr w14:val="tx1"/>
            </w14:solidFill>
          </w14:textFill>
        </w:rPr>
        <w:cr/>
      </w:r>
    </w:p>
    <w:p w14:paraId="421B4CBC">
      <w:pPr>
        <w:ind w:firstLine="3534" w:firstLineChars="800"/>
        <w:rPr>
          <w:rFonts w:ascii="宋体" w:hAnsi="宋体"/>
          <w:b/>
          <w:color w:val="000000" w:themeColor="text1"/>
          <w:sz w:val="44"/>
          <w:szCs w:val="44"/>
          <w:highlight w:val="none"/>
          <w14:textFill>
            <w14:solidFill>
              <w14:schemeClr w14:val="tx1"/>
            </w14:solidFill>
          </w14:textFill>
        </w:rPr>
      </w:pPr>
    </w:p>
    <w:p w14:paraId="75AC089F">
      <w:pPr>
        <w:ind w:firstLine="3534" w:firstLineChars="800"/>
        <w:rPr>
          <w:rFonts w:ascii="宋体" w:hAnsi="宋体"/>
          <w:b/>
          <w:color w:val="000000" w:themeColor="text1"/>
          <w:sz w:val="44"/>
          <w:szCs w:val="44"/>
          <w:highlight w:val="none"/>
          <w14:textFill>
            <w14:solidFill>
              <w14:schemeClr w14:val="tx1"/>
            </w14:solidFill>
          </w14:textFill>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585B953A">
      <w:pPr>
        <w:ind w:firstLine="3534" w:firstLineChars="800"/>
        <w:rPr>
          <w:rFonts w:ascii="仿宋_GB2312" w:hAnsi="宋体" w:eastAsia="仿宋_GB2312"/>
          <w:color w:val="000000" w:themeColor="text1"/>
          <w:sz w:val="28"/>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 xml:space="preserve"> 目　录</w:t>
      </w:r>
      <w:r>
        <w:rPr>
          <w:rFonts w:hint="eastAsia" w:ascii="宋体" w:hAnsi="宋体"/>
          <w:b/>
          <w:color w:val="000000" w:themeColor="text1"/>
          <w:sz w:val="44"/>
          <w:szCs w:val="44"/>
          <w:highlight w:val="none"/>
          <w14:textFill>
            <w14:solidFill>
              <w14:schemeClr w14:val="tx1"/>
            </w14:solidFill>
          </w14:textFill>
        </w:rPr>
        <w:cr/>
      </w:r>
    </w:p>
    <w:p w14:paraId="77BAF477">
      <w:pPr>
        <w:spacing w:line="700" w:lineRule="exact"/>
        <w:ind w:firstLine="562" w:firstLineChars="200"/>
        <w:jc w:val="left"/>
        <w:rPr>
          <w:rFonts w:ascii="宋体" w:hAnsi="宋体" w:cs="宋体"/>
          <w:color w:val="000000" w:themeColor="text1"/>
          <w:sz w:val="24"/>
          <w:szCs w:val="44"/>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第一章   招标公告</w:t>
      </w:r>
    </w:p>
    <w:p w14:paraId="6A1E04B6">
      <w:pPr>
        <w:spacing w:line="70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第二章   投标须知</w:t>
      </w:r>
    </w:p>
    <w:p w14:paraId="107F4A89">
      <w:pPr>
        <w:spacing w:line="70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第三章   采购内容与要求</w:t>
      </w:r>
    </w:p>
    <w:p w14:paraId="7FB89734">
      <w:pPr>
        <w:spacing w:line="70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第四章   评标原则和方法</w:t>
      </w:r>
    </w:p>
    <w:p w14:paraId="231AFADC">
      <w:pPr>
        <w:spacing w:line="70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第五章   投标文件格式与要求</w:t>
      </w:r>
    </w:p>
    <w:p w14:paraId="5F204851">
      <w:pPr>
        <w:spacing w:line="700" w:lineRule="exact"/>
        <w:ind w:firstLine="562" w:firstLineChars="200"/>
        <w:rPr>
          <w:rFonts w:ascii="仿宋_GB2312" w:hAnsi="宋体" w:eastAsia="仿宋_GB2312"/>
          <w:color w:val="000000" w:themeColor="text1"/>
          <w:sz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第六章   采购合同（范本）</w:t>
      </w:r>
      <w:r>
        <w:rPr>
          <w:rFonts w:hint="eastAsia" w:ascii="仿宋_GB2312" w:hAnsi="宋体" w:eastAsia="仿宋_GB2312"/>
          <w:color w:val="000000" w:themeColor="text1"/>
          <w:sz w:val="28"/>
          <w:highlight w:val="none"/>
          <w14:textFill>
            <w14:solidFill>
              <w14:schemeClr w14:val="tx1"/>
            </w14:solidFill>
          </w14:textFill>
        </w:rPr>
        <w:cr/>
      </w:r>
      <w:r>
        <w:rPr>
          <w:rFonts w:hint="eastAsia" w:ascii="仿宋_GB2312" w:hAnsi="宋体" w:eastAsia="仿宋_GB2312"/>
          <w:color w:val="000000" w:themeColor="text1"/>
          <w:sz w:val="28"/>
          <w:highlight w:val="none"/>
          <w14:textFill>
            <w14:solidFill>
              <w14:schemeClr w14:val="tx1"/>
            </w14:solidFill>
          </w14:textFill>
        </w:rPr>
        <w:cr/>
      </w:r>
      <w:r>
        <w:rPr>
          <w:rFonts w:hint="eastAsia" w:ascii="仿宋_GB2312" w:hAnsi="宋体" w:eastAsia="仿宋_GB2312"/>
          <w:color w:val="000000" w:themeColor="text1"/>
          <w:sz w:val="28"/>
          <w:highlight w:val="none"/>
          <w14:textFill>
            <w14:solidFill>
              <w14:schemeClr w14:val="tx1"/>
            </w14:solidFill>
          </w14:textFill>
        </w:rPr>
        <w:cr/>
      </w:r>
    </w:p>
    <w:p w14:paraId="08A985A3">
      <w:pPr>
        <w:spacing w:line="360" w:lineRule="auto"/>
        <w:ind w:firstLine="422" w:firstLineChars="201"/>
        <w:jc w:val="center"/>
        <w:rPr>
          <w:color w:val="000000" w:themeColor="text1"/>
          <w:kern w:val="0"/>
          <w:highlight w:val="none"/>
          <w14:textFill>
            <w14:solidFill>
              <w14:schemeClr w14:val="tx1"/>
            </w14:solidFill>
          </w14:textFill>
        </w:rPr>
      </w:pPr>
    </w:p>
    <w:p w14:paraId="591C0FFE">
      <w:pPr>
        <w:rPr>
          <w:color w:val="000000" w:themeColor="text1"/>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p>
    <w:p w14:paraId="0AEA2B30">
      <w:pPr>
        <w:pStyle w:val="42"/>
        <w:rPr>
          <w:rFonts w:ascii="宋体" w:hAnsi="宋体" w:cs="宋体"/>
          <w:color w:val="000000" w:themeColor="text1"/>
          <w:kern w:val="36"/>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第一章</w:t>
      </w:r>
      <w:r>
        <w:rPr>
          <w:rFonts w:hint="eastAsia" w:ascii="宋体" w:hAnsi="宋体" w:cs="宋体"/>
          <w:color w:val="000000" w:themeColor="text1"/>
          <w:kern w:val="36"/>
          <w:highlight w:val="none"/>
          <w14:textFill>
            <w14:solidFill>
              <w14:schemeClr w14:val="tx1"/>
            </w14:solidFill>
          </w14:textFill>
        </w:rPr>
        <w:t>招标公告</w:t>
      </w:r>
    </w:p>
    <w:p w14:paraId="3BBC9665">
      <w:pPr>
        <w:spacing w:line="360" w:lineRule="auto"/>
        <w:jc w:val="center"/>
        <w:rPr>
          <w:rFonts w:ascii="方正小标宋简体" w:hAnsi="Cambria" w:eastAsia="方正小标宋简体"/>
          <w:b/>
          <w:bCs/>
          <w:color w:val="000000" w:themeColor="text1"/>
          <w:sz w:val="30"/>
          <w:szCs w:val="30"/>
          <w:highlight w:val="none"/>
          <w14:textFill>
            <w14:solidFill>
              <w14:schemeClr w14:val="tx1"/>
            </w14:solidFill>
          </w14:textFill>
        </w:rPr>
      </w:pPr>
      <w:r>
        <w:rPr>
          <w:rFonts w:hint="eastAsia" w:ascii="方正小标宋简体" w:hAnsi="Cambria" w:eastAsia="方正小标宋简体"/>
          <w:b/>
          <w:bCs/>
          <w:color w:val="000000" w:themeColor="text1"/>
          <w:sz w:val="30"/>
          <w:szCs w:val="30"/>
          <w:highlight w:val="none"/>
          <w:lang w:eastAsia="zh-CN"/>
          <w14:textFill>
            <w14:solidFill>
              <w14:schemeClr w14:val="tx1"/>
            </w14:solidFill>
          </w14:textFill>
        </w:rPr>
        <w:t>威海海高园港城环卫服务有限公司建筑垃圾分拣中心项目用车</w:t>
      </w:r>
      <w:r>
        <w:rPr>
          <w:rFonts w:hint="eastAsia" w:ascii="方正小标宋简体" w:hAnsi="Cambria" w:eastAsia="方正小标宋简体"/>
          <w:b/>
          <w:bCs/>
          <w:color w:val="000000" w:themeColor="text1"/>
          <w:sz w:val="30"/>
          <w:szCs w:val="30"/>
          <w:highlight w:val="none"/>
          <w14:textFill>
            <w14:solidFill>
              <w14:schemeClr w14:val="tx1"/>
            </w14:solidFill>
          </w14:textFill>
        </w:rPr>
        <w:t>公开招标公告</w:t>
      </w:r>
    </w:p>
    <w:p w14:paraId="0C5F7E82">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项目概况</w:t>
      </w:r>
    </w:p>
    <w:p w14:paraId="7569EFA5">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建筑垃圾分拣中心项目用车招标项目的潜在投标人应在威海市国有企业电子化服务平台（威海市公共资源交易网（荣成市）右侧“交易服务一网通办系统（新版一网通办系统）”进行平台切换点击“国企采购”）获取采购文件，并于</w:t>
      </w:r>
      <w:r>
        <w:rPr>
          <w:rFonts w:hint="eastAsia" w:ascii="仿宋_GB2312" w:hAnsi="仿宋" w:eastAsia="仿宋_GB2312" w:cs="宋体"/>
          <w:color w:val="000000" w:themeColor="text1"/>
          <w:spacing w:val="8"/>
          <w:sz w:val="28"/>
          <w:szCs w:val="28"/>
          <w:highlight w:val="none"/>
          <w14:textFill>
            <w14:solidFill>
              <w14:schemeClr w14:val="tx1"/>
            </w14:solidFill>
          </w14:textFill>
        </w:rPr>
        <w:t>2026年</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日09:00</w:t>
      </w:r>
      <w:r>
        <w:rPr>
          <w:rFonts w:hint="eastAsia" w:ascii="仿宋_GB2312" w:hAnsi="仿宋" w:eastAsia="仿宋_GB2312" w:cs="宋体"/>
          <w:color w:val="000000" w:themeColor="text1"/>
          <w:spacing w:val="8"/>
          <w:sz w:val="28"/>
          <w:szCs w:val="28"/>
          <w:highlight w:val="none"/>
          <w14:textFill>
            <w14:solidFill>
              <w14:schemeClr w14:val="tx1"/>
            </w14:solidFill>
          </w14:textFill>
        </w:rPr>
        <w:t>（北京时间）前递交投标文件。</w:t>
      </w:r>
    </w:p>
    <w:p w14:paraId="6A0BB9FF">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一、项目基本情况</w:t>
      </w:r>
    </w:p>
    <w:p w14:paraId="0006F08B">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项目编号：</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WHHGYSDGQ2026-18</w:t>
      </w:r>
    </w:p>
    <w:p w14:paraId="6CE59EDB">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项目名称：建筑垃圾分拣中心项目用车</w:t>
      </w:r>
    </w:p>
    <w:p w14:paraId="346B04F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采购项目分包情况：</w:t>
      </w:r>
    </w:p>
    <w:tbl>
      <w:tblPr>
        <w:tblStyle w:val="4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113"/>
        <w:gridCol w:w="851"/>
        <w:gridCol w:w="1701"/>
        <w:gridCol w:w="1701"/>
        <w:gridCol w:w="1417"/>
        <w:gridCol w:w="1349"/>
      </w:tblGrid>
      <w:tr w14:paraId="2A55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30" w:type="dxa"/>
            <w:vAlign w:val="center"/>
          </w:tcPr>
          <w:p w14:paraId="3B9772CA">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标包</w:t>
            </w:r>
          </w:p>
        </w:tc>
        <w:tc>
          <w:tcPr>
            <w:tcW w:w="2113" w:type="dxa"/>
            <w:vAlign w:val="center"/>
          </w:tcPr>
          <w:p w14:paraId="79A645D1">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货物\服务名称</w:t>
            </w:r>
          </w:p>
        </w:tc>
        <w:tc>
          <w:tcPr>
            <w:tcW w:w="851" w:type="dxa"/>
            <w:vAlign w:val="center"/>
          </w:tcPr>
          <w:p w14:paraId="7CF3B7E7">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数量</w:t>
            </w:r>
          </w:p>
        </w:tc>
        <w:tc>
          <w:tcPr>
            <w:tcW w:w="1701" w:type="dxa"/>
            <w:vAlign w:val="center"/>
          </w:tcPr>
          <w:p w14:paraId="3C448FBF">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包预算金额</w:t>
            </w:r>
            <w:r>
              <w:rPr>
                <w:rFonts w:hint="eastAsia" w:ascii="仿宋_GB2312" w:hAnsi="宋体" w:eastAsia="仿宋_GB2312" w:cs="宋体"/>
                <w:b/>
                <w:color w:val="000000" w:themeColor="text1"/>
                <w:sz w:val="28"/>
                <w:highlight w:val="none"/>
                <w14:textFill>
                  <w14:solidFill>
                    <w14:schemeClr w14:val="tx1"/>
                  </w14:solidFill>
                </w14:textFill>
              </w:rPr>
              <w:br w:type="textWrapping"/>
            </w: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701" w:type="dxa"/>
            <w:vAlign w:val="center"/>
          </w:tcPr>
          <w:p w14:paraId="60BC7C0C">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最高限价</w:t>
            </w:r>
          </w:p>
          <w:p w14:paraId="0BACFCB2">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417" w:type="dxa"/>
            <w:vAlign w:val="center"/>
          </w:tcPr>
          <w:p w14:paraId="540C89E1">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采购需求</w:t>
            </w:r>
          </w:p>
        </w:tc>
        <w:tc>
          <w:tcPr>
            <w:tcW w:w="1349" w:type="dxa"/>
            <w:vAlign w:val="center"/>
          </w:tcPr>
          <w:p w14:paraId="406AAA57">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合同履行期限</w:t>
            </w:r>
          </w:p>
        </w:tc>
      </w:tr>
      <w:tr w14:paraId="1247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vAlign w:val="center"/>
          </w:tcPr>
          <w:p w14:paraId="0D2CE9E8">
            <w:pPr>
              <w:jc w:val="center"/>
              <w:rPr>
                <w:rFonts w:ascii="仿宋_GB2312" w:hAnsi="宋体" w:eastAsia="仿宋_GB2312" w:cs="宋体"/>
                <w:color w:val="000000" w:themeColor="text1"/>
                <w:sz w:val="24"/>
                <w:highlight w:val="none"/>
                <w14:textFill>
                  <w14:solidFill>
                    <w14:schemeClr w14:val="tx1"/>
                  </w14:solidFill>
                </w14:textFill>
              </w:rPr>
            </w:pPr>
            <w:bookmarkStart w:id="2" w:name="_Hlk223703000"/>
            <w:bookmarkStart w:id="3" w:name="_Hlk223688335"/>
            <w:r>
              <w:rPr>
                <w:rFonts w:hint="eastAsia" w:ascii="仿宋_GB2312" w:hAnsi="宋体" w:eastAsia="仿宋_GB2312" w:cs="宋体"/>
                <w:color w:val="000000" w:themeColor="text1"/>
                <w:sz w:val="24"/>
                <w:highlight w:val="none"/>
                <w14:textFill>
                  <w14:solidFill>
                    <w14:schemeClr w14:val="tx1"/>
                  </w14:solidFill>
                </w14:textFill>
              </w:rPr>
              <w:t>001</w:t>
            </w:r>
          </w:p>
        </w:tc>
        <w:tc>
          <w:tcPr>
            <w:tcW w:w="2113" w:type="dxa"/>
            <w:vAlign w:val="center"/>
          </w:tcPr>
          <w:p w14:paraId="05406150">
            <w:pPr>
              <w:jc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压缩、吸污、工程机械车</w:t>
            </w:r>
          </w:p>
        </w:tc>
        <w:tc>
          <w:tcPr>
            <w:tcW w:w="851" w:type="dxa"/>
            <w:vAlign w:val="center"/>
          </w:tcPr>
          <w:p w14:paraId="556BBC5A">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vAlign w:val="center"/>
          </w:tcPr>
          <w:p w14:paraId="6D577D96">
            <w:pPr>
              <w:widowControl/>
              <w:jc w:val="center"/>
              <w:textAlignment w:val="center"/>
              <w:rPr>
                <w:rFonts w:ascii="Calibri" w:hAnsi="Calibri" w:cs="Calibri"/>
                <w:color w:val="000000" w:themeColor="text1"/>
                <w:sz w:val="20"/>
                <w:szCs w:val="20"/>
                <w:highlight w:val="none"/>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5060000</w:t>
            </w:r>
            <w:r>
              <w:rPr>
                <w:rFonts w:hint="eastAsia" w:ascii="仿宋_GB2312" w:hAnsi="宋体" w:eastAsia="仿宋_GB2312" w:cs="宋体"/>
                <w:color w:val="000000" w:themeColor="text1"/>
                <w:sz w:val="24"/>
                <w:highlight w:val="none"/>
                <w14:textFill>
                  <w14:solidFill>
                    <w14:schemeClr w14:val="tx1"/>
                  </w14:solidFill>
                </w14:textFill>
              </w:rPr>
              <w:t>.00</w:t>
            </w:r>
          </w:p>
        </w:tc>
        <w:tc>
          <w:tcPr>
            <w:tcW w:w="1701" w:type="dxa"/>
            <w:vAlign w:val="center"/>
          </w:tcPr>
          <w:p w14:paraId="607891DD">
            <w:pPr>
              <w:widowControl/>
              <w:jc w:val="center"/>
              <w:textAlignment w:val="center"/>
              <w:rPr>
                <w:rFonts w:ascii="Calibri" w:hAnsi="Calibri" w:cs="Calibri"/>
                <w:color w:val="000000" w:themeColor="text1"/>
                <w:sz w:val="20"/>
                <w:szCs w:val="20"/>
                <w:highlight w:val="none"/>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5060000</w:t>
            </w:r>
            <w:r>
              <w:rPr>
                <w:rFonts w:hint="eastAsia" w:ascii="仿宋_GB2312" w:hAnsi="宋体" w:eastAsia="仿宋_GB2312" w:cs="宋体"/>
                <w:color w:val="000000" w:themeColor="text1"/>
                <w:sz w:val="24"/>
                <w:highlight w:val="none"/>
                <w14:textFill>
                  <w14:solidFill>
                    <w14:schemeClr w14:val="tx1"/>
                  </w14:solidFill>
                </w14:textFill>
              </w:rPr>
              <w:t>.00</w:t>
            </w:r>
          </w:p>
        </w:tc>
        <w:tc>
          <w:tcPr>
            <w:tcW w:w="1417" w:type="dxa"/>
            <w:vAlign w:val="center"/>
          </w:tcPr>
          <w:p w14:paraId="2C08A321">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vAlign w:val="center"/>
          </w:tcPr>
          <w:p w14:paraId="3E66AB08">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11579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vAlign w:val="center"/>
          </w:tcPr>
          <w:p w14:paraId="7A1A465D">
            <w:pPr>
              <w:jc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002</w:t>
            </w:r>
          </w:p>
        </w:tc>
        <w:tc>
          <w:tcPr>
            <w:tcW w:w="2113" w:type="dxa"/>
            <w:vAlign w:val="center"/>
          </w:tcPr>
          <w:p w14:paraId="5BCE6037">
            <w:pPr>
              <w:jc w:val="center"/>
              <w:rPr>
                <w:rFonts w:hint="eastAsia"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lang w:eastAsia="zh-CN"/>
                <w14:textFill>
                  <w14:solidFill>
                    <w14:schemeClr w14:val="tx1"/>
                  </w14:solidFill>
                </w14:textFill>
              </w:rPr>
              <w:t>挖掘机</w:t>
            </w:r>
          </w:p>
        </w:tc>
        <w:tc>
          <w:tcPr>
            <w:tcW w:w="851" w:type="dxa"/>
            <w:vAlign w:val="center"/>
          </w:tcPr>
          <w:p w14:paraId="5CB581F3">
            <w:pPr>
              <w:jc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1台</w:t>
            </w:r>
          </w:p>
        </w:tc>
        <w:tc>
          <w:tcPr>
            <w:tcW w:w="1701" w:type="dxa"/>
            <w:vAlign w:val="center"/>
          </w:tcPr>
          <w:p w14:paraId="1BA01797">
            <w:pPr>
              <w:widowControl/>
              <w:jc w:val="center"/>
              <w:textAlignment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1360000.00</w:t>
            </w:r>
          </w:p>
        </w:tc>
        <w:tc>
          <w:tcPr>
            <w:tcW w:w="1701" w:type="dxa"/>
            <w:vAlign w:val="center"/>
          </w:tcPr>
          <w:p w14:paraId="7BF993A8">
            <w:pPr>
              <w:widowControl/>
              <w:jc w:val="center"/>
              <w:textAlignment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1360000.00</w:t>
            </w:r>
          </w:p>
        </w:tc>
        <w:tc>
          <w:tcPr>
            <w:tcW w:w="1417" w:type="dxa"/>
            <w:vAlign w:val="center"/>
          </w:tcPr>
          <w:p w14:paraId="3B0EAD1E">
            <w:pPr>
              <w:widowControl/>
              <w:adjustRightInd w:val="0"/>
              <w:spacing w:line="360" w:lineRule="auto"/>
              <w:jc w:val="center"/>
              <w:rPr>
                <w:rFonts w:hint="eastAsia"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vAlign w:val="center"/>
          </w:tcPr>
          <w:p w14:paraId="4DB280B2">
            <w:pPr>
              <w:widowControl/>
              <w:adjustRightInd w:val="0"/>
              <w:spacing w:line="360" w:lineRule="auto"/>
              <w:jc w:val="center"/>
              <w:rPr>
                <w:rFonts w:hint="eastAsia"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7E84B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vAlign w:val="center"/>
          </w:tcPr>
          <w:p w14:paraId="0CBB3BF7">
            <w:pPr>
              <w:jc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003</w:t>
            </w:r>
          </w:p>
        </w:tc>
        <w:tc>
          <w:tcPr>
            <w:tcW w:w="2113" w:type="dxa"/>
            <w:vAlign w:val="center"/>
          </w:tcPr>
          <w:p w14:paraId="09632236">
            <w:pPr>
              <w:jc w:val="center"/>
              <w:rPr>
                <w:rFonts w:hint="eastAsia"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垃圾转运车</w:t>
            </w:r>
            <w:r>
              <w:rPr>
                <w:rFonts w:hint="eastAsia" w:ascii="仿宋_GB2312" w:hAnsi="宋体" w:eastAsia="仿宋_GB2312" w:cs="宋体"/>
                <w:color w:val="000000" w:themeColor="text1"/>
                <w:sz w:val="24"/>
                <w:highlight w:val="none"/>
                <w:lang w:val="en-US" w:eastAsia="zh-CN"/>
                <w14:textFill>
                  <w14:solidFill>
                    <w14:schemeClr w14:val="tx1"/>
                  </w14:solidFill>
                </w14:textFill>
              </w:rPr>
              <w:t>及垃圾转运容器</w:t>
            </w:r>
          </w:p>
        </w:tc>
        <w:tc>
          <w:tcPr>
            <w:tcW w:w="851" w:type="dxa"/>
            <w:vAlign w:val="center"/>
          </w:tcPr>
          <w:p w14:paraId="3FBA8DF1">
            <w:pPr>
              <w:jc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1宗</w:t>
            </w:r>
          </w:p>
        </w:tc>
        <w:tc>
          <w:tcPr>
            <w:tcW w:w="1701" w:type="dxa"/>
            <w:vAlign w:val="center"/>
          </w:tcPr>
          <w:p w14:paraId="3D7FE308">
            <w:pPr>
              <w:widowControl/>
              <w:jc w:val="center"/>
              <w:textAlignment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2102800.00</w:t>
            </w:r>
          </w:p>
        </w:tc>
        <w:tc>
          <w:tcPr>
            <w:tcW w:w="1701" w:type="dxa"/>
            <w:vAlign w:val="center"/>
          </w:tcPr>
          <w:p w14:paraId="2539ACCC">
            <w:pPr>
              <w:widowControl/>
              <w:jc w:val="center"/>
              <w:textAlignment w:val="center"/>
              <w:rPr>
                <w:rFonts w:hint="default" w:ascii="仿宋_GB2312" w:hAnsi="宋体" w:eastAsia="仿宋_GB2312" w:cs="宋体"/>
                <w:color w:val="000000" w:themeColor="text1"/>
                <w:sz w:val="24"/>
                <w:highlight w:val="none"/>
                <w:lang w:val="en-US" w:eastAsia="zh-CN"/>
                <w14:textFill>
                  <w14:solidFill>
                    <w14:schemeClr w14:val="tx1"/>
                  </w14:solidFill>
                </w14:textFill>
              </w:rPr>
            </w:pPr>
            <w:r>
              <w:rPr>
                <w:rFonts w:hint="eastAsia" w:ascii="仿宋_GB2312" w:hAnsi="宋体" w:eastAsia="仿宋_GB2312" w:cs="宋体"/>
                <w:color w:val="000000" w:themeColor="text1"/>
                <w:sz w:val="24"/>
                <w:highlight w:val="none"/>
                <w:lang w:val="en-US" w:eastAsia="zh-CN"/>
                <w14:textFill>
                  <w14:solidFill>
                    <w14:schemeClr w14:val="tx1"/>
                  </w14:solidFill>
                </w14:textFill>
              </w:rPr>
              <w:t>2102800.00</w:t>
            </w:r>
          </w:p>
        </w:tc>
        <w:tc>
          <w:tcPr>
            <w:tcW w:w="1417" w:type="dxa"/>
            <w:vAlign w:val="center"/>
          </w:tcPr>
          <w:p w14:paraId="15878666">
            <w:pPr>
              <w:widowControl/>
              <w:adjustRightInd w:val="0"/>
              <w:spacing w:line="360" w:lineRule="auto"/>
              <w:jc w:val="center"/>
              <w:rPr>
                <w:rFonts w:hint="eastAsia"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vAlign w:val="center"/>
          </w:tcPr>
          <w:p w14:paraId="694FA0BB">
            <w:pPr>
              <w:widowControl/>
              <w:adjustRightInd w:val="0"/>
              <w:spacing w:line="360" w:lineRule="auto"/>
              <w:jc w:val="center"/>
              <w:rPr>
                <w:rFonts w:hint="eastAsia"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bookmarkEnd w:id="2"/>
      <w:bookmarkEnd w:id="3"/>
    </w:tbl>
    <w:p w14:paraId="7E10271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55548CA3">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二、申请人的资格要求：</w:t>
      </w:r>
    </w:p>
    <w:p w14:paraId="7464E666">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1.具有独立承担民事责任的能力；</w:t>
      </w:r>
    </w:p>
    <w:p w14:paraId="03023B78">
      <w:pPr>
        <w:pStyle w:val="13"/>
        <w:ind w:firstLine="565" w:firstLineChars="191"/>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2.具有良好的商业信誉和健全的财务会计制度；</w:t>
      </w:r>
    </w:p>
    <w:p w14:paraId="50B1BBC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3.具有履行合同所必须设备和专业技术能力，并能提供优质的服务；</w:t>
      </w:r>
    </w:p>
    <w:p w14:paraId="69AA3C7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4.具有依法缴纳税收和社会保障资金的良好记录；</w:t>
      </w:r>
    </w:p>
    <w:p w14:paraId="2005C1F3">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5.参加本次采购活动前三年内，在经营活动中没有重大违法记录；</w:t>
      </w:r>
    </w:p>
    <w:p w14:paraId="1BC715C5">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6.法律、行政法规及招标文件规定的其他要求。</w:t>
      </w:r>
    </w:p>
    <w:p w14:paraId="3E9E8D93">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7</w:t>
      </w:r>
      <w:r>
        <w:rPr>
          <w:rFonts w:ascii="仿宋_GB2312" w:hAnsi="仿宋" w:eastAsia="仿宋_GB2312" w:cs="宋体"/>
          <w:color w:val="000000" w:themeColor="text1"/>
          <w:spacing w:val="8"/>
          <w:sz w:val="28"/>
          <w:szCs w:val="28"/>
          <w:highlight w:val="none"/>
          <w14:textFill>
            <w14:solidFill>
              <w14:schemeClr w14:val="tx1"/>
            </w14:solidFill>
          </w14:textFill>
        </w:rPr>
        <w:t>.</w:t>
      </w: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00285385">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三、获取招标文件</w:t>
      </w:r>
    </w:p>
    <w:p w14:paraId="742D1921">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1.时间：2026年</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黑体" w:eastAsia="仿宋_GB2312" w:cs="宋体"/>
          <w:color w:val="000000" w:themeColor="text1"/>
          <w:spacing w:val="8"/>
          <w:sz w:val="28"/>
          <w:szCs w:val="28"/>
          <w:highlight w:val="none"/>
          <w14:textFill>
            <w14:solidFill>
              <w14:schemeClr w14:val="tx1"/>
            </w14:solidFill>
          </w14:textFill>
        </w:rPr>
        <w:t>月</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21</w:t>
      </w:r>
      <w:r>
        <w:rPr>
          <w:rFonts w:hint="eastAsia" w:ascii="仿宋_GB2312" w:hAnsi="黑体" w:eastAsia="仿宋_GB2312" w:cs="宋体"/>
          <w:color w:val="000000" w:themeColor="text1"/>
          <w:spacing w:val="8"/>
          <w:sz w:val="28"/>
          <w:szCs w:val="28"/>
          <w:highlight w:val="none"/>
          <w14:textFill>
            <w14:solidFill>
              <w14:schemeClr w14:val="tx1"/>
            </w14:solidFill>
          </w14:textFill>
        </w:rPr>
        <w:t>日 07:30:00至2026年</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黑体" w:eastAsia="仿宋_GB2312" w:cs="宋体"/>
          <w:color w:val="000000" w:themeColor="text1"/>
          <w:spacing w:val="8"/>
          <w:sz w:val="28"/>
          <w:szCs w:val="28"/>
          <w:highlight w:val="none"/>
          <w14:textFill>
            <w14:solidFill>
              <w14:schemeClr w14:val="tx1"/>
            </w14:solidFill>
          </w14:textFill>
        </w:rPr>
        <w:t>月</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27</w:t>
      </w:r>
      <w:r>
        <w:rPr>
          <w:rFonts w:hint="eastAsia" w:ascii="仿宋_GB2312" w:hAnsi="黑体" w:eastAsia="仿宋_GB2312" w:cs="宋体"/>
          <w:color w:val="000000" w:themeColor="text1"/>
          <w:spacing w:val="8"/>
          <w:sz w:val="28"/>
          <w:szCs w:val="28"/>
          <w:highlight w:val="none"/>
          <w14:textFill>
            <w14:solidFill>
              <w14:schemeClr w14:val="tx1"/>
            </w14:solidFill>
          </w14:textFill>
        </w:rPr>
        <w:t>日17:</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30</w:t>
      </w:r>
      <w:r>
        <w:rPr>
          <w:rFonts w:hint="eastAsia" w:ascii="仿宋_GB2312" w:hAnsi="黑体" w:eastAsia="仿宋_GB2312" w:cs="宋体"/>
          <w:color w:val="000000" w:themeColor="text1"/>
          <w:spacing w:val="8"/>
          <w:sz w:val="28"/>
          <w:szCs w:val="28"/>
          <w:highlight w:val="none"/>
          <w14:textFill>
            <w14:solidFill>
              <w14:schemeClr w14:val="tx1"/>
            </w14:solidFill>
          </w14:textFill>
        </w:rPr>
        <w:t>:00（北京时间）</w:t>
      </w:r>
    </w:p>
    <w:p w14:paraId="3E1FCA0A">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2.地点登录“</w:t>
      </w:r>
      <w:bookmarkStart w:id="4" w:name="OLE_LINK38"/>
      <w:r>
        <w:rPr>
          <w:rFonts w:hint="eastAsia" w:ascii="仿宋_GB2312" w:hAnsi="黑体" w:eastAsia="仿宋_GB2312" w:cs="宋体"/>
          <w:color w:val="000000" w:themeColor="text1"/>
          <w:spacing w:val="8"/>
          <w:sz w:val="28"/>
          <w:szCs w:val="28"/>
          <w:highlight w:val="none"/>
          <w14:textFill>
            <w14:solidFill>
              <w14:schemeClr w14:val="tx1"/>
            </w14:solidFill>
          </w14:textFill>
        </w:rPr>
        <w:t>威海市公共资源交易网（荣成市）</w:t>
      </w:r>
      <w:bookmarkEnd w:id="4"/>
      <w:r>
        <w:rPr>
          <w:rFonts w:hint="eastAsia" w:ascii="仿宋_GB2312" w:hAnsi="黑体" w:eastAsia="仿宋_GB2312" w:cs="宋体"/>
          <w:color w:val="000000" w:themeColor="text1"/>
          <w:spacing w:val="8"/>
          <w:sz w:val="28"/>
          <w:szCs w:val="28"/>
          <w:highlight w:val="none"/>
          <w14:textFill>
            <w14:solidFill>
              <w14:schemeClr w14:val="tx1"/>
            </w14:solidFill>
          </w14:textFill>
        </w:rPr>
        <w:t>”首页右侧“</w:t>
      </w:r>
      <w:bookmarkStart w:id="5" w:name="OLE_LINK39"/>
      <w:bookmarkStart w:id="6" w:name="OLE_LINK40"/>
      <w:r>
        <w:rPr>
          <w:rFonts w:hint="eastAsia" w:ascii="仿宋_GB2312" w:hAnsi="黑体" w:eastAsia="仿宋_GB2312" w:cs="宋体"/>
          <w:color w:val="000000" w:themeColor="text1"/>
          <w:spacing w:val="8"/>
          <w:sz w:val="28"/>
          <w:szCs w:val="28"/>
          <w:highlight w:val="none"/>
          <w14:textFill>
            <w14:solidFill>
              <w14:schemeClr w14:val="tx1"/>
            </w14:solidFill>
          </w14:textFill>
        </w:rPr>
        <w:t>交易服务一网通办系统（新版一网通办系统）</w:t>
      </w:r>
      <w:bookmarkEnd w:id="5"/>
      <w:bookmarkEnd w:id="6"/>
      <w:r>
        <w:rPr>
          <w:rFonts w:hint="eastAsia" w:ascii="仿宋_GB2312" w:hAnsi="黑体" w:eastAsia="仿宋_GB2312" w:cs="宋体"/>
          <w:color w:val="000000" w:themeColor="text1"/>
          <w:spacing w:val="8"/>
          <w:sz w:val="28"/>
          <w:szCs w:val="28"/>
          <w:highlight w:val="none"/>
          <w14:textFill>
            <w14:solidFill>
              <w14:schemeClr w14:val="tx1"/>
            </w14:solidFill>
          </w14:textFill>
        </w:rPr>
        <w:t>”进行“平台切换”点击“国企采购”进入国有企业阳光采购电子化服务平台获取文件。(网址：</w:t>
      </w:r>
      <w:r>
        <w:rPr>
          <w:rFonts w:ascii="仿宋_GB2312" w:hAnsi="黑体" w:eastAsia="仿宋_GB2312" w:cs="宋体"/>
          <w:color w:val="000000" w:themeColor="text1"/>
          <w:spacing w:val="8"/>
          <w:sz w:val="28"/>
          <w:szCs w:val="28"/>
          <w:highlight w:val="none"/>
          <w14:textFill>
            <w14:solidFill>
              <w14:schemeClr w14:val="tx1"/>
            </w14:solidFill>
          </w14:textFill>
        </w:rPr>
        <w:t>http://ggzyjy.weihai.cn/rongcheng/</w:t>
      </w:r>
      <w:r>
        <w:rPr>
          <w:rFonts w:hint="eastAsia" w:ascii="仿宋_GB2312" w:hAnsi="黑体" w:eastAsia="仿宋_GB2312" w:cs="宋体"/>
          <w:color w:val="000000" w:themeColor="text1"/>
          <w:spacing w:val="8"/>
          <w:sz w:val="28"/>
          <w:szCs w:val="28"/>
          <w:highlight w:val="none"/>
          <w14:textFill>
            <w14:solidFill>
              <w14:schemeClr w14:val="tx1"/>
            </w14:solidFill>
          </w14:textFill>
        </w:rPr>
        <w:t>)逾期无法从威海市国有企业阳光采购电子化服务平台中获取文件，未在规定时间内从系统中获取招标文件的投标人将无法递交电子投标文件。交易服务一网通办系统（新版一网通办系统）技术支持电话：</w:t>
      </w:r>
      <w:r>
        <w:rPr>
          <w:rFonts w:ascii="仿宋_GB2312" w:hAnsi="黑体" w:eastAsia="仿宋_GB2312" w:cs="宋体"/>
          <w:color w:val="000000" w:themeColor="text1"/>
          <w:spacing w:val="8"/>
          <w:sz w:val="28"/>
          <w:szCs w:val="28"/>
          <w:highlight w:val="none"/>
          <w14:textFill>
            <w14:solidFill>
              <w14:schemeClr w14:val="tx1"/>
            </w14:solidFill>
          </w14:textFill>
        </w:rPr>
        <w:t>0512-58188535</w:t>
      </w:r>
      <w:r>
        <w:rPr>
          <w:rFonts w:hint="eastAsia" w:ascii="仿宋_GB2312" w:hAnsi="黑体" w:eastAsia="仿宋_GB2312" w:cs="宋体"/>
          <w:color w:val="000000" w:themeColor="text1"/>
          <w:spacing w:val="8"/>
          <w:sz w:val="28"/>
          <w:szCs w:val="28"/>
          <w:highlight w:val="none"/>
          <w14:textFill>
            <w14:solidFill>
              <w14:schemeClr w14:val="tx1"/>
            </w14:solidFill>
          </w14:textFill>
        </w:rPr>
        <w:t>（受理问题：系统登录、CA锁绑定、平台切换）， 一网通办技术支持QQ群：1143439694 ；CA锁办理咨询电话：</w:t>
      </w:r>
      <w:r>
        <w:rPr>
          <w:rFonts w:ascii="仿宋_GB2312" w:hAnsi="黑体" w:eastAsia="仿宋_GB2312" w:cs="宋体"/>
          <w:color w:val="000000" w:themeColor="text1"/>
          <w:spacing w:val="8"/>
          <w:sz w:val="28"/>
          <w:szCs w:val="28"/>
          <w:highlight w:val="none"/>
          <w14:textFill>
            <w14:solidFill>
              <w14:schemeClr w14:val="tx1"/>
            </w14:solidFill>
          </w14:textFill>
        </w:rPr>
        <w:t>0631-5307028</w:t>
      </w:r>
      <w:r>
        <w:rPr>
          <w:rFonts w:hint="eastAsia" w:ascii="仿宋_GB2312" w:hAnsi="黑体" w:eastAsia="仿宋_GB2312" w:cs="宋体"/>
          <w:color w:val="000000" w:themeColor="text1"/>
          <w:spacing w:val="8"/>
          <w:sz w:val="28"/>
          <w:szCs w:val="28"/>
          <w:highlight w:val="none"/>
          <w14:textFill>
            <w14:solidFill>
              <w14:schemeClr w14:val="tx1"/>
            </w14:solidFill>
          </w14:textFill>
        </w:rPr>
        <w:t>；国企采购技术支持电话：</w:t>
      </w:r>
      <w:r>
        <w:rPr>
          <w:rFonts w:ascii="仿宋_GB2312" w:hAnsi="黑体" w:eastAsia="仿宋_GB2312" w:cs="宋体"/>
          <w:color w:val="000000" w:themeColor="text1"/>
          <w:spacing w:val="8"/>
          <w:sz w:val="28"/>
          <w:szCs w:val="28"/>
          <w:highlight w:val="none"/>
          <w14:textFill>
            <w14:solidFill>
              <w14:schemeClr w14:val="tx1"/>
            </w14:solidFill>
          </w14:textFill>
        </w:rPr>
        <w:t>17863029936</w:t>
      </w:r>
      <w:r>
        <w:rPr>
          <w:rFonts w:hint="eastAsia" w:ascii="仿宋_GB2312" w:hAnsi="黑体" w:eastAsia="仿宋_GB2312" w:cs="宋体"/>
          <w:color w:val="000000" w:themeColor="text1"/>
          <w:spacing w:val="8"/>
          <w:sz w:val="28"/>
          <w:szCs w:val="28"/>
          <w:highlight w:val="none"/>
          <w14:textFill>
            <w14:solidFill>
              <w14:schemeClr w14:val="tx1"/>
            </w14:solidFill>
          </w14:textFill>
        </w:rPr>
        <w:t xml:space="preserve"> ，国企技术支持QQ群（供应商）：</w:t>
      </w:r>
      <w:r>
        <w:rPr>
          <w:rFonts w:ascii="仿宋_GB2312" w:hAnsi="黑体" w:eastAsia="仿宋_GB2312" w:cs="宋体"/>
          <w:color w:val="000000" w:themeColor="text1"/>
          <w:spacing w:val="8"/>
          <w:sz w:val="28"/>
          <w:szCs w:val="28"/>
          <w:highlight w:val="none"/>
          <w14:textFill>
            <w14:solidFill>
              <w14:schemeClr w14:val="tx1"/>
            </w14:solidFill>
          </w14:textFill>
        </w:rPr>
        <w:t>1046971257</w:t>
      </w:r>
    </w:p>
    <w:p w14:paraId="669A74E7">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注：未注册用户请先免费注册。在“威海市国有企业阳光采购电子化服务平台”（威海市公共资源交易网（荣成市）右侧“国企采购”按钮）登录端口注册登记，并办理“安全证书（CA）”和“电子签章”进行获取文件。“安全证书（CA）”和“电子签章”办理请按照“威海市公共资源交易网（荣成市）”右侧“CA办理”中“CA证书办理介绍”进行办理。</w:t>
      </w:r>
    </w:p>
    <w:p w14:paraId="00888C9C">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四、提交投标文件截止时间、开标时间和地点</w:t>
      </w:r>
    </w:p>
    <w:p w14:paraId="08EDB25E">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1.提交投标文件时间：2026年</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21</w:t>
      </w:r>
      <w:r>
        <w:rPr>
          <w:rFonts w:hint="eastAsia" w:ascii="仿宋_GB2312" w:hAnsi="仿宋" w:eastAsia="仿宋_GB2312" w:cs="宋体"/>
          <w:color w:val="000000" w:themeColor="text1"/>
          <w:spacing w:val="8"/>
          <w:sz w:val="28"/>
          <w:szCs w:val="28"/>
          <w:highlight w:val="none"/>
          <w14:textFill>
            <w14:solidFill>
              <w14:schemeClr w14:val="tx1"/>
            </w14:solidFill>
          </w14:textFill>
        </w:rPr>
        <w:t>日08:30至</w:t>
      </w:r>
      <w:r>
        <w:rPr>
          <w:rFonts w:hint="eastAsia" w:ascii="仿宋_GB2312" w:hAnsi="仿宋" w:eastAsia="仿宋_GB2312" w:cs="宋体"/>
          <w:color w:val="000000" w:themeColor="text1"/>
          <w:spacing w:val="8"/>
          <w:sz w:val="28"/>
          <w:szCs w:val="28"/>
          <w:highlight w:val="none"/>
          <w14:textFill>
            <w14:solidFill>
              <w14:schemeClr w14:val="tx1"/>
            </w14:solidFill>
          </w14:textFill>
        </w:rPr>
        <w:t>2026年</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日 09:00</w:t>
      </w:r>
    </w:p>
    <w:p w14:paraId="08F4EC4F">
      <w:pPr>
        <w:widowControl/>
        <w:adjustRightInd w:val="0"/>
        <w:spacing w:line="360" w:lineRule="auto"/>
        <w:ind w:firstLine="592" w:firstLineChars="200"/>
        <w:jc w:val="left"/>
        <w:rPr>
          <w:rFonts w:ascii="仿宋_GB2312" w:hAnsi="仿宋" w:eastAsia="仿宋_GB2312" w:cs="宋体"/>
          <w:color w:val="000000" w:themeColor="text1"/>
          <w:spacing w:val="8"/>
          <w:kern w:val="0"/>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2.地点：</w:t>
      </w: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登录“威海市公共资源交易网（荣成市）”首页右侧“交易服务一网通办系统（新版一网通办系统）”进行“平台切换”点击“国企采购”进入国企阳光采购平台进行提交。</w:t>
      </w:r>
    </w:p>
    <w:p w14:paraId="754C6B06">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3.开标时间：2026年</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日 09:00（北京时间）</w:t>
      </w:r>
    </w:p>
    <w:p w14:paraId="56A09B90">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4.开标地点：威海市公共资源交易中心荣成分中心（荣成市河阳东路81号荣成市经济开发区热电厂东200米路南）三楼第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四</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5CFCFF77">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五、开启</w:t>
      </w:r>
    </w:p>
    <w:p w14:paraId="4C04FEF1">
      <w:pPr>
        <w:pStyle w:val="13"/>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时间：2026年</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日 09:00（北京时间）</w:t>
      </w:r>
    </w:p>
    <w:p w14:paraId="6E4A5859">
      <w:pPr>
        <w:pStyle w:val="13"/>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四</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69F44FAE">
      <w:pPr>
        <w:spacing w:line="360" w:lineRule="auto"/>
        <w:ind w:firstLine="560"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六、其他补充事宜</w:t>
      </w:r>
    </w:p>
    <w:p w14:paraId="012A1338">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本项目实行全流程电子化，实行远程解密，投标人无需到现场，并保持通讯畅通，提前在个人电脑上进行测试确保音频、视频功能可正常使用。因通讯不畅造成的一切后果由供应商自行承担。</w:t>
      </w:r>
    </w:p>
    <w:p w14:paraId="63EEEDA7">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七、对本次招标提出询问，请按以下方式联系。</w:t>
      </w:r>
    </w:p>
    <w:p w14:paraId="306F7EDF">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1.采购人信息</w:t>
      </w:r>
    </w:p>
    <w:p w14:paraId="040B551E">
      <w:pPr>
        <w:widowControl/>
        <w:shd w:val="clear" w:color="auto" w:fill="FFFFFF"/>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威海海高园港城环卫服务有限公司</w:t>
      </w:r>
    </w:p>
    <w:p w14:paraId="52D22ADD">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  址：荣成市港湾街道黄海南路26号</w:t>
      </w:r>
    </w:p>
    <w:p w14:paraId="5ECAC29F">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联系方式：</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0631-7382087</w:t>
      </w:r>
    </w:p>
    <w:p w14:paraId="04746957">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2.采购代理机构信息</w:t>
      </w:r>
    </w:p>
    <w:p w14:paraId="714C2CF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称：山东志诚工程咨询管理有限公司</w:t>
      </w:r>
    </w:p>
    <w:p w14:paraId="1B4A611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  址：荣成市观海中路16号</w:t>
      </w:r>
    </w:p>
    <w:p w14:paraId="7EF4770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联系方式：</w:t>
      </w:r>
      <w:r>
        <w:rPr>
          <w:rFonts w:ascii="仿宋_GB2312" w:hAnsi="仿宋" w:eastAsia="仿宋_GB2312" w:cs="宋体"/>
          <w:color w:val="000000" w:themeColor="text1"/>
          <w:spacing w:val="8"/>
          <w:sz w:val="28"/>
          <w:szCs w:val="28"/>
          <w:highlight w:val="none"/>
          <w14:textFill>
            <w14:solidFill>
              <w14:schemeClr w14:val="tx1"/>
            </w14:solidFill>
          </w14:textFill>
        </w:rPr>
        <w:t>0631-756</w:t>
      </w:r>
      <w:r>
        <w:rPr>
          <w:rFonts w:hint="eastAsia" w:ascii="仿宋_GB2312" w:hAnsi="仿宋" w:eastAsia="仿宋_GB2312" w:cs="宋体"/>
          <w:color w:val="000000" w:themeColor="text1"/>
          <w:spacing w:val="8"/>
          <w:sz w:val="28"/>
          <w:szCs w:val="28"/>
          <w:highlight w:val="none"/>
          <w14:textFill>
            <w14:solidFill>
              <w14:schemeClr w14:val="tx1"/>
            </w14:solidFill>
          </w14:textFill>
        </w:rPr>
        <w:t>7778</w:t>
      </w:r>
    </w:p>
    <w:p w14:paraId="2F26BA2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3.项目联系方式</w:t>
      </w:r>
    </w:p>
    <w:p w14:paraId="02DA768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项目联系人：夏菁</w:t>
      </w:r>
    </w:p>
    <w:p w14:paraId="377D4C4E">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电  话：</w:t>
      </w:r>
      <w:r>
        <w:rPr>
          <w:rFonts w:ascii="仿宋_GB2312" w:hAnsi="仿宋" w:eastAsia="仿宋_GB2312" w:cs="宋体"/>
          <w:color w:val="000000" w:themeColor="text1"/>
          <w:spacing w:val="8"/>
          <w:sz w:val="28"/>
          <w:szCs w:val="28"/>
          <w:highlight w:val="none"/>
          <w14:textFill>
            <w14:solidFill>
              <w14:schemeClr w14:val="tx1"/>
            </w14:solidFill>
          </w14:textFill>
        </w:rPr>
        <w:t>0631-756</w:t>
      </w:r>
      <w:r>
        <w:rPr>
          <w:rFonts w:hint="eastAsia" w:ascii="仿宋_GB2312" w:hAnsi="仿宋" w:eastAsia="仿宋_GB2312" w:cs="宋体"/>
          <w:color w:val="000000" w:themeColor="text1"/>
          <w:spacing w:val="8"/>
          <w:sz w:val="28"/>
          <w:szCs w:val="28"/>
          <w:highlight w:val="none"/>
          <w14:textFill>
            <w14:solidFill>
              <w14:schemeClr w14:val="tx1"/>
            </w14:solidFill>
          </w14:textFill>
        </w:rPr>
        <w:t>7778</w:t>
      </w:r>
    </w:p>
    <w:p w14:paraId="000A78F1">
      <w:pPr>
        <w:pStyle w:val="13"/>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八、发布公告的媒介</w:t>
      </w:r>
    </w:p>
    <w:p w14:paraId="02DD486A">
      <w:pPr>
        <w:pStyle w:val="13"/>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本次公告在中国招标投标公共服务平台（www.cebpubservice.com）、威海市公共资源交易网（http://ggzyjy.weihai.cn/）威海市公共资源交易网（荣成市）（http://ggzyjy.weihai.cn/rongcheng/）同时发布，其它媒介转发无效。</w:t>
      </w:r>
    </w:p>
    <w:p w14:paraId="25822800">
      <w:pPr>
        <w:spacing w:line="360" w:lineRule="auto"/>
        <w:jc w:val="righ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s="宋体"/>
          <w:color w:val="000000" w:themeColor="text1"/>
          <w:sz w:val="28"/>
          <w:szCs w:val="28"/>
          <w:highlight w:val="none"/>
          <w14:textFill>
            <w14:solidFill>
              <w14:schemeClr w14:val="tx1"/>
            </w14:solidFill>
          </w14:textFill>
        </w:rPr>
        <w:t>发布人：山东志诚工程咨询管理有限公司</w:t>
      </w:r>
    </w:p>
    <w:p w14:paraId="2E869A8D">
      <w:pPr>
        <w:widowControl/>
        <w:adjustRightInd w:val="0"/>
        <w:spacing w:line="360" w:lineRule="auto"/>
        <w:ind w:left="-240"/>
        <w:jc w:val="right"/>
        <w:rPr>
          <w:rFonts w:ascii="宋体" w:hAnsi="宋体" w:cs="宋体"/>
          <w:color w:val="000000" w:themeColor="text1"/>
          <w:sz w:val="28"/>
          <w:highlight w:val="none"/>
          <w14:textFill>
            <w14:solidFill>
              <w14:schemeClr w14:val="tx1"/>
            </w14:solidFill>
          </w14:textFill>
        </w:rPr>
      </w:pPr>
      <w:r>
        <w:rPr>
          <w:rFonts w:hint="eastAsia" w:ascii="仿宋_GB2312" w:hAnsi="宋体" w:eastAsia="仿宋_GB2312" w:cs="宋体"/>
          <w:color w:val="000000" w:themeColor="text1"/>
          <w:sz w:val="28"/>
          <w:szCs w:val="28"/>
          <w:highlight w:val="none"/>
          <w14:textFill>
            <w14:solidFill>
              <w14:schemeClr w14:val="tx1"/>
            </w14:solidFill>
          </w14:textFill>
        </w:rPr>
        <w:t>发布时间：</w:t>
      </w:r>
      <w:r>
        <w:rPr>
          <w:rFonts w:ascii="仿宋_GB2312" w:hAnsi="宋体" w:eastAsia="仿宋_GB2312" w:cs="宋体"/>
          <w:color w:val="000000" w:themeColor="text1"/>
          <w:sz w:val="28"/>
          <w:szCs w:val="28"/>
          <w:highlight w:val="none"/>
          <w14:textFill>
            <w14:solidFill>
              <w14:schemeClr w14:val="tx1"/>
            </w14:solidFill>
          </w14:textFill>
        </w:rPr>
        <w:t>202</w:t>
      </w:r>
      <w:r>
        <w:rPr>
          <w:rFonts w:hint="eastAsia" w:ascii="仿宋_GB2312" w:hAnsi="宋体" w:eastAsia="仿宋_GB2312" w:cs="宋体"/>
          <w:color w:val="000000" w:themeColor="text1"/>
          <w:sz w:val="28"/>
          <w:szCs w:val="28"/>
          <w:highlight w:val="none"/>
          <w14:textFill>
            <w14:solidFill>
              <w14:schemeClr w14:val="tx1"/>
            </w14:solidFill>
          </w14:textFill>
        </w:rPr>
        <w:t>6</w:t>
      </w:r>
      <w:r>
        <w:rPr>
          <w:rFonts w:ascii="仿宋_GB2312" w:hAnsi="宋体" w:eastAsia="仿宋_GB2312" w:cs="宋体"/>
          <w:color w:val="000000" w:themeColor="text1"/>
          <w:sz w:val="28"/>
          <w:szCs w:val="28"/>
          <w:highlight w:val="none"/>
          <w14:textFill>
            <w14:solidFill>
              <w14:schemeClr w14:val="tx1"/>
            </w14:solidFill>
          </w14:textFill>
        </w:rPr>
        <w:t>年</w:t>
      </w:r>
      <w:r>
        <w:rPr>
          <w:rFonts w:hint="eastAsia" w:ascii="仿宋_GB2312" w:hAnsi="宋体" w:eastAsia="仿宋_GB2312" w:cs="宋体"/>
          <w:color w:val="000000" w:themeColor="text1"/>
          <w:sz w:val="28"/>
          <w:szCs w:val="28"/>
          <w:highlight w:val="none"/>
          <w:lang w:val="en-US" w:eastAsia="zh-CN"/>
          <w14:textFill>
            <w14:solidFill>
              <w14:schemeClr w14:val="tx1"/>
            </w14:solidFill>
          </w14:textFill>
        </w:rPr>
        <w:t>4</w:t>
      </w:r>
      <w:r>
        <w:rPr>
          <w:rFonts w:hint="eastAsia" w:ascii="仿宋_GB2312" w:hAnsi="宋体" w:eastAsia="仿宋_GB2312" w:cs="宋体"/>
          <w:color w:val="000000" w:themeColor="text1"/>
          <w:sz w:val="28"/>
          <w:szCs w:val="28"/>
          <w:highlight w:val="none"/>
          <w14:textFill>
            <w14:solidFill>
              <w14:schemeClr w14:val="tx1"/>
            </w14:solidFill>
          </w14:textFill>
        </w:rPr>
        <w:t>月</w:t>
      </w:r>
      <w:r>
        <w:rPr>
          <w:rFonts w:hint="eastAsia" w:ascii="仿宋_GB2312" w:hAnsi="宋体" w:eastAsia="仿宋_GB2312" w:cs="宋体"/>
          <w:color w:val="000000" w:themeColor="text1"/>
          <w:sz w:val="28"/>
          <w:szCs w:val="28"/>
          <w:highlight w:val="none"/>
          <w:lang w:val="en-US" w:eastAsia="zh-CN"/>
          <w14:textFill>
            <w14:solidFill>
              <w14:schemeClr w14:val="tx1"/>
            </w14:solidFill>
          </w14:textFill>
        </w:rPr>
        <w:t>20</w:t>
      </w:r>
      <w:r>
        <w:rPr>
          <w:rFonts w:hint="eastAsia" w:ascii="仿宋_GB2312" w:hAnsi="宋体" w:eastAsia="仿宋_GB2312" w:cs="宋体"/>
          <w:color w:val="000000" w:themeColor="text1"/>
          <w:sz w:val="28"/>
          <w:szCs w:val="28"/>
          <w:highlight w:val="none"/>
          <w14:textFill>
            <w14:solidFill>
              <w14:schemeClr w14:val="tx1"/>
            </w14:solidFill>
          </w14:textFill>
        </w:rPr>
        <w:t>日</w:t>
      </w:r>
    </w:p>
    <w:p w14:paraId="290C1BAF">
      <w:pPr>
        <w:rPr>
          <w:color w:val="000000" w:themeColor="text1"/>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p>
    <w:p w14:paraId="56621A96">
      <w:pPr>
        <w:pStyle w:val="42"/>
        <w:spacing w:before="0" w:after="0" w:line="360" w:lineRule="auto"/>
        <w:ind w:firstLine="646" w:firstLineChars="201"/>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第二章投标须知</w:t>
      </w:r>
    </w:p>
    <w:p w14:paraId="500EDADD">
      <w:pPr>
        <w:pStyle w:val="42"/>
        <w:spacing w:before="0" w:after="0" w:line="360" w:lineRule="auto"/>
        <w:ind w:firstLine="646" w:firstLineChars="201"/>
        <w:rPr>
          <w:rFonts w:ascii="黑体" w:hAnsi="黑体" w:eastAsia="黑体"/>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投标须知前附表</w:t>
      </w:r>
    </w:p>
    <w:p w14:paraId="09D87E19">
      <w:pPr>
        <w:ind w:firstLine="643" w:firstLineChars="201"/>
        <w:jc w:val="center"/>
        <w:rPr>
          <w:rFonts w:ascii="宋体" w:hAnsi="宋体"/>
          <w:color w:val="000000" w:themeColor="text1"/>
          <w:sz w:val="32"/>
          <w:szCs w:val="32"/>
          <w:highlight w:val="none"/>
          <w14:textFill>
            <w14:solidFill>
              <w14:schemeClr w14:val="tx1"/>
            </w14:solidFill>
          </w14:textFill>
        </w:rPr>
      </w:pPr>
    </w:p>
    <w:tbl>
      <w:tblPr>
        <w:tblStyle w:val="48"/>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246391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0A0A0E0E">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B6C8542">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    目</w:t>
            </w:r>
          </w:p>
        </w:tc>
        <w:tc>
          <w:tcPr>
            <w:tcW w:w="6625" w:type="dxa"/>
            <w:tcBorders>
              <w:top w:val="single" w:color="auto" w:sz="4" w:space="0"/>
              <w:left w:val="single" w:color="auto" w:sz="4" w:space="0"/>
              <w:bottom w:val="single" w:color="auto" w:sz="4" w:space="0"/>
            </w:tcBorders>
            <w:vAlign w:val="center"/>
          </w:tcPr>
          <w:p w14:paraId="4E762AD2">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内           容</w:t>
            </w:r>
          </w:p>
        </w:tc>
      </w:tr>
      <w:tr w14:paraId="26559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F420265">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31C55F09">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项目名称</w:t>
            </w:r>
          </w:p>
        </w:tc>
        <w:tc>
          <w:tcPr>
            <w:tcW w:w="6625" w:type="dxa"/>
            <w:tcBorders>
              <w:top w:val="single" w:color="auto" w:sz="4" w:space="0"/>
              <w:left w:val="single" w:color="auto" w:sz="4" w:space="0"/>
              <w:bottom w:val="single" w:color="auto" w:sz="4" w:space="0"/>
            </w:tcBorders>
            <w:vAlign w:val="center"/>
          </w:tcPr>
          <w:p w14:paraId="63FEA65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建筑垃圾分拣中心项目用车</w:t>
            </w:r>
          </w:p>
        </w:tc>
      </w:tr>
      <w:tr w14:paraId="65DD2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BD7F82E">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055A0336">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项目编号</w:t>
            </w:r>
          </w:p>
        </w:tc>
        <w:tc>
          <w:tcPr>
            <w:tcW w:w="6625" w:type="dxa"/>
            <w:tcBorders>
              <w:top w:val="single" w:color="auto" w:sz="4" w:space="0"/>
              <w:left w:val="single" w:color="auto" w:sz="4" w:space="0"/>
              <w:bottom w:val="single" w:color="auto" w:sz="4" w:space="0"/>
            </w:tcBorders>
            <w:vAlign w:val="center"/>
          </w:tcPr>
          <w:p w14:paraId="5D5CDAA5">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WHHGYSDGQ2026-18</w:t>
            </w:r>
          </w:p>
        </w:tc>
      </w:tr>
      <w:tr w14:paraId="3BBD6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3FCF1557">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3</w:t>
            </w:r>
          </w:p>
        </w:tc>
        <w:tc>
          <w:tcPr>
            <w:tcW w:w="2155" w:type="dxa"/>
            <w:tcBorders>
              <w:top w:val="single" w:color="auto" w:sz="4" w:space="0"/>
              <w:left w:val="single" w:color="auto" w:sz="4" w:space="0"/>
              <w:bottom w:val="single" w:color="auto" w:sz="4" w:space="0"/>
              <w:right w:val="single" w:color="auto" w:sz="4" w:space="0"/>
            </w:tcBorders>
            <w:vAlign w:val="center"/>
          </w:tcPr>
          <w:p w14:paraId="5803B1DE">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采购人</w:t>
            </w:r>
          </w:p>
        </w:tc>
        <w:tc>
          <w:tcPr>
            <w:tcW w:w="6625" w:type="dxa"/>
            <w:tcBorders>
              <w:top w:val="single" w:color="auto" w:sz="4" w:space="0"/>
              <w:left w:val="single" w:color="auto" w:sz="4" w:space="0"/>
              <w:bottom w:val="single" w:color="auto" w:sz="4" w:space="0"/>
            </w:tcBorders>
            <w:vAlign w:val="center"/>
          </w:tcPr>
          <w:p w14:paraId="4C9E343A">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单位名称：</w:t>
            </w:r>
            <w:bookmarkStart w:id="7" w:name="OLE_LINK41"/>
            <w:bookmarkStart w:id="8" w:name="OLE_LINK42"/>
            <w:r>
              <w:rPr>
                <w:rFonts w:hint="eastAsia" w:ascii="仿宋_GB2312" w:hAnsi="宋体" w:eastAsia="仿宋_GB2312"/>
                <w:color w:val="000000" w:themeColor="text1"/>
                <w:sz w:val="28"/>
                <w:szCs w:val="28"/>
                <w:highlight w:val="none"/>
                <w:lang w:eastAsia="zh-CN"/>
                <w14:textFill>
                  <w14:solidFill>
                    <w14:schemeClr w14:val="tx1"/>
                  </w14:solidFill>
                </w14:textFill>
              </w:rPr>
              <w:t>威海海高园港城环卫服务有限公司</w:t>
            </w:r>
          </w:p>
          <w:bookmarkEnd w:id="7"/>
          <w:bookmarkEnd w:id="8"/>
          <w:p w14:paraId="37962E21">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地    址：荣成市港湾街道黄海南路26号</w:t>
            </w:r>
          </w:p>
          <w:p w14:paraId="19E80B03">
            <w:pPr>
              <w:spacing w:line="560" w:lineRule="exact"/>
              <w:rPr>
                <w:rFonts w:hint="default"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 系 人：</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钱万里</w:t>
            </w:r>
          </w:p>
          <w:p w14:paraId="7D7E0B24">
            <w:pPr>
              <w:spacing w:line="560" w:lineRule="exact"/>
              <w:rPr>
                <w:rFonts w:hint="default"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联系电话：</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0631-7382087</w:t>
            </w:r>
          </w:p>
        </w:tc>
      </w:tr>
      <w:tr w14:paraId="29B781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F57A8EA">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6E2C8395">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采购代理机构</w:t>
            </w:r>
          </w:p>
        </w:tc>
        <w:tc>
          <w:tcPr>
            <w:tcW w:w="6625" w:type="dxa"/>
            <w:tcBorders>
              <w:top w:val="single" w:color="auto" w:sz="4" w:space="0"/>
              <w:left w:val="single" w:color="auto" w:sz="4" w:space="0"/>
              <w:bottom w:val="single" w:color="auto" w:sz="4" w:space="0"/>
            </w:tcBorders>
            <w:vAlign w:val="center"/>
          </w:tcPr>
          <w:p w14:paraId="2189285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机构名称：山东志诚工程咨询管理有限公司</w:t>
            </w:r>
          </w:p>
          <w:p w14:paraId="1100FEC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单位地址：荣成市观海中路16号</w:t>
            </w:r>
          </w:p>
          <w:p w14:paraId="07F71C55">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联系人：夏菁</w:t>
            </w:r>
          </w:p>
          <w:p w14:paraId="78A91ED7">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联系电话：0631-7567778</w:t>
            </w:r>
          </w:p>
        </w:tc>
      </w:tr>
      <w:tr w14:paraId="7F2AF3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4963E8C8">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40A8CC08">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电子投标</w:t>
            </w:r>
          </w:p>
          <w:p w14:paraId="65E9E70F">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特别提示</w:t>
            </w:r>
          </w:p>
        </w:tc>
        <w:tc>
          <w:tcPr>
            <w:tcW w:w="6625" w:type="dxa"/>
            <w:tcBorders>
              <w:top w:val="single" w:color="auto" w:sz="4" w:space="0"/>
              <w:left w:val="single" w:color="auto" w:sz="4" w:space="0"/>
              <w:bottom w:val="single" w:color="auto" w:sz="4" w:space="0"/>
            </w:tcBorders>
            <w:vAlign w:val="center"/>
          </w:tcPr>
          <w:p w14:paraId="3DD1606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登录威海市公共资源交易网（荣成市）（http://ggzyjy.weihai.cn/rongcheng/）（右上角【交易服务一网通办系统（新版一网通办系统）】按钮）进入“威海市国有企业阳光采购电子化服务平台”进行注册，取得用户名和密码（已经完成注册无须重复注册）；首次注册的供应商应及时办理安全证书（CA锁）及电子签章。2．本项目必须网上递交投标文件，参与本项目供应商应利用办理好的CA锁登录威海市国有企业阳光采购电子化服务平台进行招标文件的获取、文件下载和网上递交投标文件，且安全证书（CA锁）在有效期内。</w:t>
            </w:r>
          </w:p>
          <w:p w14:paraId="08F1CB5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 xml:space="preserve">3．电子投标文件制作及递交等有关操作见本文件及威海市公共资源交易网办事指南栏目-国企采购专区-《新版威海市国有企业阳光采购服务平台操作演示视频（供应商）》，网址: </w:t>
            </w:r>
            <w:r>
              <w:rPr>
                <w:rFonts w:ascii="仿宋_GB2312" w:hAnsi="宋体" w:eastAsia="仿宋_GB2312"/>
                <w:color w:val="000000" w:themeColor="text1"/>
                <w:sz w:val="28"/>
                <w:szCs w:val="28"/>
                <w:highlight w:val="none"/>
                <w14:textFill>
                  <w14:solidFill>
                    <w14:schemeClr w14:val="tx1"/>
                  </w14:solidFill>
                </w14:textFill>
              </w:rPr>
              <w:t>https://ggzyjy.weihai.cn/weihai/bszn/005005/20260109/315a049e-0d75-4f85-8634-00d90a843936.html</w:t>
            </w:r>
            <w:r>
              <w:rPr>
                <w:rFonts w:hint="eastAsia" w:ascii="仿宋_GB2312" w:hAnsi="宋体" w:eastAsia="仿宋_GB2312"/>
                <w:color w:val="000000" w:themeColor="text1"/>
                <w:sz w:val="28"/>
                <w:szCs w:val="28"/>
                <w:highlight w:val="none"/>
                <w14:textFill>
                  <w14:solidFill>
                    <w14:schemeClr w14:val="tx1"/>
                  </w14:solidFill>
                </w14:textFill>
              </w:rPr>
              <w:t>、投标文件制作及系统使用咨询电话：</w:t>
            </w:r>
            <w:r>
              <w:rPr>
                <w:rFonts w:ascii="仿宋_GB2312" w:hAnsi="宋体" w:eastAsia="仿宋_GB2312"/>
                <w:color w:val="000000" w:themeColor="text1"/>
                <w:sz w:val="28"/>
                <w:szCs w:val="28"/>
                <w:highlight w:val="none"/>
                <w14:textFill>
                  <w14:solidFill>
                    <w14:schemeClr w14:val="tx1"/>
                  </w14:solidFill>
                </w14:textFill>
              </w:rPr>
              <w:t>17863029936</w:t>
            </w:r>
            <w:r>
              <w:rPr>
                <w:rFonts w:hint="eastAsia" w:ascii="仿宋_GB2312" w:hAnsi="宋体" w:eastAsia="仿宋_GB2312"/>
                <w:color w:val="000000" w:themeColor="text1"/>
                <w:sz w:val="28"/>
                <w:szCs w:val="28"/>
                <w:highlight w:val="none"/>
                <w14:textFill>
                  <w14:solidFill>
                    <w14:schemeClr w14:val="tx1"/>
                  </w14:solidFill>
                </w14:textFill>
              </w:rPr>
              <w:t>；0631-5307028；平台QQ服务群：</w:t>
            </w:r>
            <w:r>
              <w:rPr>
                <w:rFonts w:ascii="仿宋_GB2312" w:hAnsi="宋体" w:eastAsia="仿宋_GB2312"/>
                <w:color w:val="000000" w:themeColor="text1"/>
                <w:sz w:val="28"/>
                <w:szCs w:val="28"/>
                <w:highlight w:val="none"/>
                <w14:textFill>
                  <w14:solidFill>
                    <w14:schemeClr w14:val="tx1"/>
                  </w14:solidFill>
                </w14:textFill>
              </w:rPr>
              <w:t>1046971257</w:t>
            </w:r>
            <w:r>
              <w:rPr>
                <w:rFonts w:hint="eastAsia" w:ascii="仿宋_GB2312" w:hAnsi="宋体" w:eastAsia="仿宋_GB2312"/>
                <w:color w:val="000000" w:themeColor="text1"/>
                <w:sz w:val="28"/>
                <w:szCs w:val="28"/>
                <w:highlight w:val="none"/>
                <w14:textFill>
                  <w14:solidFill>
                    <w14:schemeClr w14:val="tx1"/>
                  </w14:solidFill>
                </w14:textFill>
              </w:rPr>
              <w:t>。</w:t>
            </w:r>
          </w:p>
          <w:p w14:paraId="48BBB9C0">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4．网上递交投标文件时，登录交易平台的电脑须满足以下环境要求：（1）操作系统：Windows 7 （2）浏览器：Internet Explorer 11、10（3）办公软件：Microsoft Office 2007、2010（4）PDF软件推荐：Adobe Reader。非以上环境可能出现错误影响其投标，登录交易平台时如提示更新插件则必须更新，否则影响其电子投标。</w:t>
            </w:r>
          </w:p>
          <w:p w14:paraId="765A9DF9">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5．供应商提交的电子投标文件应按照本招标文件《第六章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CF039C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266AA2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7．供应商投标文件中的相关扫描件应保证清晰度，无法辨认的评审时受到影响的，由供应商自行承担相应责任。</w:t>
            </w:r>
          </w:p>
          <w:p w14:paraId="22C45640">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8．除网上递交电子投标文件外，如有要求递交相关资质证明文件原件的，还须按其要求独立密封递交（被授权人身份证原件除外）</w:t>
            </w:r>
          </w:p>
          <w:p w14:paraId="1FEE9727">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9．投标人应充分考虑到网上递交投标文件会发生的故障和风险。对发生的任何故障和风险造成投标人报价内容不一致或利益受损或投标失败的，采购人及招标代理机构不承担任何责任。</w:t>
            </w:r>
          </w:p>
        </w:tc>
      </w:tr>
      <w:tr w14:paraId="158066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5522DA9">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69A3DCE3">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资质证明</w:t>
            </w:r>
          </w:p>
          <w:p w14:paraId="10340B2D">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文件原件</w:t>
            </w:r>
          </w:p>
        </w:tc>
        <w:tc>
          <w:tcPr>
            <w:tcW w:w="6625" w:type="dxa"/>
            <w:tcBorders>
              <w:top w:val="single" w:color="auto" w:sz="4" w:space="0"/>
              <w:left w:val="single" w:color="auto" w:sz="4" w:space="0"/>
              <w:bottom w:val="single" w:color="auto" w:sz="4" w:space="0"/>
            </w:tcBorders>
            <w:vAlign w:val="center"/>
          </w:tcPr>
          <w:p w14:paraId="0F70171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无</w:t>
            </w:r>
          </w:p>
        </w:tc>
      </w:tr>
      <w:tr w14:paraId="0CB2FC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2362FC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7</w:t>
            </w:r>
          </w:p>
        </w:tc>
        <w:tc>
          <w:tcPr>
            <w:tcW w:w="2155" w:type="dxa"/>
            <w:tcBorders>
              <w:top w:val="single" w:color="auto" w:sz="4" w:space="0"/>
              <w:left w:val="single" w:color="auto" w:sz="4" w:space="0"/>
              <w:bottom w:val="single" w:color="auto" w:sz="4" w:space="0"/>
              <w:right w:val="single" w:color="auto" w:sz="4" w:space="0"/>
            </w:tcBorders>
            <w:vAlign w:val="center"/>
          </w:tcPr>
          <w:p w14:paraId="2D58C592">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投标文件份数</w:t>
            </w:r>
          </w:p>
        </w:tc>
        <w:tc>
          <w:tcPr>
            <w:tcW w:w="6625" w:type="dxa"/>
            <w:tcBorders>
              <w:top w:val="single" w:color="auto" w:sz="4" w:space="0"/>
              <w:left w:val="single" w:color="auto" w:sz="4" w:space="0"/>
              <w:bottom w:val="single" w:color="auto" w:sz="4" w:space="0"/>
            </w:tcBorders>
            <w:vAlign w:val="center"/>
          </w:tcPr>
          <w:p w14:paraId="242E25AC">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电子投标文件1份（网上按时递交）。</w:t>
            </w:r>
          </w:p>
        </w:tc>
      </w:tr>
      <w:tr w14:paraId="1CF0D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3A4C807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8</w:t>
            </w:r>
          </w:p>
        </w:tc>
        <w:tc>
          <w:tcPr>
            <w:tcW w:w="2155" w:type="dxa"/>
            <w:tcBorders>
              <w:top w:val="single" w:color="auto" w:sz="4" w:space="0"/>
              <w:left w:val="single" w:color="auto" w:sz="4" w:space="0"/>
              <w:bottom w:val="single" w:color="auto" w:sz="4" w:space="0"/>
              <w:right w:val="single" w:color="auto" w:sz="4" w:space="0"/>
            </w:tcBorders>
            <w:vAlign w:val="center"/>
          </w:tcPr>
          <w:p w14:paraId="0F170C8F">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实物样品</w:t>
            </w:r>
          </w:p>
        </w:tc>
        <w:tc>
          <w:tcPr>
            <w:tcW w:w="6625" w:type="dxa"/>
            <w:tcBorders>
              <w:top w:val="single" w:color="auto" w:sz="4" w:space="0"/>
              <w:left w:val="single" w:color="auto" w:sz="4" w:space="0"/>
              <w:bottom w:val="single" w:color="auto" w:sz="4" w:space="0"/>
            </w:tcBorders>
            <w:vAlign w:val="center"/>
          </w:tcPr>
          <w:p w14:paraId="7FDFAA8F">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无。</w:t>
            </w:r>
          </w:p>
        </w:tc>
      </w:tr>
      <w:tr w14:paraId="4CA134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08294E0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9</w:t>
            </w:r>
          </w:p>
        </w:tc>
        <w:tc>
          <w:tcPr>
            <w:tcW w:w="2155" w:type="dxa"/>
            <w:tcBorders>
              <w:top w:val="single" w:color="auto" w:sz="4" w:space="0"/>
              <w:left w:val="single" w:color="auto" w:sz="4" w:space="0"/>
              <w:bottom w:val="single" w:color="auto" w:sz="4" w:space="0"/>
              <w:right w:val="single" w:color="auto" w:sz="4" w:space="0"/>
            </w:tcBorders>
            <w:vAlign w:val="center"/>
          </w:tcPr>
          <w:p w14:paraId="2DD73F44">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现场踏勘</w:t>
            </w:r>
          </w:p>
        </w:tc>
        <w:tc>
          <w:tcPr>
            <w:tcW w:w="6625" w:type="dxa"/>
            <w:tcBorders>
              <w:top w:val="single" w:color="auto" w:sz="4" w:space="0"/>
              <w:left w:val="single" w:color="auto" w:sz="4" w:space="0"/>
              <w:bottom w:val="single" w:color="auto" w:sz="4" w:space="0"/>
            </w:tcBorders>
            <w:vAlign w:val="center"/>
          </w:tcPr>
          <w:p w14:paraId="6139A91C">
            <w:pPr>
              <w:spacing w:line="560" w:lineRule="exact"/>
              <w:textAlignment w:val="top"/>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否。</w:t>
            </w:r>
          </w:p>
        </w:tc>
      </w:tr>
      <w:tr w14:paraId="2E817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5D2E96F">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10</w:t>
            </w:r>
          </w:p>
        </w:tc>
        <w:tc>
          <w:tcPr>
            <w:tcW w:w="2155" w:type="dxa"/>
            <w:tcBorders>
              <w:top w:val="single" w:color="auto" w:sz="4" w:space="0"/>
              <w:left w:val="single" w:color="auto" w:sz="4" w:space="0"/>
              <w:bottom w:val="single" w:color="auto" w:sz="4" w:space="0"/>
              <w:right w:val="single" w:color="auto" w:sz="4" w:space="0"/>
            </w:tcBorders>
            <w:vAlign w:val="center"/>
          </w:tcPr>
          <w:p w14:paraId="3CAE0E60">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现场演示</w:t>
            </w:r>
          </w:p>
        </w:tc>
        <w:tc>
          <w:tcPr>
            <w:tcW w:w="6625" w:type="dxa"/>
            <w:tcBorders>
              <w:top w:val="single" w:color="auto" w:sz="4" w:space="0"/>
              <w:left w:val="single" w:color="auto" w:sz="4" w:space="0"/>
              <w:bottom w:val="single" w:color="auto" w:sz="4" w:space="0"/>
            </w:tcBorders>
            <w:vAlign w:val="center"/>
          </w:tcPr>
          <w:p w14:paraId="0A993BE1">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无 。</w:t>
            </w:r>
          </w:p>
        </w:tc>
      </w:tr>
      <w:tr w14:paraId="69A1C8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A3D38FC">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11</w:t>
            </w:r>
          </w:p>
        </w:tc>
        <w:tc>
          <w:tcPr>
            <w:tcW w:w="2155" w:type="dxa"/>
            <w:tcBorders>
              <w:top w:val="single" w:color="auto" w:sz="4" w:space="0"/>
              <w:left w:val="single" w:color="auto" w:sz="4" w:space="0"/>
              <w:bottom w:val="single" w:color="auto" w:sz="4" w:space="0"/>
              <w:right w:val="single" w:color="auto" w:sz="4" w:space="0"/>
            </w:tcBorders>
            <w:vAlign w:val="center"/>
          </w:tcPr>
          <w:p w14:paraId="2BB16451">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投标有效期</w:t>
            </w:r>
          </w:p>
        </w:tc>
        <w:tc>
          <w:tcPr>
            <w:tcW w:w="6625" w:type="dxa"/>
            <w:tcBorders>
              <w:top w:val="single" w:color="auto" w:sz="4" w:space="0"/>
              <w:left w:val="single" w:color="auto" w:sz="4" w:space="0"/>
              <w:bottom w:val="single" w:color="auto" w:sz="4" w:space="0"/>
            </w:tcBorders>
            <w:vAlign w:val="center"/>
          </w:tcPr>
          <w:p w14:paraId="7970A210">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开标之日起90天。</w:t>
            </w:r>
          </w:p>
        </w:tc>
      </w:tr>
      <w:tr w14:paraId="11C597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18336F6D">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12</w:t>
            </w:r>
          </w:p>
        </w:tc>
        <w:tc>
          <w:tcPr>
            <w:tcW w:w="2155" w:type="dxa"/>
            <w:tcBorders>
              <w:top w:val="single" w:color="auto" w:sz="4" w:space="0"/>
              <w:left w:val="single" w:color="auto" w:sz="4" w:space="0"/>
              <w:bottom w:val="single" w:color="auto" w:sz="4" w:space="0"/>
              <w:right w:val="single" w:color="auto" w:sz="4" w:space="0"/>
            </w:tcBorders>
            <w:vAlign w:val="center"/>
          </w:tcPr>
          <w:p w14:paraId="79DB9ED7">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投标文件递交时间及地点</w:t>
            </w:r>
          </w:p>
        </w:tc>
        <w:tc>
          <w:tcPr>
            <w:tcW w:w="6625" w:type="dxa"/>
            <w:tcBorders>
              <w:top w:val="single" w:color="auto" w:sz="4" w:space="0"/>
              <w:left w:val="single" w:color="auto" w:sz="4" w:space="0"/>
              <w:bottom w:val="single" w:color="auto" w:sz="4" w:space="0"/>
            </w:tcBorders>
            <w:vAlign w:val="center"/>
          </w:tcPr>
          <w:p w14:paraId="5FB1EEF1">
            <w:pPr>
              <w:spacing w:line="560" w:lineRule="exact"/>
              <w:ind w:left="280" w:hanging="280" w:hanging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电子投标文件递交时间：详见第一章采购公告。</w:t>
            </w:r>
          </w:p>
          <w:p w14:paraId="3015B88B">
            <w:pPr>
              <w:spacing w:line="560" w:lineRule="exact"/>
              <w:ind w:left="280" w:hanging="280" w:hanging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递交地点：详见第一章采购公告。</w:t>
            </w:r>
          </w:p>
        </w:tc>
      </w:tr>
      <w:tr w14:paraId="34D03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2B3A2BA1">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13</w:t>
            </w:r>
          </w:p>
        </w:tc>
        <w:tc>
          <w:tcPr>
            <w:tcW w:w="2155" w:type="dxa"/>
            <w:tcBorders>
              <w:top w:val="single" w:color="auto" w:sz="4" w:space="0"/>
              <w:left w:val="single" w:color="auto" w:sz="4" w:space="0"/>
              <w:bottom w:val="single" w:color="auto" w:sz="4" w:space="0"/>
              <w:right w:val="single" w:color="auto" w:sz="4" w:space="0"/>
            </w:tcBorders>
            <w:vAlign w:val="center"/>
          </w:tcPr>
          <w:p w14:paraId="65E588B5">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开标时间</w:t>
            </w:r>
          </w:p>
        </w:tc>
        <w:tc>
          <w:tcPr>
            <w:tcW w:w="6625" w:type="dxa"/>
            <w:tcBorders>
              <w:top w:val="single" w:color="auto" w:sz="4" w:space="0"/>
              <w:left w:val="single" w:color="auto" w:sz="4" w:space="0"/>
              <w:bottom w:val="single" w:color="auto" w:sz="4" w:space="0"/>
            </w:tcBorders>
            <w:vAlign w:val="center"/>
          </w:tcPr>
          <w:p w14:paraId="150DF9E5">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详见第一章采购公告。</w:t>
            </w:r>
          </w:p>
        </w:tc>
      </w:tr>
      <w:tr w14:paraId="4BD2F2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968A03C">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14</w:t>
            </w:r>
          </w:p>
        </w:tc>
        <w:tc>
          <w:tcPr>
            <w:tcW w:w="2155" w:type="dxa"/>
            <w:tcBorders>
              <w:top w:val="single" w:color="auto" w:sz="4" w:space="0"/>
              <w:left w:val="single" w:color="auto" w:sz="4" w:space="0"/>
              <w:bottom w:val="single" w:color="auto" w:sz="4" w:space="0"/>
              <w:right w:val="single" w:color="auto" w:sz="4" w:space="0"/>
            </w:tcBorders>
            <w:vAlign w:val="center"/>
          </w:tcPr>
          <w:p w14:paraId="0C894A4A">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开标地点</w:t>
            </w:r>
          </w:p>
        </w:tc>
        <w:tc>
          <w:tcPr>
            <w:tcW w:w="6625" w:type="dxa"/>
            <w:tcBorders>
              <w:top w:val="single" w:color="auto" w:sz="4" w:space="0"/>
              <w:left w:val="single" w:color="auto" w:sz="4" w:space="0"/>
              <w:bottom w:val="single" w:color="auto" w:sz="4" w:space="0"/>
            </w:tcBorders>
            <w:vAlign w:val="center"/>
          </w:tcPr>
          <w:p w14:paraId="77EF12CA">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详见第一章采购公告。</w:t>
            </w:r>
          </w:p>
        </w:tc>
      </w:tr>
      <w:tr w14:paraId="62DFC9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3FE27C1">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15</w:t>
            </w:r>
          </w:p>
        </w:tc>
        <w:tc>
          <w:tcPr>
            <w:tcW w:w="2155" w:type="dxa"/>
            <w:tcBorders>
              <w:top w:val="single" w:color="auto" w:sz="4" w:space="0"/>
              <w:left w:val="single" w:color="auto" w:sz="4" w:space="0"/>
              <w:bottom w:val="single" w:color="auto" w:sz="4" w:space="0"/>
              <w:right w:val="single" w:color="auto" w:sz="4" w:space="0"/>
            </w:tcBorders>
            <w:vAlign w:val="center"/>
          </w:tcPr>
          <w:p w14:paraId="5C060483">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开标方式</w:t>
            </w:r>
          </w:p>
        </w:tc>
        <w:tc>
          <w:tcPr>
            <w:tcW w:w="6625" w:type="dxa"/>
            <w:tcBorders>
              <w:top w:val="single" w:color="auto" w:sz="4" w:space="0"/>
              <w:left w:val="single" w:color="auto" w:sz="4" w:space="0"/>
              <w:bottom w:val="single" w:color="auto" w:sz="4" w:space="0"/>
            </w:tcBorders>
            <w:vAlign w:val="center"/>
          </w:tcPr>
          <w:p w14:paraId="425556F4">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eastAsia="仿宋_GB2312"/>
                <w:color w:val="000000" w:themeColor="text1"/>
                <w:sz w:val="28"/>
                <w:szCs w:val="28"/>
                <w:highlight w:val="none"/>
                <w14:textFill>
                  <w14:solidFill>
                    <w14:schemeClr w14:val="tx1"/>
                  </w14:solidFill>
                </w14:textFill>
              </w:rPr>
              <w:t>本项目实行全流程电子化，实行远程解密，投标人无需到现场，并保持通讯畅通，提前在个人电脑上进行测试确保音频、视频功能可正常使用。因通讯不畅造成的一切后果由供应商自行承担。</w:t>
            </w:r>
          </w:p>
        </w:tc>
      </w:tr>
      <w:tr w14:paraId="493A6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72E490DB">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16</w:t>
            </w:r>
          </w:p>
        </w:tc>
        <w:tc>
          <w:tcPr>
            <w:tcW w:w="2155" w:type="dxa"/>
            <w:tcBorders>
              <w:top w:val="single" w:color="auto" w:sz="4" w:space="0"/>
              <w:left w:val="single" w:color="auto" w:sz="4" w:space="0"/>
              <w:bottom w:val="single" w:color="auto" w:sz="4" w:space="0"/>
              <w:right w:val="single" w:color="auto" w:sz="4" w:space="0"/>
            </w:tcBorders>
            <w:vAlign w:val="center"/>
          </w:tcPr>
          <w:p w14:paraId="7AD75FCC">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开标程序</w:t>
            </w:r>
          </w:p>
        </w:tc>
        <w:tc>
          <w:tcPr>
            <w:tcW w:w="6625" w:type="dxa"/>
            <w:tcBorders>
              <w:top w:val="single" w:color="auto" w:sz="4" w:space="0"/>
              <w:left w:val="single" w:color="auto" w:sz="4" w:space="0"/>
              <w:bottom w:val="single" w:color="auto" w:sz="4" w:space="0"/>
            </w:tcBorders>
            <w:vAlign w:val="center"/>
          </w:tcPr>
          <w:p w14:paraId="6768431A">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签到时间：开标时间前30分钟内完成。</w:t>
            </w:r>
          </w:p>
          <w:p w14:paraId="6EBF81E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解密时间：开始解密后15分钟内完成。</w:t>
            </w:r>
          </w:p>
        </w:tc>
      </w:tr>
      <w:tr w14:paraId="01E9BE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908" w:type="dxa"/>
            <w:tcBorders>
              <w:top w:val="single" w:color="auto" w:sz="4" w:space="0"/>
              <w:bottom w:val="single" w:color="auto" w:sz="4" w:space="0"/>
              <w:right w:val="single" w:color="auto" w:sz="4" w:space="0"/>
            </w:tcBorders>
            <w:vAlign w:val="center"/>
          </w:tcPr>
          <w:p w14:paraId="5FC6824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17</w:t>
            </w:r>
          </w:p>
        </w:tc>
        <w:tc>
          <w:tcPr>
            <w:tcW w:w="2155" w:type="dxa"/>
            <w:tcBorders>
              <w:top w:val="single" w:color="auto" w:sz="4" w:space="0"/>
              <w:left w:val="single" w:color="auto" w:sz="4" w:space="0"/>
              <w:bottom w:val="single" w:color="auto" w:sz="4" w:space="0"/>
              <w:right w:val="single" w:color="auto" w:sz="4" w:space="0"/>
            </w:tcBorders>
            <w:vAlign w:val="center"/>
          </w:tcPr>
          <w:p w14:paraId="4DC26131">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交付期及地点</w:t>
            </w:r>
          </w:p>
        </w:tc>
        <w:tc>
          <w:tcPr>
            <w:tcW w:w="6625" w:type="dxa"/>
            <w:tcBorders>
              <w:top w:val="single" w:color="auto" w:sz="4" w:space="0"/>
              <w:left w:val="single" w:color="auto" w:sz="4" w:space="0"/>
              <w:bottom w:val="single" w:color="auto" w:sz="4" w:space="0"/>
            </w:tcBorders>
            <w:vAlign w:val="center"/>
          </w:tcPr>
          <w:p w14:paraId="706DBB8C">
            <w:pPr>
              <w:spacing w:line="560" w:lineRule="exact"/>
              <w:rPr>
                <w:rFonts w:hint="eastAsia" w:ascii="仿宋_GB2312" w:hAnsi="宋体" w:eastAsia="仿宋_GB2312"/>
                <w:color w:val="000000" w:themeColor="text1"/>
                <w:sz w:val="28"/>
                <w:szCs w:val="28"/>
                <w:highlight w:val="none"/>
                <w14:textFill>
                  <w14:solidFill>
                    <w14:schemeClr w14:val="tx1"/>
                  </w14:solidFill>
                </w14:textFill>
              </w:rPr>
            </w:pPr>
            <w:bookmarkStart w:id="9" w:name="OLE_LINK87"/>
            <w:bookmarkStart w:id="10" w:name="OLE_LINK86"/>
            <w:bookmarkStart w:id="11" w:name="OLE_LINK84"/>
            <w:bookmarkStart w:id="12" w:name="OLE_LINK85"/>
            <w:r>
              <w:rPr>
                <w:rFonts w:hint="eastAsia" w:ascii="仿宋_GB2312" w:hAnsi="宋体" w:eastAsia="仿宋_GB2312"/>
                <w:color w:val="000000" w:themeColor="text1"/>
                <w:sz w:val="28"/>
                <w:szCs w:val="28"/>
                <w:highlight w:val="none"/>
                <w14:textFill>
                  <w14:solidFill>
                    <w14:schemeClr w14:val="tx1"/>
                  </w14:solidFill>
                </w14:textFill>
              </w:rPr>
              <w:t>交付期</w:t>
            </w:r>
            <w:r>
              <w:rPr>
                <w:rFonts w:hint="eastAsia" w:ascii="仿宋_GB2312" w:hAnsi="宋体" w:eastAsia="仿宋_GB2312"/>
                <w:color w:val="000000" w:themeColor="text1"/>
                <w:sz w:val="28"/>
                <w:szCs w:val="28"/>
                <w:highlight w:val="none"/>
                <w:lang w:eastAsia="zh-CN"/>
                <w14:textFill>
                  <w14:solidFill>
                    <w14:schemeClr w14:val="tx1"/>
                  </w14:solidFill>
                </w14:textFill>
              </w:rPr>
              <w:t>（</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001包、002包、003包</w:t>
            </w:r>
            <w:r>
              <w:rPr>
                <w:rFonts w:hint="eastAsia" w:ascii="仿宋_GB2312" w:hAnsi="宋体" w:eastAsia="仿宋_GB2312"/>
                <w:color w:val="000000" w:themeColor="text1"/>
                <w:sz w:val="28"/>
                <w:szCs w:val="28"/>
                <w:highlight w:val="none"/>
                <w:lang w:eastAsia="zh-CN"/>
                <w14:textFill>
                  <w14:solidFill>
                    <w14:schemeClr w14:val="tx1"/>
                  </w14:solidFill>
                </w14:textFill>
              </w:rPr>
              <w:t>）</w:t>
            </w:r>
            <w:r>
              <w:rPr>
                <w:rFonts w:hint="eastAsia" w:ascii="仿宋_GB2312" w:hAnsi="宋体" w:eastAsia="仿宋_GB2312"/>
                <w:color w:val="000000" w:themeColor="text1"/>
                <w:sz w:val="28"/>
                <w:szCs w:val="28"/>
                <w:highlight w:val="none"/>
                <w14:textFill>
                  <w14:solidFill>
                    <w14:schemeClr w14:val="tx1"/>
                  </w14:solidFill>
                </w14:textFill>
              </w:rPr>
              <w:t>：</w:t>
            </w:r>
          </w:p>
          <w:p w14:paraId="763B16EA">
            <w:pPr>
              <w:spacing w:line="560" w:lineRule="exact"/>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t>001包：自合同签订之日起40天内供货安装调试完毕；</w:t>
            </w:r>
          </w:p>
          <w:p w14:paraId="512C1C83">
            <w:pPr>
              <w:spacing w:line="560" w:lineRule="exact"/>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t>002包：自合同签订之日起30天内供货安装调试完毕；</w:t>
            </w:r>
          </w:p>
          <w:p w14:paraId="3E13A1B9">
            <w:pPr>
              <w:spacing w:line="560" w:lineRule="exact"/>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t>003包：自合同签订之日起</w:t>
            </w:r>
            <w:bookmarkEnd w:id="9"/>
            <w:bookmarkEnd w:id="10"/>
            <w:r>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t>80天内供货安装调试完毕。</w:t>
            </w:r>
          </w:p>
          <w:bookmarkEnd w:id="11"/>
          <w:bookmarkEnd w:id="12"/>
          <w:p w14:paraId="19525B3F">
            <w:pPr>
              <w:pStyle w:val="13"/>
              <w:ind w:firstLine="0"/>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28"/>
                <w:szCs w:val="28"/>
                <w:highlight w:val="none"/>
                <w:lang w:val="en-US" w:eastAsia="zh-CN" w:bidi="ar-SA"/>
                <w14:textFill>
                  <w14:solidFill>
                    <w14:schemeClr w14:val="tx1"/>
                  </w14:solidFill>
                </w14:textFill>
              </w:rPr>
              <w:t>交付地点（001包、002包、003包）：</w:t>
            </w:r>
          </w:p>
          <w:p w14:paraId="0CC30A8D">
            <w:pPr>
              <w:pStyle w:val="13"/>
              <w:ind w:firstLine="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采购人指定地点。</w:t>
            </w:r>
          </w:p>
        </w:tc>
      </w:tr>
      <w:tr w14:paraId="1EFAE4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14:paraId="622C44DF">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18</w:t>
            </w:r>
          </w:p>
        </w:tc>
        <w:tc>
          <w:tcPr>
            <w:tcW w:w="2155" w:type="dxa"/>
            <w:tcBorders>
              <w:top w:val="single" w:color="auto" w:sz="4" w:space="0"/>
              <w:left w:val="single" w:color="auto" w:sz="4" w:space="0"/>
              <w:bottom w:val="single" w:color="auto" w:sz="4" w:space="0"/>
              <w:right w:val="single" w:color="auto" w:sz="4" w:space="0"/>
            </w:tcBorders>
            <w:vAlign w:val="center"/>
          </w:tcPr>
          <w:p w14:paraId="208BF39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质保期</w:t>
            </w:r>
          </w:p>
        </w:tc>
        <w:tc>
          <w:tcPr>
            <w:tcW w:w="6625" w:type="dxa"/>
            <w:tcBorders>
              <w:top w:val="single" w:color="auto" w:sz="4" w:space="0"/>
              <w:left w:val="single" w:color="auto" w:sz="4" w:space="0"/>
              <w:bottom w:val="single" w:color="auto" w:sz="4" w:space="0"/>
            </w:tcBorders>
            <w:vAlign w:val="center"/>
          </w:tcPr>
          <w:p w14:paraId="0218119F">
            <w:pPr>
              <w:spacing w:line="560" w:lineRule="exac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质保期：</w:t>
            </w:r>
          </w:p>
          <w:p w14:paraId="0A37DE0B">
            <w:pPr>
              <w:spacing w:line="560" w:lineRule="exact"/>
              <w:rPr>
                <w:rFonts w:hint="default"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001包：除6吨级装载机质保期自项目验收合格之日起不得低于一年或2500小时；3.5吨叉车质保期自项目验收合格之日起不得低于一年或2000小时；其余车辆质保期自项目验收合格之日起不得低于一年。</w:t>
            </w:r>
          </w:p>
          <w:p w14:paraId="54A2D5F2">
            <w:pPr>
              <w:spacing w:line="560" w:lineRule="exact"/>
              <w:rPr>
                <w:rFonts w:hint="eastAsia"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002包：整机质保期自项目验收合格之日起不得低于为3年或6000小时，发动机延保不得低于3年或6000小时。</w:t>
            </w:r>
          </w:p>
          <w:p w14:paraId="62EF8FBB">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003包：车辆及罐体质保期自项目验收合格之日起不得低于一年。</w:t>
            </w:r>
          </w:p>
        </w:tc>
      </w:tr>
      <w:tr w14:paraId="3D83E2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2DCEFEF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19</w:t>
            </w:r>
          </w:p>
        </w:tc>
        <w:tc>
          <w:tcPr>
            <w:tcW w:w="2155" w:type="dxa"/>
            <w:tcBorders>
              <w:top w:val="single" w:color="auto" w:sz="4" w:space="0"/>
              <w:left w:val="single" w:color="auto" w:sz="4" w:space="0"/>
              <w:bottom w:val="single" w:color="auto" w:sz="4" w:space="0"/>
              <w:right w:val="single" w:color="auto" w:sz="4" w:space="0"/>
            </w:tcBorders>
            <w:vAlign w:val="center"/>
          </w:tcPr>
          <w:p w14:paraId="46D96FC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评标办法</w:t>
            </w:r>
          </w:p>
        </w:tc>
        <w:tc>
          <w:tcPr>
            <w:tcW w:w="6625" w:type="dxa"/>
            <w:tcBorders>
              <w:top w:val="single" w:color="auto" w:sz="4" w:space="0"/>
              <w:left w:val="single" w:color="auto" w:sz="4" w:space="0"/>
              <w:bottom w:val="single" w:color="auto" w:sz="4" w:space="0"/>
            </w:tcBorders>
            <w:vAlign w:val="center"/>
          </w:tcPr>
          <w:p w14:paraId="6B512CEA">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综合评分法。</w:t>
            </w:r>
          </w:p>
        </w:tc>
      </w:tr>
      <w:tr w14:paraId="74884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4E4B999B">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20</w:t>
            </w:r>
          </w:p>
        </w:tc>
        <w:tc>
          <w:tcPr>
            <w:tcW w:w="2155" w:type="dxa"/>
            <w:tcBorders>
              <w:top w:val="single" w:color="auto" w:sz="4" w:space="0"/>
              <w:left w:val="single" w:color="auto" w:sz="4" w:space="0"/>
              <w:bottom w:val="single" w:color="auto" w:sz="4" w:space="0"/>
              <w:right w:val="single" w:color="auto" w:sz="4" w:space="0"/>
            </w:tcBorders>
            <w:vAlign w:val="center"/>
          </w:tcPr>
          <w:p w14:paraId="20771794">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联合体投标</w:t>
            </w:r>
          </w:p>
        </w:tc>
        <w:tc>
          <w:tcPr>
            <w:tcW w:w="6625" w:type="dxa"/>
            <w:tcBorders>
              <w:top w:val="single" w:color="auto" w:sz="4" w:space="0"/>
              <w:left w:val="single" w:color="auto" w:sz="4" w:space="0"/>
              <w:bottom w:val="single" w:color="auto" w:sz="4" w:space="0"/>
            </w:tcBorders>
            <w:vAlign w:val="center"/>
          </w:tcPr>
          <w:p w14:paraId="400E9AB5">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不接受。</w:t>
            </w:r>
          </w:p>
        </w:tc>
      </w:tr>
      <w:tr w14:paraId="708282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59422678">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21</w:t>
            </w:r>
          </w:p>
        </w:tc>
        <w:tc>
          <w:tcPr>
            <w:tcW w:w="2155" w:type="dxa"/>
            <w:tcBorders>
              <w:top w:val="single" w:color="auto" w:sz="4" w:space="0"/>
              <w:left w:val="single" w:color="auto" w:sz="4" w:space="0"/>
              <w:bottom w:val="single" w:color="auto" w:sz="4" w:space="0"/>
              <w:right w:val="single" w:color="auto" w:sz="4" w:space="0"/>
            </w:tcBorders>
            <w:vAlign w:val="center"/>
          </w:tcPr>
          <w:p w14:paraId="0A6F7077">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履约保证金</w:t>
            </w:r>
          </w:p>
        </w:tc>
        <w:tc>
          <w:tcPr>
            <w:tcW w:w="6625" w:type="dxa"/>
            <w:tcBorders>
              <w:top w:val="single" w:color="auto" w:sz="4" w:space="0"/>
              <w:left w:val="single" w:color="auto" w:sz="4" w:space="0"/>
              <w:bottom w:val="single" w:color="auto" w:sz="4" w:space="0"/>
            </w:tcBorders>
            <w:vAlign w:val="center"/>
          </w:tcPr>
          <w:p w14:paraId="0C340B5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本项目不收取履约保证金。</w:t>
            </w:r>
          </w:p>
        </w:tc>
      </w:tr>
      <w:tr w14:paraId="5B47F0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C19A387">
            <w:pPr>
              <w:spacing w:line="560" w:lineRule="exact"/>
              <w:ind w:firstLine="280" w:firstLineChars="100"/>
              <w:rPr>
                <w:rFonts w:hint="default"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22</w:t>
            </w:r>
          </w:p>
        </w:tc>
        <w:tc>
          <w:tcPr>
            <w:tcW w:w="2155" w:type="dxa"/>
            <w:tcBorders>
              <w:top w:val="single" w:color="auto" w:sz="4" w:space="0"/>
              <w:left w:val="single" w:color="auto" w:sz="4" w:space="0"/>
              <w:bottom w:val="single" w:color="auto" w:sz="4" w:space="0"/>
              <w:right w:val="single" w:color="auto" w:sz="4" w:space="0"/>
            </w:tcBorders>
            <w:vAlign w:val="center"/>
          </w:tcPr>
          <w:p w14:paraId="1FE497A3">
            <w:pPr>
              <w:spacing w:line="560" w:lineRule="exact"/>
              <w:jc w:val="center"/>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是否兼投不兼中</w:t>
            </w:r>
          </w:p>
        </w:tc>
        <w:tc>
          <w:tcPr>
            <w:tcW w:w="6625" w:type="dxa"/>
            <w:tcBorders>
              <w:top w:val="single" w:color="auto" w:sz="4" w:space="0"/>
              <w:left w:val="single" w:color="auto" w:sz="4" w:space="0"/>
              <w:bottom w:val="single" w:color="auto" w:sz="4" w:space="0"/>
            </w:tcBorders>
            <w:vAlign w:val="center"/>
          </w:tcPr>
          <w:p w14:paraId="0B102C5E">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本项目兼投不兼中，</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投标人</w:t>
            </w:r>
            <w:r>
              <w:rPr>
                <w:rFonts w:hint="eastAsia" w:ascii="仿宋_GB2312" w:hAnsi="宋体" w:eastAsia="仿宋_GB2312"/>
                <w:color w:val="000000" w:themeColor="text1"/>
                <w:sz w:val="28"/>
                <w:szCs w:val="28"/>
                <w:highlight w:val="none"/>
                <w14:textFill>
                  <w14:solidFill>
                    <w14:schemeClr w14:val="tx1"/>
                  </w14:solidFill>
                </w14:textFill>
              </w:rPr>
              <w:t>可以对多个包进行</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hAnsi="宋体" w:eastAsia="仿宋_GB2312"/>
                <w:color w:val="000000" w:themeColor="text1"/>
                <w:sz w:val="28"/>
                <w:szCs w:val="28"/>
                <w:highlight w:val="none"/>
                <w14:textFill>
                  <w14:solidFill>
                    <w14:schemeClr w14:val="tx1"/>
                  </w14:solidFill>
                </w14:textFill>
              </w:rPr>
              <w:t>报价，但每个</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中标人</w:t>
            </w:r>
            <w:r>
              <w:rPr>
                <w:rFonts w:hint="eastAsia" w:ascii="仿宋_GB2312" w:hAnsi="宋体" w:eastAsia="仿宋_GB2312"/>
                <w:color w:val="000000" w:themeColor="text1"/>
                <w:sz w:val="28"/>
                <w:szCs w:val="28"/>
                <w:highlight w:val="none"/>
                <w14:textFill>
                  <w14:solidFill>
                    <w14:schemeClr w14:val="tx1"/>
                  </w14:solidFill>
                </w14:textFill>
              </w:rPr>
              <w:t>只能</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中标</w:t>
            </w:r>
            <w:r>
              <w:rPr>
                <w:rFonts w:hint="eastAsia" w:ascii="仿宋_GB2312" w:hAnsi="宋体" w:eastAsia="仿宋_GB2312"/>
                <w:color w:val="000000" w:themeColor="text1"/>
                <w:sz w:val="28"/>
                <w:szCs w:val="28"/>
                <w:highlight w:val="none"/>
                <w14:textFill>
                  <w14:solidFill>
                    <w14:schemeClr w14:val="tx1"/>
                  </w14:solidFill>
                </w14:textFill>
              </w:rPr>
              <w:t>一个包；如</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中标人</w:t>
            </w:r>
            <w:r>
              <w:rPr>
                <w:rFonts w:hint="eastAsia" w:ascii="仿宋_GB2312" w:hAnsi="宋体" w:eastAsia="仿宋_GB2312"/>
                <w:color w:val="000000" w:themeColor="text1"/>
                <w:sz w:val="28"/>
                <w:szCs w:val="28"/>
                <w:highlight w:val="none"/>
                <w14:textFill>
                  <w14:solidFill>
                    <w14:schemeClr w14:val="tx1"/>
                  </w14:solidFill>
                </w14:textFill>
              </w:rPr>
              <w:t>同时在多个包中综合得分排序第一，则由多个包综合得分排序第一的</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中标人</w:t>
            </w:r>
            <w:r>
              <w:rPr>
                <w:rFonts w:hint="eastAsia" w:ascii="仿宋_GB2312" w:hAnsi="宋体" w:eastAsia="仿宋_GB2312"/>
                <w:color w:val="000000" w:themeColor="text1"/>
                <w:sz w:val="28"/>
                <w:szCs w:val="28"/>
                <w:highlight w:val="none"/>
                <w14:textFill>
                  <w14:solidFill>
                    <w14:schemeClr w14:val="tx1"/>
                  </w14:solidFill>
                </w14:textFill>
              </w:rPr>
              <w:t>优先选定拟</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中标</w:t>
            </w:r>
            <w:r>
              <w:rPr>
                <w:rFonts w:hint="eastAsia" w:ascii="仿宋_GB2312" w:hAnsi="宋体" w:eastAsia="仿宋_GB2312"/>
                <w:color w:val="000000" w:themeColor="text1"/>
                <w:sz w:val="28"/>
                <w:szCs w:val="28"/>
                <w:highlight w:val="none"/>
                <w14:textFill>
                  <w14:solidFill>
                    <w14:schemeClr w14:val="tx1"/>
                  </w14:solidFill>
                </w14:textFill>
              </w:rPr>
              <w:t>的包号</w:t>
            </w:r>
            <w:r>
              <w:rPr>
                <w:rFonts w:hint="eastAsia" w:ascii="仿宋_GB2312" w:hAnsi="宋体" w:eastAsia="仿宋_GB2312"/>
                <w:color w:val="000000" w:themeColor="text1"/>
                <w:sz w:val="28"/>
                <w:szCs w:val="28"/>
                <w:highlight w:val="none"/>
                <w:lang w:eastAsia="zh-CN"/>
                <w14:textFill>
                  <w14:solidFill>
                    <w14:schemeClr w14:val="tx1"/>
                  </w14:solidFill>
                </w14:textFill>
              </w:rPr>
              <w:t>。</w:t>
            </w:r>
          </w:p>
        </w:tc>
      </w:tr>
      <w:tr w14:paraId="01830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0407F9E3">
            <w:pPr>
              <w:spacing w:line="560" w:lineRule="exact"/>
              <w:ind w:firstLine="280" w:firstLineChars="100"/>
              <w:rPr>
                <w:rFonts w:hint="default"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23</w:t>
            </w:r>
          </w:p>
        </w:tc>
        <w:tc>
          <w:tcPr>
            <w:tcW w:w="2155" w:type="dxa"/>
            <w:tcBorders>
              <w:top w:val="single" w:color="auto" w:sz="4" w:space="0"/>
              <w:left w:val="single" w:color="auto" w:sz="4" w:space="0"/>
              <w:bottom w:val="single" w:color="auto" w:sz="4" w:space="0"/>
              <w:right w:val="single" w:color="auto" w:sz="4" w:space="0"/>
            </w:tcBorders>
            <w:vAlign w:val="center"/>
          </w:tcPr>
          <w:p w14:paraId="228C0EEF">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付款方式</w:t>
            </w:r>
          </w:p>
        </w:tc>
        <w:tc>
          <w:tcPr>
            <w:tcW w:w="6625" w:type="dxa"/>
            <w:tcBorders>
              <w:top w:val="single" w:color="auto" w:sz="4" w:space="0"/>
              <w:left w:val="single" w:color="auto" w:sz="4" w:space="0"/>
              <w:bottom w:val="single" w:color="auto" w:sz="4" w:space="0"/>
            </w:tcBorders>
            <w:vAlign w:val="center"/>
          </w:tcPr>
          <w:p w14:paraId="468D3F1C">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项目验收合格后，第一年支付</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合同总价款</w:t>
            </w:r>
            <w:r>
              <w:rPr>
                <w:rFonts w:hint="eastAsia" w:ascii="仿宋_GB2312" w:hAnsi="宋体" w:eastAsia="仿宋_GB2312"/>
                <w:color w:val="000000" w:themeColor="text1"/>
                <w:sz w:val="28"/>
                <w:szCs w:val="28"/>
                <w:highlight w:val="none"/>
                <w14:textFill>
                  <w14:solidFill>
                    <w14:schemeClr w14:val="tx1"/>
                  </w14:solidFill>
                </w14:textFill>
              </w:rPr>
              <w:t>的</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5</w:t>
            </w:r>
            <w:r>
              <w:rPr>
                <w:rFonts w:hint="eastAsia" w:ascii="仿宋_GB2312" w:hAnsi="宋体" w:eastAsia="仿宋_GB2312"/>
                <w:color w:val="000000" w:themeColor="text1"/>
                <w:sz w:val="28"/>
                <w:szCs w:val="28"/>
                <w:highlight w:val="none"/>
                <w14:textFill>
                  <w14:solidFill>
                    <w14:schemeClr w14:val="tx1"/>
                  </w14:solidFill>
                </w14:textFill>
              </w:rPr>
              <w:t>0%，第二年</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支付合同总价款的</w:t>
            </w:r>
            <w:r>
              <w:rPr>
                <w:rFonts w:hint="eastAsia" w:ascii="仿宋_GB2312" w:hAnsi="宋体" w:eastAsia="仿宋_GB2312"/>
                <w:color w:val="000000" w:themeColor="text1"/>
                <w:sz w:val="28"/>
                <w:szCs w:val="28"/>
                <w:highlight w:val="none"/>
                <w14:textFill>
                  <w14:solidFill>
                    <w14:schemeClr w14:val="tx1"/>
                  </w14:solidFill>
                </w14:textFill>
              </w:rPr>
              <w:t>30%，第三年支付</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合同总价款</w:t>
            </w:r>
            <w:r>
              <w:rPr>
                <w:rFonts w:hint="eastAsia" w:ascii="仿宋_GB2312" w:hAnsi="宋体" w:eastAsia="仿宋_GB2312"/>
                <w:color w:val="000000" w:themeColor="text1"/>
                <w:sz w:val="28"/>
                <w:szCs w:val="28"/>
                <w:highlight w:val="none"/>
                <w14:textFill>
                  <w14:solidFill>
                    <w14:schemeClr w14:val="tx1"/>
                  </w14:solidFill>
                </w14:textFill>
              </w:rPr>
              <w:t>的20%。</w:t>
            </w:r>
          </w:p>
        </w:tc>
      </w:tr>
      <w:tr w14:paraId="5A194F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2CC93E69">
            <w:pPr>
              <w:spacing w:line="560" w:lineRule="exact"/>
              <w:ind w:firstLine="280" w:firstLineChars="100"/>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472E8843">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资金来源</w:t>
            </w:r>
          </w:p>
        </w:tc>
        <w:tc>
          <w:tcPr>
            <w:tcW w:w="6625" w:type="dxa"/>
            <w:tcBorders>
              <w:top w:val="single" w:color="auto" w:sz="4" w:space="0"/>
              <w:left w:val="single" w:color="auto" w:sz="4" w:space="0"/>
              <w:bottom w:val="single" w:color="auto" w:sz="4" w:space="0"/>
            </w:tcBorders>
            <w:vAlign w:val="center"/>
          </w:tcPr>
          <w:p w14:paraId="5F9CFD48">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专项资金</w:t>
            </w:r>
          </w:p>
        </w:tc>
      </w:tr>
      <w:tr w14:paraId="127D4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7611D499">
            <w:pPr>
              <w:spacing w:line="560" w:lineRule="exact"/>
              <w:ind w:firstLine="280" w:firstLineChars="100"/>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7710E3DE">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落实情况</w:t>
            </w:r>
          </w:p>
        </w:tc>
        <w:tc>
          <w:tcPr>
            <w:tcW w:w="6625" w:type="dxa"/>
            <w:tcBorders>
              <w:top w:val="single" w:color="auto" w:sz="4" w:space="0"/>
              <w:left w:val="single" w:color="auto" w:sz="4" w:space="0"/>
              <w:bottom w:val="single" w:color="auto" w:sz="4" w:space="0"/>
            </w:tcBorders>
            <w:vAlign w:val="center"/>
          </w:tcPr>
          <w:p w14:paraId="20F62DBF">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已落实。</w:t>
            </w:r>
          </w:p>
        </w:tc>
      </w:tr>
      <w:tr w14:paraId="584BB2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F75DD3F">
            <w:pPr>
              <w:spacing w:line="560" w:lineRule="exact"/>
              <w:ind w:firstLine="280" w:firstLineChars="100"/>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0F2890EC">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其他</w:t>
            </w:r>
          </w:p>
        </w:tc>
        <w:tc>
          <w:tcPr>
            <w:tcW w:w="6625" w:type="dxa"/>
            <w:tcBorders>
              <w:top w:val="single" w:color="auto" w:sz="4" w:space="0"/>
              <w:left w:val="single" w:color="auto" w:sz="4" w:space="0"/>
              <w:bottom w:val="single" w:color="auto" w:sz="4" w:space="0"/>
            </w:tcBorders>
            <w:vAlign w:val="center"/>
          </w:tcPr>
          <w:p w14:paraId="5699948A">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本项目按货物类以公开招标方式实施采购。</w:t>
            </w:r>
          </w:p>
        </w:tc>
      </w:tr>
      <w:tr w14:paraId="6BD84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04EE6D5">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26</w:t>
            </w:r>
          </w:p>
        </w:tc>
        <w:tc>
          <w:tcPr>
            <w:tcW w:w="2155" w:type="dxa"/>
            <w:tcBorders>
              <w:top w:val="single" w:color="auto" w:sz="4" w:space="0"/>
              <w:left w:val="single" w:color="auto" w:sz="4" w:space="0"/>
              <w:bottom w:val="single" w:color="auto" w:sz="4" w:space="0"/>
              <w:right w:val="single" w:color="auto" w:sz="4" w:space="0"/>
            </w:tcBorders>
            <w:vAlign w:val="center"/>
          </w:tcPr>
          <w:p w14:paraId="3F95117D">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代理服务费</w:t>
            </w:r>
          </w:p>
        </w:tc>
        <w:tc>
          <w:tcPr>
            <w:tcW w:w="6625" w:type="dxa"/>
            <w:tcBorders>
              <w:top w:val="single" w:color="auto" w:sz="4" w:space="0"/>
              <w:left w:val="single" w:color="auto" w:sz="4" w:space="0"/>
              <w:bottom w:val="single" w:color="auto" w:sz="4" w:space="0"/>
            </w:tcBorders>
            <w:vAlign w:val="center"/>
          </w:tcPr>
          <w:p w14:paraId="04F4EC2F">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本项目代理服务费参照《招标代理服务收费管理暂行办法》规定的货物类收费标准收取，由</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各包中标人</w:t>
            </w:r>
            <w:r>
              <w:rPr>
                <w:rFonts w:hint="eastAsia" w:ascii="仿宋_GB2312" w:hAnsi="宋体" w:eastAsia="仿宋_GB2312"/>
                <w:color w:val="000000" w:themeColor="text1"/>
                <w:sz w:val="28"/>
                <w:szCs w:val="28"/>
                <w:highlight w:val="none"/>
                <w14:textFill>
                  <w14:solidFill>
                    <w14:schemeClr w14:val="tx1"/>
                  </w14:solidFill>
                </w14:textFill>
              </w:rPr>
              <w:t>签订合同时向招标公司全额交纳。</w:t>
            </w:r>
          </w:p>
        </w:tc>
      </w:tr>
    </w:tbl>
    <w:p w14:paraId="3BECD12E">
      <w:pPr>
        <w:spacing w:line="560" w:lineRule="exact"/>
        <w:ind w:firstLine="643" w:firstLineChars="201"/>
        <w:rPr>
          <w:rFonts w:eastAsia="黑体"/>
          <w:color w:val="000000" w:themeColor="text1"/>
          <w:sz w:val="32"/>
          <w:szCs w:val="32"/>
          <w:highlight w:val="none"/>
          <w14:textFill>
            <w14:solidFill>
              <w14:schemeClr w14:val="tx1"/>
            </w14:solidFill>
          </w14:textFill>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6A60E87D">
      <w:pPr>
        <w:spacing w:line="560" w:lineRule="exact"/>
        <w:ind w:firstLine="643" w:firstLineChars="201"/>
        <w:jc w:val="center"/>
        <w:rPr>
          <w:rFonts w:eastAsia="黑体"/>
          <w:color w:val="000000" w:themeColor="text1"/>
          <w:sz w:val="32"/>
          <w:szCs w:val="32"/>
          <w:highlight w:val="none"/>
          <w14:textFill>
            <w14:solidFill>
              <w14:schemeClr w14:val="tx1"/>
            </w14:solidFill>
          </w14:textFill>
        </w:rPr>
      </w:pPr>
      <w:r>
        <w:rPr>
          <w:rFonts w:hint="eastAsia" w:eastAsia="黑体"/>
          <w:color w:val="000000" w:themeColor="text1"/>
          <w:sz w:val="32"/>
          <w:szCs w:val="32"/>
          <w:highlight w:val="none"/>
          <w14:textFill>
            <w14:solidFill>
              <w14:schemeClr w14:val="tx1"/>
            </w14:solidFill>
          </w14:textFill>
        </w:rPr>
        <w:t>《实质性条款一览表》</w:t>
      </w:r>
    </w:p>
    <w:p w14:paraId="1F990F36">
      <w:pPr>
        <w:snapToGrid w:val="0"/>
        <w:spacing w:line="500" w:lineRule="exact"/>
        <w:ind w:firstLine="561"/>
        <w:jc w:val="left"/>
        <w:rPr>
          <w:rFonts w:ascii="仿宋_GB2312" w:eastAsia="仿宋_GB2312"/>
          <w:color w:val="000000" w:themeColor="text1"/>
          <w:sz w:val="28"/>
          <w:szCs w:val="28"/>
          <w:highlight w:val="none"/>
          <w14:textFill>
            <w14:solidFill>
              <w14:schemeClr w14:val="tx1"/>
            </w14:solidFill>
          </w14:textFill>
        </w:rPr>
      </w:pPr>
      <w:r>
        <w:rPr>
          <w:rFonts w:hint="eastAsia" w:ascii="仿宋_GB2312" w:eastAsia="仿宋_GB2312"/>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48"/>
        <w:tblW w:w="91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62001F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1F07CE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090ECE7">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项目名称</w:t>
            </w:r>
          </w:p>
        </w:tc>
        <w:tc>
          <w:tcPr>
            <w:tcW w:w="6070" w:type="dxa"/>
            <w:tcBorders>
              <w:top w:val="single" w:color="auto" w:sz="4" w:space="0"/>
              <w:left w:val="single" w:color="auto" w:sz="4" w:space="0"/>
              <w:bottom w:val="single" w:color="auto" w:sz="4" w:space="0"/>
            </w:tcBorders>
            <w:vAlign w:val="center"/>
          </w:tcPr>
          <w:p w14:paraId="59319AC9">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内       容</w:t>
            </w:r>
          </w:p>
        </w:tc>
      </w:tr>
      <w:tr w14:paraId="253495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2574115">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0D359C30">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资格性核查</w:t>
            </w:r>
          </w:p>
        </w:tc>
        <w:tc>
          <w:tcPr>
            <w:tcW w:w="6070" w:type="dxa"/>
            <w:tcBorders>
              <w:top w:val="single" w:color="auto" w:sz="4" w:space="0"/>
              <w:left w:val="single" w:color="auto" w:sz="4" w:space="0"/>
              <w:bottom w:val="single" w:color="auto" w:sz="4" w:space="0"/>
            </w:tcBorders>
          </w:tcPr>
          <w:p w14:paraId="7699CFEE">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1.有效的营业执照副本扫描件；税务登记证副本扫描件（已办理三证合一的供应商只需提供有效的营业执照副本扫描件）或其他能证明具有独立承担民事责任能力的材料扫描件</w:t>
            </w:r>
            <w:r>
              <w:rPr>
                <w:rFonts w:hint="eastAsia" w:ascii="仿宋_GB2312" w:hAnsi="宋体" w:eastAsia="仿宋_GB2312"/>
                <w:color w:val="000000" w:themeColor="text1"/>
                <w:sz w:val="28"/>
                <w:szCs w:val="28"/>
                <w:highlight w:val="none"/>
                <w:lang w:eastAsia="zh-CN"/>
                <w14:textFill>
                  <w14:solidFill>
                    <w14:schemeClr w14:val="tx1"/>
                  </w14:solidFill>
                </w14:textFill>
              </w:rPr>
              <w:t>；</w:t>
            </w:r>
          </w:p>
          <w:p w14:paraId="2DF9607E">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2.法人授权委托书、被授权人身份证扫描件；</w:t>
            </w:r>
          </w:p>
          <w:p w14:paraId="6A03B826">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3.投标人的依法缴纳税收声明和社会保障资金的声明；近期的完税凭证扫描件及交纳社保资金凭证的扫描件；</w:t>
            </w:r>
          </w:p>
          <w:p w14:paraId="796773A5">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4.投标人参加本项目投标前三年内无重大违法违纪行为声明；</w:t>
            </w:r>
          </w:p>
          <w:p w14:paraId="208FCE1B">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5.投标人自行编制的2024年度或2025年度公司财务报表或由中介机构出具的2024年或2025年度度财务审计报告书扫描件（</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投标人</w:t>
            </w:r>
            <w:r>
              <w:rPr>
                <w:rFonts w:hint="eastAsia" w:ascii="仿宋_GB2312" w:hAnsi="宋体" w:eastAsia="仿宋_GB2312"/>
                <w:color w:val="000000" w:themeColor="text1"/>
                <w:sz w:val="28"/>
                <w:szCs w:val="28"/>
                <w:highlight w:val="none"/>
                <w14:textFill>
                  <w14:solidFill>
                    <w14:schemeClr w14:val="tx1"/>
                  </w14:solidFill>
                </w14:textFill>
              </w:rPr>
              <w:t>成立不到一年的，提供自成立时间以来的财务报表即可）； B.银行出具的有效期内的资信证明扫描件。注：A、B两项提供任意一项均可；</w:t>
            </w:r>
          </w:p>
          <w:p w14:paraId="29881CEC">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6.投标人、法定代表人（依法登记的负责人）、授权委托人未被最高法院列入失信被执行人；</w:t>
            </w:r>
          </w:p>
          <w:p w14:paraId="3B31094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7.国家或行业主管部门规定必须具有的资质、资格证书及其认证测试报告等扫描件；</w:t>
            </w:r>
          </w:p>
          <w:p w14:paraId="39C5B3E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8招标文件第四部分“采购项目说明”要求的有关资质资格文件扫描件；</w:t>
            </w:r>
          </w:p>
          <w:p w14:paraId="5EFE3C59">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9.投标人认为需要提供的其它资质资格证明文件扫描件。</w:t>
            </w:r>
          </w:p>
        </w:tc>
      </w:tr>
      <w:tr w14:paraId="7928F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E14AD56">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29074DF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符合性检查</w:t>
            </w:r>
          </w:p>
        </w:tc>
        <w:tc>
          <w:tcPr>
            <w:tcW w:w="6070" w:type="dxa"/>
            <w:tcBorders>
              <w:top w:val="single" w:color="auto" w:sz="4" w:space="0"/>
              <w:left w:val="single" w:color="auto" w:sz="4" w:space="0"/>
              <w:bottom w:val="single" w:color="auto" w:sz="4" w:space="0"/>
            </w:tcBorders>
            <w:vAlign w:val="center"/>
          </w:tcPr>
          <w:p w14:paraId="3660F2D2">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1.单价或总价超出上限控制价或预算的。</w:t>
            </w:r>
          </w:p>
          <w:p w14:paraId="5F2C65B6">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2.存在招标文件23.3的关于投标人串通投标的物情形及其他投标无效的情形。</w:t>
            </w:r>
          </w:p>
          <w:p w14:paraId="4723EA9E">
            <w:pPr>
              <w:spacing w:line="560" w:lineRule="exact"/>
              <w:rPr>
                <w:color w:val="000000" w:themeColor="text1"/>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3.评标委员会认为不符合招标文件其他实质性要求或法律规定的。</w:t>
            </w:r>
          </w:p>
        </w:tc>
      </w:tr>
    </w:tbl>
    <w:p w14:paraId="42112096">
      <w:pPr>
        <w:rPr>
          <w:rFonts w:ascii="宋体" w:hAnsi="宋体"/>
          <w:color w:val="000000" w:themeColor="text1"/>
          <w:szCs w:val="28"/>
          <w:highlight w:val="none"/>
          <w14:textFill>
            <w14:solidFill>
              <w14:schemeClr w14:val="tx1"/>
            </w14:solidFill>
          </w14:textFill>
        </w:rPr>
      </w:pPr>
    </w:p>
    <w:p w14:paraId="339F2819">
      <w:pPr>
        <w:spacing w:line="560" w:lineRule="exact"/>
        <w:ind w:firstLine="422" w:firstLineChars="201"/>
        <w:rPr>
          <w:rFonts w:ascii="黑体" w:hAnsi="黑体" w:eastAsia="黑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r>
        <w:rPr>
          <w:rFonts w:hint="eastAsia" w:ascii="楷体_GB2312" w:hAnsi="仿宋" w:eastAsia="楷体_GB2312" w:cs="宋体"/>
          <w:b/>
          <w:color w:val="000000" w:themeColor="text1"/>
          <w:sz w:val="28"/>
          <w:szCs w:val="28"/>
          <w:highlight w:val="none"/>
          <w14:textFill>
            <w14:solidFill>
              <w14:schemeClr w14:val="tx1"/>
            </w14:solidFill>
          </w14:textFill>
        </w:rPr>
        <w:t>一、说明</w:t>
      </w:r>
    </w:p>
    <w:p w14:paraId="52ED566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96E955A">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1.适用范围</w:t>
      </w:r>
    </w:p>
    <w:p w14:paraId="6F63DBB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1.1 本招标文件仅适用于本次招标公告中所涉及的项目和内容。</w:t>
      </w:r>
    </w:p>
    <w:p w14:paraId="6CE18E8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1.2 本招标文件的解释权为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，以书面解释为准。</w:t>
      </w:r>
    </w:p>
    <w:p w14:paraId="7232C32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1.3 招标文件未做须知明示，而又有相关法律、法规规定的，从其规定。</w:t>
      </w:r>
    </w:p>
    <w:p w14:paraId="3BA5DE04">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2.相关要求</w:t>
      </w:r>
    </w:p>
    <w:p w14:paraId="1A33270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2.1投标人应承担所有与准备和参加投标有关的费用。不论投标结果如何，</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和采购人均无义务和责任承担这些费用。</w:t>
      </w:r>
    </w:p>
    <w:p w14:paraId="4672E8B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2.2本项目若涉及采购货物，则合格的货物及相应服务应满足以下要求：</w:t>
      </w:r>
    </w:p>
    <w:p w14:paraId="58BE4C6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2.2.1必须是全新、未使用过的原装合格正品（包括零部件），如安装或配置了软件的，须为正版软件。</w:t>
      </w:r>
    </w:p>
    <w:p w14:paraId="7D79E09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2.2.2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54524E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2.3</w:t>
      </w:r>
      <w:r>
        <w:rPr>
          <w:rFonts w:hint="eastAsia" w:ascii="仿宋_GB2312" w:hAnsi="宋体" w:eastAsia="仿宋_GB2312"/>
          <w:b/>
          <w:color w:val="000000" w:themeColor="text1"/>
          <w:sz w:val="28"/>
          <w:szCs w:val="28"/>
          <w:highlight w:val="none"/>
          <w14:textFill>
            <w14:solidFill>
              <w14:schemeClr w14:val="tx1"/>
            </w14:solidFill>
          </w14:textFill>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14:paraId="404336CD">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二、招标文件</w:t>
      </w:r>
    </w:p>
    <w:p w14:paraId="482109D8">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3.招标文件的构成</w:t>
      </w:r>
    </w:p>
    <w:p w14:paraId="0EC937B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1B018B5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3.1 本文件（word格式）由下列文件组成：</w:t>
      </w:r>
    </w:p>
    <w:p w14:paraId="2D52DF1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（1）采购公告</w:t>
      </w:r>
    </w:p>
    <w:p w14:paraId="44743B0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（2）投标须知</w:t>
      </w:r>
    </w:p>
    <w:p w14:paraId="24DB521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（3）采购内容与要求</w:t>
      </w:r>
    </w:p>
    <w:p w14:paraId="0FDBCE1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（4）评审原则和方法</w:t>
      </w:r>
    </w:p>
    <w:p w14:paraId="03F9FCC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（5）投标（响应）文件格式</w:t>
      </w:r>
    </w:p>
    <w:p w14:paraId="711E2A8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（6）合同（范本）</w:t>
      </w:r>
    </w:p>
    <w:p w14:paraId="4A39896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（7）在采购过程中由采购人或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发出的修正和补充文件等（如有）</w:t>
      </w:r>
    </w:p>
    <w:p w14:paraId="13AFF31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3.2 数据文件（excel格式）由下列文件组成：</w:t>
      </w:r>
    </w:p>
    <w:p w14:paraId="6C3190E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（1）封面</w:t>
      </w:r>
    </w:p>
    <w:p w14:paraId="12160E5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（2）投标报价表（含明细）</w:t>
      </w:r>
    </w:p>
    <w:p w14:paraId="306E97F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（3）需求响应表（如有）</w:t>
      </w:r>
    </w:p>
    <w:p w14:paraId="17B36CC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（4）评审对照表</w:t>
      </w:r>
    </w:p>
    <w:p w14:paraId="3FC83A0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（5）评分对照表（如有）</w:t>
      </w:r>
    </w:p>
    <w:p w14:paraId="781BD86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53D27AE">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4.招标文件的澄清</w:t>
      </w:r>
    </w:p>
    <w:p w14:paraId="0A98F25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4.1</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提出，必要时</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将协助采购人组织所有获取采购文件</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举行答疑会，</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根据需要主动对招标文件进行必要的澄清或根据</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。澄清文件作为招标文件的组成部分，对</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起约束作用。</w:t>
      </w:r>
    </w:p>
    <w:p w14:paraId="61C0572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4.2投标人在规定的时间内未对招标文件澄清或提出疑问的，</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将视其为接受招标文件的所有条款，对招标文件没有异议，此后也不再受理对招标文件的相关质疑。</w:t>
      </w:r>
    </w:p>
    <w:p w14:paraId="1BB65B39">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5.招标文件的修改</w:t>
      </w:r>
    </w:p>
    <w:p w14:paraId="19A9994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5.l 在投标截止时间2日以前，无论出于何种原因，</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或采购人可主动或在解答投标人提出的疑问时对招标文件进行修改。</w:t>
      </w:r>
    </w:p>
    <w:p w14:paraId="7843F33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5.2 修改后的内容是招标文件的组成部分，采购人、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或采购人确认，如在24小时内无书面回函则视为同意修改内容，并有义务履行相应的义务。</w:t>
      </w:r>
    </w:p>
    <w:p w14:paraId="0B8CB6A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5.3澄清或者修改的内容可能影响投标文件编制的，采购人或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highlight w:val="none"/>
          <w14:textFill>
            <w14:solidFill>
              <w14:schemeClr w14:val="tx1"/>
            </w14:solidFill>
          </w14:textFill>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highlight w:val="none"/>
          <w14:textFill>
            <w14:solidFill>
              <w14:schemeClr w14:val="tx1"/>
            </w14:solidFill>
          </w14:textFill>
        </w:rPr>
        <w:t>不足2日的，采购人或者</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将顺延提交投标文件的截止时间。</w:t>
      </w:r>
    </w:p>
    <w:p w14:paraId="491B1CAD">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三、投标文件的编制</w:t>
      </w:r>
    </w:p>
    <w:p w14:paraId="6EDA0525">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6.投标文件编制要求</w:t>
      </w:r>
    </w:p>
    <w:p w14:paraId="29C069C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0962254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6.2投标文件中使用的计量单位应使用中华人民共和国法定计量单位。</w:t>
      </w:r>
    </w:p>
    <w:p w14:paraId="754FC27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6.3投标人必须保证投标文件所提供的全部资料真实可靠，并接受采购人或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对其中任何资料进一步核实的要求。如果因为投标文件填报的内容不详，或没有提供招标文件中所要求的全部资料及数据，或提供虚假文件，由此造成的后果由投标人自负。</w:t>
      </w:r>
    </w:p>
    <w:p w14:paraId="64E8E58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A020B3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6.5</w:t>
      </w:r>
      <w:r>
        <w:rPr>
          <w:rFonts w:hint="eastAsia" w:ascii="仿宋_GB2312" w:hAnsi="宋体" w:eastAsia="仿宋_GB2312"/>
          <w:color w:val="000000" w:themeColor="text1"/>
          <w:sz w:val="28"/>
          <w:szCs w:val="28"/>
          <w:highlight w:val="none"/>
          <w14:textFill>
            <w14:solidFill>
              <w14:schemeClr w14:val="tx1"/>
            </w14:solidFill>
          </w14:textFill>
        </w:rPr>
        <w:t>投标人按照采购文件要求所提供的各种证明文件必须真实且合法有效,经扫描后粘贴到响应文件的相关页上，确保清晰度可辨认，评审时由于无法辨认所产生的后果，由投标人自行承担。</w:t>
      </w:r>
    </w:p>
    <w:p w14:paraId="757C382C">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highlight w:val="none"/>
          <w14:textFill>
            <w14:solidFill>
              <w14:schemeClr w14:val="tx1"/>
            </w14:solidFill>
          </w14:textFill>
        </w:rPr>
        <w:t>对于不涉及或无法填写的评审项（评分项）（例如：报价），可在页码索引处填写1。</w:t>
      </w:r>
    </w:p>
    <w:p w14:paraId="5C665F0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0256CF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6.8投标文件具有法律效力，投标人与</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或采购人任何人的口头协议不影响投标文件的任何条款和内容。</w:t>
      </w:r>
    </w:p>
    <w:p w14:paraId="5C847E5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6.9采购人或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均无义务向投标人解释其中标或未中标的原因，且无论投标人是否中标，投标人所递交的投标文件均不予退还，不提供副本拷贝。</w:t>
      </w:r>
    </w:p>
    <w:p w14:paraId="077FEB6B">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7.数据文件编制要求</w:t>
      </w:r>
    </w:p>
    <w:p w14:paraId="0275AD6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7.1投标人须从所投项目的招标文件压缩包内对应包段目录下获取本文件</w:t>
      </w:r>
      <w:r>
        <w:rPr>
          <w:rFonts w:hint="eastAsia" w:ascii="仿宋_GB2312" w:hAnsi="宋体" w:eastAsia="仿宋_GB2312"/>
          <w:color w:val="000000" w:themeColor="text1"/>
          <w:sz w:val="28"/>
          <w:szCs w:val="28"/>
          <w:highlight w:val="none"/>
          <w14:textFill>
            <w14:solidFill>
              <w14:schemeClr w14:val="tx1"/>
            </w14:solidFill>
          </w14:textFill>
        </w:rPr>
        <w:t>（变更后的数据文件需要重新下载）</w:t>
      </w:r>
      <w:r>
        <w:rPr>
          <w:rFonts w:hint="eastAsia" w:ascii="仿宋_GB2312" w:hAnsi="仿宋" w:eastAsia="仿宋_GB2312" w:cs="宋体"/>
          <w:color w:val="000000" w:themeColor="text1"/>
          <w:sz w:val="28"/>
          <w:szCs w:val="28"/>
          <w:highlight w:val="none"/>
          <w14:textFill>
            <w14:solidFill>
              <w14:schemeClr w14:val="tx1"/>
            </w14:solidFill>
          </w14:textFill>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highlight w:val="none"/>
          <w14:textFill>
            <w14:solidFill>
              <w14:schemeClr w14:val="tx1"/>
            </w14:solidFill>
          </w14:textFill>
        </w:rPr>
        <w:t>、对工作表先后顺序的变动，</w:t>
      </w:r>
      <w:r>
        <w:rPr>
          <w:rFonts w:hint="eastAsia" w:ascii="仿宋_GB2312" w:hAnsi="仿宋" w:eastAsia="仿宋_GB2312" w:cs="宋体"/>
          <w:color w:val="000000" w:themeColor="text1"/>
          <w:sz w:val="28"/>
          <w:szCs w:val="28"/>
          <w:highlight w:val="none"/>
          <w14:textFill>
            <w14:solidFill>
              <w14:schemeClr w14:val="tx1"/>
            </w14:solidFill>
          </w14:textFill>
        </w:rPr>
        <w:t>以及对锁定区域内的数据进行更改、</w:t>
      </w:r>
      <w:r>
        <w:rPr>
          <w:rFonts w:hint="eastAsia" w:ascii="仿宋_GB2312" w:hAnsi="仿宋" w:eastAsia="仿宋_GB2312" w:cs="宋体"/>
          <w:b/>
          <w:color w:val="000000" w:themeColor="text1"/>
          <w:sz w:val="28"/>
          <w:szCs w:val="28"/>
          <w:highlight w:val="none"/>
          <w14:textFill>
            <w14:solidFill>
              <w14:schemeClr w14:val="tx1"/>
            </w14:solidFill>
          </w14:textFill>
        </w:rPr>
        <w:t>文件另存到其他文件</w:t>
      </w:r>
      <w:r>
        <w:rPr>
          <w:rFonts w:hint="eastAsia" w:ascii="仿宋_GB2312" w:hAnsi="仿宋" w:eastAsia="仿宋_GB2312" w:cs="宋体"/>
          <w:color w:val="000000" w:themeColor="text1"/>
          <w:sz w:val="28"/>
          <w:szCs w:val="28"/>
          <w:highlight w:val="none"/>
          <w14:textFill>
            <w14:solidFill>
              <w14:schemeClr w14:val="tx1"/>
            </w14:solidFill>
          </w14:textFill>
        </w:rPr>
        <w:t>等违规性操作，都会破坏本文件中的数字指纹，导致系统无法接收该文件使其</w:t>
      </w:r>
      <w:r>
        <w:rPr>
          <w:rFonts w:hint="eastAsia" w:ascii="仿宋_GB2312" w:hAnsi="仿宋" w:eastAsia="仿宋_GB2312" w:cs="宋体"/>
          <w:b/>
          <w:color w:val="000000" w:themeColor="text1"/>
          <w:sz w:val="28"/>
          <w:szCs w:val="28"/>
          <w:highlight w:val="none"/>
          <w14:textFill>
            <w14:solidFill>
              <w14:schemeClr w14:val="tx1"/>
            </w14:solidFill>
          </w14:textFill>
        </w:rPr>
        <w:t>投标失败</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1D4A4B4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highlight w:val="none"/>
          <w14:textFill>
            <w14:solidFill>
              <w14:schemeClr w14:val="tx1"/>
            </w14:solidFill>
          </w14:textFill>
        </w:rPr>
        <w:t>投标失败</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4183B06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p w14:paraId="0E515DC4">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8.文件构成</w:t>
      </w:r>
    </w:p>
    <w:p w14:paraId="5828C94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4E95F26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8.1投标人编制的投标文件（pdf格式）（第一册）应包括但不少于下列内容：</w:t>
      </w:r>
    </w:p>
    <w:p w14:paraId="178967C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（1）投标文件封面（格式见本文件第五章）</w:t>
      </w:r>
    </w:p>
    <w:p w14:paraId="686FFAC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（2）投标文件目录</w:t>
      </w:r>
    </w:p>
    <w:p w14:paraId="4A864E1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（3）投标承诺函（格式见本文件第五章）</w:t>
      </w:r>
    </w:p>
    <w:p w14:paraId="6D92612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（4）投标人资格证明文件</w:t>
      </w:r>
    </w:p>
    <w:p w14:paraId="0540252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①有效的营业执照副本扫描件</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w:t>
      </w:r>
      <w:r>
        <w:rPr>
          <w:rFonts w:hint="eastAsia" w:ascii="仿宋_GB2312" w:hAnsi="仿宋" w:eastAsia="仿宋_GB2312" w:cs="宋体"/>
          <w:color w:val="000000" w:themeColor="text1"/>
          <w:sz w:val="28"/>
          <w:szCs w:val="28"/>
          <w:highlight w:val="none"/>
          <w14:textFill>
            <w14:solidFill>
              <w14:schemeClr w14:val="tx1"/>
            </w14:solidFill>
          </w14:textFill>
        </w:rPr>
        <w:t>税务登记证副本扫描件（已办理三证合一的供应商只需提供有效的营业执照副本扫描件）或其他能证明具有独立承担民事责任能力的材料扫描件；</w:t>
      </w:r>
    </w:p>
    <w:p w14:paraId="144E789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②法定代表人（依法登记的负责人）授权委托书；被授权人身份证扫描件；</w:t>
      </w:r>
    </w:p>
    <w:p w14:paraId="6F4DFAA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若投标单位代表为企业法定代表人（依法登记的负责人）的，则只需提供企业法定代表人（依法登记的负责人）身份证扫描件；</w:t>
      </w:r>
    </w:p>
    <w:p w14:paraId="33DD455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③投标人的依法交纳税收和社会保障资金的声明（格式自拟）；近期的完税凭证扫描件及交纳社保资金凭证的扫描件；</w:t>
      </w:r>
    </w:p>
    <w:p w14:paraId="562A1AC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④投标人近3年内在经营活动中没有重大违法记录的声明（格式见本文件第五章），如不提供视为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18859EAE">
      <w:pPr>
        <w:pStyle w:val="13"/>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⑤投标人、法定代表人（依法登记的负责人）、授权委托人未被最高法院列入失信被执行人截图（网址http://zxgk.court.gov.cn/zhzxgk/）</w:t>
      </w:r>
    </w:p>
    <w:p w14:paraId="72C7D61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⑥招标文件公告中要求的有关资质资格文件。</w:t>
      </w:r>
    </w:p>
    <w:p w14:paraId="19F3028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⑦投标人认为需要提供的资质资格证明文件。</w:t>
      </w:r>
    </w:p>
    <w:p w14:paraId="71E9852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bookmarkStart w:id="13" w:name="OLE_LINK53"/>
      <w:bookmarkStart w:id="14" w:name="OLE_LINK52"/>
      <w:r>
        <w:rPr>
          <w:rFonts w:hint="eastAsia" w:ascii="仿宋_GB2312" w:hAnsi="仿宋" w:eastAsia="仿宋_GB2312" w:cs="宋体"/>
          <w:color w:val="000000" w:themeColor="text1"/>
          <w:sz w:val="28"/>
          <w:szCs w:val="28"/>
          <w:highlight w:val="none"/>
          <w14:textFill>
            <w14:solidFill>
              <w14:schemeClr w14:val="tx1"/>
            </w14:solidFill>
          </w14:textFill>
        </w:rPr>
        <w:t>以上所有资质资格证明文件均需加盖投标人签章</w:t>
      </w:r>
      <w:bookmarkEnd w:id="13"/>
      <w:bookmarkEnd w:id="14"/>
      <w:r>
        <w:rPr>
          <w:rFonts w:hint="eastAsia" w:ascii="仿宋_GB2312" w:hAnsi="仿宋" w:eastAsia="仿宋_GB2312" w:cs="宋体"/>
          <w:color w:val="000000" w:themeColor="text1"/>
          <w:sz w:val="28"/>
          <w:szCs w:val="28"/>
          <w:highlight w:val="none"/>
          <w14:textFill>
            <w14:solidFill>
              <w14:schemeClr w14:val="tx1"/>
            </w14:solidFill>
          </w14:textFill>
        </w:rPr>
        <w:t>。</w:t>
      </w:r>
    </w:p>
    <w:p w14:paraId="3B51670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（5）财务状况报告等相关材料</w:t>
      </w:r>
    </w:p>
    <w:p w14:paraId="2EADDFA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A.</w:t>
      </w:r>
      <w:r>
        <w:rPr>
          <w:rFonts w:hint="eastAsia"/>
          <w:color w:val="000000" w:themeColor="text1"/>
          <w:highlight w:val="none"/>
          <w14:textFill>
            <w14:solidFill>
              <w14:schemeClr w14:val="tx1"/>
            </w14:solidFill>
          </w14:textFill>
        </w:rPr>
        <w:t xml:space="preserve"> </w:t>
      </w:r>
      <w:r>
        <w:rPr>
          <w:rFonts w:hint="eastAsia" w:ascii="仿宋_GB2312" w:hAnsi="仿宋" w:eastAsia="仿宋_GB2312" w:cs="宋体"/>
          <w:color w:val="000000" w:themeColor="text1"/>
          <w:sz w:val="28"/>
          <w:szCs w:val="28"/>
          <w:highlight w:val="none"/>
          <w14:textFill>
            <w14:solidFill>
              <w14:schemeClr w14:val="tx1"/>
            </w14:solidFill>
          </w14:textFill>
        </w:rPr>
        <w:t>投标人自行编制的2024年度或2025年度公司财务报表或由中介机构出具的2024年或2025年度度财务审计报告书扫描件（</w:t>
      </w: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成立不到一年的，提供自成立时间以来的财务报表即可）；</w:t>
      </w:r>
    </w:p>
    <w:p w14:paraId="5DDFB8D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B.</w:t>
      </w:r>
      <w:r>
        <w:rPr>
          <w:rFonts w:hint="eastAsia" w:ascii="仿宋_GB2312" w:hAnsi="宋体" w:eastAsia="仿宋_GB2312"/>
          <w:color w:val="000000" w:themeColor="text1"/>
          <w:sz w:val="28"/>
          <w:szCs w:val="28"/>
          <w:highlight w:val="none"/>
          <w14:textFill>
            <w14:solidFill>
              <w14:schemeClr w14:val="tx1"/>
            </w14:solidFill>
          </w14:textFill>
        </w:rPr>
        <w:t>银行出具的有效期内的资信证明扫描件</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2DA1FC8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注：A、B两项提供任意一项均可。</w:t>
      </w:r>
    </w:p>
    <w:p w14:paraId="725DF1E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以上证明文件均需加盖投标人签章</w:t>
      </w:r>
    </w:p>
    <w:p w14:paraId="4F9171F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（6）投标人基本情况（格式见本文件第五章）</w:t>
      </w:r>
    </w:p>
    <w:p w14:paraId="63BC233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（7）技术文件，包括但不限于以下内容:</w:t>
      </w:r>
    </w:p>
    <w:p w14:paraId="763CE80A">
      <w:pPr>
        <w:spacing w:line="560" w:lineRule="exact"/>
        <w:ind w:firstLine="562" w:firstLineChars="201"/>
        <w:rPr>
          <w:rFonts w:hint="eastAsia"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①技术响应；</w:t>
      </w:r>
    </w:p>
    <w:p w14:paraId="0F5F1EBA">
      <w:pPr>
        <w:spacing w:line="560" w:lineRule="exact"/>
        <w:ind w:firstLine="562" w:firstLineChars="201"/>
        <w:rPr>
          <w:rFonts w:hint="eastAsia" w:ascii="仿宋_GB2312" w:hAnsi="仿宋" w:eastAsia="仿宋_GB2312" w:cs="宋体"/>
          <w:color w:val="000000" w:themeColor="text1"/>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②</w:t>
      </w:r>
      <w:r>
        <w:rPr>
          <w:rFonts w:hint="eastAsia" w:ascii="仿宋_GB2312" w:hAnsi="仿宋" w:eastAsia="仿宋_GB2312" w:cs="宋体"/>
          <w:color w:val="000000" w:themeColor="text1"/>
          <w:sz w:val="28"/>
          <w:szCs w:val="28"/>
          <w:highlight w:val="none"/>
          <w14:textFill>
            <w14:solidFill>
              <w14:schemeClr w14:val="tx1"/>
            </w14:solidFill>
          </w14:textFill>
        </w:rPr>
        <w:t>制造工艺</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w:t>
      </w:r>
    </w:p>
    <w:p w14:paraId="3D9511D3">
      <w:pPr>
        <w:spacing w:line="560" w:lineRule="exact"/>
        <w:ind w:firstLine="562" w:firstLineChars="201"/>
        <w:rPr>
          <w:rFonts w:hint="eastAsia" w:ascii="仿宋_GB2312" w:hAnsi="仿宋" w:eastAsia="仿宋_GB2312" w:cs="宋体"/>
          <w:color w:val="000000" w:themeColor="text1"/>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③</w:t>
      </w:r>
      <w:r>
        <w:rPr>
          <w:rFonts w:hint="eastAsia" w:ascii="仿宋_GB2312" w:hAnsi="仿宋" w:eastAsia="仿宋_GB2312" w:cs="宋体"/>
          <w:color w:val="000000" w:themeColor="text1"/>
          <w:sz w:val="28"/>
          <w:szCs w:val="28"/>
          <w:highlight w:val="none"/>
          <w14:textFill>
            <w14:solidFill>
              <w14:schemeClr w14:val="tx1"/>
            </w14:solidFill>
          </w14:textFill>
        </w:rPr>
        <w:t>质量保证</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w:t>
      </w:r>
    </w:p>
    <w:p w14:paraId="319575E2">
      <w:pPr>
        <w:spacing w:line="560" w:lineRule="exact"/>
        <w:ind w:firstLine="562" w:firstLineChars="201"/>
        <w:rPr>
          <w:rFonts w:hint="eastAsia" w:ascii="仿宋_GB2312" w:hAnsi="仿宋" w:eastAsia="仿宋_GB2312" w:cs="宋体"/>
          <w:color w:val="000000" w:themeColor="text1"/>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④</w:t>
      </w:r>
      <w:r>
        <w:rPr>
          <w:rFonts w:hint="eastAsia" w:ascii="仿宋_GB2312" w:hAnsi="仿宋" w:eastAsia="仿宋_GB2312" w:cs="宋体"/>
          <w:color w:val="000000" w:themeColor="text1"/>
          <w:sz w:val="28"/>
          <w:szCs w:val="28"/>
          <w:highlight w:val="none"/>
          <w14:textFill>
            <w14:solidFill>
              <w14:schemeClr w14:val="tx1"/>
            </w14:solidFill>
          </w14:textFill>
        </w:rPr>
        <w:t>供货安装调试方案</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w:t>
      </w:r>
    </w:p>
    <w:p w14:paraId="26B289D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⑤</w:t>
      </w:r>
      <w:r>
        <w:rPr>
          <w:rFonts w:hint="eastAsia" w:ascii="仿宋_GB2312" w:hAnsi="仿宋" w:eastAsia="仿宋_GB2312" w:cs="宋体"/>
          <w:color w:val="000000" w:themeColor="text1"/>
          <w:sz w:val="28"/>
          <w:szCs w:val="28"/>
          <w:highlight w:val="none"/>
          <w14:textFill>
            <w14:solidFill>
              <w14:schemeClr w14:val="tx1"/>
            </w14:solidFill>
          </w14:textFill>
        </w:rPr>
        <w:t>售后服务</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w:t>
      </w:r>
    </w:p>
    <w:p w14:paraId="06ADF12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⑥</w:t>
      </w:r>
      <w:r>
        <w:rPr>
          <w:rFonts w:hint="eastAsia" w:ascii="仿宋_GB2312" w:hAnsi="仿宋" w:eastAsia="仿宋_GB2312" w:cs="宋体"/>
          <w:color w:val="000000" w:themeColor="text1"/>
          <w:sz w:val="28"/>
          <w:szCs w:val="28"/>
          <w:highlight w:val="none"/>
          <w14:textFill>
            <w14:solidFill>
              <w14:schemeClr w14:val="tx1"/>
            </w14:solidFill>
          </w14:textFill>
        </w:rPr>
        <w:t>根据招标文件第四部分采购项目说明提供的技术文件；</w:t>
      </w:r>
    </w:p>
    <w:p w14:paraId="2115969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⑦</w:t>
      </w:r>
      <w:r>
        <w:rPr>
          <w:rFonts w:hint="eastAsia" w:ascii="仿宋_GB2312" w:hAnsi="仿宋" w:eastAsia="仿宋_GB2312" w:cs="宋体"/>
          <w:color w:val="000000" w:themeColor="text1"/>
          <w:sz w:val="28"/>
          <w:szCs w:val="28"/>
          <w:highlight w:val="none"/>
          <w14:textFill>
            <w14:solidFill>
              <w14:schemeClr w14:val="tx1"/>
            </w14:solidFill>
          </w14:textFill>
        </w:rPr>
        <w:t>根据招标文件评标标准要求提供的相关技术文件。</w:t>
      </w:r>
    </w:p>
    <w:p w14:paraId="3CF8E72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（8）投标人2023年至今类似项目业绩；</w:t>
      </w:r>
    </w:p>
    <w:p w14:paraId="4ABC674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（9）要求采购人提供的配合；</w:t>
      </w:r>
    </w:p>
    <w:p w14:paraId="7EAA76F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8.2数据文件（PDF格式）（第二册）</w:t>
      </w:r>
    </w:p>
    <w:p w14:paraId="227B339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。数据文件（PDF格式）包含下列内容：</w:t>
      </w:r>
    </w:p>
    <w:p w14:paraId="3D055A8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（1）封面</w:t>
      </w:r>
    </w:p>
    <w:p w14:paraId="5A35139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（2）投标报价表（含明细）</w:t>
      </w:r>
    </w:p>
    <w:p w14:paraId="2AC6A59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（3）需求响应表（如有）</w:t>
      </w:r>
    </w:p>
    <w:p w14:paraId="1C4F0515">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9.投标报价</w:t>
      </w:r>
    </w:p>
    <w:p w14:paraId="6753E3D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9.1投标人所提供的服务均以人民币报价，精确到小数点后两位。</w:t>
      </w:r>
    </w:p>
    <w:p w14:paraId="475993E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9.2投标人应按照“第三部分采购内容与要求”的服务内容、责任范围以及合同条款进行报价。并按数据文件中“投标报价表（含明细）”规定的格式报出分项价格和总价。</w:t>
      </w:r>
    </w:p>
    <w:p w14:paraId="0E523D4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22FCA05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9.4《投标报价表（含明细）》填写时应响应下列要求：</w:t>
      </w:r>
    </w:p>
    <w:p w14:paraId="1C59FB4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55DEDD8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（2）投标人应对本次招标的全部内容以</w:t>
      </w: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包为单位</w:t>
      </w:r>
      <w:r>
        <w:rPr>
          <w:rFonts w:hint="eastAsia" w:ascii="仿宋_GB2312" w:hAnsi="仿宋" w:eastAsia="仿宋_GB2312" w:cs="宋体"/>
          <w:color w:val="000000" w:themeColor="text1"/>
          <w:sz w:val="28"/>
          <w:szCs w:val="28"/>
          <w:highlight w:val="none"/>
          <w14:textFill>
            <w14:solidFill>
              <w14:schemeClr w14:val="tx1"/>
            </w14:solidFill>
          </w14:textFill>
        </w:rPr>
        <w:t>进行报价，</w:t>
      </w: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各包报价</w:t>
      </w:r>
      <w:r>
        <w:rPr>
          <w:rFonts w:hint="eastAsia" w:ascii="仿宋_GB2312" w:hAnsi="仿宋" w:eastAsia="仿宋_GB2312" w:cs="宋体"/>
          <w:color w:val="000000" w:themeColor="text1"/>
          <w:sz w:val="28"/>
          <w:szCs w:val="28"/>
          <w:highlight w:val="none"/>
          <w14:textFill>
            <w14:solidFill>
              <w14:schemeClr w14:val="tx1"/>
            </w14:solidFill>
          </w14:textFill>
        </w:rPr>
        <w:t>包括车辆、设备材料、车辆购置税、保险费</w:t>
      </w:r>
      <w:r>
        <w:rPr>
          <w:rFonts w:hint="eastAsia" w:ascii="仿宋_GB2312" w:hAnsi="仿宋" w:eastAsia="仿宋_GB2312" w:cs="宋体"/>
          <w:color w:val="000000" w:themeColor="text1"/>
          <w:sz w:val="28"/>
          <w:szCs w:val="28"/>
          <w:highlight w:val="none"/>
          <w:lang w:eastAsia="zh-CN"/>
          <w14:textFill>
            <w14:solidFill>
              <w14:schemeClr w14:val="tx1"/>
            </w14:solidFill>
          </w14:textFill>
        </w:rPr>
        <w:t>（包含交强险，车船使用税，商业险含车损，第三者责任险不低于200万元）</w:t>
      </w:r>
      <w:r>
        <w:rPr>
          <w:rFonts w:hint="eastAsia" w:ascii="仿宋_GB2312" w:hAnsi="仿宋" w:eastAsia="仿宋_GB2312" w:cs="宋体"/>
          <w:color w:val="000000" w:themeColor="text1"/>
          <w:sz w:val="28"/>
          <w:szCs w:val="28"/>
          <w:highlight w:val="none"/>
          <w14:textFill>
            <w14:solidFill>
              <w14:schemeClr w14:val="tx1"/>
            </w14:solidFill>
          </w14:textFill>
        </w:rPr>
        <w:t>、</w:t>
      </w:r>
      <w:r>
        <w:rPr>
          <w:rFonts w:hint="eastAsia" w:ascii="仿宋_GB2312" w:hAnsi="仿宋" w:eastAsia="仿宋_GB2312" w:cs="宋体"/>
          <w:color w:val="000000" w:themeColor="text1"/>
          <w:sz w:val="28"/>
          <w:szCs w:val="28"/>
          <w:highlight w:val="none"/>
          <w:lang w:val="en-US" w:eastAsia="zh-CN"/>
          <w14:textFill>
            <w14:solidFill>
              <w14:schemeClr w14:val="tx1"/>
            </w14:solidFill>
          </w14:textFill>
        </w:rPr>
        <w:t>挂</w:t>
      </w:r>
      <w:r>
        <w:rPr>
          <w:rFonts w:hint="eastAsia" w:ascii="仿宋_GB2312" w:hAnsi="仿宋" w:eastAsia="仿宋_GB2312" w:cs="宋体"/>
          <w:color w:val="000000" w:themeColor="text1"/>
          <w:sz w:val="28"/>
          <w:szCs w:val="28"/>
          <w:highlight w:val="none"/>
          <w14:textFill>
            <w14:solidFill>
              <w14:schemeClr w14:val="tx1"/>
            </w14:solidFill>
          </w14:textFill>
        </w:rPr>
        <w:t>牌费、运杂费、安装调试、售后服务、培训服务及国家规定的各项税费，以人民币为结算单位，投标报价中免费提供的项目，应注明免费。</w:t>
      </w:r>
    </w:p>
    <w:p w14:paraId="54847BF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2550C81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（4）投标人须严格按照报价明细表说明进行填写，报价明细表中 “*”是必填项，任何必填项为空时都可能导致本次投标无效。</w:t>
      </w:r>
    </w:p>
    <w:p w14:paraId="4E26FB6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（5）《投标报价表（含明细）》中“投标产品的型号”，型号填写的一般规则为：品牌+产品型号。否则会因非实质性响应而被拒绝；</w:t>
      </w:r>
    </w:p>
    <w:p w14:paraId="78184E9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（6）《投标报价表（含明细）》中合价将由单价*数量自动计算，无需手工录入。</w:t>
      </w:r>
    </w:p>
    <w:p w14:paraId="43B0D0D1">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w:t>
      </w:r>
      <w:r>
        <w:rPr>
          <w:rFonts w:ascii="仿宋_GB2312" w:hAnsi="仿宋" w:eastAsia="仿宋_GB2312" w:cs="宋体"/>
          <w:color w:val="000000" w:themeColor="text1"/>
          <w:sz w:val="28"/>
          <w:szCs w:val="28"/>
          <w:highlight w:val="none"/>
          <w14:textFill>
            <w14:solidFill>
              <w14:schemeClr w14:val="tx1"/>
            </w14:solidFill>
          </w14:textFill>
        </w:rPr>
        <w:t>.5《需求响应表</w:t>
      </w:r>
      <w:r>
        <w:rPr>
          <w:rFonts w:hint="eastAsia" w:ascii="仿宋_GB2312" w:hAnsi="仿宋" w:eastAsia="仿宋_GB2312" w:cs="宋体"/>
          <w:color w:val="000000" w:themeColor="text1"/>
          <w:sz w:val="28"/>
          <w:szCs w:val="28"/>
          <w:highlight w:val="none"/>
          <w14:textFill>
            <w14:solidFill>
              <w14:schemeClr w14:val="tx1"/>
            </w14:solidFill>
          </w14:textFill>
        </w:rPr>
        <w:t>》</w:t>
      </w:r>
      <w:r>
        <w:rPr>
          <w:rFonts w:ascii="仿宋_GB2312" w:hAnsi="仿宋" w:eastAsia="仿宋_GB2312" w:cs="宋体"/>
          <w:color w:val="000000" w:themeColor="text1"/>
          <w:sz w:val="28"/>
          <w:szCs w:val="28"/>
          <w:highlight w:val="none"/>
          <w14:textFill>
            <w14:solidFill>
              <w14:schemeClr w14:val="tx1"/>
            </w14:solidFill>
          </w14:textFill>
        </w:rPr>
        <w:t>（如有）填写时应响应下列要求：</w:t>
      </w:r>
    </w:p>
    <w:p w14:paraId="4D38CCB6">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（1）有底色标识的单元格须填写，有“*”的列是必输项，任何必输项为空都可能导致您的本次投标（响应）无效；</w:t>
      </w:r>
    </w:p>
    <w:p w14:paraId="56635D62">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506543AB">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（3）当招标需求列的内容显示不完整时，请点击编辑栏进行查看；</w:t>
      </w:r>
    </w:p>
    <w:p w14:paraId="32A6FFD7">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highlight w:val="none"/>
          <w14:textFill>
            <w14:solidFill>
              <w14:schemeClr w14:val="tx1"/>
            </w14:solidFill>
          </w14:textFill>
        </w:rPr>
        <w:t>无效投标（响应）处理</w:t>
      </w:r>
      <w:r>
        <w:rPr>
          <w:rFonts w:ascii="仿宋_GB2312" w:hAnsi="仿宋" w:eastAsia="仿宋_GB2312" w:cs="宋体"/>
          <w:color w:val="000000" w:themeColor="text1"/>
          <w:sz w:val="28"/>
          <w:szCs w:val="28"/>
          <w:highlight w:val="none"/>
          <w14:textFill>
            <w14:solidFill>
              <w14:schemeClr w14:val="tx1"/>
            </w14:solidFill>
          </w14:textFill>
        </w:rPr>
        <w:t>。</w:t>
      </w:r>
    </w:p>
    <w:p w14:paraId="6E8E11C9">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（5）按照该表显示位置加盖一个电子印章；</w:t>
      </w:r>
    </w:p>
    <w:p w14:paraId="33E90999">
      <w:pPr>
        <w:spacing w:line="560" w:lineRule="exact"/>
        <w:ind w:firstLine="560" w:firstLineChars="200"/>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highlight w:val="none"/>
          <w14:textFill>
            <w14:solidFill>
              <w14:schemeClr w14:val="tx1"/>
            </w14:solidFill>
          </w14:textFill>
        </w:rPr>
        <w:t>无效投标（</w:t>
      </w:r>
      <w:r>
        <w:rPr>
          <w:rFonts w:hint="eastAsia" w:ascii="仿宋_GB2312" w:hAnsi="仿宋" w:eastAsia="仿宋_GB2312" w:cs="宋体"/>
          <w:b/>
          <w:color w:val="000000" w:themeColor="text1"/>
          <w:sz w:val="28"/>
          <w:szCs w:val="28"/>
          <w:highlight w:val="none"/>
          <w14:textFill>
            <w14:solidFill>
              <w14:schemeClr w14:val="tx1"/>
            </w14:solidFill>
          </w14:textFill>
        </w:rPr>
        <w:t>响应</w:t>
      </w:r>
      <w:r>
        <w:rPr>
          <w:rFonts w:ascii="仿宋_GB2312" w:hAnsi="仿宋" w:eastAsia="仿宋_GB2312" w:cs="宋体"/>
          <w:b/>
          <w:color w:val="000000" w:themeColor="text1"/>
          <w:sz w:val="28"/>
          <w:szCs w:val="28"/>
          <w:highlight w:val="none"/>
          <w14:textFill>
            <w14:solidFill>
              <w14:schemeClr w14:val="tx1"/>
            </w14:solidFill>
          </w14:textFill>
        </w:rPr>
        <w:t>）</w:t>
      </w:r>
      <w:r>
        <w:rPr>
          <w:rFonts w:ascii="仿宋_GB2312" w:hAnsi="仿宋" w:eastAsia="仿宋_GB2312" w:cs="宋体"/>
          <w:color w:val="000000" w:themeColor="text1"/>
          <w:sz w:val="28"/>
          <w:szCs w:val="28"/>
          <w:highlight w:val="none"/>
          <w14:textFill>
            <w14:solidFill>
              <w14:schemeClr w14:val="tx1"/>
            </w14:solidFill>
          </w14:textFill>
        </w:rPr>
        <w:t>；</w:t>
      </w:r>
    </w:p>
    <w:p w14:paraId="3560018D">
      <w:pPr>
        <w:snapToGrid w:val="0"/>
        <w:spacing w:line="560" w:lineRule="exact"/>
        <w:ind w:firstLine="562" w:firstLineChars="201"/>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9.6</w:t>
      </w:r>
      <w:r>
        <w:rPr>
          <w:rFonts w:hint="eastAsia" w:ascii="仿宋_GB2312" w:hAnsi="宋体" w:eastAsia="仿宋_GB2312"/>
          <w:color w:val="000000" w:themeColor="text1"/>
          <w:sz w:val="28"/>
          <w:szCs w:val="28"/>
          <w:highlight w:val="none"/>
          <w14:textFill>
            <w14:solidFill>
              <w14:schemeClr w14:val="tx1"/>
            </w14:solidFill>
          </w14:textFill>
        </w:rPr>
        <w:t>投标人的报价在合同执行过程中是固定不变的，不得以任何理由改变。所有价格折扣、优惠条件必须在报价明细表中注明，否则评审时不予认可。</w:t>
      </w:r>
    </w:p>
    <w:p w14:paraId="75F4D749">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10.联合体投标</w:t>
      </w:r>
    </w:p>
    <w:p w14:paraId="0DFC0C2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两个以上的自然人、法人或者其他组织可以组成一个联合体，以一个投标人的身份共同参加投标。</w:t>
      </w:r>
    </w:p>
    <w:p w14:paraId="2F3FE61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10.1以联合体形式进行投标的，应当提交联合协议，载明联合体各方承担的工作和义务。联合体各方应当共同与采购人签订采购合同，就采购合同约定的事项对采购人承担连带责任。</w:t>
      </w:r>
    </w:p>
    <w:p w14:paraId="04AA489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10.2联合体中有同类资质的</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按照联合体分工承担相同工作的，应当按照资质等级较低的</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确定资质等级。</w:t>
      </w:r>
    </w:p>
    <w:p w14:paraId="53AFD5E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56241EF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10.4以联合体形式参加采购活动的，联合体各方不得再单独参加或者与其他</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另外组成联合体参加同一合同项下的采购活动。</w:t>
      </w:r>
    </w:p>
    <w:p w14:paraId="4D0515B9">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本项目是否接受联合体投标详见《投标须知前附表》。</w:t>
      </w:r>
    </w:p>
    <w:p w14:paraId="1105F983">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11.关于分包</w:t>
      </w:r>
    </w:p>
    <w:p w14:paraId="5EC4D0D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11.1供应商拟将成交项目的非主体、非关键性工作分包的，应当在响应文件中载明分包承担主体，分包承担主体应当具备相应资质条件且不得再次分包。</w:t>
      </w:r>
    </w:p>
    <w:p w14:paraId="094B62F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11.2供应商应当就分包项目向采购人负责，分包承担主体就分包项目承担责任。</w:t>
      </w:r>
    </w:p>
    <w:p w14:paraId="45E29E05">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12.现场踏勘</w:t>
      </w:r>
    </w:p>
    <w:p w14:paraId="5EE6BF2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12.1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0B4C67C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12.2投标人及其人员经过采购人的允许，可以踏勘目的进入采购单位的项目现场。若本项目招标文件要求投标人于统一时间地点踏勘现场的，投标人应当按时前往。</w:t>
      </w:r>
    </w:p>
    <w:p w14:paraId="7D055D1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7271F7A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12.4未参与现场踏勘不作为否定投标人资格的理由。</w:t>
      </w:r>
    </w:p>
    <w:p w14:paraId="581EB577">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本项目是否组织现场踏勘详见《投标须知前附表》</w:t>
      </w:r>
    </w:p>
    <w:p w14:paraId="4C7FF541">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13.投标的有效期</w:t>
      </w:r>
    </w:p>
    <w:p w14:paraId="493DCAA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13.1从开标之日起，投标有效期为90天。投标有效期短于90天的，其投标为无效投标（响应）。</w:t>
      </w:r>
    </w:p>
    <w:p w14:paraId="7D8879D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13.2特殊情况下，在投标有效期满之前，</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可以要求投标人延长投标有效期，投标人可以书面形式拒绝或接受上述要求。同意延长投标有效期的投标人不得修改投标文件的实质性内容。</w:t>
      </w:r>
    </w:p>
    <w:p w14:paraId="54A81834">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14.履约保证金的交纳与返还</w:t>
      </w:r>
    </w:p>
    <w:p w14:paraId="044DD42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本项目不收取履约保证金。</w:t>
      </w:r>
    </w:p>
    <w:p w14:paraId="47378436">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15.投标文件的数量和签署</w:t>
      </w:r>
    </w:p>
    <w:p w14:paraId="31B37E3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15.1投标文件（pdf格式）（第一册）1份</w:t>
      </w:r>
    </w:p>
    <w:p w14:paraId="237CFA5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15.1.1投标人应使用带电子签章功能的CA锁对投标文件须盖章或签名的部位加盖电子印章（单位电子公章、法定代表人（依法登记的负责人）电子人名章），电子印章与实物印章具有同等法律效力。</w:t>
      </w:r>
    </w:p>
    <w:p w14:paraId="04F33F6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797951E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15.1.3文件中要求法定代表人（依法登记的负责人）签字或签章的须加盖法定代表人（依法登记的负责人）电子人名章。</w:t>
      </w:r>
    </w:p>
    <w:p w14:paraId="45F993AE">
      <w:pPr>
        <w:snapToGrid w:val="0"/>
        <w:spacing w:line="560" w:lineRule="exact"/>
        <w:ind w:firstLine="562" w:firstLineChars="201"/>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15.1.4</w:t>
      </w:r>
      <w:r>
        <w:rPr>
          <w:rFonts w:hint="eastAsia" w:ascii="仿宋_GB2312" w:hAnsi="宋体" w:eastAsia="仿宋_GB2312"/>
          <w:color w:val="000000" w:themeColor="text1"/>
          <w:sz w:val="28"/>
          <w:szCs w:val="28"/>
          <w:highlight w:val="none"/>
          <w14:textFill>
            <w14:solidFill>
              <w14:schemeClr w14:val="tx1"/>
            </w14:solidFill>
          </w14:textFill>
        </w:rPr>
        <w:t>须被授权人签字的，被授权人又无电子章，在word编制时可将被授权人手写签字扫描后的图片粘贴到投标文件中对应位置，并加盖单位电子公章。</w:t>
      </w:r>
    </w:p>
    <w:p w14:paraId="6791C2C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15.1.5</w:t>
      </w:r>
      <w:r>
        <w:rPr>
          <w:rFonts w:hint="eastAsia" w:ascii="仿宋_GB2312" w:hAnsi="宋体" w:eastAsia="仿宋_GB2312"/>
          <w:color w:val="000000" w:themeColor="text1"/>
          <w:sz w:val="28"/>
          <w:szCs w:val="28"/>
          <w:highlight w:val="none"/>
          <w14:textFill>
            <w14:solidFill>
              <w14:schemeClr w14:val="tx1"/>
            </w14:solidFill>
          </w14:textFill>
        </w:rPr>
        <w:t>可使用系统的批量盖章功能快速签章。但须逐页浏览检查并注意印章重叠及完整性。</w:t>
      </w:r>
    </w:p>
    <w:p w14:paraId="0B0E769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15.1.6采用扫描粘贴投标人公章或扫描法定代表人（依法登记的负责人）人名章而不加盖单位电子公章的为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27DE761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15.2数据文件（PDF格式）（第二册）1份</w:t>
      </w:r>
    </w:p>
    <w:p w14:paraId="6C1112A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AE99EB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15.2.2</w:t>
      </w:r>
      <w:r>
        <w:rPr>
          <w:rFonts w:hint="eastAsia" w:ascii="仿宋_GB2312" w:hAnsi="宋体" w:eastAsia="仿宋_GB2312"/>
          <w:color w:val="000000" w:themeColor="text1"/>
          <w:sz w:val="28"/>
          <w:szCs w:val="28"/>
          <w:highlight w:val="none"/>
          <w14:textFill>
            <w14:solidFill>
              <w14:schemeClr w14:val="tx1"/>
            </w14:solidFill>
          </w14:textFill>
        </w:rPr>
        <w:t>文件中要求法定代表人（依法登记的负责人）签字或签章的须加盖法定代表人（依法登记的负责人）电子人名章。</w:t>
      </w:r>
    </w:p>
    <w:p w14:paraId="5540E12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15.2.3采用扫描粘贴投标人公章或法定代表人（依法登记的负责人）人名章的为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269F0031">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四、投标文件的递交</w:t>
      </w:r>
    </w:p>
    <w:p w14:paraId="1459939D">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16.投标文件的密封和标记</w:t>
      </w:r>
    </w:p>
    <w:p w14:paraId="437C05C3">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16.1电子投标文件的密封和标记</w:t>
      </w:r>
    </w:p>
    <w:p w14:paraId="594D457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5DD79E6">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16.2资质证明文件原件的密封和标记</w:t>
      </w:r>
    </w:p>
    <w:p w14:paraId="44782BA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highlight w:val="none"/>
          <w14:textFill>
            <w14:solidFill>
              <w14:schemeClr w14:val="tx1"/>
            </w14:solidFill>
          </w14:textFill>
        </w:rPr>
        <w:t>开标时间</w:t>
      </w:r>
      <w:r>
        <w:rPr>
          <w:rFonts w:hint="eastAsia" w:ascii="仿宋_GB2312" w:hAnsi="仿宋" w:eastAsia="仿宋_GB2312" w:cs="宋体"/>
          <w:color w:val="000000" w:themeColor="text1"/>
          <w:sz w:val="28"/>
          <w:szCs w:val="28"/>
          <w:highlight w:val="none"/>
          <w14:textFill>
            <w14:solidFill>
              <w14:schemeClr w14:val="tx1"/>
            </w14:solidFill>
          </w14:textFill>
        </w:rPr>
        <w:t xml:space="preserve">）的字样。加盖公章或由法定代表人（依法登记的负责人）或经其正式授权的代表在旁边签字。 </w:t>
      </w:r>
    </w:p>
    <w:p w14:paraId="61A4111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16.2.2投标人按上述规定进行密封和标记后，按照招标文件的要求送达指定地点。</w:t>
      </w:r>
    </w:p>
    <w:p w14:paraId="6F7A11C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16.2.3如果未按上述规定进行密封和标记，</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对误投或提前启封概不负责。</w:t>
      </w:r>
    </w:p>
    <w:p w14:paraId="4C7EF3D3">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16.3文件递交</w:t>
      </w:r>
    </w:p>
    <w:p w14:paraId="2F805F3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highlight w:val="none"/>
          <w14:textFill>
            <w14:solidFill>
              <w14:schemeClr w14:val="tx1"/>
            </w14:solidFill>
          </w14:textFill>
        </w:rPr>
        <w:t>其投标将会被判定为无效。</w:t>
      </w:r>
    </w:p>
    <w:p w14:paraId="44191593">
      <w:pPr>
        <w:spacing w:line="560" w:lineRule="exact"/>
        <w:ind w:firstLine="565"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16.3.2投标人须牢记投标加密密码，该密码将用于开标时解密其电子投标文件，如忘记密码或输入错误密码超过5次，其递交的电子投标文件将无法解密，导致无法提取数据和供他人阅读文件，致使其投标失败。</w:t>
      </w:r>
    </w:p>
    <w:p w14:paraId="3D3DC63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16.3.3除投标须知前附表另有规定外，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拒绝接收纸质投标文件。</w:t>
      </w:r>
    </w:p>
    <w:p w14:paraId="52DFB80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16.3.4投标人应将网上递交的已盖章未加密的数据文件和投标文件谨慎保存备份，以便启动应急开标程序时备案使用。</w:t>
      </w:r>
    </w:p>
    <w:p w14:paraId="7C2F5C60">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17.投标截止期</w:t>
      </w:r>
    </w:p>
    <w:p w14:paraId="19289F87">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本次招标的投标截止期见《投标须知前附表》。</w:t>
      </w:r>
    </w:p>
    <w:p w14:paraId="5F1D539C">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18.迟交的投标文件</w:t>
      </w:r>
    </w:p>
    <w:p w14:paraId="7FA4BFB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威海市国有企业阳光采购电子化服务平台无法接收投标截止期后递交的电子投标文件。</w:t>
      </w:r>
    </w:p>
    <w:p w14:paraId="290564FA">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19.</w:t>
      </w:r>
      <w:r>
        <w:rPr>
          <w:rFonts w:hint="eastAsia" w:ascii="楷体_GB2312" w:hAnsi="宋体" w:eastAsia="楷体_GB2312"/>
          <w:b/>
          <w:color w:val="000000" w:themeColor="text1"/>
          <w:sz w:val="28"/>
          <w:szCs w:val="28"/>
          <w:highlight w:val="none"/>
          <w14:textFill>
            <w14:solidFill>
              <w14:schemeClr w14:val="tx1"/>
            </w14:solidFill>
          </w14:textFill>
        </w:rPr>
        <w:t>现场演示</w:t>
      </w:r>
      <w:r>
        <w:rPr>
          <w:rFonts w:ascii="楷体_GB2312" w:hAnsi="宋体" w:eastAsia="楷体_GB2312"/>
          <w:b/>
          <w:color w:val="000000" w:themeColor="text1"/>
          <w:sz w:val="28"/>
          <w:szCs w:val="28"/>
          <w:highlight w:val="none"/>
          <w14:textFill>
            <w14:solidFill>
              <w14:schemeClr w14:val="tx1"/>
            </w14:solidFill>
          </w14:textFill>
        </w:rPr>
        <w:t>/</w:t>
      </w:r>
      <w:r>
        <w:rPr>
          <w:rFonts w:hint="eastAsia" w:ascii="楷体_GB2312" w:hAnsi="宋体" w:eastAsia="楷体_GB2312"/>
          <w:b/>
          <w:color w:val="000000" w:themeColor="text1"/>
          <w:sz w:val="28"/>
          <w:szCs w:val="28"/>
          <w:highlight w:val="none"/>
          <w14:textFill>
            <w14:solidFill>
              <w14:schemeClr w14:val="tx1"/>
            </w14:solidFill>
          </w14:textFill>
        </w:rPr>
        <w:t>样品递交</w:t>
      </w:r>
    </w:p>
    <w:p w14:paraId="3FDC734A">
      <w:pPr>
        <w:snapToGrid w:val="0"/>
        <w:spacing w:line="560" w:lineRule="exact"/>
        <w:ind w:firstLine="562" w:firstLineChars="201"/>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19.1采购人可以要求投标人对其提供的信息化、自动化等相关类别服务进行演示。</w:t>
      </w:r>
    </w:p>
    <w:p w14:paraId="2D0B4CED">
      <w:pPr>
        <w:snapToGrid w:val="0"/>
        <w:spacing w:line="560" w:lineRule="exact"/>
        <w:ind w:firstLine="562" w:firstLineChars="201"/>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19.2若服务项目涉及货物时，采购人可以要求投标人提供样品，样品作为响应文件的一部分。未中标供应商提供的样品将于评审结束后退还。中标人的样品由采购人保留，作为验收的参考。</w:t>
      </w:r>
    </w:p>
    <w:p w14:paraId="07D806ED">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是否要求投标人</w:t>
      </w:r>
      <w:r>
        <w:rPr>
          <w:rFonts w:hint="eastAsia" w:ascii="仿宋_GB2312" w:hAnsi="宋体" w:eastAsia="仿宋_GB2312"/>
          <w:b/>
          <w:color w:val="000000" w:themeColor="text1"/>
          <w:sz w:val="28"/>
          <w:szCs w:val="28"/>
          <w:highlight w:val="none"/>
          <w14:textFill>
            <w14:solidFill>
              <w14:schemeClr w14:val="tx1"/>
            </w14:solidFill>
          </w14:textFill>
        </w:rPr>
        <w:t>提供演示/提交样品</w:t>
      </w:r>
      <w:r>
        <w:rPr>
          <w:rFonts w:hint="eastAsia" w:ascii="仿宋_GB2312" w:hAnsi="仿宋" w:eastAsia="仿宋_GB2312" w:cs="宋体"/>
          <w:b/>
          <w:color w:val="000000" w:themeColor="text1"/>
          <w:sz w:val="28"/>
          <w:szCs w:val="28"/>
          <w:highlight w:val="none"/>
          <w14:textFill>
            <w14:solidFill>
              <w14:schemeClr w14:val="tx1"/>
            </w14:solidFill>
          </w14:textFill>
        </w:rPr>
        <w:t>，详见招标文件《投标须知前附表》的有关规定。</w:t>
      </w:r>
    </w:p>
    <w:p w14:paraId="54F9865E">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20.投标文件的修改和撤回</w:t>
      </w:r>
    </w:p>
    <w:p w14:paraId="08BF8C1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20.1投标人必须在规定的投标截止期之前将修改的投标文件和数据文件上传到威海市国有企业阳光采购电子化服务平台,在投标截止期之后，投标人不得对其投标文件做任何修改。</w:t>
      </w:r>
    </w:p>
    <w:p w14:paraId="17AEFB0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20.2投标人在递交投标文件后，可以在投标截止期之前撤回其投标。</w:t>
      </w:r>
    </w:p>
    <w:p w14:paraId="017641A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20.3开标后不允许对投标文件做实质性修改和补充，不得撤回投标文件。</w:t>
      </w:r>
    </w:p>
    <w:p w14:paraId="31A8A4A1">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五、开标与评审</w:t>
      </w:r>
    </w:p>
    <w:p w14:paraId="383E585B">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21.开标</w:t>
      </w:r>
    </w:p>
    <w:p w14:paraId="2CC3265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21.1投标截止时间结束后，投标人不足3家的不得开标。</w:t>
      </w:r>
    </w:p>
    <w:p w14:paraId="6290916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21.2</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2E8C96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21.3现场开标和远程开标的投标人代表应在签到表格相应位置上加盖CA锁中的法定代表人（依法登记的负责人）电子人名章以证明其出席，在开标时间前未完成签到的将会被</w:t>
      </w:r>
      <w:r>
        <w:rPr>
          <w:rFonts w:hint="eastAsia" w:ascii="仿宋_GB2312" w:hAnsi="仿宋" w:eastAsia="仿宋_GB2312" w:cs="宋体"/>
          <w:b/>
          <w:color w:val="000000" w:themeColor="text1"/>
          <w:sz w:val="28"/>
          <w:szCs w:val="28"/>
          <w:highlight w:val="none"/>
          <w14:textFill>
            <w14:solidFill>
              <w14:schemeClr w14:val="tx1"/>
            </w14:solidFill>
          </w14:textFill>
        </w:rPr>
        <w:t>视作</w:t>
      </w:r>
      <w:r>
        <w:rPr>
          <w:rFonts w:hint="eastAsia" w:ascii="仿宋_GB2312" w:hAnsi="仿宋" w:eastAsia="仿宋_GB2312" w:cs="宋体"/>
          <w:color w:val="000000" w:themeColor="text1"/>
          <w:sz w:val="28"/>
          <w:szCs w:val="28"/>
          <w:highlight w:val="none"/>
          <w14:textFill>
            <w14:solidFill>
              <w14:schemeClr w14:val="tx1"/>
            </w14:solidFill>
          </w14:textFill>
        </w:rPr>
        <w:t>认同开标结果。</w:t>
      </w:r>
    </w:p>
    <w:p w14:paraId="3F72CA8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4156FBE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21.5开标过程应当由采购人或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负责记录，最终形成开标一览表并由各投标人代表和相关工作人员签字或盖章确认。</w:t>
      </w:r>
    </w:p>
    <w:p w14:paraId="500D144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21.6投标人代表对开标过程和开标记录有疑义，以及认为采购人、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相关工作人员有需要回避的情形的，应当场提出询问或者回避申请。采购人、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对投标人代表提出的询问或者回避申请应当及时处理。</w:t>
      </w:r>
    </w:p>
    <w:p w14:paraId="74B7785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21.7录音、录像：威海市公共资源交易中心荣成分中心负责从递交投标文件开始到定标结束全过程的录音、录像工作，确保声音清楚、图像清晰、内容无遗漏。</w:t>
      </w:r>
    </w:p>
    <w:p w14:paraId="657D378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21.8评审过程中，如遇特殊情况，服从公共资源交易中心场地调配，并遵守相关规章制度。</w:t>
      </w:r>
    </w:p>
    <w:p w14:paraId="7FA4997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21.9对投标文件报价出现前后不一致的，按以下规定修正：</w:t>
      </w:r>
    </w:p>
    <w:p w14:paraId="15E076B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（1）“投标（报价）一览表”的报价与“报价明细表”的报价不一致的，以“投标（报价）一览表”的报价为准；</w:t>
      </w:r>
    </w:p>
    <w:p w14:paraId="6EB34B4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（2）大写金额和小写金额不一致的，以大写金额为准；</w:t>
      </w:r>
    </w:p>
    <w:p w14:paraId="7CB777E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6771B83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（4）总价金额与按单价汇总金额不一致的，以单价金额计算结果为准。</w:t>
      </w:r>
    </w:p>
    <w:p w14:paraId="50143D8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30E203A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21.10开标程序</w:t>
      </w:r>
    </w:p>
    <w:p w14:paraId="7551505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21.10.1签到：在投标须知前附表规定的时间完成签到。</w:t>
      </w:r>
    </w:p>
    <w:p w14:paraId="7F9D2A0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21.10.2开标：工作人员在投标须知前附表规定的开标时间启动开标。</w:t>
      </w:r>
    </w:p>
    <w:p w14:paraId="1CDCADD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21.10.3解密：开标后工作人员启动开始解密指令，投标人开始输入解密密码，解密时间到后工作人员启动停止解密指令。</w:t>
      </w:r>
    </w:p>
    <w:p w14:paraId="454BDE9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4E8C0EB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21.10.5投标人可使用电子交易系统“网上开标”中的“看直播”功能参与开标程序。</w:t>
      </w:r>
    </w:p>
    <w:p w14:paraId="20E67E3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21.11应急开标程序</w:t>
      </w:r>
    </w:p>
    <w:p w14:paraId="2AFF9E4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电子开标过程中如出现下列情况，导致系统无法正常运行，或者无法保证开标过程的公平、公正和信息安全时，经与行政监督部门沟通后可启动应急开标程序。</w:t>
      </w:r>
    </w:p>
    <w:p w14:paraId="14D0DD4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（1）系统服务器发生故障，无法访问或无法使用系统；</w:t>
      </w:r>
    </w:p>
    <w:p w14:paraId="23CEECB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（2）系统的软件或数据库出现错误，不能进行正常操作；</w:t>
      </w:r>
    </w:p>
    <w:p w14:paraId="70C5CC7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（3）系统发现有安全漏洞，有潜在的泄密危险；</w:t>
      </w:r>
    </w:p>
    <w:p w14:paraId="51911D7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（4）病毒发作或受到外来病毒的攻击；</w:t>
      </w:r>
    </w:p>
    <w:p w14:paraId="2D24B07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（5）其他无法保证开标过程公平、公正和信息安全的情形。</w:t>
      </w:r>
    </w:p>
    <w:p w14:paraId="0FAD2AA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应急开标程序包括：</w:t>
      </w:r>
    </w:p>
    <w:p w14:paraId="22A179B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（1）对</w:t>
      </w:r>
      <w:r>
        <w:rPr>
          <w:rFonts w:ascii="仿宋_GB2312" w:hAnsi="仿宋" w:eastAsia="仿宋_GB2312" w:cs="宋体"/>
          <w:color w:val="000000" w:themeColor="text1"/>
          <w:sz w:val="28"/>
          <w:szCs w:val="28"/>
          <w:highlight w:val="none"/>
          <w14:textFill>
            <w14:solidFill>
              <w14:schemeClr w14:val="tx1"/>
            </w14:solidFill>
          </w14:textFill>
        </w:rPr>
        <w:t>未在系统中开标的可暂停开标</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226B6F6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（2）对已在系统中开标的</w:t>
      </w:r>
      <w:r>
        <w:rPr>
          <w:rFonts w:hint="eastAsia" w:ascii="仿宋_GB2312" w:hAnsi="仿宋" w:eastAsia="仿宋_GB2312" w:cs="宋体"/>
          <w:color w:val="000000" w:themeColor="text1"/>
          <w:sz w:val="28"/>
          <w:szCs w:val="28"/>
          <w:highlight w:val="none"/>
          <w14:textFill>
            <w14:solidFill>
              <w14:schemeClr w14:val="tx1"/>
            </w14:solidFill>
          </w14:textFill>
        </w:rPr>
        <w:t>应停止，等待系统恢复正常后再组织进行开标</w:t>
      </w:r>
      <w:r>
        <w:rPr>
          <w:rFonts w:ascii="仿宋_GB2312" w:hAnsi="仿宋" w:eastAsia="仿宋_GB2312" w:cs="宋体"/>
          <w:color w:val="000000" w:themeColor="text1"/>
          <w:sz w:val="28"/>
          <w:szCs w:val="28"/>
          <w:highlight w:val="none"/>
          <w14:textFill>
            <w14:solidFill>
              <w14:schemeClr w14:val="tx1"/>
            </w14:solidFill>
          </w14:textFill>
        </w:rPr>
        <w:t>。</w:t>
      </w:r>
    </w:p>
    <w:p w14:paraId="6F7D915D">
      <w:pPr>
        <w:spacing w:line="560" w:lineRule="exact"/>
        <w:ind w:firstLine="562"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无效投标（响应）处理。</w:t>
      </w:r>
    </w:p>
    <w:p w14:paraId="6247662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highlight w:val="none"/>
          <w14:textFill>
            <w14:solidFill>
              <w14:schemeClr w14:val="tx1"/>
            </w14:solidFill>
          </w14:textFill>
        </w:rPr>
        <w:t>无效投标（响应）处理</w:t>
      </w:r>
      <w:r>
        <w:rPr>
          <w:rFonts w:hint="eastAsia" w:ascii="仿宋_GB2312" w:hAnsi="仿宋" w:eastAsia="仿宋_GB2312" w:cs="宋体"/>
          <w:color w:val="000000" w:themeColor="text1"/>
          <w:sz w:val="28"/>
          <w:szCs w:val="28"/>
          <w:highlight w:val="none"/>
          <w14:textFill>
            <w14:solidFill>
              <w14:schemeClr w14:val="tx1"/>
            </w14:solidFill>
          </w14:textFill>
        </w:rPr>
        <w:t>。</w:t>
      </w:r>
    </w:p>
    <w:p w14:paraId="7F3E823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21.12应急开标电子邮件递交规定</w:t>
      </w:r>
    </w:p>
    <w:p w14:paraId="794E88A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接收电子邮箱：whzczb</w:t>
      </w:r>
      <w:r>
        <w:rPr>
          <w:rFonts w:ascii="仿宋_GB2312" w:hAnsi="仿宋" w:eastAsia="仿宋_GB2312" w:cs="宋体"/>
          <w:color w:val="000000" w:themeColor="text1"/>
          <w:sz w:val="28"/>
          <w:szCs w:val="28"/>
          <w:highlight w:val="none"/>
          <w14:textFill>
            <w14:solidFill>
              <w14:schemeClr w14:val="tx1"/>
            </w14:solidFill>
          </w14:textFill>
        </w:rPr>
        <w:t>@1</w:t>
      </w:r>
      <w:r>
        <w:rPr>
          <w:rFonts w:hint="eastAsia" w:ascii="仿宋_GB2312" w:hAnsi="仿宋" w:eastAsia="仿宋_GB2312" w:cs="宋体"/>
          <w:color w:val="000000" w:themeColor="text1"/>
          <w:sz w:val="28"/>
          <w:szCs w:val="28"/>
          <w:highlight w:val="none"/>
          <w14:textFill>
            <w14:solidFill>
              <w14:schemeClr w14:val="tx1"/>
            </w14:solidFill>
          </w14:textFill>
        </w:rPr>
        <w:t>26</w:t>
      </w:r>
      <w:r>
        <w:rPr>
          <w:rFonts w:ascii="仿宋_GB2312" w:hAnsi="仿宋" w:eastAsia="仿宋_GB2312" w:cs="宋体"/>
          <w:color w:val="000000" w:themeColor="text1"/>
          <w:sz w:val="28"/>
          <w:szCs w:val="28"/>
          <w:highlight w:val="none"/>
          <w14:textFill>
            <w14:solidFill>
              <w14:schemeClr w14:val="tx1"/>
            </w14:solidFill>
          </w14:textFill>
        </w:rPr>
        <w:t>.com</w:t>
      </w:r>
    </w:p>
    <w:p w14:paraId="185BA20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递交时间：以电子邮件或电话通知的时间为准；</w:t>
      </w:r>
    </w:p>
    <w:p w14:paraId="003E311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邮件数量：一封；</w:t>
      </w:r>
    </w:p>
    <w:p w14:paraId="40D4DEE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邮件主题：项目编号、投标人名称；</w:t>
      </w:r>
    </w:p>
    <w:p w14:paraId="214D14E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AA3328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21.13启动电子邮件开标流程</w:t>
      </w:r>
    </w:p>
    <w:p w14:paraId="10EF2FC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工作人员电话通知所有投标人启动应急开标程序；</w:t>
      </w:r>
    </w:p>
    <w:p w14:paraId="25C3671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投标人收到通知后在规定时间内通过电子邮件递交投标文件（在非应急开标期间</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不接受、不处理任何通过电子邮件提交的投标文件）；</w:t>
      </w:r>
    </w:p>
    <w:p w14:paraId="1E350C6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递交截止时间到，工作人员开始下载投标文件，将投标报价形成开标报告并邮件回复各投标人；</w:t>
      </w:r>
    </w:p>
    <w:p w14:paraId="157C037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投标人确认报价并邮件回复，不及时回复的视为对开标报告的内容无异议。</w:t>
      </w:r>
    </w:p>
    <w:p w14:paraId="51FEE137">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22.评标委员会的组成和评标方法</w:t>
      </w:r>
    </w:p>
    <w:p w14:paraId="74FDA97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22.1</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06E46CA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22.2采购人员及相关人员与</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工作人员离职或退休不满三年的，不能作为专家参加评标工作。</w:t>
      </w:r>
    </w:p>
    <w:p w14:paraId="3B9BB6B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22.3评标委员会成员职责：</w:t>
      </w:r>
    </w:p>
    <w:p w14:paraId="0AE3FD5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6265CC5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4329748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（3）对评标过程和结果，以及投标人的商业秘密进行保密；</w:t>
      </w:r>
    </w:p>
    <w:p w14:paraId="61392AA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（4）在评标委员会集体起草的评标报告上签字；</w:t>
      </w:r>
    </w:p>
    <w:p w14:paraId="4BDE56A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（5）配合</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答复投标人质疑；</w:t>
      </w:r>
    </w:p>
    <w:p w14:paraId="5E80276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（6）配合主管部门处理投标人投诉；</w:t>
      </w:r>
    </w:p>
    <w:p w14:paraId="7C1D95F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（7）向主管部门反映评标工作中的问题，提出意见和建议。</w:t>
      </w:r>
    </w:p>
    <w:p w14:paraId="0026093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22.4评标委员会集体职责：</w:t>
      </w:r>
    </w:p>
    <w:p w14:paraId="53BCE7B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1A432F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（2）配合采购人和</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答复投标人的质疑；</w:t>
      </w:r>
    </w:p>
    <w:p w14:paraId="185A4E9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（3）配合主管部门做好投诉处理工作；</w:t>
      </w:r>
    </w:p>
    <w:p w14:paraId="3F07504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（4）必要时，向投标人解释评标结果；</w:t>
      </w:r>
    </w:p>
    <w:p w14:paraId="2DC8C9F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（5）向主管部门或者有关部门报告非法干预评标工作的行为。</w:t>
      </w:r>
    </w:p>
    <w:p w14:paraId="1F051C4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22.5</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或采购人的职责：</w:t>
      </w:r>
    </w:p>
    <w:p w14:paraId="32BB90D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（1）核对评审专家身份和采购人委托授权，对评审专家在采购活动中的职责履行情况予以记录，并及时将有关违法违规行为向主管部门报告；</w:t>
      </w:r>
    </w:p>
    <w:p w14:paraId="11A01AF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（2）宣布评标纪律；</w:t>
      </w:r>
    </w:p>
    <w:p w14:paraId="0573309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（3）公布投标人名单，告知评审专家应当回避的情形；</w:t>
      </w:r>
    </w:p>
    <w:p w14:paraId="726A079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（4）组织评标委员会推选评标组长，采购人代表不得担任组长；</w:t>
      </w:r>
    </w:p>
    <w:p w14:paraId="7E07B9C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（5）在评标期间采取必要的通讯管理措施，保证评标活动不受外界干扰；</w:t>
      </w:r>
    </w:p>
    <w:p w14:paraId="7E01C27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（6）根据评标委员会的要求介绍阳光国企采购相关政策法规、招标文件；</w:t>
      </w:r>
    </w:p>
    <w:p w14:paraId="5F50AB0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（7）维护评标秩序，监督评标委员会依照招标文件规定的评标程序、方法和标准进行独立评审，及时制止和纠正采购人代表、评审专家的倾向性言论或者违法违规行为；</w:t>
      </w:r>
    </w:p>
    <w:p w14:paraId="04B06DE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D39CBF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（9）评审工作完成后，按照规定向评审专家支付劳务报酬和异地评审差旅费，不得向评审专家以外的其他人员支付评审劳务报酬；</w:t>
      </w:r>
    </w:p>
    <w:p w14:paraId="3FE85B1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（10）处理与评标有关的其他事项。</w:t>
      </w:r>
    </w:p>
    <w:p w14:paraId="2A62563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采购人可以在评标前说明项目背景和采购需求，说明内容不得含有歧视性、倾向性意见，不得超出招标文件所述范围。说明应当提交书面材料，并随采购文件一并存档。</w:t>
      </w:r>
    </w:p>
    <w:p w14:paraId="3AC1974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22.6评标委员会采用集中办公、封闭方式进行评审。评标前，</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工作人员向评标委员会成员宣布评标纪律和工作规则。评标委员会成员签署《无利害关系声明表》，并遵照执行。</w:t>
      </w:r>
    </w:p>
    <w:p w14:paraId="003EA15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22.7评标委员会成员对与自己有利害关系的评标项目应当主动提出回避。</w:t>
      </w:r>
    </w:p>
    <w:p w14:paraId="4E2DE0A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22.8评标委员会将按照招标文件确定的评标原则和方法进行评标。采购人对投标人进行资格性审查，评标委员会对投标文件的评审内容分为符合性审查、商务评议、技术评议和价格评议。</w:t>
      </w:r>
    </w:p>
    <w:p w14:paraId="14DB42C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22.9评标委员会独立履行下列职责：</w:t>
      </w:r>
    </w:p>
    <w:p w14:paraId="4B33375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（1）审查、评价投标文件是否符合招标文件的商务、技术等实质性要求；</w:t>
      </w:r>
    </w:p>
    <w:p w14:paraId="36FDEAA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（2）要求投标人对投标文件有关事项作出澄清或者说明；</w:t>
      </w:r>
    </w:p>
    <w:p w14:paraId="457758A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（3）对投标文件进行比较和评价；</w:t>
      </w:r>
    </w:p>
    <w:p w14:paraId="2F72A8C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（4）确定中标候选人名单，以及根据采购人委托直接确定中标人；</w:t>
      </w:r>
    </w:p>
    <w:p w14:paraId="6544EFA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（5）向采购人、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或者有关部门报告评标中发现的违法行为。</w:t>
      </w:r>
    </w:p>
    <w:p w14:paraId="7E15B68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22.10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应当依法补足后继续评标。被更换的评标委员会成员所作出的评标意见无效。</w:t>
      </w:r>
    </w:p>
    <w:p w14:paraId="355C156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无法及时补足评标委员会成员的，</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应当停止评标活动，封存所有投标文件和开标、评标资料，依法重新组建评标委员会进行评标。原评标委员会作出的评标意见无效。</w:t>
      </w:r>
    </w:p>
    <w:p w14:paraId="089C32A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应当将变更、重新组建评标委员会的情况予以记录，并随采购文件一并存档。</w:t>
      </w:r>
    </w:p>
    <w:p w14:paraId="3B219AF7">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23.投标文件的初审</w:t>
      </w:r>
    </w:p>
    <w:p w14:paraId="3DF1B29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23.1资格性审查。在采购项目开标结束后,采购人或者</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工作人员应当依照有关法律和招标文件的规定对投标人的资格进行审查。合格投标人不足3家的，不得评标。在资格性检查时,如有下列情况之一的，经采购人认定，视为非实质性响应，为无效投标（响应）：</w:t>
      </w:r>
    </w:p>
    <w:p w14:paraId="1CBC744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1、单位负责人为同一人或者存在直接控股、管理关系的不同</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的；</w:t>
      </w:r>
    </w:p>
    <w:p w14:paraId="4C14392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2、为采购项目提供整体设计、规范编制或者项目管理、监理、检测等服务的；</w:t>
      </w:r>
    </w:p>
    <w:p w14:paraId="211E841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3、投标人和投标服务资格证明文件不满足招标文件要求和过期失效的。</w:t>
      </w:r>
    </w:p>
    <w:p w14:paraId="10936C6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23.2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F07A0F9">
      <w:pPr>
        <w:spacing w:line="560" w:lineRule="exact"/>
        <w:ind w:firstLine="565" w:firstLineChars="201"/>
        <w:rPr>
          <w:rFonts w:ascii="仿宋_GB2312" w:hAnsi="仿宋" w:eastAsia="仿宋_GB2312" w:cs="宋体"/>
          <w:b/>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8"/>
          <w:szCs w:val="28"/>
          <w:highlight w:val="none"/>
          <w14:textFill>
            <w14:solidFill>
              <w14:schemeClr w14:val="tx1"/>
            </w14:solidFill>
          </w14:textFill>
        </w:rPr>
        <w:t>具体内容详见《投标须知》-《实质性条款一览表》中符合性审查条件。</w:t>
      </w:r>
    </w:p>
    <w:p w14:paraId="513A92B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23.3投标人有下列情形之一的，视为投标人串通投标，其投标无效：</w:t>
      </w:r>
    </w:p>
    <w:p w14:paraId="698025AF">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（1）不同投标人的投标文件由同一单位或者个人编制的；</w:t>
      </w:r>
    </w:p>
    <w:p w14:paraId="2C5660B2">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（2）不同投标人使用同一个投标单位或者同一个自然人的IP地址、设备下载采购文件或者制作、上传投标文件的；</w:t>
      </w:r>
    </w:p>
    <w:p w14:paraId="2034B625">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（3）不同投标人委托同一单位或者个人办理投标事宜；</w:t>
      </w:r>
    </w:p>
    <w:p w14:paraId="7B72DBDB">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（4）不同投标人的投标文件载明的项目管理成员或者联系人员为同一人；</w:t>
      </w:r>
    </w:p>
    <w:p w14:paraId="5506F34E">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（5）不同投标人的投标文件重要内容异常一致、或者投标报价呈现规律性差异；</w:t>
      </w:r>
    </w:p>
    <w:p w14:paraId="68E53A64">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（6）不同投标人编制的投标文件存在两处以上错误一致的；</w:t>
      </w:r>
    </w:p>
    <w:p w14:paraId="6ED9E3F5">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14:textFill>
            <w14:solidFill>
              <w14:schemeClr w14:val="tx1"/>
            </w14:solidFill>
          </w14:textFill>
        </w:rPr>
      </w:pPr>
      <w:r>
        <w:rPr>
          <w:rFonts w:hint="eastAsia" w:ascii="仿宋_GB2312" w:hAnsi="仿宋" w:eastAsia="仿宋_GB2312"/>
          <w:color w:val="000000" w:themeColor="text1"/>
          <w:kern w:val="2"/>
          <w:sz w:val="28"/>
          <w:szCs w:val="28"/>
          <w:highlight w:val="none"/>
          <w14:textFill>
            <w14:solidFill>
              <w14:schemeClr w14:val="tx1"/>
            </w14:solidFill>
          </w14:textFill>
        </w:rPr>
        <w:t>（7）不同投标人的投标文件相互混装</w:t>
      </w:r>
      <w:r>
        <w:rPr>
          <w:rFonts w:hint="eastAsia" w:ascii="仿宋_GB2312" w:hAnsi="仿宋" w:eastAsia="仿宋_GB2312"/>
          <w:color w:val="000000" w:themeColor="text1"/>
          <w:sz w:val="28"/>
          <w:szCs w:val="28"/>
          <w:highlight w:val="none"/>
          <w14:textFill>
            <w14:solidFill>
              <w14:schemeClr w14:val="tx1"/>
            </w14:solidFill>
          </w14:textFill>
        </w:rPr>
        <w:t>；</w:t>
      </w:r>
    </w:p>
    <w:p w14:paraId="55C09B7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23.4投标截止后投标人不足3家或者通过资格审查或符合性审查的投标人不足3家的，除采购任务取消情形外，按照以下方式处理：</w:t>
      </w:r>
    </w:p>
    <w:p w14:paraId="51B9547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（1）招标文件存在不合理条款或者招标程序不符合规定的，招标人、</w:t>
      </w:r>
      <w:r>
        <w:rPr>
          <w:rFonts w:hint="eastAsia" w:ascii="仿宋_GB2312" w:hAnsi="宋体" w:eastAsia="仿宋_GB2312"/>
          <w:color w:val="000000" w:themeColor="text1"/>
          <w:sz w:val="28"/>
          <w:szCs w:val="28"/>
          <w:highlight w:val="none"/>
          <w14:textFill>
            <w14:solidFill>
              <w14:schemeClr w14:val="tx1"/>
            </w14:solidFill>
          </w14:textFill>
        </w:rPr>
        <w:t>招标代理机构</w:t>
      </w:r>
      <w:r>
        <w:rPr>
          <w:rFonts w:hint="eastAsia" w:ascii="仿宋_GB2312" w:hAnsi="仿宋" w:eastAsia="仿宋_GB2312" w:cs="宋体"/>
          <w:color w:val="000000" w:themeColor="text1"/>
          <w:sz w:val="28"/>
          <w:szCs w:val="28"/>
          <w:highlight w:val="none"/>
          <w14:textFill>
            <w14:solidFill>
              <w14:schemeClr w14:val="tx1"/>
            </w14:solidFill>
          </w14:textFill>
        </w:rPr>
        <w:t>改正后依法重新招标；</w:t>
      </w:r>
    </w:p>
    <w:p w14:paraId="4553E56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（2）招标文件没有不合理条款、招标程序符合规定，需要采用其他招标方式招标的物，招标人应当依法报主管部门批准。</w:t>
      </w:r>
    </w:p>
    <w:p w14:paraId="086AC205">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24.投标文件的澄清</w:t>
      </w:r>
    </w:p>
    <w:p w14:paraId="5F9AD19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24.1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依法登记的负责人）或其授权人必须接受评标委员会的询标，未在规定的时间内，对重大关键问题进行答疑和澄清的投标人，经评标委员会确认可视为投标人放弃投标。</w:t>
      </w:r>
    </w:p>
    <w:p w14:paraId="3E47B54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24.2投标人的澄清、说明或者补正应当采用书面形式，并加盖公章，或者由法定代表人（依法登记的负责人）或其授权的代表签字。投标人的澄清、说明或者补正不得超出投标文件的范围或者改变对投标文件的实质性内容。此书面文件是投标文件的组成部分。</w:t>
      </w:r>
    </w:p>
    <w:p w14:paraId="631E4B90">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25.投标文件的评价</w:t>
      </w:r>
    </w:p>
    <w:p w14:paraId="729D81E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25.1评标委员会只对确定为实质响应招标文件要求的投标文件进行评价和比较。必要时需标明评审理由。</w:t>
      </w:r>
    </w:p>
    <w:p w14:paraId="6BFA151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25.2评标采用综合评分法的，价格分值由评审系统根据投标人上传的《投标（报价）一览表》中的投标报价，依据规定公式自动计算，其结果由评标委员会所有成员签字确认。</w:t>
      </w:r>
    </w:p>
    <w:p w14:paraId="67DEB4A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招标公司工作人员负责复核、统计评标委员会成员的评审情况，发现评审意见有失公正时，提请该评标委员会成员修改评审意见，并形成书面意见备查。</w:t>
      </w:r>
    </w:p>
    <w:p w14:paraId="50919D0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25.3评审时除考虑投标人的报价之外，还将考虑以下因素：</w:t>
      </w:r>
    </w:p>
    <w:p w14:paraId="52D0D3E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（1）投标文件的响应状况（包括是否按照招标文件要求制作）；</w:t>
      </w:r>
    </w:p>
    <w:p w14:paraId="4C09FA3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（2）投标产品的技术性能、功能、质量等指标的响应情况，包括其响应是否有技术佐证文件的支持；</w:t>
      </w:r>
    </w:p>
    <w:p w14:paraId="00828BE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（3）服务方案（包括本地化服务机构和人员、服务响应时间、安装调试、培训方案等）、服务期、服务体系和业绩等；</w:t>
      </w:r>
    </w:p>
    <w:p w14:paraId="230B8D4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（4）招标文件规定的其它评审因素。</w:t>
      </w:r>
    </w:p>
    <w:p w14:paraId="095C8DB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01826A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w:t>
      </w:r>
      <w:r>
        <w:rPr>
          <w:rFonts w:ascii="仿宋_GB2312" w:hAnsi="仿宋" w:eastAsia="仿宋_GB2312" w:cs="宋体"/>
          <w:color w:val="000000" w:themeColor="text1"/>
          <w:sz w:val="28"/>
          <w:szCs w:val="28"/>
          <w:highlight w:val="none"/>
          <w14:textFill>
            <w14:solidFill>
              <w14:schemeClr w14:val="tx1"/>
            </w14:solidFill>
          </w14:textFill>
        </w:rPr>
        <w:t>5</w:t>
      </w:r>
      <w:r>
        <w:rPr>
          <w:rFonts w:hint="eastAsia" w:ascii="仿宋_GB2312" w:hAnsi="仿宋" w:eastAsia="仿宋_GB2312" w:cs="宋体"/>
          <w:color w:val="000000" w:themeColor="text1"/>
          <w:sz w:val="28"/>
          <w:szCs w:val="28"/>
          <w:highlight w:val="none"/>
          <w14:textFill>
            <w14:solidFill>
              <w14:schemeClr w14:val="tx1"/>
            </w14:solidFill>
          </w14:textFill>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沟通并作书面记录。采购人确认后，应当修改招标文件，重新组织采购活动。</w:t>
      </w:r>
    </w:p>
    <w:p w14:paraId="7973605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25.</w:t>
      </w:r>
      <w:r>
        <w:rPr>
          <w:rFonts w:ascii="仿宋_GB2312" w:hAnsi="仿宋" w:eastAsia="仿宋_GB2312" w:cs="宋体"/>
          <w:color w:val="000000" w:themeColor="text1"/>
          <w:sz w:val="28"/>
          <w:szCs w:val="28"/>
          <w:highlight w:val="none"/>
          <w14:textFill>
            <w14:solidFill>
              <w14:schemeClr w14:val="tx1"/>
            </w14:solidFill>
          </w14:textFill>
        </w:rPr>
        <w:t>6</w:t>
      </w:r>
      <w:r>
        <w:rPr>
          <w:rFonts w:hint="eastAsia" w:ascii="仿宋_GB2312" w:hAnsi="仿宋" w:eastAsia="仿宋_GB2312" w:cs="宋体"/>
          <w:color w:val="000000" w:themeColor="text1"/>
          <w:sz w:val="28"/>
          <w:szCs w:val="28"/>
          <w:highlight w:val="none"/>
          <w14:textFill>
            <w14:solidFill>
              <w14:schemeClr w14:val="tx1"/>
            </w14:solidFill>
          </w14:textFill>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926D882">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26.废标条款</w:t>
      </w:r>
    </w:p>
    <w:p w14:paraId="2D890D0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在招标采购中，出现下列情形之一的，应予废标：</w:t>
      </w:r>
    </w:p>
    <w:p w14:paraId="7ED7DA0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（1）符合专业条件的</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或者对招标文件作实质响应的</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不足3家的；</w:t>
      </w:r>
    </w:p>
    <w:p w14:paraId="6E09259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（2）出现影响采购公正的违法、违规行为的；</w:t>
      </w:r>
    </w:p>
    <w:p w14:paraId="3F04F14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（3）所有投标报价均超过招标文件中规定的预算金额，采购人不能支付的；</w:t>
      </w:r>
    </w:p>
    <w:p w14:paraId="25D67D9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（4）因重大变故，采购人采购任务取消的。</w:t>
      </w:r>
    </w:p>
    <w:p w14:paraId="7D0A1E28">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六、定标</w:t>
      </w:r>
    </w:p>
    <w:p w14:paraId="2F7051EA">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27.定标</w:t>
      </w:r>
    </w:p>
    <w:p w14:paraId="0DA3C70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9D93D8C">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27.2评委会所有成员应当在评标报告上签字确认，评标报告的主要内容包括：</w:t>
      </w:r>
    </w:p>
    <w:p w14:paraId="19010AC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（1）招标公告刊登的媒体名称、开标日期和地点；</w:t>
      </w:r>
    </w:p>
    <w:p w14:paraId="35F8B26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（2）投标人名单和评标委员会成员名单；</w:t>
      </w:r>
    </w:p>
    <w:p w14:paraId="2B2EE95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（3）评标方法和评标标准；</w:t>
      </w:r>
    </w:p>
    <w:p w14:paraId="438F25D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（4）开标记录和评标情况及说明，包括投标无效投标人名单及原因；</w:t>
      </w:r>
    </w:p>
    <w:p w14:paraId="1379A96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（5）评标结果，确定的中标候选人名单或者经采购人委托直接确定的中标人；</w:t>
      </w:r>
    </w:p>
    <w:p w14:paraId="099B8AB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p>
    <w:p w14:paraId="0138B4B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27.3由评标委员会直接确定预中标候选人的，</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自评标结束之日起3个工作日内在指定媒体上公布评标结果；需要采购人确认的，</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自评标结束之日起2日内，将评标报告送交采购人。采购人应当自收到评标报告之日起3个工作日内在评标报告确定的中标候选人名单中按顺序确定预中标人。</w:t>
      </w:r>
    </w:p>
    <w:p w14:paraId="4D95921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27.4评标结果汇总完成后，除下列情形外，任何人不得修改评标结果：</w:t>
      </w:r>
    </w:p>
    <w:p w14:paraId="4042002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（1）分值汇总计算错误的；</w:t>
      </w:r>
    </w:p>
    <w:p w14:paraId="1648B28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（2）分项评分超出评分标准范围的；</w:t>
      </w:r>
    </w:p>
    <w:p w14:paraId="50058F8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（3）评标委员会成员对客观评审因素评分不一致的；</w:t>
      </w:r>
    </w:p>
    <w:p w14:paraId="74735C2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（4）经评标委员会认定评分畸高、畸低的。</w:t>
      </w:r>
    </w:p>
    <w:p w14:paraId="5923C9F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可以组织原评标委员会进行重新评审，重新评审改变评标结果的，应当书面报告主管部门。</w:t>
      </w:r>
    </w:p>
    <w:p w14:paraId="68EAC72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27.6中标人在规定的期限内无正当理由拒绝签订合同，采购人可以按照评审报告推荐的中标候选人名单排序，确定下一候选人为中标人，也可以重新开展招标活动。</w:t>
      </w:r>
    </w:p>
    <w:p w14:paraId="3AFA533A">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七、公告</w:t>
      </w:r>
    </w:p>
    <w:p w14:paraId="3B45D864">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28.公告</w:t>
      </w:r>
    </w:p>
    <w:p w14:paraId="2C097261">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28.1</w:t>
      </w:r>
      <w:r>
        <w:rPr>
          <w:rFonts w:hint="eastAsia" w:ascii="仿宋_GB2312" w:hAnsi="宋体" w:eastAsia="仿宋_GB2312"/>
          <w:color w:val="000000" w:themeColor="text1"/>
          <w:sz w:val="28"/>
          <w:szCs w:val="28"/>
          <w:highlight w:val="none"/>
          <w14:textFill>
            <w14:solidFill>
              <w14:schemeClr w14:val="tx1"/>
            </w14:solidFill>
          </w14:textFill>
        </w:rPr>
        <w:t>采购人应当自定标结束之日起三日内公告中标人</w:t>
      </w:r>
      <w:r>
        <w:rPr>
          <w:rFonts w:hint="eastAsia" w:ascii="仿宋_GB2312" w:hAnsi="仿宋" w:eastAsia="仿宋_GB2312" w:cs="宋体"/>
          <w:color w:val="000000" w:themeColor="text1"/>
          <w:sz w:val="28"/>
          <w:szCs w:val="28"/>
          <w:highlight w:val="none"/>
          <w14:textFill>
            <w14:solidFill>
              <w14:schemeClr w14:val="tx1"/>
            </w14:solidFill>
          </w14:textFill>
        </w:rPr>
        <w:t>，在发布招标公告媒体上公告中标结果。中标公告期限为1个工作日。中标公告应当包括下列内容：</w:t>
      </w:r>
    </w:p>
    <w:p w14:paraId="3631DED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（1）采购人、</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的名称、地址和联系方式；</w:t>
      </w:r>
    </w:p>
    <w:p w14:paraId="38E3063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（2）项目名称和项目编号；</w:t>
      </w:r>
    </w:p>
    <w:p w14:paraId="6181461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（3）中标人名称、地址和中标金额；</w:t>
      </w:r>
    </w:p>
    <w:p w14:paraId="198AD257">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（4）评审专家名单。</w:t>
      </w:r>
    </w:p>
    <w:p w14:paraId="513FF0BD">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28.2</w:t>
      </w:r>
      <w:r>
        <w:rPr>
          <w:rFonts w:hint="eastAsia" w:ascii="仿宋_GB2312" w:hAnsi="宋体" w:eastAsia="仿宋_GB2312"/>
          <w:color w:val="000000" w:themeColor="text1"/>
          <w:sz w:val="28"/>
          <w:szCs w:val="28"/>
          <w:highlight w:val="none"/>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highlight w:val="none"/>
          <w14:textFill>
            <w14:solidFill>
              <w14:schemeClr w14:val="tx1"/>
            </w14:solidFill>
          </w14:textFill>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51F6A252">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八、质疑</w:t>
      </w:r>
    </w:p>
    <w:p w14:paraId="6D0D65B4">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29.质疑</w:t>
      </w:r>
    </w:p>
    <w:p w14:paraId="49DCF6D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29.1依据《威海市市属国有企业阳光采购监督管理办法》规定，供应商认为采购文件、采购过程、成交结果使自己的权益受到损害，应于截止前2日内以书面形式向采购人或采购代理机构提出质疑。采购人或采购代理机构应当在收到供应商的书面质疑后</w:t>
      </w:r>
      <w:r>
        <w:rPr>
          <w:rFonts w:ascii="仿宋_GB2312" w:hAnsi="仿宋" w:eastAsia="仿宋_GB2312" w:cs="宋体"/>
          <w:color w:val="000000" w:themeColor="text1"/>
          <w:sz w:val="28"/>
          <w:szCs w:val="28"/>
          <w:highlight w:val="none"/>
          <w14:textFill>
            <w14:solidFill>
              <w14:schemeClr w14:val="tx1"/>
            </w14:solidFill>
          </w14:textFill>
        </w:rPr>
        <w:t>7</w:t>
      </w:r>
      <w:r>
        <w:rPr>
          <w:rFonts w:hint="eastAsia" w:ascii="仿宋_GB2312" w:hAnsi="仿宋" w:eastAsia="仿宋_GB2312" w:cs="宋体"/>
          <w:color w:val="000000" w:themeColor="text1"/>
          <w:sz w:val="28"/>
          <w:szCs w:val="28"/>
          <w:highlight w:val="none"/>
          <w14:textFill>
            <w14:solidFill>
              <w14:schemeClr w14:val="tx1"/>
            </w14:solidFill>
          </w14:textFill>
        </w:rPr>
        <w:t>日内做出书面答复，但答复内容不得涉及商业秘密。</w:t>
      </w:r>
    </w:p>
    <w:p w14:paraId="670FF79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29.2仲裁或起诉</w:t>
      </w:r>
    </w:p>
    <w:p w14:paraId="13FB4812">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供应商对答复不满意，或者采购人、代理机构未在规定的时间内做出书面答复的，供应商可以在答复期满后向采购人所在地仲裁机构、人民法院申请仲裁或起诉。</w:t>
      </w:r>
    </w:p>
    <w:p w14:paraId="37E0EAB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29.3提出质疑的投标人应当是参与本项目招标活动的投标人。</w:t>
      </w:r>
    </w:p>
    <w:p w14:paraId="5507F1F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29.4投标人应在法定质疑期内一次性提出针对同一采购程序环节的质疑。</w:t>
      </w:r>
    </w:p>
    <w:p w14:paraId="364A8436">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29.5质疑采用实名制，为了使提出的质疑事项在规定时间内得到有效答复、处理，提交的质疑函务必提供以下内容。</w:t>
      </w:r>
    </w:p>
    <w:p w14:paraId="3715ECC9">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的姓名或名称、地址（邮箱）、邮编、联系人及联系电话；</w:t>
      </w:r>
    </w:p>
    <w:p w14:paraId="4BFA31C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（2）质疑项目的名称、编号；</w:t>
      </w:r>
    </w:p>
    <w:p w14:paraId="72D51BF5">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（3）具体、明确的质疑事项和与质疑事项相关的请求；</w:t>
      </w:r>
    </w:p>
    <w:p w14:paraId="06F28FF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（4）事实依据；</w:t>
      </w:r>
    </w:p>
    <w:p w14:paraId="3705C6E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（5）必要的法律依据；</w:t>
      </w:r>
    </w:p>
    <w:p w14:paraId="4FF45C80">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（6）提出质疑的日期。</w:t>
      </w:r>
    </w:p>
    <w:p w14:paraId="403D522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为自然人的，应当由本人签字；</w:t>
      </w:r>
      <w:r>
        <w:rPr>
          <w:rFonts w:hint="eastAsia" w:ascii="仿宋_GB2312" w:hAnsi="宋体" w:eastAsia="仿宋_GB2312"/>
          <w:color w:val="000000" w:themeColor="text1"/>
          <w:sz w:val="28"/>
          <w:szCs w:val="28"/>
          <w:highlight w:val="none"/>
          <w14:textFill>
            <w14:solidFill>
              <w14:schemeClr w14:val="tx1"/>
            </w14:solidFill>
          </w14:textFill>
        </w:rPr>
        <w:t>投标人</w:t>
      </w:r>
      <w:r>
        <w:rPr>
          <w:rFonts w:hint="eastAsia" w:ascii="仿宋_GB2312" w:hAnsi="仿宋" w:eastAsia="仿宋_GB2312" w:cs="宋体"/>
          <w:color w:val="000000" w:themeColor="text1"/>
          <w:sz w:val="28"/>
          <w:szCs w:val="28"/>
          <w:highlight w:val="none"/>
          <w14:textFill>
            <w14:solidFill>
              <w14:schemeClr w14:val="tx1"/>
            </w14:solidFill>
          </w14:textFill>
        </w:rPr>
        <w:t>为法人或者其他组织的，应当由法定代表人（依法登记的负责人）、主要负责人，或者其被授权人签字或者盖章，并加盖公章。</w:t>
      </w:r>
    </w:p>
    <w:p w14:paraId="0C46C3AE">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29.6招标人或招标公司正式受理后方可生效。否则，为无效质疑。</w:t>
      </w:r>
    </w:p>
    <w:p w14:paraId="20CC0FD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29.7有下列情况之一的质疑不予受理：</w:t>
      </w:r>
    </w:p>
    <w:p w14:paraId="0ACF041B">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（1）无质疑函件或质疑函件缺少投标人法人印章、投标人法定代表人（依法登记的负责人）签字、有效授权书和联系方式之一的质疑；</w:t>
      </w:r>
    </w:p>
    <w:p w14:paraId="79EFCA9A">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（2）质疑函件无实质性内容或佐证文件资料，主观臆断及推理得出结论的质疑；</w:t>
      </w:r>
    </w:p>
    <w:p w14:paraId="419F7B08">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（3）相应证明材料不真实或来源不合法的质疑；</w:t>
      </w:r>
    </w:p>
    <w:p w14:paraId="3BCDE8E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（4）未按规定时间或超过公示期提出的质疑；</w:t>
      </w:r>
    </w:p>
    <w:p w14:paraId="3FA6956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29.8对捏造事实，提供虚假材料或者以非法手段取得证明材料进行恶意质疑的，一经查实，将上报主管部门列入黑名单，并给以相应处罚。</w:t>
      </w:r>
    </w:p>
    <w:p w14:paraId="253374B5">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九、签订合同</w:t>
      </w:r>
    </w:p>
    <w:p w14:paraId="041BB457">
      <w:pPr>
        <w:spacing w:line="560" w:lineRule="exact"/>
        <w:ind w:firstLine="565" w:firstLineChars="201"/>
        <w:rPr>
          <w:rFonts w:ascii="楷体_GB2312" w:hAnsi="仿宋" w:eastAsia="楷体_GB2312" w:cs="宋体"/>
          <w:b/>
          <w:color w:val="000000" w:themeColor="text1"/>
          <w:sz w:val="28"/>
          <w:szCs w:val="28"/>
          <w:highlight w:val="none"/>
          <w14:textFill>
            <w14:solidFill>
              <w14:schemeClr w14:val="tx1"/>
            </w14:solidFill>
          </w14:textFill>
        </w:rPr>
      </w:pPr>
      <w:r>
        <w:rPr>
          <w:rFonts w:hint="eastAsia" w:ascii="楷体_GB2312" w:hAnsi="仿宋" w:eastAsia="楷体_GB2312" w:cs="宋体"/>
          <w:b/>
          <w:color w:val="000000" w:themeColor="text1"/>
          <w:sz w:val="28"/>
          <w:szCs w:val="28"/>
          <w:highlight w:val="none"/>
          <w14:textFill>
            <w14:solidFill>
              <w14:schemeClr w14:val="tx1"/>
            </w14:solidFill>
          </w14:textFill>
        </w:rPr>
        <w:t>30.合同的签订</w:t>
      </w:r>
    </w:p>
    <w:p w14:paraId="12204BA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30</w:t>
      </w:r>
      <w:r>
        <w:rPr>
          <w:rFonts w:ascii="仿宋_GB2312" w:hAnsi="仿宋" w:eastAsia="仿宋_GB2312" w:cs="宋体"/>
          <w:color w:val="000000" w:themeColor="text1"/>
          <w:sz w:val="28"/>
          <w:szCs w:val="28"/>
          <w:highlight w:val="none"/>
          <w14:textFill>
            <w14:solidFill>
              <w14:schemeClr w14:val="tx1"/>
            </w14:solidFill>
          </w14:textFill>
        </w:rPr>
        <w:t>.1</w:t>
      </w:r>
      <w:r>
        <w:rPr>
          <w:rFonts w:hint="eastAsia" w:ascii="仿宋_GB2312" w:hAnsi="仿宋" w:eastAsia="仿宋_GB2312" w:cs="宋体"/>
          <w:color w:val="000000" w:themeColor="text1"/>
          <w:sz w:val="28"/>
          <w:szCs w:val="28"/>
          <w:highlight w:val="none"/>
          <w14:textFill>
            <w14:solidFill>
              <w14:schemeClr w14:val="tx1"/>
            </w14:solidFill>
          </w14:textFill>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5CCFC0F">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30</w:t>
      </w:r>
      <w:r>
        <w:rPr>
          <w:rFonts w:ascii="仿宋_GB2312" w:hAnsi="仿宋" w:eastAsia="仿宋_GB2312" w:cs="宋体"/>
          <w:color w:val="000000" w:themeColor="text1"/>
          <w:sz w:val="28"/>
          <w:szCs w:val="28"/>
          <w:highlight w:val="none"/>
          <w14:textFill>
            <w14:solidFill>
              <w14:schemeClr w14:val="tx1"/>
            </w14:solidFill>
          </w14:textFill>
        </w:rPr>
        <w:t>.2</w:t>
      </w:r>
      <w:r>
        <w:rPr>
          <w:rFonts w:hint="eastAsia" w:ascii="仿宋_GB2312" w:hAnsi="仿宋" w:eastAsia="仿宋_GB2312" w:cs="宋体"/>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04B9CA3">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color w:val="000000" w:themeColor="text1"/>
          <w:sz w:val="28"/>
          <w:szCs w:val="28"/>
          <w:highlight w:val="none"/>
          <w14:textFill>
            <w14:solidFill>
              <w14:schemeClr w14:val="tx1"/>
            </w14:solidFill>
          </w14:textFill>
        </w:rPr>
        <w:t>30</w:t>
      </w:r>
      <w:r>
        <w:rPr>
          <w:rFonts w:ascii="仿宋_GB2312" w:hAnsi="仿宋" w:eastAsia="仿宋_GB2312" w:cs="宋体"/>
          <w:color w:val="000000" w:themeColor="text1"/>
          <w:sz w:val="28"/>
          <w:szCs w:val="28"/>
          <w:highlight w:val="none"/>
          <w14:textFill>
            <w14:solidFill>
              <w14:schemeClr w14:val="tx1"/>
            </w14:solidFill>
          </w14:textFill>
        </w:rPr>
        <w:t>.3</w:t>
      </w:r>
      <w:r>
        <w:rPr>
          <w:rFonts w:hint="eastAsia" w:ascii="仿宋_GB2312" w:hAnsi="仿宋" w:eastAsia="仿宋_GB2312" w:cs="宋体"/>
          <w:color w:val="000000" w:themeColor="text1"/>
          <w:sz w:val="28"/>
          <w:szCs w:val="28"/>
          <w:highlight w:val="none"/>
          <w14:textFill>
            <w14:solidFill>
              <w14:schemeClr w14:val="tx1"/>
            </w14:solidFill>
          </w14:textFill>
        </w:rPr>
        <w:t>中标人在规定时间内无正当理由拒绝与招标人签订合同的，有效投标人符合法定数量的，招标人可以按照评审报告推荐的中标候选人名单排序，确定下一候选人为中标人，也可以重新开展招标活动。</w:t>
      </w:r>
    </w:p>
    <w:p w14:paraId="191FA9B4">
      <w:pPr>
        <w:spacing w:line="560" w:lineRule="exact"/>
        <w:ind w:firstLine="562" w:firstLineChars="201"/>
        <w:rPr>
          <w:rFonts w:ascii="仿宋_GB2312" w:hAnsi="仿宋" w:eastAsia="仿宋_GB2312" w:cs="宋体"/>
          <w:color w:val="000000" w:themeColor="text1"/>
          <w:sz w:val="28"/>
          <w:szCs w:val="28"/>
          <w:highlight w:val="none"/>
          <w14:textFill>
            <w14:solidFill>
              <w14:schemeClr w14:val="tx1"/>
            </w14:solidFill>
          </w14:textFill>
        </w:rPr>
      </w:pPr>
      <w:r>
        <w:rPr>
          <w:rFonts w:ascii="仿宋_GB2312" w:hAnsi="仿宋" w:eastAsia="仿宋_GB2312" w:cs="宋体"/>
          <w:color w:val="000000" w:themeColor="text1"/>
          <w:sz w:val="28"/>
          <w:szCs w:val="28"/>
          <w:highlight w:val="none"/>
          <w14:textFill>
            <w14:solidFill>
              <w14:schemeClr w14:val="tx1"/>
            </w14:solidFill>
          </w14:textFill>
        </w:rPr>
        <w:t>3</w:t>
      </w:r>
      <w:r>
        <w:rPr>
          <w:rFonts w:hint="eastAsia" w:ascii="仿宋_GB2312" w:hAnsi="仿宋" w:eastAsia="仿宋_GB2312" w:cs="宋体"/>
          <w:color w:val="000000" w:themeColor="text1"/>
          <w:sz w:val="28"/>
          <w:szCs w:val="28"/>
          <w:highlight w:val="none"/>
          <w14:textFill>
            <w14:solidFill>
              <w14:schemeClr w14:val="tx1"/>
            </w14:solidFill>
          </w14:textFill>
        </w:rPr>
        <w:t>0</w:t>
      </w:r>
      <w:r>
        <w:rPr>
          <w:rFonts w:ascii="仿宋_GB2312" w:hAnsi="仿宋" w:eastAsia="仿宋_GB2312" w:cs="宋体"/>
          <w:color w:val="000000" w:themeColor="text1"/>
          <w:sz w:val="28"/>
          <w:szCs w:val="28"/>
          <w:highlight w:val="none"/>
          <w14:textFill>
            <w14:solidFill>
              <w14:schemeClr w14:val="tx1"/>
            </w14:solidFill>
          </w14:textFill>
        </w:rPr>
        <w:t>.4</w:t>
      </w:r>
      <w:r>
        <w:rPr>
          <w:rFonts w:hint="eastAsia" w:ascii="仿宋_GB2312" w:hAnsi="仿宋" w:eastAsia="仿宋_GB2312" w:cs="宋体"/>
          <w:color w:val="000000" w:themeColor="text1"/>
          <w:sz w:val="28"/>
          <w:szCs w:val="28"/>
          <w:highlight w:val="none"/>
          <w14:textFill>
            <w14:solidFill>
              <w14:schemeClr w14:val="tx1"/>
            </w14:solidFill>
          </w14:textFill>
        </w:rPr>
        <w:t>采购合同的履行、违约责任和解决争议的方法适用《中华人民共和国民法典》。</w:t>
      </w:r>
    </w:p>
    <w:p w14:paraId="3720B616">
      <w:pPr>
        <w:rPr>
          <w:color w:val="000000" w:themeColor="text1"/>
          <w:highlight w:val="none"/>
          <w14:textFill>
            <w14:solidFill>
              <w14:schemeClr w14:val="tx1"/>
            </w14:solidFill>
          </w14:textFill>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563A9327">
      <w:pPr>
        <w:pStyle w:val="42"/>
        <w:spacing w:before="0" w:after="0" w:line="360" w:lineRule="auto"/>
        <w:ind w:firstLine="646" w:firstLineChars="201"/>
        <w:rPr>
          <w:rFonts w:ascii="宋体" w:hAnsi="宋体" w:cs="宋体"/>
          <w:color w:val="000000" w:themeColor="text1"/>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14:textFill>
            <w14:solidFill>
              <w14:schemeClr w14:val="tx1"/>
            </w14:solidFill>
          </w14:textFill>
        </w:rPr>
        <w:t>第三章招标内容与要求</w:t>
      </w:r>
    </w:p>
    <w:p w14:paraId="4B8B6782">
      <w:pPr>
        <w:tabs>
          <w:tab w:val="left" w:pos="525"/>
        </w:tabs>
        <w:spacing w:line="560" w:lineRule="exact"/>
        <w:ind w:firstLine="883" w:firstLineChars="200"/>
        <w:jc w:val="center"/>
        <w:rPr>
          <w:rFonts w:ascii="宋体" w:hAnsi="宋体"/>
          <w:b/>
          <w:bCs/>
          <w:color w:val="000000" w:themeColor="text1"/>
          <w:sz w:val="44"/>
          <w:szCs w:val="44"/>
          <w:highlight w:val="none"/>
          <w14:textFill>
            <w14:solidFill>
              <w14:schemeClr w14:val="tx1"/>
            </w14:solidFill>
          </w14:textFill>
        </w:rPr>
      </w:pPr>
      <w:bookmarkStart w:id="15" w:name="_Hlk9675253"/>
      <w:r>
        <w:rPr>
          <w:rFonts w:hint="eastAsia" w:ascii="宋体" w:hAnsi="宋体"/>
          <w:b/>
          <w:bCs/>
          <w:color w:val="000000" w:themeColor="text1"/>
          <w:sz w:val="44"/>
          <w:szCs w:val="44"/>
          <w:highlight w:val="none"/>
          <w14:textFill>
            <w14:solidFill>
              <w14:schemeClr w14:val="tx1"/>
            </w14:solidFill>
          </w14:textFill>
        </w:rPr>
        <w:t>采购项目说明</w:t>
      </w:r>
    </w:p>
    <w:p w14:paraId="7D442440">
      <w:pPr>
        <w:numPr>
          <w:ilvl w:val="0"/>
          <w:numId w:val="0"/>
        </w:numPr>
        <w:spacing w:line="520" w:lineRule="exact"/>
        <w:ind w:left="602" w:leftChars="0"/>
        <w:rPr>
          <w:rFonts w:hint="eastAsia" w:ascii="仿宋_GB2312" w:hAnsi="宋体" w:eastAsia="仿宋_GB2312"/>
          <w:b/>
          <w:color w:val="000000" w:themeColor="text1"/>
          <w:sz w:val="30"/>
          <w:szCs w:val="30"/>
          <w:highlight w:val="none"/>
          <w14:textFill>
            <w14:solidFill>
              <w14:schemeClr w14:val="tx1"/>
            </w14:solidFill>
          </w14:textFill>
        </w:rPr>
      </w:pPr>
      <w:bookmarkStart w:id="16" w:name="_Hlk525988930"/>
      <w:r>
        <w:rPr>
          <w:rFonts w:hint="eastAsia" w:ascii="仿宋_GB2312" w:hAnsi="宋体" w:eastAsia="仿宋_GB2312" w:cs="Times New Roman"/>
          <w:b/>
          <w:color w:val="000000" w:themeColor="text1"/>
          <w:kern w:val="2"/>
          <w:sz w:val="30"/>
          <w:szCs w:val="30"/>
          <w:highlight w:val="none"/>
          <w:lang w:val="en-US" w:eastAsia="zh-CN" w:bidi="ar-SA"/>
          <w14:textFill>
            <w14:solidFill>
              <w14:schemeClr w14:val="tx1"/>
            </w14:solidFill>
          </w14:textFill>
        </w:rPr>
        <w:t>一、</w:t>
      </w:r>
      <w:r>
        <w:rPr>
          <w:rFonts w:hint="eastAsia" w:ascii="仿宋_GB2312" w:hAnsi="宋体" w:eastAsia="仿宋_GB2312"/>
          <w:b/>
          <w:color w:val="000000" w:themeColor="text1"/>
          <w:sz w:val="30"/>
          <w:szCs w:val="30"/>
          <w:highlight w:val="none"/>
          <w14:textFill>
            <w14:solidFill>
              <w14:schemeClr w14:val="tx1"/>
            </w14:solidFill>
          </w14:textFill>
        </w:rPr>
        <w:t>项目名称：建筑垃圾分拣中心项目用车</w:t>
      </w:r>
    </w:p>
    <w:p w14:paraId="437ED674">
      <w:pPr>
        <w:numPr>
          <w:ilvl w:val="0"/>
          <w:numId w:val="0"/>
        </w:numPr>
        <w:spacing w:line="520" w:lineRule="exact"/>
        <w:rPr>
          <w:rFonts w:hint="default"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 xml:space="preserve">    二、项目清单</w:t>
      </w:r>
    </w:p>
    <w:tbl>
      <w:tblPr>
        <w:tblStyle w:val="49"/>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840"/>
        <w:gridCol w:w="1524"/>
        <w:gridCol w:w="2915"/>
        <w:gridCol w:w="838"/>
        <w:gridCol w:w="854"/>
        <w:gridCol w:w="2181"/>
      </w:tblGrid>
      <w:tr w14:paraId="5075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99" w:type="pct"/>
            <w:vAlign w:val="center"/>
          </w:tcPr>
          <w:p w14:paraId="2DC1159F">
            <w:pPr>
              <w:spacing w:line="360" w:lineRule="exact"/>
              <w:jc w:val="center"/>
              <w:rPr>
                <w:rFonts w:hint="default"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序号</w:t>
            </w:r>
          </w:p>
        </w:tc>
        <w:tc>
          <w:tcPr>
            <w:tcW w:w="422" w:type="pct"/>
            <w:vAlign w:val="center"/>
          </w:tcPr>
          <w:p w14:paraId="7C04D1B4">
            <w:pPr>
              <w:spacing w:line="360" w:lineRule="exact"/>
              <w:jc w:val="center"/>
              <w:rPr>
                <w:rFonts w:hint="eastAsia"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包号</w:t>
            </w:r>
          </w:p>
        </w:tc>
        <w:tc>
          <w:tcPr>
            <w:tcW w:w="766" w:type="pct"/>
            <w:vAlign w:val="center"/>
          </w:tcPr>
          <w:p w14:paraId="1D2510F1">
            <w:pPr>
              <w:spacing w:line="360" w:lineRule="exact"/>
              <w:jc w:val="center"/>
              <w:rPr>
                <w:rFonts w:hint="default"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包名称</w:t>
            </w:r>
          </w:p>
        </w:tc>
        <w:tc>
          <w:tcPr>
            <w:tcW w:w="1465" w:type="pct"/>
            <w:vAlign w:val="center"/>
          </w:tcPr>
          <w:p w14:paraId="7E0A7E97">
            <w:pPr>
              <w:spacing w:line="360" w:lineRule="exact"/>
              <w:jc w:val="center"/>
              <w:rPr>
                <w:rFonts w:hint="eastAsia"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清单名称</w:t>
            </w:r>
          </w:p>
        </w:tc>
        <w:tc>
          <w:tcPr>
            <w:tcW w:w="421" w:type="pct"/>
            <w:vAlign w:val="center"/>
          </w:tcPr>
          <w:p w14:paraId="2C5A233C">
            <w:pPr>
              <w:spacing w:line="360" w:lineRule="exact"/>
              <w:jc w:val="center"/>
              <w:rPr>
                <w:rFonts w:hint="eastAsia"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数量</w:t>
            </w:r>
          </w:p>
        </w:tc>
        <w:tc>
          <w:tcPr>
            <w:tcW w:w="429" w:type="pct"/>
            <w:vAlign w:val="center"/>
          </w:tcPr>
          <w:p w14:paraId="59284957">
            <w:pPr>
              <w:spacing w:line="360" w:lineRule="exact"/>
              <w:jc w:val="center"/>
              <w:rPr>
                <w:rFonts w:hint="eastAsia"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单位</w:t>
            </w:r>
          </w:p>
        </w:tc>
        <w:tc>
          <w:tcPr>
            <w:tcW w:w="1096" w:type="pct"/>
            <w:vAlign w:val="center"/>
          </w:tcPr>
          <w:p w14:paraId="150E4066">
            <w:pPr>
              <w:spacing w:line="360" w:lineRule="exact"/>
              <w:jc w:val="center"/>
              <w:rPr>
                <w:rFonts w:hint="default" w:ascii="仿宋" w:hAnsi="仿宋" w:eastAsia="仿宋"/>
                <w:b/>
                <w:bCs/>
                <w:color w:val="000000" w:themeColor="text1"/>
                <w:sz w:val="24"/>
                <w:szCs w:val="24"/>
                <w:highlight w:val="none"/>
                <w:lang w:val="en-US" w:eastAsia="zh-CN"/>
                <w14:textFill>
                  <w14:solidFill>
                    <w14:schemeClr w14:val="tx1"/>
                  </w14:solidFill>
                </w14:textFill>
              </w:rPr>
            </w:pPr>
            <w:r>
              <w:rPr>
                <w:rFonts w:hint="eastAsia" w:ascii="仿宋" w:hAnsi="仿宋" w:eastAsia="仿宋"/>
                <w:b/>
                <w:bCs/>
                <w:color w:val="000000" w:themeColor="text1"/>
                <w:sz w:val="24"/>
                <w:szCs w:val="24"/>
                <w:highlight w:val="none"/>
                <w:lang w:val="en-US" w:eastAsia="zh-CN"/>
                <w14:textFill>
                  <w14:solidFill>
                    <w14:schemeClr w14:val="tx1"/>
                  </w14:solidFill>
                </w14:textFill>
              </w:rPr>
              <w:t>上限单价（元）</w:t>
            </w:r>
          </w:p>
        </w:tc>
      </w:tr>
      <w:tr w14:paraId="0B20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0C5628F1">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w:t>
            </w:r>
          </w:p>
        </w:tc>
        <w:tc>
          <w:tcPr>
            <w:tcW w:w="422" w:type="pct"/>
            <w:vMerge w:val="restart"/>
            <w:vAlign w:val="center"/>
          </w:tcPr>
          <w:p w14:paraId="2A72F752">
            <w:pPr>
              <w:spacing w:line="360" w:lineRule="exact"/>
              <w:jc w:val="center"/>
              <w:rPr>
                <w:rFonts w:hint="default" w:ascii="仿宋_GB2312" w:hAnsi="宋体" w:eastAsia="仿宋_GB2312"/>
                <w:b/>
                <w:color w:val="000000" w:themeColor="text1"/>
                <w:sz w:val="24"/>
                <w:szCs w:val="24"/>
                <w:highlight w:val="none"/>
                <w:vertAlign w:val="baseli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001</w:t>
            </w:r>
          </w:p>
        </w:tc>
        <w:tc>
          <w:tcPr>
            <w:tcW w:w="766" w:type="pct"/>
            <w:vMerge w:val="restart"/>
            <w:vAlign w:val="center"/>
          </w:tcPr>
          <w:p w14:paraId="29D4F2A8">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压缩、吸污、工程机械车</w:t>
            </w:r>
          </w:p>
        </w:tc>
        <w:tc>
          <w:tcPr>
            <w:tcW w:w="1465" w:type="pct"/>
            <w:vAlign w:val="center"/>
          </w:tcPr>
          <w:p w14:paraId="0EB521F7">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18吨无滴漏垃圾压缩车</w:t>
            </w:r>
          </w:p>
        </w:tc>
        <w:tc>
          <w:tcPr>
            <w:tcW w:w="421" w:type="pct"/>
            <w:vAlign w:val="center"/>
          </w:tcPr>
          <w:p w14:paraId="58DFAF21">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3</w:t>
            </w:r>
          </w:p>
        </w:tc>
        <w:tc>
          <w:tcPr>
            <w:tcW w:w="429" w:type="pct"/>
            <w:vAlign w:val="center"/>
          </w:tcPr>
          <w:p w14:paraId="6033F3D2">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辆</w:t>
            </w:r>
          </w:p>
        </w:tc>
        <w:tc>
          <w:tcPr>
            <w:tcW w:w="1096" w:type="pct"/>
            <w:vAlign w:val="center"/>
          </w:tcPr>
          <w:p w14:paraId="57C6F9E3">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558000.00</w:t>
            </w:r>
          </w:p>
        </w:tc>
      </w:tr>
      <w:tr w14:paraId="0D66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3269700F">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2</w:t>
            </w:r>
          </w:p>
        </w:tc>
        <w:tc>
          <w:tcPr>
            <w:tcW w:w="422" w:type="pct"/>
            <w:vMerge w:val="continue"/>
            <w:vAlign w:val="center"/>
          </w:tcPr>
          <w:p w14:paraId="3BC8978E">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766" w:type="pct"/>
            <w:vMerge w:val="continue"/>
            <w:vAlign w:val="center"/>
          </w:tcPr>
          <w:p w14:paraId="5B3FE44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1465" w:type="pct"/>
            <w:vAlign w:val="center"/>
          </w:tcPr>
          <w:p w14:paraId="5CC5240C">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18吨吸污车</w:t>
            </w:r>
          </w:p>
        </w:tc>
        <w:tc>
          <w:tcPr>
            <w:tcW w:w="421" w:type="pct"/>
            <w:vAlign w:val="center"/>
          </w:tcPr>
          <w:p w14:paraId="5BA25007">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w:t>
            </w:r>
          </w:p>
        </w:tc>
        <w:tc>
          <w:tcPr>
            <w:tcW w:w="429" w:type="pct"/>
            <w:vAlign w:val="center"/>
          </w:tcPr>
          <w:p w14:paraId="33AE343A">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辆</w:t>
            </w:r>
          </w:p>
        </w:tc>
        <w:tc>
          <w:tcPr>
            <w:tcW w:w="1096" w:type="pct"/>
            <w:vAlign w:val="center"/>
          </w:tcPr>
          <w:p w14:paraId="7BC72C40">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580000.00</w:t>
            </w:r>
          </w:p>
        </w:tc>
      </w:tr>
      <w:tr w14:paraId="6C85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33EE5D0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3</w:t>
            </w:r>
          </w:p>
        </w:tc>
        <w:tc>
          <w:tcPr>
            <w:tcW w:w="422" w:type="pct"/>
            <w:vMerge w:val="continue"/>
            <w:vAlign w:val="center"/>
          </w:tcPr>
          <w:p w14:paraId="4B4BF85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766" w:type="pct"/>
            <w:vMerge w:val="continue"/>
            <w:vAlign w:val="center"/>
          </w:tcPr>
          <w:p w14:paraId="3F4D7491">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1465" w:type="pct"/>
            <w:vAlign w:val="center"/>
          </w:tcPr>
          <w:p w14:paraId="1752828F">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工程自卸车</w:t>
            </w:r>
          </w:p>
        </w:tc>
        <w:tc>
          <w:tcPr>
            <w:tcW w:w="421" w:type="pct"/>
            <w:vAlign w:val="center"/>
          </w:tcPr>
          <w:p w14:paraId="630AD382">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3</w:t>
            </w:r>
          </w:p>
        </w:tc>
        <w:tc>
          <w:tcPr>
            <w:tcW w:w="429" w:type="pct"/>
            <w:vAlign w:val="center"/>
          </w:tcPr>
          <w:p w14:paraId="706F5CA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辆</w:t>
            </w:r>
          </w:p>
        </w:tc>
        <w:tc>
          <w:tcPr>
            <w:tcW w:w="1096" w:type="pct"/>
            <w:vAlign w:val="center"/>
          </w:tcPr>
          <w:p w14:paraId="735AE668">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547000.00</w:t>
            </w:r>
          </w:p>
        </w:tc>
      </w:tr>
      <w:tr w14:paraId="0850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49426B76">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4</w:t>
            </w:r>
          </w:p>
        </w:tc>
        <w:tc>
          <w:tcPr>
            <w:tcW w:w="422" w:type="pct"/>
            <w:vMerge w:val="continue"/>
            <w:vAlign w:val="center"/>
          </w:tcPr>
          <w:p w14:paraId="64A66E84">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766" w:type="pct"/>
            <w:vMerge w:val="continue"/>
            <w:vAlign w:val="center"/>
          </w:tcPr>
          <w:p w14:paraId="15C6A8F8">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1465" w:type="pct"/>
            <w:vAlign w:val="center"/>
          </w:tcPr>
          <w:p w14:paraId="2B65B88F">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6吨级装载机</w:t>
            </w:r>
          </w:p>
        </w:tc>
        <w:tc>
          <w:tcPr>
            <w:tcW w:w="421" w:type="pct"/>
            <w:vAlign w:val="center"/>
          </w:tcPr>
          <w:p w14:paraId="627D6893">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2</w:t>
            </w:r>
          </w:p>
        </w:tc>
        <w:tc>
          <w:tcPr>
            <w:tcW w:w="429" w:type="pct"/>
            <w:vAlign w:val="center"/>
          </w:tcPr>
          <w:p w14:paraId="124BF84F">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台</w:t>
            </w:r>
          </w:p>
        </w:tc>
        <w:tc>
          <w:tcPr>
            <w:tcW w:w="1096" w:type="pct"/>
            <w:vAlign w:val="center"/>
          </w:tcPr>
          <w:p w14:paraId="0D15189C">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530000.00</w:t>
            </w:r>
          </w:p>
        </w:tc>
      </w:tr>
      <w:tr w14:paraId="023F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0EADA7C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5</w:t>
            </w:r>
          </w:p>
        </w:tc>
        <w:tc>
          <w:tcPr>
            <w:tcW w:w="422" w:type="pct"/>
            <w:vMerge w:val="continue"/>
            <w:vAlign w:val="center"/>
          </w:tcPr>
          <w:p w14:paraId="739FCE76">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766" w:type="pct"/>
            <w:vMerge w:val="continue"/>
            <w:vAlign w:val="center"/>
          </w:tcPr>
          <w:p w14:paraId="17C90F0A">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1465" w:type="pct"/>
            <w:vAlign w:val="center"/>
          </w:tcPr>
          <w:p w14:paraId="41474E52">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3.5吨叉车</w:t>
            </w:r>
          </w:p>
        </w:tc>
        <w:tc>
          <w:tcPr>
            <w:tcW w:w="421" w:type="pct"/>
            <w:vAlign w:val="center"/>
          </w:tcPr>
          <w:p w14:paraId="3BBCE12E">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w:t>
            </w:r>
          </w:p>
        </w:tc>
        <w:tc>
          <w:tcPr>
            <w:tcW w:w="429" w:type="pct"/>
            <w:vAlign w:val="center"/>
          </w:tcPr>
          <w:p w14:paraId="74E82A66">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台</w:t>
            </w:r>
          </w:p>
        </w:tc>
        <w:tc>
          <w:tcPr>
            <w:tcW w:w="1096" w:type="pct"/>
            <w:vAlign w:val="center"/>
          </w:tcPr>
          <w:p w14:paraId="72B31B4B">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105000.00</w:t>
            </w:r>
          </w:p>
        </w:tc>
      </w:tr>
      <w:tr w14:paraId="5149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4CDCB2F2">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6</w:t>
            </w:r>
          </w:p>
        </w:tc>
        <w:tc>
          <w:tcPr>
            <w:tcW w:w="422" w:type="pct"/>
            <w:vAlign w:val="center"/>
          </w:tcPr>
          <w:p w14:paraId="0EFA1071">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002</w:t>
            </w:r>
          </w:p>
        </w:tc>
        <w:tc>
          <w:tcPr>
            <w:tcW w:w="766" w:type="pct"/>
            <w:vAlign w:val="center"/>
          </w:tcPr>
          <w:p w14:paraId="247BF7B4">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挖掘机</w:t>
            </w:r>
          </w:p>
        </w:tc>
        <w:tc>
          <w:tcPr>
            <w:tcW w:w="1465" w:type="pct"/>
            <w:vAlign w:val="center"/>
          </w:tcPr>
          <w:p w14:paraId="0C994929">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挖掘机</w:t>
            </w:r>
          </w:p>
        </w:tc>
        <w:tc>
          <w:tcPr>
            <w:tcW w:w="421" w:type="pct"/>
            <w:vAlign w:val="center"/>
          </w:tcPr>
          <w:p w14:paraId="10268DB3">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w:t>
            </w:r>
          </w:p>
        </w:tc>
        <w:tc>
          <w:tcPr>
            <w:tcW w:w="429" w:type="pct"/>
            <w:vAlign w:val="center"/>
          </w:tcPr>
          <w:p w14:paraId="082F7866">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台</w:t>
            </w:r>
          </w:p>
        </w:tc>
        <w:tc>
          <w:tcPr>
            <w:tcW w:w="1096" w:type="pct"/>
            <w:vAlign w:val="center"/>
          </w:tcPr>
          <w:p w14:paraId="60A87F3E">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1360000.00</w:t>
            </w:r>
          </w:p>
        </w:tc>
      </w:tr>
      <w:tr w14:paraId="75E9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5B46417E">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7</w:t>
            </w:r>
          </w:p>
        </w:tc>
        <w:tc>
          <w:tcPr>
            <w:tcW w:w="422" w:type="pct"/>
            <w:vMerge w:val="restart"/>
            <w:vAlign w:val="center"/>
          </w:tcPr>
          <w:p w14:paraId="1607F643">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003</w:t>
            </w:r>
          </w:p>
        </w:tc>
        <w:tc>
          <w:tcPr>
            <w:tcW w:w="766" w:type="pct"/>
            <w:vMerge w:val="restart"/>
            <w:vAlign w:val="center"/>
          </w:tcPr>
          <w:p w14:paraId="1C8205FF">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垃圾转运车及垃圾转运容器</w:t>
            </w:r>
          </w:p>
        </w:tc>
        <w:tc>
          <w:tcPr>
            <w:tcW w:w="1465" w:type="pct"/>
            <w:vAlign w:val="center"/>
          </w:tcPr>
          <w:p w14:paraId="1A48E1FD">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垃圾转运车</w:t>
            </w:r>
          </w:p>
        </w:tc>
        <w:tc>
          <w:tcPr>
            <w:tcW w:w="421" w:type="pct"/>
            <w:vAlign w:val="center"/>
          </w:tcPr>
          <w:p w14:paraId="1EA19389">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2</w:t>
            </w:r>
          </w:p>
        </w:tc>
        <w:tc>
          <w:tcPr>
            <w:tcW w:w="429" w:type="pct"/>
            <w:vAlign w:val="center"/>
          </w:tcPr>
          <w:p w14:paraId="0866B6EB">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辆</w:t>
            </w:r>
          </w:p>
        </w:tc>
        <w:tc>
          <w:tcPr>
            <w:tcW w:w="1096" w:type="pct"/>
            <w:vAlign w:val="center"/>
          </w:tcPr>
          <w:p w14:paraId="276A21D7">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882800.00</w:t>
            </w:r>
          </w:p>
        </w:tc>
      </w:tr>
      <w:tr w14:paraId="68BF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99" w:type="pct"/>
            <w:vAlign w:val="center"/>
          </w:tcPr>
          <w:p w14:paraId="5BFC18A9">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8</w:t>
            </w:r>
          </w:p>
        </w:tc>
        <w:tc>
          <w:tcPr>
            <w:tcW w:w="422" w:type="pct"/>
            <w:vMerge w:val="continue"/>
            <w:vAlign w:val="center"/>
          </w:tcPr>
          <w:p w14:paraId="7ED36E5B">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766" w:type="pct"/>
            <w:vMerge w:val="continue"/>
            <w:vAlign w:val="center"/>
          </w:tcPr>
          <w:p w14:paraId="5EB11473">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p>
        </w:tc>
        <w:tc>
          <w:tcPr>
            <w:tcW w:w="1465" w:type="pct"/>
            <w:vAlign w:val="center"/>
          </w:tcPr>
          <w:p w14:paraId="3F739941">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垃圾转运容器</w:t>
            </w:r>
          </w:p>
        </w:tc>
        <w:tc>
          <w:tcPr>
            <w:tcW w:w="421" w:type="pct"/>
            <w:vAlign w:val="center"/>
          </w:tcPr>
          <w:p w14:paraId="04BAD81F">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2</w:t>
            </w:r>
          </w:p>
        </w:tc>
        <w:tc>
          <w:tcPr>
            <w:tcW w:w="429" w:type="pct"/>
            <w:vAlign w:val="center"/>
          </w:tcPr>
          <w:p w14:paraId="61B12F87">
            <w:pPr>
              <w:spacing w:line="360" w:lineRule="exact"/>
              <w:jc w:val="center"/>
              <w:rPr>
                <w:rFonts w:hint="eastAsia"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个</w:t>
            </w:r>
          </w:p>
        </w:tc>
        <w:tc>
          <w:tcPr>
            <w:tcW w:w="1096" w:type="pct"/>
            <w:vAlign w:val="center"/>
          </w:tcPr>
          <w:p w14:paraId="1422BC45">
            <w:pPr>
              <w:spacing w:line="360" w:lineRule="exact"/>
              <w:jc w:val="center"/>
              <w:rPr>
                <w:rFonts w:hint="default" w:ascii="仿宋" w:hAnsi="仿宋" w:eastAsia="仿宋"/>
                <w:bCs/>
                <w:color w:val="000000" w:themeColor="text1"/>
                <w:sz w:val="24"/>
                <w:szCs w:val="24"/>
                <w:highlight w:val="none"/>
                <w:lang w:val="en-US" w:eastAsia="zh-CN"/>
                <w14:textFill>
                  <w14:solidFill>
                    <w14:schemeClr w14:val="tx1"/>
                  </w14:solidFill>
                </w14:textFill>
              </w:rPr>
            </w:pPr>
            <w:r>
              <w:rPr>
                <w:rFonts w:hint="eastAsia" w:ascii="仿宋" w:hAnsi="仿宋" w:eastAsia="仿宋"/>
                <w:bCs/>
                <w:color w:val="000000" w:themeColor="text1"/>
                <w:sz w:val="24"/>
                <w:szCs w:val="24"/>
                <w:highlight w:val="none"/>
                <w:lang w:val="en-US" w:eastAsia="zh-CN"/>
                <w14:textFill>
                  <w14:solidFill>
                    <w14:schemeClr w14:val="tx1"/>
                  </w14:solidFill>
                </w14:textFill>
              </w:rPr>
              <w:t>168600.00</w:t>
            </w:r>
          </w:p>
        </w:tc>
      </w:tr>
    </w:tbl>
    <w:p w14:paraId="601DD686">
      <w:pPr>
        <w:spacing w:line="520" w:lineRule="exact"/>
        <w:ind w:left="602"/>
        <w:rPr>
          <w:rFonts w:hint="eastAsia" w:ascii="仿宋_GB2312" w:hAnsi="宋体" w:eastAsia="仿宋_GB2312"/>
          <w:b/>
          <w:color w:val="000000" w:themeColor="text1"/>
          <w:sz w:val="30"/>
          <w:szCs w:val="30"/>
          <w:highlight w:val="none"/>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三</w:t>
      </w:r>
      <w:r>
        <w:rPr>
          <w:rFonts w:hint="eastAsia" w:ascii="仿宋_GB2312" w:hAnsi="宋体" w:eastAsia="仿宋_GB2312"/>
          <w:b/>
          <w:color w:val="000000" w:themeColor="text1"/>
          <w:sz w:val="30"/>
          <w:szCs w:val="30"/>
          <w:highlight w:val="none"/>
          <w14:textFill>
            <w14:solidFill>
              <w14:schemeClr w14:val="tx1"/>
            </w14:solidFill>
          </w14:textFill>
        </w:rPr>
        <w:t>、技术说明及要求：</w:t>
      </w:r>
    </w:p>
    <w:p w14:paraId="71F8D5F1">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001包技术要求：</w:t>
      </w:r>
    </w:p>
    <w:p w14:paraId="05E65776">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18吨无滴漏垃圾压缩车</w:t>
      </w:r>
    </w:p>
    <w:p w14:paraId="14B7E442">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 xml:space="preserve">（一）主要参数要求 </w:t>
      </w:r>
    </w:p>
    <w:tbl>
      <w:tblPr>
        <w:tblStyle w:val="4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2"/>
        <w:gridCol w:w="4334"/>
      </w:tblGrid>
      <w:tr w14:paraId="089A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279CB583">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项目</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0FE48A26">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参数</w:t>
            </w:r>
          </w:p>
        </w:tc>
      </w:tr>
      <w:tr w14:paraId="38C8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654B25D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lang w:val="zh-CN"/>
                <w14:textFill>
                  <w14:solidFill>
                    <w14:schemeClr w14:val="tx1"/>
                  </w14:solidFill>
                </w14:textFill>
              </w:rPr>
              <w:t>底盘类别</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B7F5DF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DFH1180EX8或优于</w:t>
            </w:r>
          </w:p>
        </w:tc>
      </w:tr>
      <w:tr w14:paraId="1F88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34216B42">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发动机</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6DAD755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B6.2NS6B230或优于</w:t>
            </w:r>
          </w:p>
        </w:tc>
      </w:tr>
      <w:tr w14:paraId="0AE5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59D1DF3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底盘发动机额定功率（kW）</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DE20F0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≥169</w:t>
            </w:r>
          </w:p>
        </w:tc>
      </w:tr>
      <w:tr w14:paraId="52B8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444B9524">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最大总质量(kg)</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3F649A8D">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18000（±500）</w:t>
            </w:r>
          </w:p>
        </w:tc>
      </w:tr>
      <w:tr w14:paraId="1DC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6DA0163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整备质量(kg)</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619238B">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≥10300</w:t>
            </w:r>
          </w:p>
        </w:tc>
      </w:tr>
      <w:tr w14:paraId="7C8A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4A87ABE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额定质量(kg)</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3D10580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≥7200</w:t>
            </w:r>
          </w:p>
        </w:tc>
      </w:tr>
      <w:tr w14:paraId="1231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078FE44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外形尺寸(长×宽×高)(mm)</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437F2F0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≥8000×2500×3500</w:t>
            </w:r>
          </w:p>
        </w:tc>
      </w:tr>
      <w:tr w14:paraId="5B54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6A7720E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前悬/后悬（mm）</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B08B59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≤1430/2400</w:t>
            </w:r>
          </w:p>
        </w:tc>
      </w:tr>
      <w:tr w14:paraId="7D46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59CC737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接近角/离去角（°）</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47DF39F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≥17/15</w:t>
            </w:r>
          </w:p>
        </w:tc>
      </w:tr>
      <w:tr w14:paraId="4851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6452391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最高车速(km/h)</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21A43AA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≥89</w:t>
            </w:r>
          </w:p>
        </w:tc>
      </w:tr>
      <w:tr w14:paraId="4AEB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5F385467">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轴距（mm）</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126759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≤4500</w:t>
            </w:r>
          </w:p>
        </w:tc>
      </w:tr>
      <w:tr w14:paraId="1F1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0DA3465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压缩方式</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1BABFF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单向压缩</w:t>
            </w:r>
          </w:p>
        </w:tc>
      </w:tr>
      <w:tr w14:paraId="7123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6D03D6F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垃圾箱有效容积(m³)</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33FED238">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≥13</w:t>
            </w:r>
          </w:p>
        </w:tc>
      </w:tr>
      <w:tr w14:paraId="3380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7161DF4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车箱污水储纳容积(L)</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39739D3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≥3580</w:t>
            </w:r>
          </w:p>
        </w:tc>
      </w:tr>
      <w:tr w14:paraId="261F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58D2C1B2">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污水箱容积（L）</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2A5D859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≥600</w:t>
            </w:r>
          </w:p>
        </w:tc>
      </w:tr>
      <w:tr w14:paraId="1035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25" w:type="pct"/>
            <w:tcBorders>
              <w:top w:val="single" w:color="auto" w:sz="4" w:space="0"/>
              <w:left w:val="single" w:color="auto" w:sz="4" w:space="0"/>
              <w:bottom w:val="single" w:color="auto" w:sz="4" w:space="0"/>
              <w:right w:val="single" w:color="auto" w:sz="4" w:space="0"/>
            </w:tcBorders>
            <w:noWrap w:val="0"/>
            <w:vAlign w:val="center"/>
          </w:tcPr>
          <w:p w14:paraId="1210A9D6">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驾驶室内温度调节</w:t>
            </w:r>
          </w:p>
        </w:tc>
        <w:tc>
          <w:tcPr>
            <w:tcW w:w="2174" w:type="pct"/>
            <w:tcBorders>
              <w:top w:val="single" w:color="auto" w:sz="4" w:space="0"/>
              <w:left w:val="single" w:color="auto" w:sz="4" w:space="0"/>
              <w:bottom w:val="single" w:color="auto" w:sz="4" w:space="0"/>
              <w:right w:val="single" w:color="auto" w:sz="4" w:space="0"/>
            </w:tcBorders>
            <w:noWrap w:val="0"/>
            <w:vAlign w:val="center"/>
          </w:tcPr>
          <w:p w14:paraId="5CAA5309">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配原厂冷暖空调</w:t>
            </w:r>
          </w:p>
        </w:tc>
      </w:tr>
    </w:tbl>
    <w:p w14:paraId="067D069B">
      <w:pPr>
        <w:spacing w:line="560" w:lineRule="exact"/>
        <w:ind w:firstLine="602" w:firstLineChars="200"/>
        <w:rPr>
          <w:rFonts w:hint="eastAsia" w:ascii="仿宋_GB2312" w:hAnsi="宋体" w:eastAsia="仿宋_GB2312"/>
          <w:b/>
          <w:bCs w:val="0"/>
          <w:color w:val="000000" w:themeColor="text1"/>
          <w:sz w:val="30"/>
          <w:szCs w:val="30"/>
          <w:highlight w:val="none"/>
          <w14:textFill>
            <w14:solidFill>
              <w14:schemeClr w14:val="tx1"/>
            </w14:solidFill>
          </w14:textFill>
        </w:rPr>
      </w:pPr>
      <w:r>
        <w:rPr>
          <w:rFonts w:hint="eastAsia" w:ascii="仿宋_GB2312" w:hAnsi="宋体" w:eastAsia="仿宋_GB2312"/>
          <w:b/>
          <w:bCs w:val="0"/>
          <w:color w:val="000000" w:themeColor="text1"/>
          <w:sz w:val="30"/>
          <w:szCs w:val="30"/>
          <w:highlight w:val="none"/>
          <w:lang w:eastAsia="zh-CN"/>
          <w14:textFill>
            <w14:solidFill>
              <w14:schemeClr w14:val="tx1"/>
            </w14:solidFill>
          </w14:textFill>
        </w:rPr>
        <w:t>（</w:t>
      </w:r>
      <w:r>
        <w:rPr>
          <w:rFonts w:hint="eastAsia" w:ascii="仿宋_GB2312" w:hAnsi="宋体" w:eastAsia="仿宋_GB2312"/>
          <w:b/>
          <w:bCs w:val="0"/>
          <w:color w:val="000000" w:themeColor="text1"/>
          <w:sz w:val="30"/>
          <w:szCs w:val="30"/>
          <w:highlight w:val="none"/>
          <w:lang w:val="en-US" w:eastAsia="zh-CN"/>
          <w14:textFill>
            <w14:solidFill>
              <w14:schemeClr w14:val="tx1"/>
            </w14:solidFill>
          </w14:textFill>
        </w:rPr>
        <w:t>二</w:t>
      </w:r>
      <w:r>
        <w:rPr>
          <w:rFonts w:hint="eastAsia" w:ascii="仿宋_GB2312" w:hAnsi="宋体" w:eastAsia="仿宋_GB2312"/>
          <w:b/>
          <w:bCs w:val="0"/>
          <w:color w:val="000000" w:themeColor="text1"/>
          <w:sz w:val="30"/>
          <w:szCs w:val="30"/>
          <w:highlight w:val="none"/>
          <w:lang w:eastAsia="zh-CN"/>
          <w14:textFill>
            <w14:solidFill>
              <w14:schemeClr w14:val="tx1"/>
            </w14:solidFill>
          </w14:textFill>
        </w:rPr>
        <w:t>）</w:t>
      </w:r>
      <w:r>
        <w:rPr>
          <w:rFonts w:hint="eastAsia" w:ascii="仿宋_GB2312" w:hAnsi="宋体" w:eastAsia="仿宋_GB2312"/>
          <w:b/>
          <w:bCs w:val="0"/>
          <w:color w:val="000000" w:themeColor="text1"/>
          <w:sz w:val="30"/>
          <w:szCs w:val="30"/>
          <w:highlight w:val="none"/>
          <w14:textFill>
            <w14:solidFill>
              <w14:schemeClr w14:val="tx1"/>
            </w14:solidFill>
          </w14:textFill>
        </w:rPr>
        <w:t>主要性能要求</w:t>
      </w:r>
    </w:p>
    <w:p w14:paraId="434AD693">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1、箱体尾部船型设计，形成密闭污水池，可储存大量的污水，后门锁紧装置液压油缸驱动，增加箱体密闭性，杜绝污水滴漏等二次污染。</w:t>
      </w:r>
    </w:p>
    <w:p w14:paraId="121D48AC">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2、采用后装上料，由箱体顶部的压缩机构进行压缩，压缩机构代替盖板功能，使垃圾处于密闭状态。</w:t>
      </w:r>
    </w:p>
    <w:p w14:paraId="667566AB">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3、采用高位上料机构，满足240L/660L塑料桶装垃圾的收集，上料机构采用凸轮机构驱动压桶板来执行压桶，消除高位上料作业过程中所可能出现的掉桶风险。</w:t>
      </w:r>
    </w:p>
    <w:p w14:paraId="152C3879">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4、卸料时，打开后门，采用推板卸料，保证垃圾清除干净。采用高强度的U形整体成型槽钢，作为垃圾推板的活动导轨。</w:t>
      </w:r>
    </w:p>
    <w:p w14:paraId="25A75D25">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5、污水箱设清理门，方便冲洗维护，压缩机构滑槽处设可拆卸窗口。</w:t>
      </w:r>
    </w:p>
    <w:p w14:paraId="7D80FC06">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6、具有紧急制动按纽，用于紧急停止设备运行的安全装置。</w:t>
      </w:r>
    </w:p>
    <w:p w14:paraId="70146335">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7、具备自动、手动双套操纵方式，能在驾驶室、车辆中部、车辆后部等多位控制垃圾车作业，方便高效。</w:t>
      </w:r>
    </w:p>
    <w:p w14:paraId="6DCAA40E">
      <w:p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8、车辆为交钥匙工程，包含购置税、保险（包含交强险，车船使用税，商业险含车损，第三者责任险不低于200万元）、挂牌等费用。</w:t>
      </w:r>
    </w:p>
    <w:p w14:paraId="5537E10E">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18吨吸污车</w:t>
      </w:r>
    </w:p>
    <w:p w14:paraId="65C84C26">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（一）主要参数要求</w:t>
      </w:r>
    </w:p>
    <w:tbl>
      <w:tblPr>
        <w:tblStyle w:val="4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89"/>
        <w:gridCol w:w="4375"/>
      </w:tblGrid>
      <w:tr w14:paraId="0B1D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5FE4DAC6">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项目</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282FF929">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参数</w:t>
            </w:r>
          </w:p>
        </w:tc>
      </w:tr>
      <w:tr w14:paraId="4F6B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2C878728">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lang w:val="zh-CN"/>
                <w14:textFill>
                  <w14:solidFill>
                    <w14:schemeClr w14:val="tx1"/>
                  </w14:solidFill>
                </w14:textFill>
              </w:rPr>
              <w:t>底盘类别</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048140A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BJ1181Y6AKS-03或优于</w:t>
            </w:r>
          </w:p>
        </w:tc>
      </w:tr>
      <w:tr w14:paraId="22D4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64E55477">
            <w:pPr>
              <w:spacing w:line="360" w:lineRule="exact"/>
              <w:jc w:val="left"/>
              <w:rPr>
                <w:rFonts w:hint="eastAsia" w:ascii="仿宋" w:hAnsi="仿宋" w:eastAsia="仿宋"/>
                <w:bCs/>
                <w:color w:val="000000" w:themeColor="text1"/>
                <w:szCs w:val="21"/>
                <w:highlight w:val="none"/>
                <w:lang w:val="zh-CN"/>
                <w14:textFill>
                  <w14:solidFill>
                    <w14:schemeClr w14:val="tx1"/>
                  </w14:solidFill>
                </w14:textFill>
              </w:rPr>
            </w:pPr>
            <w:r>
              <w:rPr>
                <w:rFonts w:hint="eastAsia" w:ascii="仿宋" w:hAnsi="仿宋" w:eastAsia="仿宋"/>
                <w:bCs/>
                <w:color w:val="000000" w:themeColor="text1"/>
                <w:szCs w:val="21"/>
                <w:highlight w:val="none"/>
                <w:lang w:val="zh-CN"/>
                <w14:textFill>
                  <w14:solidFill>
                    <w14:schemeClr w14:val="tx1"/>
                  </w14:solidFill>
                </w14:textFill>
              </w:rPr>
              <w:t>发动机</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63A03F6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YCS04200-68或优于</w:t>
            </w:r>
          </w:p>
        </w:tc>
      </w:tr>
      <w:tr w14:paraId="3BBB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353DC5C0">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底盘发动机额定功率（kW）</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401372B9">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≥140</w:t>
            </w:r>
          </w:p>
        </w:tc>
      </w:tr>
      <w:tr w14:paraId="69F0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0D4D0BC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最大总质量(kg)</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7F1D9BF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18000（±500）</w:t>
            </w:r>
          </w:p>
        </w:tc>
      </w:tr>
      <w:tr w14:paraId="4233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09DC00C7">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整备质量(kg)</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5F0CFEEA">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≥8600</w:t>
            </w:r>
          </w:p>
        </w:tc>
      </w:tr>
      <w:tr w14:paraId="47A7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2D56749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额定质量(kg)</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47CDB650">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≥8300</w:t>
            </w:r>
          </w:p>
        </w:tc>
      </w:tr>
      <w:tr w14:paraId="4708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0EB1E9C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外形尺寸（长×宽×高）(mm)</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136D5AA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≥8100×2490×3500</w:t>
            </w:r>
          </w:p>
        </w:tc>
      </w:tr>
      <w:tr w14:paraId="3780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1F6F5495">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前悬/后悬（mm）</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6E46646A">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≤1270/2330</w:t>
            </w:r>
          </w:p>
        </w:tc>
      </w:tr>
      <w:tr w14:paraId="0A7F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6DEA2BE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接近角/离去角（°）</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5A1EA9D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≥18/11</w:t>
            </w:r>
          </w:p>
        </w:tc>
      </w:tr>
      <w:tr w14:paraId="55ED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4D072BA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轴距(mm)</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78AD80A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≤5200</w:t>
            </w:r>
          </w:p>
        </w:tc>
      </w:tr>
      <w:tr w14:paraId="519E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329E0DC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最高车速（km/h）</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5E632627">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≥89</w:t>
            </w:r>
          </w:p>
        </w:tc>
      </w:tr>
      <w:tr w14:paraId="6281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34444030">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真空泵流量(m3/min)</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470624A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≥13</w:t>
            </w:r>
          </w:p>
        </w:tc>
      </w:tr>
      <w:tr w14:paraId="4CAA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4F51776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有效吸程(m)</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051A778A">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≥6</w:t>
            </w:r>
          </w:p>
        </w:tc>
      </w:tr>
      <w:tr w14:paraId="1E5C7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3F241BB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满罐抽吸时间(min)</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6CCA57B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≤10</w:t>
            </w:r>
          </w:p>
        </w:tc>
      </w:tr>
      <w:tr w14:paraId="4E61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2220B5F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吸污管内径(mm)</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786898F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≥100</w:t>
            </w:r>
          </w:p>
        </w:tc>
      </w:tr>
      <w:tr w14:paraId="40D0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083B71C8">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污水罐公告有效容积(m3)</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68A857EF">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≥10</w:t>
            </w:r>
          </w:p>
        </w:tc>
      </w:tr>
      <w:tr w14:paraId="3A97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jc w:val="center"/>
        </w:trPr>
        <w:tc>
          <w:tcPr>
            <w:tcW w:w="2782" w:type="pct"/>
            <w:tcBorders>
              <w:top w:val="single" w:color="auto" w:sz="4" w:space="0"/>
              <w:left w:val="single" w:color="auto" w:sz="4" w:space="0"/>
              <w:bottom w:val="single" w:color="auto" w:sz="4" w:space="0"/>
              <w:right w:val="single" w:color="auto" w:sz="4" w:space="0"/>
            </w:tcBorders>
            <w:noWrap w:val="0"/>
            <w:vAlign w:val="center"/>
          </w:tcPr>
          <w:p w14:paraId="036A904A">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污水罐最大举升角(°)</w:t>
            </w:r>
          </w:p>
        </w:tc>
        <w:tc>
          <w:tcPr>
            <w:tcW w:w="2217" w:type="pct"/>
            <w:tcBorders>
              <w:top w:val="single" w:color="auto" w:sz="4" w:space="0"/>
              <w:left w:val="single" w:color="auto" w:sz="4" w:space="0"/>
              <w:bottom w:val="single" w:color="auto" w:sz="4" w:space="0"/>
              <w:right w:val="single" w:color="auto" w:sz="4" w:space="0"/>
            </w:tcBorders>
            <w:noWrap w:val="0"/>
            <w:vAlign w:val="center"/>
          </w:tcPr>
          <w:p w14:paraId="6F65AECC">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≥45</w:t>
            </w:r>
          </w:p>
        </w:tc>
      </w:tr>
    </w:tbl>
    <w:p w14:paraId="03AA0473">
      <w:pPr>
        <w:spacing w:line="560" w:lineRule="exact"/>
        <w:ind w:firstLine="602" w:firstLineChars="200"/>
        <w:rPr>
          <w:rFonts w:hint="eastAsia" w:ascii="仿宋_GB2312" w:hAnsi="宋体" w:eastAsia="仿宋_GB2312"/>
          <w:b/>
          <w:bCs w:val="0"/>
          <w:color w:val="000000" w:themeColor="text1"/>
          <w:sz w:val="30"/>
          <w:szCs w:val="30"/>
          <w:highlight w:val="none"/>
          <w14:textFill>
            <w14:solidFill>
              <w14:schemeClr w14:val="tx1"/>
            </w14:solidFill>
          </w14:textFill>
        </w:rPr>
      </w:pPr>
      <w:r>
        <w:rPr>
          <w:rFonts w:hint="eastAsia" w:ascii="仿宋_GB2312" w:hAnsi="宋体" w:eastAsia="仿宋_GB2312"/>
          <w:b/>
          <w:bCs w:val="0"/>
          <w:color w:val="000000" w:themeColor="text1"/>
          <w:sz w:val="30"/>
          <w:szCs w:val="30"/>
          <w:highlight w:val="none"/>
          <w:lang w:eastAsia="zh-CN"/>
          <w14:textFill>
            <w14:solidFill>
              <w14:schemeClr w14:val="tx1"/>
            </w14:solidFill>
          </w14:textFill>
        </w:rPr>
        <w:t>（</w:t>
      </w:r>
      <w:r>
        <w:rPr>
          <w:rFonts w:hint="eastAsia" w:ascii="仿宋_GB2312" w:hAnsi="宋体" w:eastAsia="仿宋_GB2312"/>
          <w:b/>
          <w:bCs w:val="0"/>
          <w:color w:val="000000" w:themeColor="text1"/>
          <w:sz w:val="30"/>
          <w:szCs w:val="30"/>
          <w:highlight w:val="none"/>
          <w:lang w:val="en-US" w:eastAsia="zh-CN"/>
          <w14:textFill>
            <w14:solidFill>
              <w14:schemeClr w14:val="tx1"/>
            </w14:solidFill>
          </w14:textFill>
        </w:rPr>
        <w:t>二</w:t>
      </w:r>
      <w:r>
        <w:rPr>
          <w:rFonts w:hint="eastAsia" w:ascii="仿宋_GB2312" w:hAnsi="宋体" w:eastAsia="仿宋_GB2312"/>
          <w:b/>
          <w:bCs w:val="0"/>
          <w:color w:val="000000" w:themeColor="text1"/>
          <w:sz w:val="30"/>
          <w:szCs w:val="30"/>
          <w:highlight w:val="none"/>
          <w:lang w:eastAsia="zh-CN"/>
          <w14:textFill>
            <w14:solidFill>
              <w14:schemeClr w14:val="tx1"/>
            </w14:solidFill>
          </w14:textFill>
        </w:rPr>
        <w:t>）</w:t>
      </w:r>
      <w:r>
        <w:rPr>
          <w:rFonts w:hint="eastAsia" w:ascii="仿宋_GB2312" w:hAnsi="宋体" w:eastAsia="仿宋_GB2312"/>
          <w:b/>
          <w:bCs w:val="0"/>
          <w:color w:val="000000" w:themeColor="text1"/>
          <w:sz w:val="30"/>
          <w:szCs w:val="30"/>
          <w:highlight w:val="none"/>
          <w14:textFill>
            <w14:solidFill>
              <w14:schemeClr w14:val="tx1"/>
            </w14:solidFill>
          </w14:textFill>
        </w:rPr>
        <w:t>主要功能要求</w:t>
      </w:r>
    </w:p>
    <w:p w14:paraId="663A4084">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1、采用圆形罐体，主要用于下水道、雨水井、化粪池及各种沟渠内的污泥、粪便或石油化工污水池淤积物的抽吸及运送。</w:t>
      </w:r>
    </w:p>
    <w:p w14:paraId="1370CCD1">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2、采用真空泵双泵串联，单次连续作业时间长，整车配多根不同尺寸的耐磨吸污管，可根据实际需要通过快速接头将吸污管连在一起。</w:t>
      </w:r>
    </w:p>
    <w:p w14:paraId="6C84F0E2">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3、采用后门启闭锁紧装置，带安全保护的液压系统，保证污水在收运过程中均处于密闭状态。</w:t>
      </w:r>
    </w:p>
    <w:p w14:paraId="77956E19">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4、吸污口、排污口均采用进口刀阀，保证排污阀门的长期密闭性。</w:t>
      </w:r>
    </w:p>
    <w:p w14:paraId="07D3256B">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5、车辆采用电气控制与手动控制相结合的控制模式。</w:t>
      </w:r>
    </w:p>
    <w:p w14:paraId="5860BD3A">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6、设防溢阀、过压安全阀、满罐报警等多重安全装置，避免罐体吸过头或者反排时压力过高等情况，确保真空泵的正常工作以及工作人员的人身安全。</w:t>
      </w:r>
    </w:p>
    <w:p w14:paraId="5B50A5B8">
      <w:p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7、车辆为交钥匙工程，包含购置税、保险（包含交强险，车船使用税，商业险含车损，第三者责任险不低于200万元）、挂牌等费用。</w:t>
      </w:r>
    </w:p>
    <w:p w14:paraId="18B5B60F">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工程自卸车</w:t>
      </w:r>
    </w:p>
    <w:p w14:paraId="02A056F5">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（一）主要参数要求</w:t>
      </w:r>
    </w:p>
    <w:tbl>
      <w:tblPr>
        <w:tblStyle w:val="4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9"/>
        <w:gridCol w:w="3783"/>
      </w:tblGrid>
      <w:tr w14:paraId="11D8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CA52057">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项目</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8A93586">
            <w:pPr>
              <w:spacing w:line="360" w:lineRule="exact"/>
              <w:jc w:val="center"/>
              <w:rPr>
                <w:rFonts w:hint="eastAsia" w:ascii="仿宋" w:hAnsi="仿宋" w:eastAsia="仿宋"/>
                <w:b/>
                <w:bCs w:val="0"/>
                <w:color w:val="000000" w:themeColor="text1"/>
                <w:szCs w:val="21"/>
                <w:highlight w:val="none"/>
                <w14:textFill>
                  <w14:solidFill>
                    <w14:schemeClr w14:val="tx1"/>
                  </w14:solidFill>
                </w14:textFill>
              </w:rPr>
            </w:pPr>
            <w:r>
              <w:rPr>
                <w:rFonts w:hint="eastAsia" w:ascii="仿宋" w:hAnsi="仿宋" w:eastAsia="仿宋"/>
                <w:b/>
                <w:bCs w:val="0"/>
                <w:color w:val="000000" w:themeColor="text1"/>
                <w:szCs w:val="21"/>
                <w:highlight w:val="none"/>
                <w14:textFill>
                  <w14:solidFill>
                    <w14:schemeClr w14:val="tx1"/>
                  </w14:solidFill>
                </w14:textFill>
              </w:rPr>
              <w:t>参数</w:t>
            </w:r>
          </w:p>
        </w:tc>
      </w:tr>
      <w:tr w14:paraId="25F2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256DF3F">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发动机</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98E3E8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MC11H.46-61或优于</w:t>
            </w:r>
          </w:p>
        </w:tc>
      </w:tr>
      <w:tr w14:paraId="7E14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3818596">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发动机功率（kW）</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A6F22C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340</w:t>
            </w:r>
          </w:p>
        </w:tc>
      </w:tr>
      <w:tr w14:paraId="0E15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B8CA09F">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变速箱</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BF6647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HW25712或优于</w:t>
            </w:r>
          </w:p>
        </w:tc>
      </w:tr>
      <w:tr w14:paraId="4E1B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A542A0D">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总质量（kg）</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BF262A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31000</w:t>
            </w:r>
          </w:p>
        </w:tc>
      </w:tr>
      <w:tr w14:paraId="2A83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8963DC4">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整备质量（kg）</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2351252">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15500</w:t>
            </w:r>
          </w:p>
        </w:tc>
      </w:tr>
      <w:tr w14:paraId="2715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D9B8C8E">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额定载质量（kg）</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9DC9C5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15370</w:t>
            </w:r>
          </w:p>
        </w:tc>
      </w:tr>
      <w:tr w14:paraId="519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00684839">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外形尺寸长×宽×高 (mm)</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A83F74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9580</w:t>
            </w: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2550</w:t>
            </w: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3550</w:t>
            </w:r>
          </w:p>
        </w:tc>
      </w:tr>
      <w:tr w14:paraId="4AD3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CB7B046">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轴距</w:t>
            </w:r>
            <w:r>
              <w:rPr>
                <w:rFonts w:hint="eastAsia" w:ascii="仿宋" w:hAnsi="仿宋" w:eastAsia="仿宋"/>
                <w:bCs/>
                <w:color w:val="000000" w:themeColor="text1"/>
                <w:szCs w:val="21"/>
                <w:highlight w:val="none"/>
                <w14:textFill>
                  <w14:solidFill>
                    <w14:schemeClr w14:val="tx1"/>
                  </w14:solidFill>
                </w14:textFill>
              </w:rPr>
              <w:t>（mm）</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17241D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2800</w:t>
            </w:r>
          </w:p>
        </w:tc>
      </w:tr>
      <w:tr w14:paraId="70B8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4BDB466">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接近角/离去角（°）</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BEDE52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17</w:t>
            </w: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21</w:t>
            </w:r>
          </w:p>
        </w:tc>
      </w:tr>
      <w:tr w14:paraId="67D4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2CB89C8">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最高车速（km/h）</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F1C1463">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≥80</w:t>
            </w:r>
          </w:p>
        </w:tc>
      </w:tr>
      <w:tr w14:paraId="2562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387C5A4">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后桥速比</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C71F54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5.26</w:t>
            </w:r>
          </w:p>
        </w:tc>
      </w:tr>
      <w:tr w14:paraId="7F18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81A38D4">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驱动形式</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8C6440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8×4</w:t>
            </w:r>
          </w:p>
        </w:tc>
      </w:tr>
      <w:tr w14:paraId="2CDB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3DEC455">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轮胎规格</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D2DEFE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12.00R20</w:t>
            </w:r>
          </w:p>
        </w:tc>
      </w:tr>
      <w:tr w14:paraId="7760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5D0925C">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燃料种类</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9937BFD">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柴油</w:t>
            </w:r>
          </w:p>
        </w:tc>
      </w:tr>
      <w:tr w14:paraId="47F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BD8FCDC">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货箱长度（</w:t>
            </w:r>
            <w:r>
              <w:rPr>
                <w:rFonts w:hint="eastAsia" w:ascii="仿宋" w:hAnsi="仿宋" w:eastAsia="仿宋"/>
                <w:bCs/>
                <w:color w:val="000000" w:themeColor="text1"/>
                <w:szCs w:val="21"/>
                <w:highlight w:val="none"/>
                <w:lang w:val="en-US" w:eastAsia="zh-CN"/>
                <w14:textFill>
                  <w14:solidFill>
                    <w14:schemeClr w14:val="tx1"/>
                  </w14:solidFill>
                </w14:textFill>
              </w:rPr>
              <w:t>mm</w:t>
            </w:r>
            <w:r>
              <w:rPr>
                <w:rFonts w:hint="eastAsia" w:ascii="仿宋" w:hAnsi="仿宋" w:eastAsia="仿宋"/>
                <w:bCs/>
                <w:color w:val="000000" w:themeColor="text1"/>
                <w:szCs w:val="21"/>
                <w:highlight w:val="none"/>
                <w:lang w:eastAsia="zh-CN"/>
                <w14:textFill>
                  <w14:solidFill>
                    <w14:schemeClr w14:val="tx1"/>
                  </w14:solidFill>
                </w14:textFill>
              </w:rPr>
              <w:t>）</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AA4CA5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6200</w:t>
            </w:r>
          </w:p>
        </w:tc>
      </w:tr>
      <w:tr w14:paraId="1EE2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FF5C3D2">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货箱宽度（</w:t>
            </w:r>
            <w:r>
              <w:rPr>
                <w:rFonts w:hint="eastAsia" w:ascii="仿宋" w:hAnsi="仿宋" w:eastAsia="仿宋"/>
                <w:bCs/>
                <w:color w:val="000000" w:themeColor="text1"/>
                <w:szCs w:val="21"/>
                <w:highlight w:val="none"/>
                <w:lang w:val="en-US" w:eastAsia="zh-CN"/>
                <w14:textFill>
                  <w14:solidFill>
                    <w14:schemeClr w14:val="tx1"/>
                  </w14:solidFill>
                </w14:textFill>
              </w:rPr>
              <w:t>mm</w:t>
            </w:r>
            <w:r>
              <w:rPr>
                <w:rFonts w:hint="eastAsia" w:ascii="仿宋" w:hAnsi="仿宋" w:eastAsia="仿宋"/>
                <w:bCs/>
                <w:color w:val="000000" w:themeColor="text1"/>
                <w:szCs w:val="21"/>
                <w:highlight w:val="none"/>
                <w:lang w:eastAsia="zh-CN"/>
                <w14:textFill>
                  <w14:solidFill>
                    <w14:schemeClr w14:val="tx1"/>
                  </w14:solidFill>
                </w14:textFill>
              </w:rPr>
              <w:t>）</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988E406">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2350</w:t>
            </w:r>
          </w:p>
        </w:tc>
      </w:tr>
      <w:tr w14:paraId="31CC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53F983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货箱高度</w:t>
            </w:r>
            <w:r>
              <w:rPr>
                <w:rFonts w:hint="eastAsia" w:ascii="仿宋" w:hAnsi="仿宋" w:eastAsia="仿宋"/>
                <w:bCs/>
                <w:color w:val="000000" w:themeColor="text1"/>
                <w:szCs w:val="21"/>
                <w:highlight w:val="none"/>
                <w:lang w:val="en-US" w:eastAsia="zh-CN"/>
                <w14:textFill>
                  <w14:solidFill>
                    <w14:schemeClr w14:val="tx1"/>
                  </w14:solidFill>
                </w14:textFill>
              </w:rPr>
              <w:t xml:space="preserve"> (mm)</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5C3D686">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1500</w:t>
            </w:r>
          </w:p>
        </w:tc>
      </w:tr>
      <w:tr w14:paraId="3BFC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7E3626E">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取力器</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1BB661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直连式取力器</w:t>
            </w:r>
          </w:p>
        </w:tc>
      </w:tr>
      <w:tr w14:paraId="3795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9AB29D1">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燃油箱</w:t>
            </w:r>
            <w:r>
              <w:rPr>
                <w:rFonts w:hint="eastAsia" w:ascii="仿宋" w:hAnsi="仿宋" w:eastAsia="仿宋"/>
                <w:bCs/>
                <w:color w:val="000000" w:themeColor="text1"/>
                <w:szCs w:val="21"/>
                <w:highlight w:val="none"/>
                <w14:textFill>
                  <w14:solidFill>
                    <w14:schemeClr w14:val="tx1"/>
                  </w14:solidFill>
                </w14:textFill>
              </w:rPr>
              <w:t>容积（L）</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91EAF9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400</w:t>
            </w:r>
          </w:p>
        </w:tc>
      </w:tr>
      <w:tr w14:paraId="528B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05FBF84">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弹簧片数</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A9967F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4/4/12,11/11/12</w:t>
            </w:r>
          </w:p>
        </w:tc>
      </w:tr>
      <w:tr w14:paraId="01A2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C2717D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排放标准</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016C9A8B">
            <w:pPr>
              <w:spacing w:line="360" w:lineRule="exact"/>
              <w:jc w:val="left"/>
              <w:rPr>
                <w:rFonts w:hint="eastAsia" w:ascii="仿宋" w:hAnsi="仿宋" w:eastAsia="仿宋"/>
                <w:bCs/>
                <w:color w:val="000000" w:themeColor="text1"/>
                <w:szCs w:val="21"/>
                <w:highlight w:val="none"/>
                <w:lang w:eastAsia="zh-CN"/>
                <w14:textFill>
                  <w14:solidFill>
                    <w14:schemeClr w14:val="tx1"/>
                  </w14:solidFill>
                </w14:textFill>
              </w:rPr>
            </w:pPr>
            <w:r>
              <w:rPr>
                <w:rFonts w:hint="eastAsia" w:ascii="仿宋" w:hAnsi="仿宋" w:eastAsia="仿宋"/>
                <w:bCs/>
                <w:color w:val="000000" w:themeColor="text1"/>
                <w:szCs w:val="21"/>
                <w:highlight w:val="none"/>
                <w:lang w:eastAsia="zh-CN"/>
                <w14:textFill>
                  <w14:solidFill>
                    <w14:schemeClr w14:val="tx1"/>
                  </w14:solidFill>
                </w14:textFill>
              </w:rPr>
              <w:t>国六</w:t>
            </w:r>
          </w:p>
        </w:tc>
      </w:tr>
      <w:tr w14:paraId="0B86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39"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584C3D4">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驾驶室内温度调节</w:t>
            </w:r>
          </w:p>
        </w:tc>
        <w:tc>
          <w:tcPr>
            <w:tcW w:w="3783"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125AECB">
            <w:pPr>
              <w:spacing w:line="360" w:lineRule="exact"/>
              <w:jc w:val="left"/>
              <w:rPr>
                <w:rFonts w:hint="eastAsia" w:ascii="仿宋" w:hAnsi="仿宋" w:eastAsia="仿宋"/>
                <w:bCs/>
                <w:color w:val="000000" w:themeColor="text1"/>
                <w:szCs w:val="21"/>
                <w:highlight w:val="none"/>
                <w14:textFill>
                  <w14:solidFill>
                    <w14:schemeClr w14:val="tx1"/>
                  </w14:solidFill>
                </w14:textFill>
              </w:rPr>
            </w:pPr>
            <w:r>
              <w:rPr>
                <w:rFonts w:hint="eastAsia" w:ascii="仿宋" w:hAnsi="仿宋" w:eastAsia="仿宋"/>
                <w:bCs/>
                <w:color w:val="000000" w:themeColor="text1"/>
                <w:szCs w:val="21"/>
                <w:highlight w:val="none"/>
                <w14:textFill>
                  <w14:solidFill>
                    <w14:schemeClr w14:val="tx1"/>
                  </w14:solidFill>
                </w14:textFill>
              </w:rPr>
              <w:t>配原厂冷暖空调</w:t>
            </w:r>
          </w:p>
        </w:tc>
      </w:tr>
    </w:tbl>
    <w:p w14:paraId="69D7C4FF">
      <w:pPr>
        <w:numPr>
          <w:ilvl w:val="0"/>
          <w:numId w:val="0"/>
        </w:numPr>
        <w:spacing w:line="560" w:lineRule="exact"/>
        <w:ind w:firstLine="602"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cs="Times New Roman"/>
          <w:b/>
          <w:bCs w:val="0"/>
          <w:color w:val="000000" w:themeColor="text1"/>
          <w:kern w:val="2"/>
          <w:sz w:val="30"/>
          <w:szCs w:val="30"/>
          <w:highlight w:val="none"/>
          <w:lang w:val="en-US" w:eastAsia="zh-CN" w:bidi="ar-SA"/>
          <w14:textFill>
            <w14:solidFill>
              <w14:schemeClr w14:val="tx1"/>
            </w14:solidFill>
          </w14:textFill>
        </w:rPr>
        <w:t>（二）</w:t>
      </w:r>
      <w:r>
        <w:rPr>
          <w:rFonts w:hint="eastAsia" w:ascii="仿宋_GB2312" w:hAnsi="宋体" w:eastAsia="仿宋_GB2312"/>
          <w:b/>
          <w:bCs w:val="0"/>
          <w:color w:val="000000" w:themeColor="text1"/>
          <w:sz w:val="30"/>
          <w:szCs w:val="30"/>
          <w:highlight w:val="none"/>
          <w14:textFill>
            <w14:solidFill>
              <w14:schemeClr w14:val="tx1"/>
            </w14:solidFill>
          </w14:textFill>
        </w:rPr>
        <w:t>主要功能要求</w:t>
      </w:r>
    </w:p>
    <w:p w14:paraId="7F111F74">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w:t>
      </w:r>
      <w:r>
        <w:rPr>
          <w:rFonts w:hint="eastAsia" w:ascii="仿宋_GB2312" w:hAnsi="宋体" w:eastAsia="仿宋_GB2312"/>
          <w:bCs/>
          <w:color w:val="000000" w:themeColor="text1"/>
          <w:sz w:val="30"/>
          <w:szCs w:val="30"/>
          <w:highlight w:val="none"/>
          <w:lang w:eastAsia="zh-CN"/>
          <w14:textFill>
            <w14:solidFill>
              <w14:schemeClr w14:val="tx1"/>
            </w14:solidFill>
          </w14:textFill>
        </w:rPr>
        <w:t>货箱</w:t>
      </w:r>
      <w:r>
        <w:rPr>
          <w:rFonts w:hint="eastAsia" w:ascii="仿宋_GB2312" w:hAnsi="宋体" w:eastAsia="仿宋_GB2312"/>
          <w:bCs/>
          <w:color w:val="000000" w:themeColor="text1"/>
          <w:sz w:val="30"/>
          <w:szCs w:val="30"/>
          <w:highlight w:val="none"/>
          <w14:textFill>
            <w14:solidFill>
              <w14:schemeClr w14:val="tx1"/>
            </w14:solidFill>
          </w14:textFill>
        </w:rPr>
        <w:t>采用高强度</w:t>
      </w:r>
      <w:r>
        <w:rPr>
          <w:rFonts w:hint="eastAsia" w:ascii="仿宋_GB2312" w:hAnsi="宋体" w:eastAsia="仿宋_GB2312"/>
          <w:bCs/>
          <w:color w:val="000000" w:themeColor="text1"/>
          <w:sz w:val="30"/>
          <w:szCs w:val="30"/>
          <w:highlight w:val="none"/>
          <w:lang w:eastAsia="zh-CN"/>
          <w14:textFill>
            <w14:solidFill>
              <w14:schemeClr w14:val="tx1"/>
            </w14:solidFill>
          </w14:textFill>
        </w:rPr>
        <w:t>钢制作</w:t>
      </w:r>
      <w:r>
        <w:rPr>
          <w:rFonts w:hint="eastAsia" w:ascii="仿宋_GB2312" w:hAnsi="宋体" w:eastAsia="仿宋_GB2312"/>
          <w:bCs/>
          <w:color w:val="000000" w:themeColor="text1"/>
          <w:sz w:val="30"/>
          <w:szCs w:val="30"/>
          <w:highlight w:val="none"/>
          <w14:textFill>
            <w14:solidFill>
              <w14:schemeClr w14:val="tx1"/>
            </w14:solidFill>
          </w14:textFill>
        </w:rPr>
        <w:t>。</w:t>
      </w:r>
    </w:p>
    <w:p w14:paraId="79C794C7">
      <w:pPr>
        <w:spacing w:line="560" w:lineRule="exact"/>
        <w:ind w:firstLine="600" w:firstLineChars="200"/>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w:t>
      </w:r>
      <w:r>
        <w:rPr>
          <w:rFonts w:hint="eastAsia" w:ascii="仿宋_GB2312" w:hAnsi="宋体" w:eastAsia="仿宋_GB2312"/>
          <w:bCs/>
          <w:color w:val="000000" w:themeColor="text1"/>
          <w:sz w:val="30"/>
          <w:szCs w:val="30"/>
          <w:highlight w:val="none"/>
          <w:lang w:eastAsia="zh-CN"/>
          <w14:textFill>
            <w14:solidFill>
              <w14:schemeClr w14:val="tx1"/>
            </w14:solidFill>
          </w14:textFill>
        </w:rPr>
        <w:t>带原厂</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4回路摄像头监控及倒车影像</w:t>
      </w:r>
      <w:r>
        <w:rPr>
          <w:rFonts w:hint="eastAsia" w:ascii="仿宋_GB2312" w:hAnsi="宋体" w:eastAsia="仿宋_GB2312"/>
          <w:bCs/>
          <w:color w:val="000000" w:themeColor="text1"/>
          <w:sz w:val="30"/>
          <w:szCs w:val="30"/>
          <w:highlight w:val="none"/>
          <w14:textFill>
            <w14:solidFill>
              <w14:schemeClr w14:val="tx1"/>
            </w14:solidFill>
          </w14:textFill>
        </w:rPr>
        <w:t>。</w:t>
      </w:r>
    </w:p>
    <w:p w14:paraId="13EFBFCE">
      <w:pPr>
        <w:spacing w:line="560" w:lineRule="exact"/>
        <w:ind w:firstLine="600" w:firstLineChars="200"/>
        <w:rPr>
          <w:rFonts w:hint="eastAsia" w:ascii="仿宋_GB2312" w:hAnsi="宋体" w:eastAsia="仿宋_GB2312"/>
          <w:bCs/>
          <w:color w:val="000000" w:themeColor="text1"/>
          <w:sz w:val="30"/>
          <w:szCs w:val="30"/>
          <w:highlight w:val="none"/>
          <w:lang w:eastAsia="zh-CN"/>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3</w:t>
      </w:r>
      <w:r>
        <w:rPr>
          <w:rFonts w:hint="eastAsia" w:ascii="仿宋_GB2312" w:hAnsi="宋体" w:eastAsia="仿宋_GB2312"/>
          <w:bCs/>
          <w:color w:val="000000" w:themeColor="text1"/>
          <w:sz w:val="30"/>
          <w:szCs w:val="30"/>
          <w:highlight w:val="none"/>
          <w:lang w:eastAsia="zh-CN"/>
          <w14:textFill>
            <w14:solidFill>
              <w14:schemeClr w14:val="tx1"/>
            </w14:solidFill>
          </w14:textFill>
        </w:rPr>
        <w:t>、货箱带原厂拱顶式环保遮蔽装置。</w:t>
      </w:r>
    </w:p>
    <w:p w14:paraId="4FBEE98B">
      <w:p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4、主驾驶为气囊座椅、工程版空滤器（油滤）。</w:t>
      </w:r>
    </w:p>
    <w:p w14:paraId="73D3B28F">
      <w:p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5、质保期不低于一年。</w:t>
      </w:r>
    </w:p>
    <w:p w14:paraId="573ECB5F">
      <w:p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6、车辆为交钥匙工程，包含购置税、保险（包含交强险，车船使用税，商业险含车损，第三者责任险不低于200万元）、挂牌等费用。</w:t>
      </w:r>
    </w:p>
    <w:p w14:paraId="50E78DBB">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6吨级装载机</w:t>
      </w:r>
    </w:p>
    <w:p w14:paraId="4E7F20D8">
      <w:pPr>
        <w:widowControl w:val="0"/>
        <w:numPr>
          <w:ilvl w:val="0"/>
          <w:numId w:val="0"/>
        </w:numPr>
        <w:spacing w:line="500" w:lineRule="exact"/>
        <w:jc w:val="left"/>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 xml:space="preserve">     </w:t>
      </w: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（一）主要参数要求</w:t>
      </w:r>
    </w:p>
    <w:tbl>
      <w:tblPr>
        <w:tblStyle w:val="4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8"/>
        <w:gridCol w:w="5518"/>
      </w:tblGrid>
      <w:tr w14:paraId="3DDB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231" w:type="pct"/>
            <w:noWrap w:val="0"/>
            <w:vAlign w:val="center"/>
          </w:tcPr>
          <w:p w14:paraId="59848AF2">
            <w:pPr>
              <w:spacing w:line="360" w:lineRule="exact"/>
              <w:jc w:val="center"/>
              <w:rPr>
                <w:rFonts w:hint="default"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主要项目</w:t>
            </w:r>
          </w:p>
        </w:tc>
        <w:tc>
          <w:tcPr>
            <w:tcW w:w="2768" w:type="pct"/>
            <w:noWrap w:val="0"/>
            <w:vAlign w:val="center"/>
          </w:tcPr>
          <w:p w14:paraId="19A87B26">
            <w:pPr>
              <w:spacing w:line="360" w:lineRule="exact"/>
              <w:jc w:val="center"/>
              <w:rPr>
                <w:rFonts w:hint="default"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参数</w:t>
            </w:r>
          </w:p>
        </w:tc>
      </w:tr>
      <w:tr w14:paraId="69A7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198B01F6">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发动机</w:t>
            </w:r>
          </w:p>
        </w:tc>
        <w:tc>
          <w:tcPr>
            <w:tcW w:w="2768" w:type="pct"/>
            <w:noWrap w:val="0"/>
            <w:vAlign w:val="center"/>
          </w:tcPr>
          <w:p w14:paraId="2200903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潍柴WP10</w:t>
            </w:r>
          </w:p>
        </w:tc>
      </w:tr>
      <w:tr w14:paraId="3121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0876D48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排放标准</w:t>
            </w:r>
          </w:p>
        </w:tc>
        <w:tc>
          <w:tcPr>
            <w:tcW w:w="2768" w:type="pct"/>
            <w:noWrap w:val="0"/>
            <w:vAlign w:val="center"/>
          </w:tcPr>
          <w:p w14:paraId="0B1A48E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国四</w:t>
            </w:r>
          </w:p>
        </w:tc>
      </w:tr>
      <w:tr w14:paraId="7B7C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1F0AB2A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功率</w:t>
            </w:r>
          </w:p>
        </w:tc>
        <w:tc>
          <w:tcPr>
            <w:tcW w:w="2768" w:type="pct"/>
            <w:noWrap w:val="0"/>
            <w:vAlign w:val="center"/>
          </w:tcPr>
          <w:p w14:paraId="61A27D3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192kw/2100rpm</w:t>
            </w:r>
          </w:p>
        </w:tc>
      </w:tr>
      <w:tr w14:paraId="04D6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31" w:type="pct"/>
            <w:noWrap w:val="0"/>
            <w:vAlign w:val="center"/>
          </w:tcPr>
          <w:p w14:paraId="75A62FF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变速箱</w:t>
            </w:r>
          </w:p>
        </w:tc>
        <w:tc>
          <w:tcPr>
            <w:tcW w:w="2768" w:type="pct"/>
            <w:noWrap w:val="0"/>
            <w:vAlign w:val="center"/>
          </w:tcPr>
          <w:p w14:paraId="0A01FCC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行星式</w:t>
            </w:r>
          </w:p>
        </w:tc>
      </w:tr>
      <w:tr w14:paraId="001EB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2F4B52B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驱动桥</w:t>
            </w:r>
          </w:p>
        </w:tc>
        <w:tc>
          <w:tcPr>
            <w:tcW w:w="2768" w:type="pct"/>
            <w:noWrap w:val="0"/>
            <w:vAlign w:val="center"/>
          </w:tcPr>
          <w:p w14:paraId="26EC9CB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重载型</w:t>
            </w:r>
          </w:p>
        </w:tc>
      </w:tr>
      <w:tr w14:paraId="1941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4CDB7A8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外形尺寸（mm）</w:t>
            </w:r>
          </w:p>
        </w:tc>
        <w:tc>
          <w:tcPr>
            <w:tcW w:w="2768" w:type="pct"/>
            <w:noWrap w:val="0"/>
            <w:vAlign w:val="center"/>
          </w:tcPr>
          <w:p w14:paraId="16BFA97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8940×3200×3540</w:t>
            </w:r>
          </w:p>
        </w:tc>
      </w:tr>
      <w:tr w14:paraId="419A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48BD666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整机质量（kg）</w:t>
            </w:r>
          </w:p>
        </w:tc>
        <w:tc>
          <w:tcPr>
            <w:tcW w:w="2768" w:type="pct"/>
            <w:noWrap w:val="0"/>
            <w:vAlign w:val="center"/>
          </w:tcPr>
          <w:p w14:paraId="7648587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21600</w:t>
            </w:r>
          </w:p>
        </w:tc>
      </w:tr>
      <w:tr w14:paraId="15E5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0387A9A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卸载高度（mm）</w:t>
            </w:r>
          </w:p>
        </w:tc>
        <w:tc>
          <w:tcPr>
            <w:tcW w:w="2768" w:type="pct"/>
            <w:noWrap w:val="0"/>
            <w:vAlign w:val="center"/>
          </w:tcPr>
          <w:p w14:paraId="7D8EE72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3450</w:t>
            </w:r>
          </w:p>
        </w:tc>
      </w:tr>
      <w:tr w14:paraId="45F5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3973094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铲斗容量（m³）</w:t>
            </w:r>
          </w:p>
        </w:tc>
        <w:tc>
          <w:tcPr>
            <w:tcW w:w="2768" w:type="pct"/>
            <w:noWrap w:val="0"/>
            <w:vAlign w:val="center"/>
          </w:tcPr>
          <w:p w14:paraId="1FB48FC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≤4.5</w:t>
            </w:r>
          </w:p>
        </w:tc>
      </w:tr>
      <w:tr w14:paraId="6144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71ECAF5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牵引力（KN）</w:t>
            </w:r>
          </w:p>
        </w:tc>
        <w:tc>
          <w:tcPr>
            <w:tcW w:w="2768" w:type="pct"/>
            <w:noWrap w:val="0"/>
            <w:vAlign w:val="center"/>
          </w:tcPr>
          <w:p w14:paraId="1CBF27B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200</w:t>
            </w:r>
          </w:p>
        </w:tc>
      </w:tr>
      <w:tr w14:paraId="2BA8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0E1E64F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掘起力（KN）</w:t>
            </w:r>
          </w:p>
        </w:tc>
        <w:tc>
          <w:tcPr>
            <w:tcW w:w="2768" w:type="pct"/>
            <w:noWrap w:val="0"/>
            <w:vAlign w:val="center"/>
          </w:tcPr>
          <w:p w14:paraId="42A10A9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210</w:t>
            </w:r>
          </w:p>
        </w:tc>
      </w:tr>
      <w:tr w14:paraId="16E7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3F097C5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转向角度</w:t>
            </w:r>
          </w:p>
        </w:tc>
        <w:tc>
          <w:tcPr>
            <w:tcW w:w="2768" w:type="pct"/>
            <w:noWrap w:val="0"/>
            <w:vAlign w:val="center"/>
          </w:tcPr>
          <w:p w14:paraId="3B2DEC3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35°</w:t>
            </w:r>
          </w:p>
        </w:tc>
      </w:tr>
      <w:tr w14:paraId="359C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2B0704D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轴距（mm）</w:t>
            </w:r>
          </w:p>
        </w:tc>
        <w:tc>
          <w:tcPr>
            <w:tcW w:w="2768" w:type="pct"/>
            <w:noWrap w:val="0"/>
            <w:vAlign w:val="center"/>
          </w:tcPr>
          <w:p w14:paraId="349BB96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3500</w:t>
            </w:r>
          </w:p>
        </w:tc>
      </w:tr>
      <w:tr w14:paraId="65DA1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3BC9E2E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轮距（mm）</w:t>
            </w:r>
          </w:p>
        </w:tc>
        <w:tc>
          <w:tcPr>
            <w:tcW w:w="2768" w:type="pct"/>
            <w:noWrap w:val="0"/>
            <w:vAlign w:val="center"/>
          </w:tcPr>
          <w:p w14:paraId="58AEE42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2270</w:t>
            </w:r>
          </w:p>
        </w:tc>
      </w:tr>
      <w:tr w14:paraId="7B2C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4594EF2C">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工作装置动作时间三项和（S）</w:t>
            </w:r>
          </w:p>
        </w:tc>
        <w:tc>
          <w:tcPr>
            <w:tcW w:w="2768" w:type="pct"/>
            <w:noWrap w:val="0"/>
            <w:vAlign w:val="center"/>
          </w:tcPr>
          <w:p w14:paraId="1E59BA3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9.4</w:t>
            </w:r>
          </w:p>
        </w:tc>
      </w:tr>
      <w:tr w14:paraId="6572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0A034D2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工作液压系统型式</w:t>
            </w:r>
          </w:p>
        </w:tc>
        <w:tc>
          <w:tcPr>
            <w:tcW w:w="2768" w:type="pct"/>
            <w:noWrap w:val="0"/>
            <w:vAlign w:val="center"/>
          </w:tcPr>
          <w:p w14:paraId="3D279A2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定变量双泵合分流，转向泵采用齿轮泵</w:t>
            </w:r>
          </w:p>
        </w:tc>
      </w:tr>
      <w:tr w14:paraId="3A182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7F8B3CA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驾驶室</w:t>
            </w:r>
          </w:p>
        </w:tc>
        <w:tc>
          <w:tcPr>
            <w:tcW w:w="2768" w:type="pct"/>
            <w:noWrap w:val="0"/>
            <w:vAlign w:val="center"/>
          </w:tcPr>
          <w:p w14:paraId="4D710992">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全景密闭驾驶室带冷、暖空调</w:t>
            </w:r>
          </w:p>
        </w:tc>
      </w:tr>
      <w:tr w14:paraId="0C152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00CF5EE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装载机制动系统</w:t>
            </w:r>
          </w:p>
        </w:tc>
        <w:tc>
          <w:tcPr>
            <w:tcW w:w="2768" w:type="pct"/>
            <w:noWrap w:val="0"/>
            <w:vAlign w:val="center"/>
          </w:tcPr>
          <w:p w14:paraId="5442472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ADB全气行车制动系统</w:t>
            </w:r>
          </w:p>
        </w:tc>
      </w:tr>
      <w:tr w14:paraId="6DC7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23CA939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额定载荷（kg）</w:t>
            </w:r>
          </w:p>
        </w:tc>
        <w:tc>
          <w:tcPr>
            <w:tcW w:w="2768" w:type="pct"/>
            <w:noWrap w:val="0"/>
            <w:vAlign w:val="center"/>
          </w:tcPr>
          <w:p w14:paraId="3DCE3A3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6500</w:t>
            </w:r>
          </w:p>
        </w:tc>
      </w:tr>
      <w:tr w14:paraId="1491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20160D56">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卸载距离（mm）</w:t>
            </w:r>
          </w:p>
        </w:tc>
        <w:tc>
          <w:tcPr>
            <w:tcW w:w="2768" w:type="pct"/>
            <w:noWrap w:val="0"/>
            <w:vAlign w:val="center"/>
          </w:tcPr>
          <w:p w14:paraId="41E203B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default" w:ascii="仿宋" w:hAnsi="仿宋" w:eastAsia="仿宋"/>
                <w:bCs/>
                <w:color w:val="000000" w:themeColor="text1"/>
                <w:szCs w:val="21"/>
                <w:highlight w:val="none"/>
                <w:lang w:val="en-US" w:eastAsia="zh-CN"/>
                <w14:textFill>
                  <w14:solidFill>
                    <w14:schemeClr w14:val="tx1"/>
                  </w14:solidFill>
                </w14:textFill>
              </w:rPr>
              <w:t>≥</w:t>
            </w:r>
            <w:r>
              <w:rPr>
                <w:rFonts w:hint="eastAsia" w:ascii="仿宋" w:hAnsi="仿宋" w:eastAsia="仿宋"/>
                <w:bCs/>
                <w:color w:val="000000" w:themeColor="text1"/>
                <w:szCs w:val="21"/>
                <w:highlight w:val="none"/>
                <w:lang w:val="en-US" w:eastAsia="zh-CN"/>
                <w14:textFill>
                  <w14:solidFill>
                    <w14:schemeClr w14:val="tx1"/>
                  </w14:solidFill>
                </w14:textFill>
              </w:rPr>
              <w:t>1355</w:t>
            </w:r>
          </w:p>
        </w:tc>
      </w:tr>
      <w:tr w14:paraId="1486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1571AC0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转向系统</w:t>
            </w:r>
          </w:p>
        </w:tc>
        <w:tc>
          <w:tcPr>
            <w:tcW w:w="2768" w:type="pct"/>
            <w:noWrap w:val="0"/>
            <w:vAlign w:val="center"/>
          </w:tcPr>
          <w:p w14:paraId="63795D25">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全液压负荷传感转向系统</w:t>
            </w:r>
          </w:p>
        </w:tc>
      </w:tr>
      <w:tr w14:paraId="287D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1" w:type="pct"/>
            <w:noWrap w:val="0"/>
            <w:vAlign w:val="center"/>
          </w:tcPr>
          <w:p w14:paraId="1217143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轮胎型号</w:t>
            </w:r>
          </w:p>
        </w:tc>
        <w:tc>
          <w:tcPr>
            <w:tcW w:w="2768" w:type="pct"/>
            <w:noWrap w:val="0"/>
            <w:vAlign w:val="center"/>
          </w:tcPr>
          <w:p w14:paraId="4FA1280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26.5—25</w:t>
            </w:r>
          </w:p>
        </w:tc>
      </w:tr>
    </w:tbl>
    <w:p w14:paraId="30067500">
      <w:pPr>
        <w:numPr>
          <w:ilvl w:val="0"/>
          <w:numId w:val="0"/>
        </w:numPr>
        <w:spacing w:line="560" w:lineRule="exact"/>
        <w:ind w:firstLine="602" w:firstLineChars="200"/>
        <w:rPr>
          <w:rFonts w:hint="eastAsia" w:ascii="仿宋_GB2312" w:hAnsi="宋体" w:eastAsia="仿宋_GB2312"/>
          <w:b/>
          <w:bCs w:val="0"/>
          <w:color w:val="000000" w:themeColor="text1"/>
          <w:sz w:val="30"/>
          <w:szCs w:val="30"/>
          <w:highlight w:val="none"/>
          <w:lang w:val="en-US" w:eastAsia="zh-CN"/>
          <w14:textFill>
            <w14:solidFill>
              <w14:schemeClr w14:val="tx1"/>
            </w14:solidFill>
          </w14:textFill>
        </w:rPr>
      </w:pPr>
      <w:r>
        <w:rPr>
          <w:rFonts w:hint="eastAsia" w:ascii="仿宋_GB2312" w:hAnsi="宋体" w:eastAsia="仿宋_GB2312" w:cs="Times New Roman"/>
          <w:b/>
          <w:bCs w:val="0"/>
          <w:color w:val="000000" w:themeColor="text1"/>
          <w:kern w:val="2"/>
          <w:sz w:val="30"/>
          <w:szCs w:val="30"/>
          <w:highlight w:val="none"/>
          <w:lang w:val="en-US" w:eastAsia="zh-CN" w:bidi="ar-SA"/>
          <w14:textFill>
            <w14:solidFill>
              <w14:schemeClr w14:val="tx1"/>
            </w14:solidFill>
          </w14:textFill>
        </w:rPr>
        <w:t>（二）</w:t>
      </w:r>
      <w:r>
        <w:rPr>
          <w:rFonts w:hint="eastAsia" w:ascii="仿宋_GB2312" w:hAnsi="宋体" w:eastAsia="仿宋_GB2312"/>
          <w:b/>
          <w:bCs w:val="0"/>
          <w:color w:val="000000" w:themeColor="text1"/>
          <w:sz w:val="30"/>
          <w:szCs w:val="30"/>
          <w:highlight w:val="none"/>
          <w:lang w:val="en-US" w:eastAsia="zh-CN"/>
          <w14:textFill>
            <w14:solidFill>
              <w14:schemeClr w14:val="tx1"/>
            </w14:solidFill>
          </w14:textFill>
        </w:rPr>
        <w:t>主要功能要求</w:t>
      </w:r>
    </w:p>
    <w:p w14:paraId="171C8B59">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1、配备后方实时监控系统及倒车影像。</w:t>
      </w:r>
    </w:p>
    <w:p w14:paraId="3B9BE2DA">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2、配备警示扩音设备。</w:t>
      </w:r>
    </w:p>
    <w:p w14:paraId="468FAC40">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3、质保期不低于一年或2500小时。</w:t>
      </w:r>
    </w:p>
    <w:p w14:paraId="3780F8C1">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4、铲斗配备砂石斗。</w:t>
      </w:r>
    </w:p>
    <w:p w14:paraId="1CD2CEB7">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5、车辆为交钥匙工程，包含购置税、保险（包含交强险，车船使用税，商业险含车损，第三者责任险不低于200万元）、挂牌等费用。</w:t>
      </w:r>
    </w:p>
    <w:p w14:paraId="3CE829F1">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3.5吨叉车</w:t>
      </w:r>
    </w:p>
    <w:p w14:paraId="16BBAE5D">
      <w:pPr>
        <w:widowControl w:val="0"/>
        <w:numPr>
          <w:ilvl w:val="0"/>
          <w:numId w:val="0"/>
        </w:numPr>
        <w:spacing w:line="500" w:lineRule="exact"/>
        <w:jc w:val="left"/>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（一）主要参数要求</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4984"/>
      </w:tblGrid>
      <w:tr w14:paraId="2A4C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91E984D">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主要项目</w:t>
            </w:r>
          </w:p>
        </w:tc>
        <w:tc>
          <w:tcPr>
            <w:tcW w:w="2500" w:type="pct"/>
            <w:noWrap w:val="0"/>
            <w:vAlign w:val="top"/>
          </w:tcPr>
          <w:p w14:paraId="3D063F8C">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参数</w:t>
            </w:r>
          </w:p>
        </w:tc>
      </w:tr>
      <w:tr w14:paraId="0468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369D6F3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发动机</w:t>
            </w:r>
          </w:p>
        </w:tc>
        <w:tc>
          <w:tcPr>
            <w:tcW w:w="2500" w:type="pct"/>
            <w:noWrap w:val="0"/>
            <w:vAlign w:val="top"/>
          </w:tcPr>
          <w:p w14:paraId="43CF556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新柴4D29V41-009或优于</w:t>
            </w:r>
          </w:p>
        </w:tc>
      </w:tr>
      <w:tr w14:paraId="2371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7408F46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功率/转速</w:t>
            </w:r>
          </w:p>
        </w:tc>
        <w:tc>
          <w:tcPr>
            <w:tcW w:w="2500" w:type="pct"/>
            <w:noWrap w:val="0"/>
            <w:vAlign w:val="top"/>
          </w:tcPr>
          <w:p w14:paraId="642F977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≥36.8KW/2500rpm</w:t>
            </w:r>
          </w:p>
        </w:tc>
      </w:tr>
      <w:tr w14:paraId="0B09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9251F45">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排放标准</w:t>
            </w:r>
          </w:p>
        </w:tc>
        <w:tc>
          <w:tcPr>
            <w:tcW w:w="2500" w:type="pct"/>
            <w:noWrap w:val="0"/>
            <w:vAlign w:val="top"/>
          </w:tcPr>
          <w:p w14:paraId="6CB9547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国四</w:t>
            </w:r>
          </w:p>
        </w:tc>
      </w:tr>
      <w:tr w14:paraId="39AB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C9E96A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变速箱</w:t>
            </w:r>
          </w:p>
        </w:tc>
        <w:tc>
          <w:tcPr>
            <w:tcW w:w="2500" w:type="pct"/>
            <w:noWrap w:val="0"/>
            <w:vAlign w:val="top"/>
          </w:tcPr>
          <w:p w14:paraId="5364709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行星式</w:t>
            </w:r>
          </w:p>
        </w:tc>
      </w:tr>
      <w:tr w14:paraId="66B9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01CED3D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驱动桥</w:t>
            </w:r>
          </w:p>
        </w:tc>
        <w:tc>
          <w:tcPr>
            <w:tcW w:w="2500" w:type="pct"/>
            <w:noWrap w:val="0"/>
            <w:vAlign w:val="top"/>
          </w:tcPr>
          <w:p w14:paraId="451B47E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重载式</w:t>
            </w:r>
          </w:p>
        </w:tc>
      </w:tr>
      <w:tr w14:paraId="1D86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48A1DD8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整车尺寸（mm）</w:t>
            </w:r>
          </w:p>
        </w:tc>
        <w:tc>
          <w:tcPr>
            <w:tcW w:w="2500" w:type="pct"/>
            <w:noWrap w:val="0"/>
            <w:vAlign w:val="top"/>
          </w:tcPr>
          <w:p w14:paraId="1B2DC00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≥3900×1226×2120</w:t>
            </w:r>
          </w:p>
        </w:tc>
      </w:tr>
      <w:tr w14:paraId="0FCD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15B04A4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整车重量（kg）</w:t>
            </w:r>
          </w:p>
        </w:tc>
        <w:tc>
          <w:tcPr>
            <w:tcW w:w="2500" w:type="pct"/>
            <w:noWrap w:val="0"/>
            <w:vAlign w:val="top"/>
          </w:tcPr>
          <w:p w14:paraId="5E29A03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≥4580</w:t>
            </w:r>
          </w:p>
        </w:tc>
      </w:tr>
      <w:tr w14:paraId="578F8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E2B02C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最大爬坡度（空载/满载）</w:t>
            </w:r>
          </w:p>
        </w:tc>
        <w:tc>
          <w:tcPr>
            <w:tcW w:w="2500" w:type="pct"/>
            <w:noWrap w:val="0"/>
            <w:vAlign w:val="top"/>
          </w:tcPr>
          <w:p w14:paraId="05167025">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≥20/20</w:t>
            </w:r>
          </w:p>
        </w:tc>
      </w:tr>
      <w:tr w14:paraId="133F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ED8CA5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最大牵引力（kN）</w:t>
            </w:r>
          </w:p>
        </w:tc>
        <w:tc>
          <w:tcPr>
            <w:tcW w:w="2500" w:type="pct"/>
            <w:noWrap w:val="0"/>
            <w:vAlign w:val="top"/>
          </w:tcPr>
          <w:p w14:paraId="1104ACAC">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≥16.3</w:t>
            </w:r>
          </w:p>
        </w:tc>
      </w:tr>
      <w:tr w14:paraId="401C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3F66DD9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最大行驶速度（满载/空载）（KM/H）</w:t>
            </w:r>
          </w:p>
        </w:tc>
        <w:tc>
          <w:tcPr>
            <w:tcW w:w="2500" w:type="pct"/>
            <w:noWrap w:val="0"/>
            <w:vAlign w:val="top"/>
          </w:tcPr>
          <w:p w14:paraId="52230DF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20.5/22</w:t>
            </w:r>
          </w:p>
        </w:tc>
      </w:tr>
      <w:tr w14:paraId="054B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E8D717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最大起升速度（空载/满载）（mm/s）</w:t>
            </w:r>
          </w:p>
        </w:tc>
        <w:tc>
          <w:tcPr>
            <w:tcW w:w="2500" w:type="pct"/>
            <w:noWrap w:val="0"/>
            <w:vAlign w:val="top"/>
          </w:tcPr>
          <w:p w14:paraId="13DEA44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500/460</w:t>
            </w:r>
          </w:p>
        </w:tc>
      </w:tr>
      <w:tr w14:paraId="7C39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66E7F33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最大下降速度（mm/s）</w:t>
            </w:r>
          </w:p>
        </w:tc>
        <w:tc>
          <w:tcPr>
            <w:tcW w:w="2500" w:type="pct"/>
            <w:noWrap w:val="0"/>
            <w:vAlign w:val="top"/>
          </w:tcPr>
          <w:p w14:paraId="0BF8528D">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满载≤600/空载≥300</w:t>
            </w:r>
          </w:p>
        </w:tc>
      </w:tr>
      <w:tr w14:paraId="01B5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58F4848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最大起升高度（mm）</w:t>
            </w:r>
          </w:p>
        </w:tc>
        <w:tc>
          <w:tcPr>
            <w:tcW w:w="2500" w:type="pct"/>
            <w:noWrap w:val="0"/>
            <w:vAlign w:val="top"/>
          </w:tcPr>
          <w:p w14:paraId="28987FB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≥4500</w:t>
            </w:r>
          </w:p>
        </w:tc>
      </w:tr>
      <w:tr w14:paraId="19FB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1543BC0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自由起升高度（mm）</w:t>
            </w:r>
          </w:p>
        </w:tc>
        <w:tc>
          <w:tcPr>
            <w:tcW w:w="2500" w:type="pct"/>
            <w:noWrap w:val="0"/>
            <w:vAlign w:val="top"/>
          </w:tcPr>
          <w:p w14:paraId="2A0CE46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≥1395</w:t>
            </w:r>
          </w:p>
        </w:tc>
      </w:tr>
      <w:tr w14:paraId="14C9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745CB8A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门架倾角（deg）</w:t>
            </w:r>
          </w:p>
        </w:tc>
        <w:tc>
          <w:tcPr>
            <w:tcW w:w="2500" w:type="pct"/>
            <w:noWrap w:val="0"/>
            <w:vAlign w:val="top"/>
          </w:tcPr>
          <w:p w14:paraId="2697401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前6后12</w:t>
            </w:r>
          </w:p>
        </w:tc>
      </w:tr>
      <w:tr w14:paraId="5316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75807C1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轴距（mm）</w:t>
            </w:r>
          </w:p>
        </w:tc>
        <w:tc>
          <w:tcPr>
            <w:tcW w:w="2500" w:type="pct"/>
            <w:noWrap w:val="0"/>
            <w:vAlign w:val="top"/>
          </w:tcPr>
          <w:p w14:paraId="050BB59F">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≥1760</w:t>
            </w:r>
          </w:p>
        </w:tc>
      </w:tr>
      <w:tr w14:paraId="6A33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325D381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前轮胎</w:t>
            </w:r>
          </w:p>
        </w:tc>
        <w:tc>
          <w:tcPr>
            <w:tcW w:w="2500" w:type="pct"/>
            <w:noWrap w:val="0"/>
            <w:vAlign w:val="top"/>
          </w:tcPr>
          <w:p w14:paraId="023E798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28×9-15-14PR</w:t>
            </w:r>
          </w:p>
        </w:tc>
      </w:tr>
      <w:tr w14:paraId="5819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noWrap w:val="0"/>
            <w:vAlign w:val="top"/>
          </w:tcPr>
          <w:p w14:paraId="33491C8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后轮胎</w:t>
            </w:r>
          </w:p>
        </w:tc>
        <w:tc>
          <w:tcPr>
            <w:tcW w:w="2500" w:type="pct"/>
            <w:noWrap w:val="0"/>
            <w:vAlign w:val="top"/>
          </w:tcPr>
          <w:p w14:paraId="32F8101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6.50-10-10PR</w:t>
            </w:r>
          </w:p>
        </w:tc>
      </w:tr>
    </w:tbl>
    <w:p w14:paraId="3F6B4AED">
      <w:pPr>
        <w:numPr>
          <w:ilvl w:val="0"/>
          <w:numId w:val="0"/>
        </w:numPr>
        <w:spacing w:line="560" w:lineRule="exact"/>
        <w:ind w:firstLine="602" w:firstLineChars="200"/>
        <w:rPr>
          <w:rFonts w:hint="eastAsia" w:ascii="仿宋_GB2312" w:hAnsi="宋体" w:eastAsia="仿宋_GB2312" w:cs="Times New Roman"/>
          <w:b/>
          <w:bCs w:val="0"/>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
          <w:bCs w:val="0"/>
          <w:color w:val="000000" w:themeColor="text1"/>
          <w:kern w:val="2"/>
          <w:sz w:val="30"/>
          <w:szCs w:val="30"/>
          <w:highlight w:val="none"/>
          <w:lang w:val="en-US" w:eastAsia="zh-CN" w:bidi="ar-SA"/>
          <w14:textFill>
            <w14:solidFill>
              <w14:schemeClr w14:val="tx1"/>
            </w14:solidFill>
          </w14:textFill>
        </w:rPr>
        <w:t>（二）主要功能要求</w:t>
      </w:r>
    </w:p>
    <w:p w14:paraId="0DC2F52D">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1、带全景密闭驾驶室、带冷暖空调、带警示扩音设备、带安全警示灯。</w:t>
      </w:r>
    </w:p>
    <w:p w14:paraId="0A10E138">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2、配备打包翻转器。</w:t>
      </w:r>
    </w:p>
    <w:p w14:paraId="3CE893EA">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3、质保期不低于一年或2000小时。</w:t>
      </w:r>
    </w:p>
    <w:p w14:paraId="2CC363A4">
      <w:pPr>
        <w:numPr>
          <w:ilvl w:val="0"/>
          <w:numId w:val="0"/>
        </w:numPr>
        <w:jc w:val="left"/>
        <w:rPr>
          <w:rFonts w:hint="default" w:ascii="宋体" w:hAnsi="宋体" w:cs="宋体"/>
          <w:b w:val="0"/>
          <w:bCs w:val="0"/>
          <w:color w:val="000000" w:themeColor="text1"/>
          <w:sz w:val="24"/>
          <w:szCs w:val="24"/>
          <w:highlight w:val="none"/>
          <w:lang w:val="en-US" w:eastAsia="zh-CN"/>
          <w14:textFill>
            <w14:solidFill>
              <w14:schemeClr w14:val="tx1"/>
            </w14:solidFill>
          </w14:textFill>
        </w:rPr>
      </w:pPr>
    </w:p>
    <w:p w14:paraId="71A4E1C5">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002包技术要求：</w:t>
      </w:r>
    </w:p>
    <w:p w14:paraId="5594AEAD">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挖掘机</w:t>
      </w:r>
    </w:p>
    <w:p w14:paraId="47BBE5F4">
      <w:pPr>
        <w:widowControl w:val="0"/>
        <w:numPr>
          <w:ilvl w:val="0"/>
          <w:numId w:val="0"/>
        </w:numPr>
        <w:spacing w:line="500" w:lineRule="exact"/>
        <w:ind w:firstLine="602" w:firstLineChars="200"/>
        <w:jc w:val="left"/>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（一）主要参数要求</w:t>
      </w:r>
    </w:p>
    <w:tbl>
      <w:tblPr>
        <w:tblStyle w:val="48"/>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5"/>
        <w:gridCol w:w="3984"/>
      </w:tblGrid>
      <w:tr w14:paraId="64329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EC5CFE4">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主要项目</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75C5EC32">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参数</w:t>
            </w:r>
          </w:p>
        </w:tc>
      </w:tr>
      <w:tr w14:paraId="7220B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3E42B6">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工作质量(t)</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53E814B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≥30</w:t>
            </w:r>
          </w:p>
        </w:tc>
      </w:tr>
      <w:tr w14:paraId="386D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03B8DB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斗容(m³)</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156B200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≥1.7</w:t>
            </w:r>
          </w:p>
        </w:tc>
      </w:tr>
      <w:tr w14:paraId="280F4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52CC12">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标准履带板宽(mm)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159389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≥600三筋</w:t>
            </w:r>
          </w:p>
        </w:tc>
      </w:tr>
      <w:tr w14:paraId="61CE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83D181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行走速度（高/低）（km/h）</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20E62F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≥5.5/3.3</w:t>
            </w:r>
          </w:p>
        </w:tc>
      </w:tr>
      <w:tr w14:paraId="7213C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6A54D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回转速度（RPM）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1DB749E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≥11</w:t>
            </w:r>
          </w:p>
        </w:tc>
      </w:tr>
      <w:tr w14:paraId="33E1A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EEDBCC">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最大挖掘力（铲斗/斗杆）(KN)</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674A08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≥202/144</w:t>
            </w:r>
          </w:p>
        </w:tc>
      </w:tr>
      <w:tr w14:paraId="3142E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971180A">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最大牵引力(kN)</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531FD9A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≥246</w:t>
            </w:r>
          </w:p>
        </w:tc>
      </w:tr>
      <w:tr w14:paraId="2D6C4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4530A2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发动机型号</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D3EAB7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6HK1-XDQAG-01B-C4或优于</w:t>
            </w:r>
          </w:p>
        </w:tc>
      </w:tr>
      <w:tr w14:paraId="06413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FEC438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缸数</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DE7C97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w:t>
            </w:r>
          </w:p>
        </w:tc>
      </w:tr>
      <w:tr w14:paraId="07025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E94E92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额定功率(KW)</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CE13B1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≥210</w:t>
            </w:r>
          </w:p>
        </w:tc>
      </w:tr>
      <w:tr w14:paraId="4123B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5F2CB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额定转速(rpm)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14C66C2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≤1900</w:t>
            </w:r>
          </w:p>
        </w:tc>
      </w:tr>
      <w:tr w14:paraId="690CD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146F205">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最大扭矩(Nm/min)</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336A640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≥1080/1500</w:t>
            </w:r>
          </w:p>
        </w:tc>
      </w:tr>
      <w:tr w14:paraId="495F8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EC118C8">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发动机排量(L)</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2211E43A">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≤7.8</w:t>
            </w:r>
          </w:p>
        </w:tc>
      </w:tr>
      <w:tr w14:paraId="0C3FD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3EF01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排放标准</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C0DD61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国四、免烧尿素</w:t>
            </w:r>
          </w:p>
        </w:tc>
      </w:tr>
      <w:tr w14:paraId="65EC6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DE51D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主泵流量(L/min)</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70E4B6C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≥2×236</w:t>
            </w:r>
          </w:p>
        </w:tc>
      </w:tr>
      <w:tr w14:paraId="40B99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BA3D9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主泵</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3D869AF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并联、2个变量轴向柱塞泵</w:t>
            </w:r>
          </w:p>
        </w:tc>
      </w:tr>
      <w:tr w14:paraId="45D1B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42895AB">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前端工作装置设定压力(Mpa)</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4F29C94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≥34</w:t>
            </w:r>
          </w:p>
        </w:tc>
      </w:tr>
      <w:tr w14:paraId="57703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2F8DE02">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动臂长度(mm)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3A34D23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≥6200</w:t>
            </w:r>
          </w:p>
        </w:tc>
      </w:tr>
      <w:tr w14:paraId="200BE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426E6E">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斗杆长度(mm)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7237474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≥3110</w:t>
            </w:r>
          </w:p>
        </w:tc>
      </w:tr>
      <w:tr w14:paraId="08078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5257249">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最大挖掘半径(mm)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20FAACF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≥10700</w:t>
            </w:r>
          </w:p>
        </w:tc>
      </w:tr>
      <w:tr w14:paraId="3CC9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0BC3A47">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最大挖掘深度(mm)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27604E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≥7200</w:t>
            </w:r>
          </w:p>
        </w:tc>
      </w:tr>
      <w:tr w14:paraId="3E493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4FAB655">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最大垂直挖深(mm）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1E3F7E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≥6530</w:t>
            </w:r>
          </w:p>
        </w:tc>
      </w:tr>
      <w:tr w14:paraId="66271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D70352">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最大挖掘高度(mm)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5D6078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≥10350</w:t>
            </w:r>
          </w:p>
        </w:tc>
      </w:tr>
      <w:tr w14:paraId="6B729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5F2B48C">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最大卸载高度(mm)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444074F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≥7250</w:t>
            </w:r>
          </w:p>
        </w:tc>
      </w:tr>
      <w:tr w14:paraId="3C33D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A6C66A">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前端最小回转半径(mm)</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2CF675A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≤3900</w:t>
            </w:r>
          </w:p>
        </w:tc>
      </w:tr>
      <w:tr w14:paraId="6A7E5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FED071">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燃油箱(L)</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0EC309B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≥510</w:t>
            </w:r>
          </w:p>
        </w:tc>
      </w:tr>
      <w:tr w14:paraId="51E6D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04D098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液压油箱(L)</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675259C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≥150</w:t>
            </w:r>
          </w:p>
        </w:tc>
      </w:tr>
      <w:tr w14:paraId="4B6C2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535" w:type="dxa"/>
            <w:tcBorders>
              <w:top w:val="single" w:color="000000" w:sz="4" w:space="0"/>
              <w:left w:val="single" w:color="000000" w:sz="4" w:space="0"/>
              <w:bottom w:val="single" w:color="000000" w:sz="4" w:space="0"/>
              <w:right w:val="single" w:color="000000" w:sz="4" w:space="0"/>
            </w:tcBorders>
            <w:noWrap/>
            <w:vAlign w:val="center"/>
          </w:tcPr>
          <w:p w14:paraId="5926E634">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液压系统(L)</w:t>
            </w:r>
          </w:p>
        </w:tc>
        <w:tc>
          <w:tcPr>
            <w:tcW w:w="3984" w:type="dxa"/>
            <w:tcBorders>
              <w:top w:val="single" w:color="000000" w:sz="4" w:space="0"/>
              <w:left w:val="single" w:color="000000" w:sz="4" w:space="0"/>
              <w:bottom w:val="single" w:color="000000" w:sz="4" w:space="0"/>
              <w:right w:val="single" w:color="000000" w:sz="4" w:space="0"/>
            </w:tcBorders>
            <w:noWrap/>
            <w:vAlign w:val="center"/>
          </w:tcPr>
          <w:p w14:paraId="29A188A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≥290</w:t>
            </w:r>
          </w:p>
        </w:tc>
      </w:tr>
    </w:tbl>
    <w:p w14:paraId="5E05BE78">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（二）主要功能要求</w:t>
      </w:r>
    </w:p>
    <w:p w14:paraId="7F9D1306">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1、配备高分辨率彩色显示器及多功能控制器</w:t>
      </w:r>
    </w:p>
    <w:p w14:paraId="408C3C80">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2、配备原厂后方摄像头可实时显示机器后方情况</w:t>
      </w:r>
    </w:p>
    <w:p w14:paraId="1E30D933">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3、配备破碎锤及抱木器</w:t>
      </w:r>
    </w:p>
    <w:p w14:paraId="29DE51C8">
      <w:pPr>
        <w:numPr>
          <w:ilvl w:val="0"/>
          <w:numId w:val="0"/>
        </w:numPr>
        <w:spacing w:line="560" w:lineRule="exact"/>
        <w:ind w:firstLine="600" w:firstLineChars="200"/>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4、整机质保期不低于3年或6000小时，发动机延保不低于3年或6000小时。</w:t>
      </w:r>
    </w:p>
    <w:p w14:paraId="68E22BA3">
      <w:pPr>
        <w:numPr>
          <w:ilvl w:val="0"/>
          <w:numId w:val="0"/>
        </w:numPr>
        <w:spacing w:line="560" w:lineRule="exact"/>
        <w:ind w:firstLine="600" w:firstLineChars="200"/>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p>
    <w:p w14:paraId="6F32A968">
      <w:pPr>
        <w:spacing w:line="520" w:lineRule="exact"/>
        <w:ind w:left="602"/>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003包技术要求：</w:t>
      </w:r>
    </w:p>
    <w:p w14:paraId="6E3BB929">
      <w:pPr>
        <w:spacing w:line="520" w:lineRule="exact"/>
        <w:ind w:left="602"/>
        <w:jc w:val="center"/>
        <w:rPr>
          <w:rFonts w:hint="eastAsia" w:ascii="仿宋_GB2312" w:hAnsi="宋体" w:eastAsia="仿宋_GB2312"/>
          <w:b/>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
          <w:color w:val="000000" w:themeColor="text1"/>
          <w:sz w:val="30"/>
          <w:szCs w:val="30"/>
          <w:highlight w:val="none"/>
          <w:lang w:val="en-US" w:eastAsia="zh-CN"/>
          <w14:textFill>
            <w14:solidFill>
              <w14:schemeClr w14:val="tx1"/>
            </w14:solidFill>
          </w14:textFill>
        </w:rPr>
        <w:t>1.垃圾转运车要求</w:t>
      </w:r>
    </w:p>
    <w:tbl>
      <w:tblPr>
        <w:tblStyle w:val="4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4206"/>
        <w:gridCol w:w="4515"/>
      </w:tblGrid>
      <w:tr w14:paraId="5625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13E65737">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序号</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1EDA4A6F">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项 目</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5A86F2D0">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技术参数</w:t>
            </w:r>
          </w:p>
        </w:tc>
      </w:tr>
      <w:tr w14:paraId="59A6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BD59BE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655348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底盘型号</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4D1B335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ZZ1317N466GF1或优于</w:t>
            </w:r>
          </w:p>
        </w:tc>
      </w:tr>
      <w:tr w14:paraId="6B3D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2F930BA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06378F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发动机型号</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757BD5B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MC07.35-60或优于</w:t>
            </w:r>
          </w:p>
        </w:tc>
      </w:tr>
      <w:tr w14:paraId="16D7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1C6A09B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4900D29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驱动形式</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4257A1B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8×4</w:t>
            </w:r>
          </w:p>
        </w:tc>
      </w:tr>
      <w:tr w14:paraId="1197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0039E72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7BE2408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最大总质量</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3C809BF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≥31000kg</w:t>
            </w:r>
          </w:p>
        </w:tc>
      </w:tr>
      <w:tr w14:paraId="7C1B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25C9931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48D00B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整车整备质量</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5828055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≤12500kg</w:t>
            </w:r>
          </w:p>
        </w:tc>
      </w:tr>
      <w:tr w14:paraId="3E9E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BC040D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2366472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整车额定载质量</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0D4967F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≥18300kg</w:t>
            </w:r>
          </w:p>
        </w:tc>
      </w:tr>
      <w:tr w14:paraId="5E76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361ABA9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68AEF59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轴距</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32896D1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1800+3800+1350mm</w:t>
            </w:r>
          </w:p>
          <w:p w14:paraId="7C71F29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（每轴允许偏差±50mm)</w:t>
            </w:r>
          </w:p>
        </w:tc>
      </w:tr>
      <w:tr w14:paraId="342B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1FB749A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9FD3E6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最小转弯直径</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2BA63EB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≤22000mm</w:t>
            </w:r>
          </w:p>
        </w:tc>
      </w:tr>
      <w:tr w14:paraId="5AA5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7F3F5BE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9</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52E6DE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最高车速</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1BB1CC6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≥80km/h</w:t>
            </w:r>
          </w:p>
        </w:tc>
      </w:tr>
      <w:tr w14:paraId="39C6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0635D2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6C7C02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最大爬坡度</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3751C6E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≥25%</w:t>
            </w:r>
          </w:p>
        </w:tc>
      </w:tr>
      <w:tr w14:paraId="13CA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F4B947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11</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22FED1B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外形尺寸（长×宽×高）</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379CFF1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(9500~9600)×(2500~2550)×(3000~3100)mm</w:t>
            </w:r>
          </w:p>
        </w:tc>
      </w:tr>
      <w:tr w14:paraId="47B0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060A32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3D51E5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前悬/后悬</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7B11E3C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≤1430/1150</w:t>
            </w:r>
          </w:p>
        </w:tc>
      </w:tr>
      <w:tr w14:paraId="6D556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44F920E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13</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7AB4EE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最小离地间隙</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1077B5C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≥230mm</w:t>
            </w:r>
          </w:p>
        </w:tc>
      </w:tr>
      <w:tr w14:paraId="392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0F6AD20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14</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ECFA9D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接近角/离去角</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7401BF6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≥19°/≥28°</w:t>
            </w:r>
          </w:p>
        </w:tc>
      </w:tr>
      <w:tr w14:paraId="1485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65B085E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15</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7876B93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排量</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2BF3B7D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≤7.5L</w:t>
            </w:r>
          </w:p>
        </w:tc>
      </w:tr>
      <w:tr w14:paraId="161F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11980EF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16</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3F91DC4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排放标准</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6D15F87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国VI</w:t>
            </w:r>
          </w:p>
        </w:tc>
      </w:tr>
      <w:tr w14:paraId="2BB4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58E3E05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17</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51ABBB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轮胎</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56E6184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11.00R20或12.00R20</w:t>
            </w:r>
          </w:p>
        </w:tc>
      </w:tr>
      <w:tr w14:paraId="02B3B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1026916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18</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087EF6E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最大净功率功率</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0C750DC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≥254kW</w:t>
            </w:r>
          </w:p>
        </w:tc>
      </w:tr>
      <w:tr w14:paraId="089C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07F3A24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19</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78E0ED2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燃料种类</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179A884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柴油</w:t>
            </w:r>
          </w:p>
        </w:tc>
      </w:tr>
      <w:tr w14:paraId="62DA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4" w:type="pct"/>
            <w:tcBorders>
              <w:top w:val="single" w:color="auto" w:sz="4" w:space="0"/>
              <w:left w:val="single" w:color="auto" w:sz="4" w:space="0"/>
              <w:bottom w:val="single" w:color="auto" w:sz="4" w:space="0"/>
              <w:right w:val="single" w:color="auto" w:sz="4" w:space="0"/>
            </w:tcBorders>
            <w:noWrap w:val="0"/>
            <w:vAlign w:val="center"/>
          </w:tcPr>
          <w:p w14:paraId="25E4673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20</w:t>
            </w:r>
          </w:p>
        </w:tc>
        <w:tc>
          <w:tcPr>
            <w:tcW w:w="2110" w:type="pct"/>
            <w:tcBorders>
              <w:top w:val="single" w:color="auto" w:sz="4" w:space="0"/>
              <w:left w:val="single" w:color="auto" w:sz="4" w:space="0"/>
              <w:bottom w:val="single" w:color="auto" w:sz="4" w:space="0"/>
              <w:right w:val="single" w:color="auto" w:sz="4" w:space="0"/>
            </w:tcBorders>
            <w:noWrap w:val="0"/>
            <w:vAlign w:val="center"/>
          </w:tcPr>
          <w:p w14:paraId="5711191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侧/后防护装置离地高度</w:t>
            </w:r>
          </w:p>
        </w:tc>
        <w:tc>
          <w:tcPr>
            <w:tcW w:w="2265" w:type="pct"/>
            <w:tcBorders>
              <w:top w:val="single" w:color="auto" w:sz="4" w:space="0"/>
              <w:left w:val="single" w:color="auto" w:sz="4" w:space="0"/>
              <w:bottom w:val="single" w:color="auto" w:sz="4" w:space="0"/>
              <w:right w:val="single" w:color="auto" w:sz="4" w:space="0"/>
            </w:tcBorders>
            <w:noWrap w:val="0"/>
            <w:vAlign w:val="center"/>
          </w:tcPr>
          <w:p w14:paraId="7116885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≥450mm/≥400mm</w:t>
            </w:r>
          </w:p>
        </w:tc>
      </w:tr>
    </w:tbl>
    <w:p w14:paraId="2E7E76D4">
      <w:pPr>
        <w:pStyle w:val="47"/>
        <w:spacing w:line="560" w:lineRule="exact"/>
        <w:ind w:left="0" w:leftChars="0"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1.1专用机构技术参数</w:t>
      </w:r>
    </w:p>
    <w:tbl>
      <w:tblPr>
        <w:tblStyle w:val="4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4175"/>
        <w:gridCol w:w="4278"/>
      </w:tblGrid>
      <w:tr w14:paraId="671C8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5CD04C72">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序号</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721E5C89">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项 目</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634842B3">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技术参数</w:t>
            </w:r>
          </w:p>
        </w:tc>
      </w:tr>
      <w:tr w14:paraId="08FA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2E189A6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096F9ED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牵箱方式</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64062EC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钢丝牵引</w:t>
            </w:r>
          </w:p>
        </w:tc>
      </w:tr>
      <w:tr w14:paraId="4EA2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511ED32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7F0095A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装置重量</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61EFFA1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≤3200kg</w:t>
            </w:r>
          </w:p>
        </w:tc>
      </w:tr>
      <w:tr w14:paraId="70EB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4AFCEF4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1E5DEAD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最大举升角</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3A93989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≥70°</w:t>
            </w:r>
          </w:p>
        </w:tc>
      </w:tr>
      <w:tr w14:paraId="7B2D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3E76C90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533B2ED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工作电压</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593DE14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24V</w:t>
            </w:r>
          </w:p>
        </w:tc>
      </w:tr>
      <w:tr w14:paraId="656C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74EDE01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0204569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液压系统最大工作压力</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502D36E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≥20MPa</w:t>
            </w:r>
          </w:p>
        </w:tc>
      </w:tr>
      <w:tr w14:paraId="4302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1B290D2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4BE0A0F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油箱容积</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0086666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≤160L</w:t>
            </w:r>
          </w:p>
        </w:tc>
      </w:tr>
      <w:tr w14:paraId="157C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01F8647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437F579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钢丝直径</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77D3EA6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≥18mm</w:t>
            </w:r>
          </w:p>
        </w:tc>
      </w:tr>
      <w:tr w14:paraId="0E4E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54AC9B44">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19B64D2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额定工作能力</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5F104CD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≥25t</w:t>
            </w:r>
          </w:p>
        </w:tc>
      </w:tr>
    </w:tbl>
    <w:p w14:paraId="68742594">
      <w:pPr>
        <w:pStyle w:val="47"/>
        <w:spacing w:line="560" w:lineRule="exact"/>
        <w:ind w:left="0" w:leftChars="0"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1.2功能与性能要求：</w:t>
      </w:r>
    </w:p>
    <w:tbl>
      <w:tblPr>
        <w:tblStyle w:val="4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9015"/>
      </w:tblGrid>
      <w:tr w14:paraId="3722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77" w:type="pct"/>
            <w:noWrap w:val="0"/>
            <w:vAlign w:val="center"/>
          </w:tcPr>
          <w:p w14:paraId="722A9620">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序号</w:t>
            </w:r>
          </w:p>
        </w:tc>
        <w:tc>
          <w:tcPr>
            <w:tcW w:w="4522" w:type="pct"/>
            <w:noWrap w:val="0"/>
            <w:vAlign w:val="center"/>
          </w:tcPr>
          <w:p w14:paraId="6364C1D7">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招标要求</w:t>
            </w:r>
          </w:p>
        </w:tc>
      </w:tr>
      <w:tr w14:paraId="21C1A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365E6BB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w:t>
            </w:r>
          </w:p>
        </w:tc>
        <w:tc>
          <w:tcPr>
            <w:tcW w:w="4522" w:type="pct"/>
            <w:noWrap w:val="0"/>
            <w:vAlign w:val="center"/>
          </w:tcPr>
          <w:p w14:paraId="4F0DF62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底盘采用国产二类汽车底盘，投标人提供底盘品牌、型号。</w:t>
            </w:r>
          </w:p>
        </w:tc>
      </w:tr>
      <w:tr w14:paraId="5654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6B0B4E4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w:t>
            </w:r>
          </w:p>
        </w:tc>
        <w:tc>
          <w:tcPr>
            <w:tcW w:w="4522" w:type="pct"/>
            <w:noWrap w:val="0"/>
            <w:vAlign w:val="center"/>
          </w:tcPr>
          <w:p w14:paraId="1157A5D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所投车辆必须在工信部《道路机动车辆生产企业及产品公告》内，达到上户要求，提供公告相关页截图。此项不可偏离。</w:t>
            </w:r>
          </w:p>
        </w:tc>
      </w:tr>
      <w:tr w14:paraId="5176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0F740D7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w:t>
            </w:r>
          </w:p>
        </w:tc>
        <w:tc>
          <w:tcPr>
            <w:tcW w:w="4522" w:type="pct"/>
            <w:noWrap w:val="0"/>
            <w:vAlign w:val="center"/>
          </w:tcPr>
          <w:p w14:paraId="0CD1A1B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车辆根据相关标准、法规要求，加装安全和防护装置，并按规定的颜色、图案、中文文字等予以警示。</w:t>
            </w:r>
          </w:p>
        </w:tc>
      </w:tr>
      <w:tr w14:paraId="2D75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3C5894A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w:t>
            </w:r>
          </w:p>
        </w:tc>
        <w:tc>
          <w:tcPr>
            <w:tcW w:w="4522" w:type="pct"/>
            <w:noWrap w:val="0"/>
            <w:vAlign w:val="center"/>
          </w:tcPr>
          <w:p w14:paraId="0E396B0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车辆应安装具备记录、储存、显示、打印车辆行驶速度、时间、里程等车辆行驶状态信息的行驶记录装置。装置必须满足GB7258-2017《机动车运行安全技术条件》要求。车辆需安装行车记录仪并加装高配倒车影像。</w:t>
            </w:r>
          </w:p>
        </w:tc>
      </w:tr>
      <w:tr w14:paraId="5006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1435FD1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w:t>
            </w:r>
          </w:p>
        </w:tc>
        <w:tc>
          <w:tcPr>
            <w:tcW w:w="4522" w:type="pct"/>
            <w:noWrap w:val="0"/>
            <w:vAlign w:val="center"/>
          </w:tcPr>
          <w:p w14:paraId="5D4C96B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车辆应满足市内和长距离集装箱运输的密封要求。</w:t>
            </w:r>
          </w:p>
        </w:tc>
      </w:tr>
      <w:tr w14:paraId="6E3B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4774700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w:t>
            </w:r>
          </w:p>
        </w:tc>
        <w:tc>
          <w:tcPr>
            <w:tcW w:w="4522" w:type="pct"/>
            <w:noWrap w:val="0"/>
            <w:vAlign w:val="center"/>
          </w:tcPr>
          <w:p w14:paraId="3809D670">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车辆为交钥匙工程，包含购置税、保险（包含交强险，车船使用税，商业险含车损，第三者责任险不低于200万元）、挂牌等费用。</w:t>
            </w:r>
          </w:p>
        </w:tc>
      </w:tr>
      <w:tr w14:paraId="17CD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7DF9436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w:t>
            </w:r>
          </w:p>
        </w:tc>
        <w:tc>
          <w:tcPr>
            <w:tcW w:w="4522" w:type="pct"/>
            <w:noWrap w:val="0"/>
            <w:vAlign w:val="center"/>
          </w:tcPr>
          <w:p w14:paraId="71EF975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作业机构运动应灵活、平稳可靠，维修保养应简单、方便，液压控制操作盒设在驾驶室中，专用机构操作可在驾驶室中完成。</w:t>
            </w:r>
          </w:p>
        </w:tc>
      </w:tr>
      <w:tr w14:paraId="2771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61C30D2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w:t>
            </w:r>
          </w:p>
        </w:tc>
        <w:tc>
          <w:tcPr>
            <w:tcW w:w="4522" w:type="pct"/>
            <w:noWrap w:val="0"/>
            <w:vAlign w:val="center"/>
          </w:tcPr>
          <w:p w14:paraId="4BDFBB0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驾驶室密封性良好，视野宽敞；随车安装有暖风和空调。</w:t>
            </w:r>
          </w:p>
        </w:tc>
      </w:tr>
      <w:tr w14:paraId="1851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1D690B1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9</w:t>
            </w:r>
          </w:p>
        </w:tc>
        <w:tc>
          <w:tcPr>
            <w:tcW w:w="4522" w:type="pct"/>
            <w:noWrap w:val="0"/>
            <w:vAlign w:val="center"/>
          </w:tcPr>
          <w:p w14:paraId="2CFFBC1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产品交付时应有原车底盘随车工具和备胎、装置专用工具及维修包。</w:t>
            </w:r>
          </w:p>
        </w:tc>
      </w:tr>
      <w:tr w14:paraId="7A81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2DB6FA53">
            <w:pPr>
              <w:spacing w:line="360" w:lineRule="exact"/>
              <w:jc w:val="left"/>
              <w:rPr>
                <w:rFonts w:hint="default"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w:t>
            </w:r>
          </w:p>
        </w:tc>
        <w:tc>
          <w:tcPr>
            <w:tcW w:w="4522" w:type="pct"/>
            <w:noWrap w:val="0"/>
            <w:vAlign w:val="center"/>
          </w:tcPr>
          <w:p w14:paraId="159B952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产品交付时应提交的技术文件含产品合格证、汽车底盘使用说明书、专用车辆操作手册和辅助设备的使用说明书、以及可供指导维护和保养的系统工作原理图、常见故障处理手册及工具清单等文件。</w:t>
            </w:r>
          </w:p>
        </w:tc>
      </w:tr>
      <w:tr w14:paraId="7C72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11E2930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11</w:t>
            </w:r>
          </w:p>
        </w:tc>
        <w:tc>
          <w:tcPr>
            <w:tcW w:w="4522" w:type="pct"/>
            <w:noWrap w:val="0"/>
            <w:vAlign w:val="center"/>
          </w:tcPr>
          <w:p w14:paraId="0BB36A9B">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钢丝牵引机构应包含以下功能：</w:t>
            </w:r>
          </w:p>
          <w:p w14:paraId="2EB6C78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可将竖直摆放的容器搬移到车上呈水平运输状；</w:t>
            </w:r>
          </w:p>
          <w:p w14:paraId="5356F8D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可将车上的容器从水平的运输状态竖立放至地面；</w:t>
            </w:r>
          </w:p>
          <w:p w14:paraId="6E62372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可将水平摆放的容器搬移到车上呈水平运输状；</w:t>
            </w:r>
          </w:p>
          <w:p w14:paraId="1E5B240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可将车上的容器从水平的运输状态水平放至地面；</w:t>
            </w:r>
          </w:p>
          <w:p w14:paraId="69B54B9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能够为容器的进/卸料门的开闭提供动力。</w:t>
            </w:r>
          </w:p>
        </w:tc>
      </w:tr>
      <w:tr w14:paraId="62DE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7" w:type="pct"/>
            <w:noWrap w:val="0"/>
            <w:vAlign w:val="center"/>
          </w:tcPr>
          <w:p w14:paraId="06B1209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w:t>
            </w:r>
          </w:p>
        </w:tc>
        <w:tc>
          <w:tcPr>
            <w:tcW w:w="4522" w:type="pct"/>
            <w:noWrap w:val="0"/>
            <w:vAlign w:val="center"/>
          </w:tcPr>
          <w:p w14:paraId="789DC8E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必须与转运容器及压缩设备匹配（提供承诺函）</w:t>
            </w:r>
          </w:p>
        </w:tc>
      </w:tr>
    </w:tbl>
    <w:p w14:paraId="49166BA0">
      <w:pPr>
        <w:pStyle w:val="47"/>
        <w:spacing w:line="560" w:lineRule="exact"/>
        <w:ind w:left="0" w:leftChars="0" w:firstLine="0" w:firstLineChars="0"/>
        <w:jc w:val="center"/>
        <w:rPr>
          <w:rFonts w:hint="eastAsia" w:ascii="仿宋_GB2312" w:hAnsi="宋体" w:eastAsia="仿宋_GB2312" w:cs="Times New Roman"/>
          <w:b/>
          <w:color w:val="000000" w:themeColor="text1"/>
          <w:kern w:val="2"/>
          <w:sz w:val="30"/>
          <w:szCs w:val="30"/>
          <w:highlight w:val="none"/>
          <w:lang w:val="en-US" w:eastAsia="zh-CN" w:bidi="ar-SA"/>
          <w14:textFill>
            <w14:solidFill>
              <w14:schemeClr w14:val="tx1"/>
            </w14:solidFill>
          </w14:textFill>
        </w:rPr>
      </w:pPr>
      <w:r>
        <w:rPr>
          <w:rFonts w:hint="eastAsia" w:ascii="仿宋_GB2312" w:eastAsia="仿宋_GB2312" w:cs="Times New Roman"/>
          <w:b/>
          <w:color w:val="000000" w:themeColor="text1"/>
          <w:kern w:val="2"/>
          <w:sz w:val="30"/>
          <w:szCs w:val="30"/>
          <w:highlight w:val="none"/>
          <w:lang w:val="en-US" w:eastAsia="zh-CN" w:bidi="ar-SA"/>
          <w14:textFill>
            <w14:solidFill>
              <w14:schemeClr w14:val="tx1"/>
            </w14:solidFill>
          </w14:textFill>
        </w:rPr>
        <w:t>2.</w:t>
      </w:r>
      <w:r>
        <w:rPr>
          <w:rFonts w:hint="eastAsia" w:ascii="仿宋_GB2312" w:hAnsi="宋体" w:eastAsia="仿宋_GB2312" w:cs="Times New Roman"/>
          <w:b/>
          <w:color w:val="000000" w:themeColor="text1"/>
          <w:kern w:val="2"/>
          <w:sz w:val="30"/>
          <w:szCs w:val="30"/>
          <w:highlight w:val="none"/>
          <w:lang w:val="en-US" w:eastAsia="zh-CN" w:bidi="ar-SA"/>
          <w14:textFill>
            <w14:solidFill>
              <w14:schemeClr w14:val="tx1"/>
            </w14:solidFill>
          </w14:textFill>
        </w:rPr>
        <w:t>垃圾转运容器要求：</w:t>
      </w:r>
    </w:p>
    <w:p w14:paraId="4819B377">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转运容器承受箱内压缩、储存、转运、与转运车配合自动卸料。</w:t>
      </w:r>
    </w:p>
    <w:p w14:paraId="219BB922">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2.1主要技术参数：</w:t>
      </w:r>
    </w:p>
    <w:p w14:paraId="0E9FE4EF">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2.1.1功能要求</w:t>
      </w:r>
    </w:p>
    <w:p w14:paraId="7507C107">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（1）承受箱内压缩、储存、转运、与转运车配合自动卸料，满足垃圾转运站竖直装箱压缩的设计工艺要求，可竖直于工位上，接受垃圾压实处理（压实力为300KN）。</w:t>
      </w:r>
    </w:p>
    <w:p w14:paraId="4B518696">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（2）进料门、卸料门的启闭等操作均应能在配套31t车驾驶室内完成。</w:t>
      </w:r>
    </w:p>
    <w:p w14:paraId="6CC8391C">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2.1.2技术参数</w:t>
      </w:r>
    </w:p>
    <w:tbl>
      <w:tblPr>
        <w:tblStyle w:val="4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4175"/>
        <w:gridCol w:w="4278"/>
      </w:tblGrid>
      <w:tr w14:paraId="4A45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49230E9C">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序号</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2ACBEE25">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项 目</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0C060837">
            <w:pPr>
              <w:spacing w:line="360" w:lineRule="exact"/>
              <w:jc w:val="center"/>
              <w:rPr>
                <w:rFonts w:hint="eastAsia" w:ascii="仿宋" w:hAnsi="仿宋" w:eastAsia="仿宋"/>
                <w:b/>
                <w:bCs w:val="0"/>
                <w:color w:val="000000" w:themeColor="text1"/>
                <w:szCs w:val="21"/>
                <w:highlight w:val="none"/>
                <w:lang w:val="en-US" w:eastAsia="zh-CN"/>
                <w14:textFill>
                  <w14:solidFill>
                    <w14:schemeClr w14:val="tx1"/>
                  </w14:solidFill>
                </w14:textFill>
              </w:rPr>
            </w:pPr>
            <w:r>
              <w:rPr>
                <w:rFonts w:hint="eastAsia" w:ascii="仿宋" w:hAnsi="仿宋" w:eastAsia="仿宋"/>
                <w:b/>
                <w:bCs w:val="0"/>
                <w:color w:val="000000" w:themeColor="text1"/>
                <w:szCs w:val="21"/>
                <w:highlight w:val="none"/>
                <w:lang w:val="en-US" w:eastAsia="zh-CN"/>
                <w14:textFill>
                  <w14:solidFill>
                    <w14:schemeClr w14:val="tx1"/>
                  </w14:solidFill>
                </w14:textFill>
              </w:rPr>
              <w:t>技术参数</w:t>
            </w:r>
          </w:p>
        </w:tc>
      </w:tr>
      <w:tr w14:paraId="25AB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4B1CBB4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0B28C8A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容器外形尺寸（长×宽×高）</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3857BA1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≤7500×2500×2610mm</w:t>
            </w:r>
          </w:p>
        </w:tc>
      </w:tr>
      <w:tr w14:paraId="00C2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2E56AD0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3287605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容器直径</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610B02C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≥2300mm</w:t>
            </w:r>
          </w:p>
        </w:tc>
      </w:tr>
      <w:tr w14:paraId="6F88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6791E44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56B68EE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筒体壁厚</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0245D16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3-4mm</w:t>
            </w:r>
          </w:p>
        </w:tc>
      </w:tr>
      <w:tr w14:paraId="0D22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516C1C3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3DBF886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容器有效容积</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1FE0D48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≥30m3</w:t>
            </w:r>
          </w:p>
        </w:tc>
      </w:tr>
      <w:tr w14:paraId="1689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06EE81C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5</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219EA6F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容器自重</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412D69B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≤4500Kg</w:t>
            </w:r>
          </w:p>
        </w:tc>
      </w:tr>
      <w:tr w14:paraId="60DF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6427569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6</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5BD5CFF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容器额定装载质量</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6A461B7A">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≥17000Kg</w:t>
            </w:r>
          </w:p>
        </w:tc>
      </w:tr>
      <w:tr w14:paraId="187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7E683F0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7</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3B0875C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进料门开启方式</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7586F54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液压自动</w:t>
            </w:r>
          </w:p>
        </w:tc>
      </w:tr>
      <w:tr w14:paraId="6A81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56C06502">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8</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7985728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卸载门开启方式</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789F1DE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液压自动</w:t>
            </w:r>
          </w:p>
        </w:tc>
      </w:tr>
      <w:tr w14:paraId="4055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0D9B14A5">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9</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5DAF5A8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卸载门开启角度</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7FDDB1C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≥90°</w:t>
            </w:r>
          </w:p>
        </w:tc>
      </w:tr>
      <w:tr w14:paraId="4C6B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6A846AA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10</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326BCC68">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进料门开启角度</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1FA6712C">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≥120°</w:t>
            </w:r>
          </w:p>
        </w:tc>
      </w:tr>
      <w:tr w14:paraId="7911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20A8B68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11</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1E44BC2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材质</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25AA9BC0">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筒体的材质为特高强度钢，屈服强度≥600MPa,进料门、卸料门、底部纵梁采用优质碳钢材料</w:t>
            </w:r>
          </w:p>
        </w:tc>
      </w:tr>
      <w:tr w14:paraId="5E0A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1DB4F5DD">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12</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4748018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工作介质</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12422116">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生活垃圾</w:t>
            </w:r>
          </w:p>
        </w:tc>
      </w:tr>
      <w:tr w14:paraId="1A2A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6ACA6D39">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13</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6E8D2377">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匹配要求一</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402BB871">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与竖式压机装箱压缩泊位结构相符</w:t>
            </w:r>
          </w:p>
        </w:tc>
      </w:tr>
      <w:tr w14:paraId="422B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9" w:type="pct"/>
            <w:tcBorders>
              <w:top w:val="single" w:color="auto" w:sz="4" w:space="0"/>
              <w:left w:val="single" w:color="auto" w:sz="4" w:space="0"/>
              <w:bottom w:val="single" w:color="auto" w:sz="4" w:space="0"/>
              <w:right w:val="single" w:color="auto" w:sz="4" w:space="0"/>
            </w:tcBorders>
            <w:noWrap w:val="0"/>
            <w:vAlign w:val="center"/>
          </w:tcPr>
          <w:p w14:paraId="08A294A3">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14</w:t>
            </w:r>
          </w:p>
        </w:tc>
        <w:tc>
          <w:tcPr>
            <w:tcW w:w="2094" w:type="pct"/>
            <w:tcBorders>
              <w:top w:val="single" w:color="auto" w:sz="4" w:space="0"/>
              <w:left w:val="single" w:color="auto" w:sz="4" w:space="0"/>
              <w:bottom w:val="single" w:color="auto" w:sz="4" w:space="0"/>
              <w:right w:val="single" w:color="auto" w:sz="4" w:space="0"/>
            </w:tcBorders>
            <w:noWrap w:val="0"/>
            <w:vAlign w:val="center"/>
          </w:tcPr>
          <w:p w14:paraId="32C1510E">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匹配要求二</w:t>
            </w:r>
          </w:p>
        </w:tc>
        <w:tc>
          <w:tcPr>
            <w:tcW w:w="2146" w:type="pct"/>
            <w:tcBorders>
              <w:top w:val="single" w:color="auto" w:sz="4" w:space="0"/>
              <w:left w:val="single" w:color="auto" w:sz="4" w:space="0"/>
              <w:bottom w:val="single" w:color="auto" w:sz="4" w:space="0"/>
              <w:right w:val="single" w:color="auto" w:sz="4" w:space="0"/>
            </w:tcBorders>
            <w:noWrap w:val="0"/>
            <w:vAlign w:val="center"/>
          </w:tcPr>
          <w:p w14:paraId="0113558F">
            <w:pPr>
              <w:spacing w:line="360" w:lineRule="exact"/>
              <w:jc w:val="left"/>
              <w:rPr>
                <w:rFonts w:hint="eastAsia" w:ascii="仿宋" w:hAnsi="仿宋" w:eastAsia="仿宋"/>
                <w:bCs/>
                <w:color w:val="000000" w:themeColor="text1"/>
                <w:szCs w:val="21"/>
                <w:highlight w:val="none"/>
                <w:lang w:val="en-US" w:eastAsia="zh-CN"/>
                <w14:textFill>
                  <w14:solidFill>
                    <w14:schemeClr w14:val="tx1"/>
                  </w14:solidFill>
                </w14:textFill>
              </w:rPr>
            </w:pPr>
            <w:r>
              <w:rPr>
                <w:rFonts w:hint="eastAsia" w:ascii="仿宋" w:hAnsi="仿宋" w:eastAsia="仿宋"/>
                <w:bCs/>
                <w:color w:val="000000" w:themeColor="text1"/>
                <w:szCs w:val="21"/>
                <w:highlight w:val="none"/>
                <w:lang w:val="en-US" w:eastAsia="zh-CN"/>
                <w14:textFill>
                  <w14:solidFill>
                    <w14:schemeClr w14:val="tx1"/>
                  </w14:solidFill>
                </w14:textFill>
              </w:rPr>
              <w:t>与转运车牵引、运输、卸料匹配相符</w:t>
            </w:r>
          </w:p>
        </w:tc>
      </w:tr>
    </w:tbl>
    <w:p w14:paraId="228CAEC8">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2.1.3容器组成</w:t>
      </w:r>
    </w:p>
    <w:p w14:paraId="1171A6F3">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（1）容器主体：形状为两端（进、出料门）方体、中间圆柱桶体状。转运容器应具有足够的强度，不得在运输过程中产生变形。转运容器能满足采购人现有车辆及设备的使用要求。</w:t>
      </w:r>
    </w:p>
    <w:p w14:paraId="51D35BC1">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（2）附属液压机构：进料门与卸料门各有一对开门油缸、一对锁紧油缸；顺序阀组、快速接头（配备45°角弯接头）、液压管路等。</w:t>
      </w:r>
    </w:p>
    <w:p w14:paraId="3DB2EA97">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（3）附属密封结构：采用嵌入式优质橡胶密封结构，沿着卸料口筒体圆周密封，同时进料门之间也需安装密封条，采用高位密封形式，密封胶条需耐油、耐腐蚀、耐老化。</w:t>
      </w:r>
    </w:p>
    <w:p w14:paraId="26EF357A">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（4）应确保容器顺利进料，装满垃圾，排气好；卸料时，应确保容器顺利卸料，进气好。</w:t>
      </w:r>
    </w:p>
    <w:p w14:paraId="7B40C9F8">
      <w:pPr>
        <w:pStyle w:val="47"/>
        <w:spacing w:line="560" w:lineRule="exact"/>
        <w:ind w:left="0" w:leftChars="0" w:firstLine="480"/>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pPr>
      <w:r>
        <w:rPr>
          <w:rFonts w:hint="eastAsia" w:ascii="仿宋_GB2312" w:hAnsi="宋体" w:eastAsia="仿宋_GB2312" w:cs="Times New Roman"/>
          <w:bCs/>
          <w:color w:val="000000" w:themeColor="text1"/>
          <w:kern w:val="2"/>
          <w:sz w:val="30"/>
          <w:szCs w:val="30"/>
          <w:highlight w:val="none"/>
          <w:lang w:val="en-US" w:eastAsia="zh-CN" w:bidi="ar-SA"/>
          <w14:textFill>
            <w14:solidFill>
              <w14:schemeClr w14:val="tx1"/>
            </w14:solidFill>
          </w14:textFill>
        </w:rPr>
        <w:t>（5）转运容器与车辆对接面及点要求有醒目的颜色、标志区分。</w:t>
      </w:r>
    </w:p>
    <w:bookmarkEnd w:id="15"/>
    <w:bookmarkEnd w:id="16"/>
    <w:p w14:paraId="6F24C941">
      <w:pPr>
        <w:spacing w:line="560" w:lineRule="exact"/>
        <w:ind w:firstLine="562" w:firstLineChars="200"/>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b/>
          <w:color w:val="000000" w:themeColor="text1"/>
          <w:sz w:val="28"/>
          <w:szCs w:val="28"/>
          <w:highlight w:val="none"/>
          <w14:textFill>
            <w14:solidFill>
              <w14:schemeClr w14:val="tx1"/>
            </w14:solidFill>
          </w14:textFill>
        </w:rPr>
        <w:t>三、付款方式：</w:t>
      </w:r>
      <w:bookmarkStart w:id="17" w:name="OLE_LINK46"/>
      <w:bookmarkStart w:id="18" w:name="OLE_LINK45"/>
      <w:r>
        <w:rPr>
          <w:rFonts w:hint="eastAsia" w:ascii="仿宋_GB2312" w:hAnsi="宋体" w:eastAsia="仿宋_GB2312"/>
          <w:bCs/>
          <w:color w:val="000000" w:themeColor="text1"/>
          <w:sz w:val="30"/>
          <w:szCs w:val="30"/>
          <w:highlight w:val="none"/>
          <w14:textFill>
            <w14:solidFill>
              <w14:schemeClr w14:val="tx1"/>
            </w14:solidFill>
          </w14:textFill>
        </w:rPr>
        <w:t>项目验收合格后，第一年支付</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合同总价款</w:t>
      </w:r>
      <w:r>
        <w:rPr>
          <w:rFonts w:hint="eastAsia" w:ascii="仿宋_GB2312" w:hAnsi="宋体" w:eastAsia="仿宋_GB2312"/>
          <w:bCs/>
          <w:color w:val="000000" w:themeColor="text1"/>
          <w:sz w:val="30"/>
          <w:szCs w:val="30"/>
          <w:highlight w:val="none"/>
          <w14:textFill>
            <w14:solidFill>
              <w14:schemeClr w14:val="tx1"/>
            </w14:solidFill>
          </w14:textFill>
        </w:rPr>
        <w:t>的</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5</w:t>
      </w:r>
      <w:r>
        <w:rPr>
          <w:rFonts w:hint="eastAsia" w:ascii="仿宋_GB2312" w:hAnsi="宋体" w:eastAsia="仿宋_GB2312"/>
          <w:bCs/>
          <w:color w:val="000000" w:themeColor="text1"/>
          <w:sz w:val="30"/>
          <w:szCs w:val="30"/>
          <w:highlight w:val="none"/>
          <w14:textFill>
            <w14:solidFill>
              <w14:schemeClr w14:val="tx1"/>
            </w14:solidFill>
          </w14:textFill>
        </w:rPr>
        <w:t>0%，第二年</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支付合同总价款的</w:t>
      </w:r>
      <w:r>
        <w:rPr>
          <w:rFonts w:hint="eastAsia" w:ascii="仿宋_GB2312" w:hAnsi="宋体" w:eastAsia="仿宋_GB2312"/>
          <w:bCs/>
          <w:color w:val="000000" w:themeColor="text1"/>
          <w:sz w:val="30"/>
          <w:szCs w:val="30"/>
          <w:highlight w:val="none"/>
          <w14:textFill>
            <w14:solidFill>
              <w14:schemeClr w14:val="tx1"/>
            </w14:solidFill>
          </w14:textFill>
        </w:rPr>
        <w:t>30%，第三年支付</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合同总价款</w:t>
      </w:r>
      <w:r>
        <w:rPr>
          <w:rFonts w:hint="eastAsia" w:ascii="仿宋_GB2312" w:hAnsi="宋体" w:eastAsia="仿宋_GB2312"/>
          <w:bCs/>
          <w:color w:val="000000" w:themeColor="text1"/>
          <w:sz w:val="30"/>
          <w:szCs w:val="30"/>
          <w:highlight w:val="none"/>
          <w14:textFill>
            <w14:solidFill>
              <w14:schemeClr w14:val="tx1"/>
            </w14:solidFill>
          </w14:textFill>
        </w:rPr>
        <w:t>的20%。</w:t>
      </w:r>
    </w:p>
    <w:p w14:paraId="21DFA927">
      <w:pPr>
        <w:widowControl/>
        <w:adjustRightInd w:val="0"/>
        <w:snapToGrid w:val="0"/>
        <w:spacing w:line="560" w:lineRule="exact"/>
        <w:ind w:firstLine="562" w:firstLineChars="200"/>
        <w:jc w:val="left"/>
        <w:rPr>
          <w:rFonts w:hint="default" w:ascii="仿宋" w:hAnsi="仿宋" w:eastAsia="仿宋"/>
          <w:b/>
          <w:color w:val="000000" w:themeColor="text1"/>
          <w:sz w:val="28"/>
          <w:szCs w:val="28"/>
          <w:highlight w:val="none"/>
          <w:lang w:val="en-US" w:eastAsia="zh-CN"/>
          <w14:textFill>
            <w14:solidFill>
              <w14:schemeClr w14:val="tx1"/>
            </w14:solidFill>
          </w14:textFill>
        </w:rPr>
      </w:pPr>
      <w:r>
        <w:rPr>
          <w:rFonts w:hint="eastAsia" w:ascii="仿宋" w:hAnsi="仿宋" w:eastAsia="仿宋"/>
          <w:b/>
          <w:color w:val="000000" w:themeColor="text1"/>
          <w:sz w:val="28"/>
          <w:szCs w:val="28"/>
          <w:highlight w:val="none"/>
          <w14:textFill>
            <w14:solidFill>
              <w14:schemeClr w14:val="tx1"/>
            </w14:solidFill>
          </w14:textFill>
        </w:rPr>
        <w:t>四、交付期：</w:t>
      </w:r>
    </w:p>
    <w:p w14:paraId="214F4DA5">
      <w:pPr>
        <w:widowControl/>
        <w:adjustRightInd w:val="0"/>
        <w:snapToGrid w:val="0"/>
        <w:spacing w:line="560" w:lineRule="exact"/>
        <w:ind w:firstLine="600" w:firstLineChars="200"/>
        <w:jc w:val="left"/>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001包：自合同签订之日起40天内供货安装调试完毕。</w:t>
      </w:r>
    </w:p>
    <w:p w14:paraId="4607B5F1">
      <w:pPr>
        <w:widowControl/>
        <w:adjustRightInd w:val="0"/>
        <w:snapToGrid w:val="0"/>
        <w:spacing w:line="560" w:lineRule="exact"/>
        <w:ind w:firstLine="600" w:firstLineChars="200"/>
        <w:jc w:val="left"/>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002包：自合同签订之日起30天内供货安装调试完毕。</w:t>
      </w:r>
    </w:p>
    <w:p w14:paraId="44EB6319">
      <w:pPr>
        <w:widowControl/>
        <w:adjustRightInd w:val="0"/>
        <w:snapToGrid w:val="0"/>
        <w:spacing w:line="560" w:lineRule="exact"/>
        <w:ind w:firstLine="600" w:firstLineChars="200"/>
        <w:jc w:val="left"/>
        <w:rPr>
          <w:rFonts w:hint="default"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003包：自合同签订之日起80天内供货安装调试完毕。</w:t>
      </w:r>
    </w:p>
    <w:bookmarkEnd w:id="17"/>
    <w:bookmarkEnd w:id="18"/>
    <w:p w14:paraId="72C7CDFF">
      <w:pPr>
        <w:widowControl/>
        <w:adjustRightInd w:val="0"/>
        <w:snapToGrid w:val="0"/>
        <w:spacing w:line="560" w:lineRule="exact"/>
        <w:ind w:firstLine="562" w:firstLineChars="200"/>
        <w:jc w:val="left"/>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 w:hAnsi="仿宋" w:eastAsia="仿宋"/>
          <w:b/>
          <w:color w:val="000000" w:themeColor="text1"/>
          <w:sz w:val="28"/>
          <w:szCs w:val="28"/>
          <w:highlight w:val="none"/>
          <w14:textFill>
            <w14:solidFill>
              <w14:schemeClr w14:val="tx1"/>
            </w14:solidFill>
          </w14:textFill>
        </w:rPr>
        <w:t>五、质保期</w:t>
      </w:r>
      <w:r>
        <w:rPr>
          <w:rFonts w:hint="eastAsia" w:ascii="仿宋_GB2312" w:hAnsi="宋体" w:eastAsia="仿宋_GB2312"/>
          <w:bCs/>
          <w:color w:val="000000" w:themeColor="text1"/>
          <w:sz w:val="30"/>
          <w:szCs w:val="30"/>
          <w:highlight w:val="none"/>
          <w14:textFill>
            <w14:solidFill>
              <w14:schemeClr w14:val="tx1"/>
            </w14:solidFill>
          </w14:textFill>
        </w:rPr>
        <w:t>：</w:t>
      </w:r>
    </w:p>
    <w:p w14:paraId="583359FB">
      <w:pPr>
        <w:widowControl/>
        <w:adjustRightInd w:val="0"/>
        <w:snapToGrid w:val="0"/>
        <w:spacing w:line="560" w:lineRule="exact"/>
        <w:ind w:firstLine="600" w:firstLineChars="200"/>
        <w:jc w:val="left"/>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001包：除6吨级装载机质保期自项目验收合格之日起不得低于一年或2500小时；3.5吨叉车质保期自项目验收合格之日起不得低于一年或2000小时；其余车辆质保期自项目验收合格之日起不得低于一年。</w:t>
      </w:r>
    </w:p>
    <w:p w14:paraId="3576B0B2">
      <w:pPr>
        <w:widowControl/>
        <w:adjustRightInd w:val="0"/>
        <w:snapToGrid w:val="0"/>
        <w:spacing w:line="560" w:lineRule="exact"/>
        <w:ind w:firstLine="600" w:firstLineChars="200"/>
        <w:jc w:val="left"/>
        <w:rPr>
          <w:rFonts w:hint="eastAsia" w:ascii="仿宋_GB2312" w:hAnsi="宋体" w:eastAsia="仿宋_GB2312"/>
          <w:bCs/>
          <w:color w:val="000000" w:themeColor="text1"/>
          <w:sz w:val="30"/>
          <w:szCs w:val="30"/>
          <w:highlight w:val="none"/>
          <w:lang w:val="en-US" w:eastAsia="zh-CN"/>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002包：整机质保期自项目验收合格之日起不得低于为3年或6000小时，发动机延保不得低于3年或6000小时。</w:t>
      </w:r>
    </w:p>
    <w:p w14:paraId="108E8AE7">
      <w:pPr>
        <w:widowControl/>
        <w:adjustRightInd w:val="0"/>
        <w:snapToGrid w:val="0"/>
        <w:spacing w:line="560" w:lineRule="exact"/>
        <w:ind w:firstLine="600" w:firstLineChars="200"/>
        <w:jc w:val="left"/>
        <w:rPr>
          <w:rFonts w:hint="eastAsia"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003包：车辆及罐体质保期自项目验收合格之日起不得低于一年。</w:t>
      </w:r>
    </w:p>
    <w:p w14:paraId="4BC5A16F">
      <w:pPr>
        <w:widowControl/>
        <w:adjustRightInd w:val="0"/>
        <w:snapToGrid w:val="0"/>
        <w:spacing w:line="560" w:lineRule="exact"/>
        <w:ind w:firstLine="562" w:firstLineChars="200"/>
        <w:jc w:val="left"/>
        <w:rPr>
          <w:rFonts w:ascii="仿宋" w:hAnsi="仿宋" w:eastAsia="仿宋"/>
          <w:b/>
          <w:color w:val="000000" w:themeColor="text1"/>
          <w:sz w:val="28"/>
          <w:szCs w:val="28"/>
          <w:highlight w:val="none"/>
          <w14:textFill>
            <w14:solidFill>
              <w14:schemeClr w14:val="tx1"/>
            </w14:solidFill>
          </w14:textFill>
        </w:rPr>
        <w:sectPr>
          <w:pgSz w:w="11906" w:h="16838"/>
          <w:pgMar w:top="1440" w:right="1077" w:bottom="1440" w:left="1077" w:header="851" w:footer="992" w:gutter="0"/>
          <w:cols w:space="720" w:num="1"/>
          <w:docGrid w:type="lines" w:linePitch="312" w:charSpace="0"/>
        </w:sectPr>
      </w:pPr>
    </w:p>
    <w:p w14:paraId="0B3BA2DC">
      <w:pPr>
        <w:pStyle w:val="42"/>
        <w:spacing w:before="0" w:after="0" w:line="360" w:lineRule="auto"/>
        <w:ind w:firstLine="646" w:firstLineChars="201"/>
        <w:rPr>
          <w:rFonts w:ascii="Times New Roman" w:hAnsi="Times New Roman"/>
          <w:color w:val="000000" w:themeColor="text1"/>
          <w:sz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第四章 评标文件内容及格式</w:t>
      </w:r>
    </w:p>
    <w:p w14:paraId="33CCD981">
      <w:pPr>
        <w:spacing w:line="520" w:lineRule="exact"/>
        <w:ind w:firstLine="900" w:firstLineChars="3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一、</w:t>
      </w:r>
      <w:r>
        <w:rPr>
          <w:rFonts w:hint="eastAsia" w:ascii="仿宋_GB2312" w:hAnsi="宋体" w:eastAsia="仿宋_GB2312"/>
          <w:color w:val="000000" w:themeColor="text1"/>
          <w:sz w:val="30"/>
          <w:szCs w:val="30"/>
          <w:highlight w:val="none"/>
          <w14:textFill>
            <w14:solidFill>
              <w14:schemeClr w14:val="tx1"/>
            </w14:solidFill>
          </w14:textFill>
        </w:rPr>
        <w:t>评标原则</w:t>
      </w:r>
    </w:p>
    <w:p w14:paraId="5FA4E90F">
      <w:pPr>
        <w:tabs>
          <w:tab w:val="left" w:pos="540"/>
        </w:tabs>
        <w:spacing w:line="520" w:lineRule="exact"/>
        <w:ind w:firstLine="441" w:firstLineChars="14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 “公平、公正、科学、择优”为本次评标的基本原则，评标委员会将按照这一原则的要求，公正、平等地对待各投标人，同时，在评标时恪守以下原则：</w:t>
      </w:r>
    </w:p>
    <w:p w14:paraId="0337FD29">
      <w:pPr>
        <w:tabs>
          <w:tab w:val="left" w:pos="540"/>
        </w:tabs>
        <w:spacing w:line="520" w:lineRule="exact"/>
        <w:ind w:firstLine="561" w:firstLineChars="18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w:t>
      </w:r>
      <w:r>
        <w:rPr>
          <w:rFonts w:hint="eastAsia" w:ascii="仿宋_GB2312" w:hAnsi="宋体" w:eastAsia="仿宋_GB2312"/>
          <w:color w:val="000000" w:themeColor="text1"/>
          <w:sz w:val="30"/>
          <w:szCs w:val="30"/>
          <w:highlight w:val="none"/>
          <w14:textFill>
            <w14:solidFill>
              <w14:schemeClr w14:val="tx1"/>
            </w14:solidFill>
          </w14:textFill>
        </w:rPr>
        <w:t>客观性原则：评标委员会将严格按照招标文件的要求，对投标人的投标文件进行认真评审，评标委员会对投标文件的评审仅依据投标文件本身，而不依靠投标文件以外的任何因素。</w:t>
      </w:r>
    </w:p>
    <w:p w14:paraId="44C93993">
      <w:pPr>
        <w:tabs>
          <w:tab w:val="left" w:pos="540"/>
        </w:tabs>
        <w:spacing w:line="520" w:lineRule="exact"/>
        <w:ind w:firstLine="561" w:firstLineChars="18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w:t>
      </w:r>
      <w:r>
        <w:rPr>
          <w:rFonts w:hint="eastAsia" w:ascii="仿宋_GB2312" w:hAnsi="宋体" w:eastAsia="仿宋_GB2312"/>
          <w:color w:val="000000" w:themeColor="text1"/>
          <w:sz w:val="30"/>
          <w:szCs w:val="30"/>
          <w:highlight w:val="none"/>
          <w14:textFill>
            <w14:solidFill>
              <w14:schemeClr w14:val="tx1"/>
            </w14:solidFill>
          </w14:textFill>
        </w:rPr>
        <w:t>统一性原则：评标委员会将按照统一的评标原则和评标方法，采用统一标准进行评标。</w:t>
      </w:r>
    </w:p>
    <w:p w14:paraId="5B709914">
      <w:pPr>
        <w:tabs>
          <w:tab w:val="left" w:pos="540"/>
        </w:tabs>
        <w:spacing w:line="520" w:lineRule="exact"/>
        <w:ind w:firstLine="561" w:firstLineChars="18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3.</w:t>
      </w:r>
      <w:r>
        <w:rPr>
          <w:rFonts w:hint="eastAsia" w:ascii="仿宋_GB2312" w:hAnsi="宋体" w:eastAsia="仿宋_GB2312"/>
          <w:color w:val="000000" w:themeColor="text1"/>
          <w:sz w:val="30"/>
          <w:szCs w:val="30"/>
          <w:highlight w:val="none"/>
          <w14:textFill>
            <w14:solidFill>
              <w14:schemeClr w14:val="tx1"/>
            </w14:solidFill>
          </w14:textFill>
        </w:rPr>
        <w:t>独立性原则：评标工作在评标委员会内部独立进行，不受外界任何因素的干扰和影响。</w:t>
      </w:r>
    </w:p>
    <w:p w14:paraId="4EBEFBBE">
      <w:pPr>
        <w:tabs>
          <w:tab w:val="left" w:pos="540"/>
        </w:tabs>
        <w:spacing w:line="520" w:lineRule="exact"/>
        <w:ind w:firstLine="561" w:firstLineChars="18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4.</w:t>
      </w:r>
      <w:r>
        <w:rPr>
          <w:rFonts w:hint="eastAsia" w:ascii="仿宋_GB2312" w:hAnsi="宋体" w:eastAsia="仿宋_GB2312"/>
          <w:color w:val="000000" w:themeColor="text1"/>
          <w:sz w:val="30"/>
          <w:szCs w:val="30"/>
          <w:highlight w:val="none"/>
          <w14:textFill>
            <w14:solidFill>
              <w14:schemeClr w14:val="tx1"/>
            </w14:solidFill>
          </w14:textFill>
        </w:rPr>
        <w:t>保密性原则：评标委员会及熟知情况的有关工作人员必须对每位评委的评标意见和投标人的商业秘密严格保密，不得外泄。</w:t>
      </w:r>
    </w:p>
    <w:p w14:paraId="4CAEFF3E">
      <w:pPr>
        <w:tabs>
          <w:tab w:val="left" w:pos="540"/>
        </w:tabs>
        <w:spacing w:line="520" w:lineRule="exact"/>
        <w:ind w:firstLine="561" w:firstLineChars="187"/>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5.</w:t>
      </w:r>
      <w:r>
        <w:rPr>
          <w:rFonts w:hint="eastAsia" w:ascii="仿宋_GB2312" w:hAnsi="宋体" w:eastAsia="仿宋_GB2312"/>
          <w:color w:val="000000" w:themeColor="text1"/>
          <w:sz w:val="30"/>
          <w:szCs w:val="30"/>
          <w:highlight w:val="none"/>
          <w14:textFill>
            <w14:solidFill>
              <w14:schemeClr w14:val="tx1"/>
            </w14:solidFill>
          </w14:textFill>
        </w:rPr>
        <w:t>综合性原则：评标委员会将综合分析、评审投标人的各项指标，而不以单项指标的优劣评定出中标人。</w:t>
      </w:r>
    </w:p>
    <w:p w14:paraId="3C05EE9D">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二、评标程序</w:t>
      </w:r>
    </w:p>
    <w:p w14:paraId="22BEECBE">
      <w:pPr>
        <w:adjustRightInd w:val="0"/>
        <w:snapToGrid w:val="0"/>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1.开标结束后，采购人或者采购代理机构依法对投标人的资格进行审查。</w:t>
      </w:r>
    </w:p>
    <w:p w14:paraId="5B04AF40">
      <w:pPr>
        <w:adjustRightInd w:val="0"/>
        <w:snapToGrid w:val="0"/>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2.评标委员会对符合资格的投标人的投标文件进行符合性审查，以确定其是否满足招标文件的实质性要求。</w:t>
      </w:r>
    </w:p>
    <w:p w14:paraId="57960696">
      <w:pPr>
        <w:adjustRightInd w:val="0"/>
        <w:snapToGrid w:val="0"/>
        <w:spacing w:line="520" w:lineRule="exact"/>
        <w:ind w:firstLine="600" w:firstLineChars="200"/>
        <w:rPr>
          <w:rFonts w:ascii="仿宋_GB2312" w:hAnsi="宋体" w:eastAsia="仿宋_GB2312"/>
          <w:b/>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3.出现下列情形之一的，视为对招标文件未做出实质性响应，按照无效投标处理。</w:t>
      </w:r>
    </w:p>
    <w:p w14:paraId="2EFC2921">
      <w:pPr>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详见《投标须知前附表》-《实质性条款一览表》中符合性检查条款。</w:t>
      </w:r>
    </w:p>
    <w:p w14:paraId="029A27B4">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4.属于无效投标的，投标人不能通过修正或撤销投标文件中不符合之处而成为实质性响应的投标，招标公司将通知投标人，并说明无效投标理由；属于有效投标文件的，将进行下一轮次的询标和澄清。</w:t>
      </w:r>
    </w:p>
    <w:p w14:paraId="7A86F8F5">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5.询标和澄清</w:t>
      </w:r>
    </w:p>
    <w:p w14:paraId="36C1EB91">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依法登记的负责人）或被授权人签字，且不得超出投标文件的范围或者改变投标文件的实质性内容。</w:t>
      </w:r>
    </w:p>
    <w:p w14:paraId="5FA3FBF9">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(2)投标人依据评审要求进行澄清、说明或者补正的内容构成投标文件的组成部分。</w:t>
      </w:r>
    </w:p>
    <w:p w14:paraId="203CE628">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6.比较与评价</w:t>
      </w:r>
    </w:p>
    <w:p w14:paraId="1147DC7A">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1776D1F0">
      <w:pPr>
        <w:tabs>
          <w:tab w:val="left" w:pos="540"/>
        </w:tabs>
        <w:spacing w:line="520" w:lineRule="exact"/>
        <w:ind w:firstLine="602" w:firstLineChars="200"/>
        <w:rPr>
          <w:rFonts w:ascii="仿宋_GB2312" w:hAnsi="宋体" w:eastAsia="仿宋_GB2312"/>
          <w:bCs/>
          <w:color w:val="000000" w:themeColor="text1"/>
          <w:sz w:val="30"/>
          <w:szCs w:val="30"/>
          <w:highlight w:val="none"/>
          <w14:textFill>
            <w14:solidFill>
              <w14:schemeClr w14:val="tx1"/>
            </w14:solidFill>
          </w14:textFill>
        </w:rPr>
      </w:pPr>
      <w:r>
        <w:rPr>
          <w:rFonts w:ascii="仿宋_GB2312" w:eastAsia="仿宋_GB2312"/>
          <w:b/>
          <w:bCs/>
          <w:color w:val="000000" w:themeColor="text1"/>
          <w:sz w:val="30"/>
          <w:szCs w:val="30"/>
          <w:highlight w:val="none"/>
          <w14:textFill>
            <w14:solidFill>
              <w14:schemeClr w14:val="tx1"/>
            </w14:solidFill>
          </w14:textFill>
        </w:rPr>
        <w:t>7</w:t>
      </w:r>
      <w:r>
        <w:rPr>
          <w:rFonts w:hint="eastAsia" w:ascii="仿宋_GB2312" w:eastAsia="仿宋_GB2312"/>
          <w:b/>
          <w:bCs/>
          <w:color w:val="000000" w:themeColor="text1"/>
          <w:sz w:val="30"/>
          <w:szCs w:val="30"/>
          <w:highlight w:val="none"/>
          <w14:textFill>
            <w14:solidFill>
              <w14:schemeClr w14:val="tx1"/>
            </w14:solidFill>
          </w14:textFill>
        </w:rPr>
        <w:t>.评标方法</w:t>
      </w:r>
    </w:p>
    <w:p w14:paraId="658EA4B4">
      <w:pPr>
        <w:tabs>
          <w:tab w:val="left" w:pos="54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(1)评标方法：综合评分法。</w:t>
      </w:r>
    </w:p>
    <w:p w14:paraId="29704425">
      <w:pPr>
        <w:tabs>
          <w:tab w:val="left" w:pos="540"/>
        </w:tabs>
        <w:spacing w:line="520" w:lineRule="exact"/>
        <w:ind w:firstLine="600" w:firstLineChars="200"/>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(2)评标细则</w:t>
      </w:r>
      <w:r>
        <w:rPr>
          <w:rFonts w:hint="eastAsia" w:ascii="仿宋_GB2312" w:hAnsi="宋体" w:eastAsia="仿宋_GB2312"/>
          <w:bCs/>
          <w:color w:val="000000" w:themeColor="text1"/>
          <w:sz w:val="30"/>
          <w:szCs w:val="30"/>
          <w:highlight w:val="none"/>
          <w:lang w:eastAsia="zh-CN"/>
          <w14:textFill>
            <w14:solidFill>
              <w14:schemeClr w14:val="tx1"/>
            </w14:solidFill>
          </w14:textFill>
        </w:rPr>
        <w:t>（</w:t>
      </w:r>
      <w:r>
        <w:rPr>
          <w:rFonts w:hint="eastAsia" w:ascii="仿宋_GB2312" w:hAnsi="宋体" w:eastAsia="仿宋_GB2312"/>
          <w:bCs/>
          <w:color w:val="000000" w:themeColor="text1"/>
          <w:sz w:val="30"/>
          <w:szCs w:val="30"/>
          <w:highlight w:val="none"/>
          <w:lang w:val="en-US" w:eastAsia="zh-CN"/>
          <w14:textFill>
            <w14:solidFill>
              <w14:schemeClr w14:val="tx1"/>
            </w14:solidFill>
          </w14:textFill>
        </w:rPr>
        <w:t>001包、002包、003包</w:t>
      </w:r>
      <w:r>
        <w:rPr>
          <w:rFonts w:hint="eastAsia" w:ascii="仿宋_GB2312" w:hAnsi="宋体" w:eastAsia="仿宋_GB2312"/>
          <w:bCs/>
          <w:color w:val="000000" w:themeColor="text1"/>
          <w:sz w:val="30"/>
          <w:szCs w:val="30"/>
          <w:highlight w:val="none"/>
          <w:lang w:eastAsia="zh-CN"/>
          <w14:textFill>
            <w14:solidFill>
              <w14:schemeClr w14:val="tx1"/>
            </w14:solidFill>
          </w14:textFill>
        </w:rPr>
        <w:t>）</w:t>
      </w:r>
      <w:r>
        <w:rPr>
          <w:rFonts w:hint="eastAsia" w:ascii="仿宋_GB2312" w:hAnsi="宋体" w:eastAsia="仿宋_GB2312"/>
          <w:bCs/>
          <w:color w:val="000000" w:themeColor="text1"/>
          <w:sz w:val="30"/>
          <w:szCs w:val="30"/>
          <w:highlight w:val="none"/>
          <w14:textFill>
            <w14:solidFill>
              <w14:schemeClr w14:val="tx1"/>
            </w14:solidFill>
          </w14:textFill>
        </w:rPr>
        <w:t>：</w:t>
      </w:r>
    </w:p>
    <w:tbl>
      <w:tblPr>
        <w:tblStyle w:val="48"/>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341CE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593D8EAB">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编号</w:t>
            </w:r>
          </w:p>
        </w:tc>
        <w:tc>
          <w:tcPr>
            <w:tcW w:w="738" w:type="dxa"/>
            <w:shd w:val="clear" w:color="auto" w:fill="D9D9D9"/>
            <w:vAlign w:val="center"/>
          </w:tcPr>
          <w:p w14:paraId="4119D467">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类型</w:t>
            </w:r>
          </w:p>
        </w:tc>
        <w:tc>
          <w:tcPr>
            <w:tcW w:w="1134" w:type="dxa"/>
            <w:shd w:val="clear" w:color="auto" w:fill="D9D9D9"/>
            <w:vAlign w:val="center"/>
          </w:tcPr>
          <w:p w14:paraId="1162907A">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评分标题</w:t>
            </w:r>
          </w:p>
        </w:tc>
        <w:tc>
          <w:tcPr>
            <w:tcW w:w="5256" w:type="dxa"/>
            <w:shd w:val="clear" w:color="auto" w:fill="D9D9D9"/>
            <w:vAlign w:val="center"/>
          </w:tcPr>
          <w:p w14:paraId="7487F4AD">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评分标准</w:t>
            </w:r>
          </w:p>
        </w:tc>
        <w:tc>
          <w:tcPr>
            <w:tcW w:w="1026" w:type="dxa"/>
            <w:shd w:val="clear" w:color="auto" w:fill="D9D9D9"/>
            <w:vAlign w:val="center"/>
          </w:tcPr>
          <w:p w14:paraId="3B79B5FD">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性质</w:t>
            </w:r>
          </w:p>
        </w:tc>
        <w:tc>
          <w:tcPr>
            <w:tcW w:w="773" w:type="dxa"/>
            <w:shd w:val="clear" w:color="auto" w:fill="D9D9D9"/>
            <w:vAlign w:val="center"/>
          </w:tcPr>
          <w:p w14:paraId="1CC66AE3">
            <w:pPr>
              <w:pStyle w:val="13"/>
              <w:ind w:firstLine="0"/>
              <w:jc w:val="center"/>
              <w:rPr>
                <w:rFonts w:ascii="仿宋_GB2312" w:hAnsi="仿宋" w:eastAsia="仿宋_GB2312"/>
                <w:b/>
                <w:color w:val="000000" w:themeColor="text1"/>
                <w:sz w:val="24"/>
                <w:szCs w:val="24"/>
                <w:highlight w:val="none"/>
                <w14:textFill>
                  <w14:solidFill>
                    <w14:schemeClr w14:val="tx1"/>
                  </w14:solidFill>
                </w14:textFill>
              </w:rPr>
            </w:pPr>
            <w:r>
              <w:rPr>
                <w:rFonts w:hint="eastAsia" w:ascii="仿宋_GB2312" w:hAnsi="仿宋" w:eastAsia="仿宋_GB2312"/>
                <w:b/>
                <w:color w:val="000000" w:themeColor="text1"/>
                <w:sz w:val="24"/>
                <w:szCs w:val="24"/>
                <w:highlight w:val="none"/>
                <w14:textFill>
                  <w14:solidFill>
                    <w14:schemeClr w14:val="tx1"/>
                  </w14:solidFill>
                </w14:textFill>
              </w:rPr>
              <w:t>分数</w:t>
            </w:r>
          </w:p>
        </w:tc>
      </w:tr>
      <w:tr w14:paraId="36FAE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B6898EF">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1</w:t>
            </w:r>
          </w:p>
        </w:tc>
        <w:tc>
          <w:tcPr>
            <w:tcW w:w="738" w:type="dxa"/>
            <w:vAlign w:val="center"/>
          </w:tcPr>
          <w:p w14:paraId="6C59E767">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价格</w:t>
            </w:r>
          </w:p>
        </w:tc>
        <w:tc>
          <w:tcPr>
            <w:tcW w:w="1134" w:type="dxa"/>
            <w:vAlign w:val="center"/>
          </w:tcPr>
          <w:p w14:paraId="5C900A03">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价格分</w:t>
            </w:r>
          </w:p>
        </w:tc>
        <w:tc>
          <w:tcPr>
            <w:tcW w:w="5256" w:type="dxa"/>
            <w:vAlign w:val="center"/>
          </w:tcPr>
          <w:p w14:paraId="137DA649">
            <w:pPr>
              <w:pStyle w:val="13"/>
              <w:ind w:firstLine="0"/>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满足招标文件要求且投标价格最低的投标报价为评标基准价，其价格分为满分（标准分）。其他投标人的价格分统一按照下列公式计算：投标报价得分=(评标基准价／投标报价)×30。</w:t>
            </w:r>
          </w:p>
        </w:tc>
        <w:tc>
          <w:tcPr>
            <w:tcW w:w="1026" w:type="dxa"/>
            <w:vAlign w:val="center"/>
          </w:tcPr>
          <w:p w14:paraId="3057CD13">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系统分</w:t>
            </w:r>
          </w:p>
        </w:tc>
        <w:tc>
          <w:tcPr>
            <w:tcW w:w="773" w:type="dxa"/>
            <w:vAlign w:val="center"/>
          </w:tcPr>
          <w:p w14:paraId="1A6FBFDA">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30.00</w:t>
            </w:r>
          </w:p>
        </w:tc>
      </w:tr>
      <w:tr w14:paraId="114B7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5F293FA">
            <w:pPr>
              <w:pStyle w:val="13"/>
              <w:ind w:firstLine="0"/>
              <w:jc w:val="center"/>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2</w:t>
            </w:r>
          </w:p>
        </w:tc>
        <w:tc>
          <w:tcPr>
            <w:tcW w:w="738" w:type="dxa"/>
            <w:vAlign w:val="center"/>
          </w:tcPr>
          <w:p w14:paraId="4EB195CE">
            <w:pPr>
              <w:pStyle w:val="13"/>
              <w:ind w:firstLine="0"/>
              <w:jc w:val="center"/>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技术</w:t>
            </w:r>
          </w:p>
        </w:tc>
        <w:tc>
          <w:tcPr>
            <w:tcW w:w="1134" w:type="dxa"/>
            <w:vAlign w:val="center"/>
          </w:tcPr>
          <w:p w14:paraId="54E8C552">
            <w:pPr>
              <w:pStyle w:val="13"/>
              <w:ind w:firstLine="0"/>
              <w:jc w:val="center"/>
              <w:rPr>
                <w:rFonts w:hint="eastAsia"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技术响应</w:t>
            </w:r>
          </w:p>
        </w:tc>
        <w:tc>
          <w:tcPr>
            <w:tcW w:w="5256" w:type="dxa"/>
            <w:vAlign w:val="center"/>
          </w:tcPr>
          <w:p w14:paraId="389B2037">
            <w:pPr>
              <w:pStyle w:val="13"/>
              <w:ind w:firstLine="0"/>
              <w:rPr>
                <w:rFonts w:hint="eastAsia"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评标委员会根据各投标人所投产品的技术参数响应情况进行打分，</w:t>
            </w: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★号参数为重要参数，不满足予以废标，其他</w:t>
            </w:r>
            <w:r>
              <w:rPr>
                <w:rFonts w:hint="eastAsia" w:ascii="仿宋_GB2312" w:hAnsi="仿宋" w:eastAsia="仿宋_GB2312"/>
                <w:bCs/>
                <w:color w:val="000000" w:themeColor="text1"/>
                <w:sz w:val="24"/>
                <w:szCs w:val="24"/>
                <w:highlight w:val="none"/>
                <w14:textFill>
                  <w14:solidFill>
                    <w14:schemeClr w14:val="tx1"/>
                  </w14:solidFill>
                </w14:textFill>
              </w:rPr>
              <w:t>技术参数满足或优于招标文件要求的得满分1</w:t>
            </w: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4</w:t>
            </w:r>
            <w:r>
              <w:rPr>
                <w:rFonts w:hint="eastAsia" w:ascii="仿宋_GB2312" w:hAnsi="仿宋" w:eastAsia="仿宋_GB2312"/>
                <w:bCs/>
                <w:color w:val="000000" w:themeColor="text1"/>
                <w:sz w:val="24"/>
                <w:szCs w:val="24"/>
                <w:highlight w:val="none"/>
                <w14:textFill>
                  <w14:solidFill>
                    <w14:schemeClr w14:val="tx1"/>
                  </w14:solidFill>
                </w14:textFill>
              </w:rPr>
              <w:t>分；若存在负偏离，每发现有一处负偏离扣1分，扣完为止。</w:t>
            </w:r>
          </w:p>
          <w:p w14:paraId="75D747F3">
            <w:pPr>
              <w:pStyle w:val="13"/>
              <w:ind w:firstLine="0"/>
              <w:rPr>
                <w:rFonts w:hint="eastAsia"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注：投标人须认真填写投标文件格式中的投标偏离表，如有正/负偏离，均须在偏离表中明确标明，作为评审依据，每项技术指标及要求需逐一列明，未逐一列明或未进行明确标注的，评标委员会以投报的技术文件和有关证明材料为准进行打分。</w:t>
            </w:r>
          </w:p>
        </w:tc>
        <w:tc>
          <w:tcPr>
            <w:tcW w:w="1026" w:type="dxa"/>
            <w:vAlign w:val="center"/>
          </w:tcPr>
          <w:p w14:paraId="6E0368BD">
            <w:pPr>
              <w:pStyle w:val="13"/>
              <w:ind w:firstLine="0"/>
              <w:jc w:val="center"/>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主观分</w:t>
            </w:r>
          </w:p>
        </w:tc>
        <w:tc>
          <w:tcPr>
            <w:tcW w:w="773" w:type="dxa"/>
            <w:vAlign w:val="center"/>
          </w:tcPr>
          <w:p w14:paraId="597BFBC4">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14.00</w:t>
            </w:r>
          </w:p>
        </w:tc>
      </w:tr>
      <w:tr w14:paraId="1705A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EDABEC5">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3</w:t>
            </w:r>
          </w:p>
        </w:tc>
        <w:tc>
          <w:tcPr>
            <w:tcW w:w="738" w:type="dxa"/>
            <w:vAlign w:val="center"/>
          </w:tcPr>
          <w:p w14:paraId="24E9BBC0">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技术</w:t>
            </w:r>
          </w:p>
        </w:tc>
        <w:tc>
          <w:tcPr>
            <w:tcW w:w="1134" w:type="dxa"/>
            <w:vAlign w:val="center"/>
          </w:tcPr>
          <w:p w14:paraId="61519869">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制造工艺</w:t>
            </w:r>
          </w:p>
        </w:tc>
        <w:tc>
          <w:tcPr>
            <w:tcW w:w="5256" w:type="dxa"/>
            <w:vAlign w:val="center"/>
          </w:tcPr>
          <w:p w14:paraId="2EF58FCC">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①</w:t>
            </w: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投标人所投车辆生产工艺（冲压、焊接、机械加工、涂漆、装配等方面的工艺）先进，标准化程度高，生产工艺过程规范，制造技术先进，生产设备齐。</w:t>
            </w:r>
          </w:p>
          <w:p w14:paraId="1C120427">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②专用装置、改装结构、作业功能适配采购人需求。</w:t>
            </w:r>
          </w:p>
          <w:p w14:paraId="231419D7">
            <w:pPr>
              <w:pStyle w:val="13"/>
              <w:ind w:firstLine="0"/>
              <w:rPr>
                <w:rFonts w:ascii="仿宋_GB2312" w:hAnsi="仿宋" w:eastAsia="仿宋_GB2312"/>
                <w:bCs/>
                <w:color w:val="000000" w:themeColor="text1"/>
                <w:sz w:val="24"/>
                <w:highlight w:val="none"/>
                <w14:textFill>
                  <w14:solidFill>
                    <w14:schemeClr w14:val="tx1"/>
                  </w14:solidFill>
                </w14:textFill>
              </w:rPr>
            </w:pPr>
            <w:r>
              <w:rPr>
                <w:rFonts w:hint="eastAsia" w:ascii="仿宋_GB2312" w:hAnsi="仿宋" w:eastAsia="仿宋_GB2312"/>
                <w:bCs/>
                <w:color w:val="000000" w:themeColor="text1"/>
                <w:sz w:val="24"/>
                <w:highlight w:val="none"/>
                <w14:textFill>
                  <w14:solidFill>
                    <w14:schemeClr w14:val="tx1"/>
                  </w14:solidFill>
                </w14:textFill>
              </w:rPr>
              <w:t>共计</w:t>
            </w:r>
            <w:r>
              <w:rPr>
                <w:rFonts w:hint="eastAsia" w:ascii="仿宋_GB2312" w:hAnsi="仿宋" w:eastAsia="仿宋_GB2312"/>
                <w:bCs/>
                <w:color w:val="000000" w:themeColor="text1"/>
                <w:sz w:val="24"/>
                <w:highlight w:val="none"/>
                <w:lang w:val="en-US" w:eastAsia="zh-CN"/>
                <w14:textFill>
                  <w14:solidFill>
                    <w14:schemeClr w14:val="tx1"/>
                  </w14:solidFill>
                </w14:textFill>
              </w:rPr>
              <w:t>2</w:t>
            </w:r>
            <w:r>
              <w:rPr>
                <w:rFonts w:hint="eastAsia" w:ascii="仿宋_GB2312" w:hAnsi="仿宋" w:eastAsia="仿宋_GB2312"/>
                <w:bCs/>
                <w:color w:val="000000" w:themeColor="text1"/>
                <w:sz w:val="24"/>
                <w:highlight w:val="none"/>
                <w14:textFill>
                  <w14:solidFill>
                    <w14:schemeClr w14:val="tx1"/>
                  </w14:solidFill>
                </w14:textFill>
              </w:rPr>
              <w:t>项，每项满分</w:t>
            </w:r>
            <w:r>
              <w:rPr>
                <w:rFonts w:hint="eastAsia" w:ascii="仿宋_GB2312" w:hAnsi="仿宋" w:eastAsia="仿宋_GB2312"/>
                <w:bCs/>
                <w:color w:val="000000" w:themeColor="text1"/>
                <w:sz w:val="24"/>
                <w:highlight w:val="none"/>
                <w:lang w:val="en-US" w:eastAsia="zh-CN"/>
                <w14:textFill>
                  <w14:solidFill>
                    <w14:schemeClr w14:val="tx1"/>
                  </w14:solidFill>
                </w14:textFill>
              </w:rPr>
              <w:t>5</w:t>
            </w:r>
            <w:r>
              <w:rPr>
                <w:rFonts w:hint="eastAsia" w:ascii="仿宋_GB2312" w:hAnsi="仿宋" w:eastAsia="仿宋_GB2312"/>
                <w:bCs/>
                <w:color w:val="000000" w:themeColor="text1"/>
                <w:sz w:val="24"/>
                <w:highlight w:val="none"/>
                <w14:textFill>
                  <w14:solidFill>
                    <w14:schemeClr w14:val="tx1"/>
                  </w14:solidFill>
                </w14:textFill>
              </w:rPr>
              <w:t>分，在此基础上每有一处瑕疵减1分，减完为止。缺条项，该项不得分。</w:t>
            </w:r>
          </w:p>
          <w:p w14:paraId="39D2463E">
            <w:pPr>
              <w:pStyle w:val="13"/>
              <w:ind w:firstLine="0"/>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注：瑕疵指内容凭空编造、存在无关的事项、内容不全面、套用其他项目方案、规范标准错误、项目地点错误、内容粗略、存在不可能实现的夸大情形。</w:t>
            </w:r>
          </w:p>
        </w:tc>
        <w:tc>
          <w:tcPr>
            <w:tcW w:w="1026" w:type="dxa"/>
            <w:vAlign w:val="center"/>
          </w:tcPr>
          <w:p w14:paraId="1D383854">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主观分</w:t>
            </w:r>
          </w:p>
        </w:tc>
        <w:tc>
          <w:tcPr>
            <w:tcW w:w="773" w:type="dxa"/>
            <w:vAlign w:val="center"/>
          </w:tcPr>
          <w:p w14:paraId="1777D2EC">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10.00</w:t>
            </w:r>
          </w:p>
        </w:tc>
      </w:tr>
      <w:tr w14:paraId="3E877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F55F97A">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4</w:t>
            </w:r>
          </w:p>
        </w:tc>
        <w:tc>
          <w:tcPr>
            <w:tcW w:w="738" w:type="dxa"/>
            <w:vAlign w:val="center"/>
          </w:tcPr>
          <w:p w14:paraId="79CE31A3">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技术</w:t>
            </w:r>
          </w:p>
        </w:tc>
        <w:tc>
          <w:tcPr>
            <w:tcW w:w="1134" w:type="dxa"/>
            <w:vAlign w:val="center"/>
          </w:tcPr>
          <w:p w14:paraId="54B23E48">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质量保证</w:t>
            </w:r>
          </w:p>
        </w:tc>
        <w:tc>
          <w:tcPr>
            <w:tcW w:w="5256" w:type="dxa"/>
            <w:vAlign w:val="center"/>
          </w:tcPr>
          <w:p w14:paraId="04D1AD9C">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评标委员会根据各投标人所投产品的质量保证进行打分</w:t>
            </w:r>
          </w:p>
          <w:p w14:paraId="0EACDFD4">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①投标人所投产品出厂检测、使用报告齐全，出厂检验流程规范。</w:t>
            </w:r>
          </w:p>
          <w:p w14:paraId="5292340D">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②投标人所投产品符合地方大气环保、噪音控制、节能减排要求，噪音、排放达标。</w:t>
            </w:r>
          </w:p>
          <w:p w14:paraId="00EE498E">
            <w:pPr>
              <w:pStyle w:val="13"/>
              <w:ind w:firstLine="0"/>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③投标人所投产品防水、防渗漏、防二次污染设计完善。</w:t>
            </w:r>
          </w:p>
          <w:p w14:paraId="20A4F53B">
            <w:pPr>
              <w:pStyle w:val="13"/>
              <w:ind w:firstLine="0"/>
              <w:rPr>
                <w:rFonts w:ascii="仿宋_GB2312" w:hAnsi="仿宋" w:eastAsia="仿宋_GB2312"/>
                <w:bCs/>
                <w:color w:val="000000" w:themeColor="text1"/>
                <w:sz w:val="24"/>
                <w:highlight w:val="none"/>
                <w14:textFill>
                  <w14:solidFill>
                    <w14:schemeClr w14:val="tx1"/>
                  </w14:solidFill>
                </w14:textFill>
              </w:rPr>
            </w:pPr>
            <w:r>
              <w:rPr>
                <w:rFonts w:hint="eastAsia" w:ascii="仿宋_GB2312" w:hAnsi="仿宋" w:eastAsia="仿宋_GB2312"/>
                <w:bCs/>
                <w:color w:val="000000" w:themeColor="text1"/>
                <w:sz w:val="24"/>
                <w:highlight w:val="none"/>
                <w14:textFill>
                  <w14:solidFill>
                    <w14:schemeClr w14:val="tx1"/>
                  </w14:solidFill>
                </w14:textFill>
              </w:rPr>
              <w:t>共计</w:t>
            </w:r>
            <w:r>
              <w:rPr>
                <w:rFonts w:hint="eastAsia" w:ascii="仿宋_GB2312" w:hAnsi="仿宋" w:eastAsia="仿宋_GB2312"/>
                <w:bCs/>
                <w:color w:val="000000" w:themeColor="text1"/>
                <w:sz w:val="24"/>
                <w:highlight w:val="none"/>
                <w:lang w:val="en-US" w:eastAsia="zh-CN"/>
                <w14:textFill>
                  <w14:solidFill>
                    <w14:schemeClr w14:val="tx1"/>
                  </w14:solidFill>
                </w14:textFill>
              </w:rPr>
              <w:t>3</w:t>
            </w:r>
            <w:r>
              <w:rPr>
                <w:rFonts w:hint="eastAsia" w:ascii="仿宋_GB2312" w:hAnsi="仿宋" w:eastAsia="仿宋_GB2312"/>
                <w:bCs/>
                <w:color w:val="000000" w:themeColor="text1"/>
                <w:sz w:val="24"/>
                <w:highlight w:val="none"/>
                <w14:textFill>
                  <w14:solidFill>
                    <w14:schemeClr w14:val="tx1"/>
                  </w14:solidFill>
                </w14:textFill>
              </w:rPr>
              <w:t>项，每项满分</w:t>
            </w:r>
            <w:r>
              <w:rPr>
                <w:rFonts w:hint="eastAsia" w:ascii="仿宋_GB2312" w:hAnsi="仿宋" w:eastAsia="仿宋_GB2312"/>
                <w:bCs/>
                <w:color w:val="000000" w:themeColor="text1"/>
                <w:sz w:val="24"/>
                <w:highlight w:val="none"/>
                <w:lang w:val="en-US" w:eastAsia="zh-CN"/>
                <w14:textFill>
                  <w14:solidFill>
                    <w14:schemeClr w14:val="tx1"/>
                  </w14:solidFill>
                </w14:textFill>
              </w:rPr>
              <w:t>6</w:t>
            </w:r>
            <w:r>
              <w:rPr>
                <w:rFonts w:hint="eastAsia" w:ascii="仿宋_GB2312" w:hAnsi="仿宋" w:eastAsia="仿宋_GB2312"/>
                <w:bCs/>
                <w:color w:val="000000" w:themeColor="text1"/>
                <w:sz w:val="24"/>
                <w:highlight w:val="none"/>
                <w14:textFill>
                  <w14:solidFill>
                    <w14:schemeClr w14:val="tx1"/>
                  </w14:solidFill>
                </w14:textFill>
              </w:rPr>
              <w:t>分，在此基础上每有一处瑕疵减1分，减完为止。缺条项，该项不得分。</w:t>
            </w:r>
          </w:p>
          <w:p w14:paraId="06D67417">
            <w:pPr>
              <w:pStyle w:val="13"/>
              <w:ind w:firstLine="0"/>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注：瑕疵指内容凭空编造、存在无关的事项、内容不全面、套用其他项目方案、规范标准错误、项目地点错误、内容粗略、存在不可能实现的夸大情形。</w:t>
            </w:r>
          </w:p>
        </w:tc>
        <w:tc>
          <w:tcPr>
            <w:tcW w:w="1026" w:type="dxa"/>
            <w:vAlign w:val="center"/>
          </w:tcPr>
          <w:p w14:paraId="0C33C212">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主观分</w:t>
            </w:r>
          </w:p>
        </w:tc>
        <w:tc>
          <w:tcPr>
            <w:tcW w:w="773" w:type="dxa"/>
            <w:vAlign w:val="center"/>
          </w:tcPr>
          <w:p w14:paraId="1D69E4D5">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18.00</w:t>
            </w:r>
          </w:p>
        </w:tc>
      </w:tr>
      <w:tr w14:paraId="19C36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03BB5C75">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5</w:t>
            </w:r>
          </w:p>
        </w:tc>
        <w:tc>
          <w:tcPr>
            <w:tcW w:w="738" w:type="dxa"/>
            <w:vAlign w:val="center"/>
          </w:tcPr>
          <w:p w14:paraId="696E9EE2">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技术</w:t>
            </w:r>
          </w:p>
        </w:tc>
        <w:tc>
          <w:tcPr>
            <w:tcW w:w="1134" w:type="dxa"/>
            <w:vAlign w:val="center"/>
          </w:tcPr>
          <w:p w14:paraId="6D5AA0BB">
            <w:pPr>
              <w:pStyle w:val="13"/>
              <w:ind w:firstLine="0"/>
              <w:jc w:val="center"/>
              <w:rPr>
                <w:rFonts w:hint="eastAsia"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供货安装调试方案</w:t>
            </w:r>
          </w:p>
        </w:tc>
        <w:tc>
          <w:tcPr>
            <w:tcW w:w="5256" w:type="dxa"/>
            <w:vAlign w:val="center"/>
          </w:tcPr>
          <w:p w14:paraId="4950AFD5">
            <w:pPr>
              <w:pStyle w:val="13"/>
              <w:ind w:firstLine="0"/>
              <w:rPr>
                <w:rFonts w:hint="eastAsia"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由评委审核各投标人的供货安装</w:t>
            </w: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调试</w:t>
            </w:r>
            <w:r>
              <w:rPr>
                <w:rFonts w:hint="eastAsia" w:ascii="仿宋_GB2312" w:hAnsi="仿宋" w:eastAsia="仿宋_GB2312"/>
                <w:bCs/>
                <w:color w:val="000000" w:themeColor="text1"/>
                <w:sz w:val="24"/>
                <w:szCs w:val="24"/>
                <w:highlight w:val="none"/>
                <w14:textFill>
                  <w14:solidFill>
                    <w14:schemeClr w14:val="tx1"/>
                  </w14:solidFill>
                </w14:textFill>
              </w:rPr>
              <w:t>方案后根据以下标准进行打分：①提报了详细切实可行的供货方案，供货渠道正规，供货方式具有操作性；②供应商安装</w:t>
            </w: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调试</w:t>
            </w:r>
            <w:r>
              <w:rPr>
                <w:rFonts w:hint="eastAsia" w:ascii="仿宋_GB2312" w:hAnsi="仿宋" w:eastAsia="仿宋_GB2312"/>
                <w:bCs/>
                <w:color w:val="000000" w:themeColor="text1"/>
                <w:sz w:val="24"/>
                <w:szCs w:val="24"/>
                <w:highlight w:val="none"/>
                <w14:textFill>
                  <w14:solidFill>
                    <w14:schemeClr w14:val="tx1"/>
                  </w14:solidFill>
                </w14:textFill>
              </w:rPr>
              <w:t>方案周详、针对性强、技术规范，设计合理，描述清晰准确、图文并茂；③拟派人员充足且经验丰富，专业结构合理，岗位设置搭配合理，管理和技术人员比例协调，团队整体实力强；④供应商内部管理制度完善，风险控制措施到位；⑤进度安排合理，能确保项目的有效实施；⑥配备的专职培训人员或讲师，制定详细的培训计划，进行现场培训并免费提供相关培训资料，培训内容完备、安排合理，对培训实行效果跟踪；共计6项，每项满分3分，在此基础上每有一处瑕疵减1分，减完为止。缺条项，该项不得分。</w:t>
            </w:r>
          </w:p>
          <w:p w14:paraId="1406A5D2">
            <w:pPr>
              <w:pStyle w:val="13"/>
              <w:ind w:firstLine="0"/>
              <w:rPr>
                <w:rFonts w:hint="eastAsia"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注：瑕疵指内容凭空编造、存在无关的事项、内容不全面、套用其他项目方案、规范标准错误、项目地点错误、内容粗略、存在不可能实现的夸大情形。</w:t>
            </w:r>
          </w:p>
        </w:tc>
        <w:tc>
          <w:tcPr>
            <w:tcW w:w="1026" w:type="dxa"/>
            <w:vAlign w:val="center"/>
          </w:tcPr>
          <w:p w14:paraId="2D7965BE">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主观分</w:t>
            </w:r>
          </w:p>
        </w:tc>
        <w:tc>
          <w:tcPr>
            <w:tcW w:w="773" w:type="dxa"/>
            <w:vAlign w:val="center"/>
          </w:tcPr>
          <w:p w14:paraId="28594940">
            <w:pPr>
              <w:pStyle w:val="13"/>
              <w:ind w:firstLine="0"/>
              <w:jc w:val="center"/>
              <w:rPr>
                <w:rFonts w:hint="default" w:ascii="仿宋_GB2312" w:hAnsi="仿宋" w:eastAsia="仿宋_GB2312"/>
                <w:bCs/>
                <w:color w:val="000000" w:themeColor="text1"/>
                <w:sz w:val="24"/>
                <w:szCs w:val="24"/>
                <w:highlight w:val="none"/>
                <w:lang w:val="en-US"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18.00</w:t>
            </w:r>
          </w:p>
        </w:tc>
      </w:tr>
      <w:tr w14:paraId="541D8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F8B5DF5">
            <w:pPr>
              <w:pStyle w:val="13"/>
              <w:ind w:firstLine="0"/>
              <w:jc w:val="center"/>
              <w:rPr>
                <w:rFonts w:hint="eastAsia" w:ascii="仿宋_GB2312" w:hAnsi="仿宋" w:eastAsia="仿宋_GB2312"/>
                <w:bCs/>
                <w:color w:val="000000" w:themeColor="text1"/>
                <w:sz w:val="24"/>
                <w:szCs w:val="24"/>
                <w:highlight w:val="none"/>
                <w:lang w:eastAsia="zh-CN"/>
                <w14:textFill>
                  <w14:solidFill>
                    <w14:schemeClr w14:val="tx1"/>
                  </w14:solidFill>
                </w14:textFill>
              </w:rPr>
            </w:pPr>
            <w:r>
              <w:rPr>
                <w:rFonts w:hint="eastAsia" w:ascii="仿宋_GB2312" w:hAnsi="仿宋" w:eastAsia="仿宋_GB2312"/>
                <w:bCs/>
                <w:color w:val="000000" w:themeColor="text1"/>
                <w:sz w:val="24"/>
                <w:szCs w:val="24"/>
                <w:highlight w:val="none"/>
                <w:lang w:val="en-US" w:eastAsia="zh-CN"/>
                <w14:textFill>
                  <w14:solidFill>
                    <w14:schemeClr w14:val="tx1"/>
                  </w14:solidFill>
                </w14:textFill>
              </w:rPr>
              <w:t>6</w:t>
            </w:r>
          </w:p>
        </w:tc>
        <w:tc>
          <w:tcPr>
            <w:tcW w:w="738" w:type="dxa"/>
            <w:vAlign w:val="center"/>
          </w:tcPr>
          <w:p w14:paraId="7A0A2790">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服务</w:t>
            </w:r>
          </w:p>
        </w:tc>
        <w:tc>
          <w:tcPr>
            <w:tcW w:w="1134" w:type="dxa"/>
            <w:vAlign w:val="center"/>
          </w:tcPr>
          <w:p w14:paraId="7038EF99">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售后服务</w:t>
            </w:r>
          </w:p>
        </w:tc>
        <w:tc>
          <w:tcPr>
            <w:tcW w:w="5256" w:type="dxa"/>
            <w:vAlign w:val="center"/>
          </w:tcPr>
          <w:p w14:paraId="53C8515D">
            <w:pPr>
              <w:pStyle w:val="13"/>
              <w:ind w:firstLine="0"/>
              <w:rPr>
                <w:rFonts w:ascii="仿宋_GB2312" w:hAnsi="仿宋" w:eastAsia="仿宋_GB2312"/>
                <w:bCs/>
                <w:color w:val="000000" w:themeColor="text1"/>
                <w:sz w:val="24"/>
                <w:highlight w:val="none"/>
                <w14:textFill>
                  <w14:solidFill>
                    <w14:schemeClr w14:val="tx1"/>
                  </w14:solidFill>
                </w14:textFill>
              </w:rPr>
            </w:pPr>
            <w:bookmarkStart w:id="19" w:name="OLE_LINK11"/>
            <w:r>
              <w:rPr>
                <w:rFonts w:hint="eastAsia" w:ascii="仿宋_GB2312" w:hAnsi="仿宋" w:eastAsia="仿宋_GB2312"/>
                <w:bCs/>
                <w:color w:val="000000" w:themeColor="text1"/>
                <w:sz w:val="24"/>
                <w:highlight w:val="none"/>
                <w14:textFill>
                  <w14:solidFill>
                    <w14:schemeClr w14:val="tx1"/>
                  </w14:solidFill>
                </w14:textFill>
              </w:rPr>
              <w:t>由评委审核各投标人的售后服务方案后根据以下标准进行打分：①售后服务网点多，分布广，能够快速有效提供服务；②售后服务机构技术服务人员情况，提供姓名、工作经验，人员配备充足售后服务经验丰富；③备品备件库供应充足；④针对产品的使用环境、使用频率及更新等进行回访、巡检、维护、保养等方案；⑤质保期内外服务响应迅速，具有完善的故障解决方案和应急方案，共计5项，每项满分2分，在此基础上每有一处瑕疵减0.5分，减完为止。缺条项，该项不得分。</w:t>
            </w:r>
          </w:p>
          <w:p w14:paraId="7CD7C0A5">
            <w:pPr>
              <w:pStyle w:val="13"/>
              <w:ind w:firstLine="0"/>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注：瑕疵指内容凭空编造、存在无关的事项、内容不全面、套用其他项目方案、规范标准错误、项目地点错误、内容粗略、存在不可能实现的夸大情形。</w:t>
            </w:r>
            <w:bookmarkEnd w:id="19"/>
          </w:p>
        </w:tc>
        <w:tc>
          <w:tcPr>
            <w:tcW w:w="1026" w:type="dxa"/>
            <w:vAlign w:val="center"/>
          </w:tcPr>
          <w:p w14:paraId="1D62F906">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主观分</w:t>
            </w:r>
          </w:p>
        </w:tc>
        <w:tc>
          <w:tcPr>
            <w:tcW w:w="773" w:type="dxa"/>
            <w:vAlign w:val="center"/>
          </w:tcPr>
          <w:p w14:paraId="303AD89D">
            <w:pPr>
              <w:pStyle w:val="13"/>
              <w:ind w:firstLine="0"/>
              <w:jc w:val="center"/>
              <w:rPr>
                <w:rFonts w:ascii="仿宋_GB2312" w:hAnsi="仿宋" w:eastAsia="仿宋_GB2312"/>
                <w:bCs/>
                <w:color w:val="000000" w:themeColor="text1"/>
                <w:sz w:val="24"/>
                <w:szCs w:val="24"/>
                <w:highlight w:val="none"/>
                <w14:textFill>
                  <w14:solidFill>
                    <w14:schemeClr w14:val="tx1"/>
                  </w14:solidFill>
                </w14:textFill>
              </w:rPr>
            </w:pPr>
            <w:r>
              <w:rPr>
                <w:rFonts w:hint="eastAsia" w:ascii="仿宋_GB2312" w:hAnsi="仿宋" w:eastAsia="仿宋_GB2312"/>
                <w:bCs/>
                <w:color w:val="000000" w:themeColor="text1"/>
                <w:sz w:val="24"/>
                <w:szCs w:val="24"/>
                <w:highlight w:val="none"/>
                <w14:textFill>
                  <w14:solidFill>
                    <w14:schemeClr w14:val="tx1"/>
                  </w14:solidFill>
                </w14:textFill>
              </w:rPr>
              <w:t>10.00</w:t>
            </w:r>
          </w:p>
        </w:tc>
      </w:tr>
    </w:tbl>
    <w:p w14:paraId="3D846C8E">
      <w:pPr>
        <w:spacing w:line="520" w:lineRule="exact"/>
        <w:ind w:firstLine="602"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b/>
          <w:bCs/>
          <w:color w:val="000000" w:themeColor="text1"/>
          <w:sz w:val="30"/>
          <w:szCs w:val="30"/>
          <w:highlight w:val="none"/>
          <w14:textFill>
            <w14:solidFill>
              <w14:schemeClr w14:val="tx1"/>
            </w14:solidFill>
          </w14:textFill>
        </w:rPr>
        <w:t>三、定标</w:t>
      </w:r>
    </w:p>
    <w:p w14:paraId="5DB774E9">
      <w:pPr>
        <w:spacing w:line="520" w:lineRule="exact"/>
        <w:ind w:firstLine="600" w:firstLineChars="200"/>
        <w:rPr>
          <w:rFonts w:ascii="仿宋_GB2312" w:hAnsi="仿宋" w:eastAsia="仿宋_GB2312"/>
          <w:bCs/>
          <w:color w:val="000000" w:themeColor="text1"/>
          <w:sz w:val="30"/>
          <w:szCs w:val="30"/>
          <w:highlight w:val="none"/>
          <w14:textFill>
            <w14:solidFill>
              <w14:schemeClr w14:val="tx1"/>
            </w14:solidFill>
          </w14:textFill>
        </w:rPr>
      </w:pPr>
      <w:r>
        <w:rPr>
          <w:rFonts w:hint="eastAsia" w:ascii="仿宋_GB2312" w:hAnsi="仿宋" w:eastAsia="仿宋_GB2312"/>
          <w:bCs/>
          <w:color w:val="000000" w:themeColor="text1"/>
          <w:sz w:val="30"/>
          <w:szCs w:val="30"/>
          <w:highlight w:val="none"/>
          <w14:textFill>
            <w14:solidFill>
              <w14:schemeClr w14:val="tx1"/>
            </w14:solidFill>
          </w14:textFill>
        </w:rPr>
        <w:t>1.评标委员会将综合得分排序第一的投标人确定为中标人。</w:t>
      </w:r>
    </w:p>
    <w:p w14:paraId="3C9CF989">
      <w:pPr>
        <w:spacing w:line="520" w:lineRule="exact"/>
        <w:ind w:firstLine="600" w:firstLineChars="200"/>
        <w:rPr>
          <w:rFonts w:ascii="仿宋_GB2312" w:hAnsi="仿宋" w:eastAsia="仿宋_GB2312"/>
          <w:bCs/>
          <w:color w:val="000000" w:themeColor="text1"/>
          <w:sz w:val="30"/>
          <w:szCs w:val="30"/>
          <w:highlight w:val="none"/>
          <w14:textFill>
            <w14:solidFill>
              <w14:schemeClr w14:val="tx1"/>
            </w14:solidFill>
          </w14:textFill>
        </w:rPr>
      </w:pPr>
      <w:r>
        <w:rPr>
          <w:rFonts w:hint="eastAsia" w:ascii="仿宋_GB2312" w:hAnsi="仿宋" w:eastAsia="仿宋_GB2312"/>
          <w:bCs/>
          <w:color w:val="000000" w:themeColor="text1"/>
          <w:sz w:val="30"/>
          <w:szCs w:val="30"/>
          <w:highlight w:val="none"/>
          <w14:textFill>
            <w14:solidFill>
              <w14:schemeClr w14:val="tx1"/>
            </w14:solidFill>
          </w14:textFill>
        </w:rPr>
        <w:t>2.评标结果将在威海市公共资源交易网（荣成市）、中国招标投标公共服务平台上予以公告。</w:t>
      </w:r>
    </w:p>
    <w:p w14:paraId="6CC54CF9">
      <w:pPr>
        <w:spacing w:line="520" w:lineRule="exact"/>
        <w:ind w:firstLine="590" w:firstLineChars="196"/>
        <w:rPr>
          <w:rFonts w:ascii="仿宋_GB2312" w:hAnsi="宋体" w:eastAsia="仿宋_GB2312"/>
          <w:b/>
          <w:color w:val="000000" w:themeColor="text1"/>
          <w:sz w:val="30"/>
          <w:szCs w:val="30"/>
          <w:highlight w:val="none"/>
          <w14:textFill>
            <w14:solidFill>
              <w14:schemeClr w14:val="tx1"/>
            </w14:solidFill>
          </w14:textFill>
        </w:rPr>
      </w:pPr>
      <w:r>
        <w:rPr>
          <w:rFonts w:hint="eastAsia" w:ascii="仿宋_GB2312" w:hAnsi="宋体" w:eastAsia="仿宋_GB2312"/>
          <w:b/>
          <w:color w:val="000000" w:themeColor="text1"/>
          <w:sz w:val="30"/>
          <w:szCs w:val="30"/>
          <w:highlight w:val="none"/>
          <w14:textFill>
            <w14:solidFill>
              <w14:schemeClr w14:val="tx1"/>
            </w14:solidFill>
          </w14:textFill>
        </w:rPr>
        <w:t>四、编写评标报告</w:t>
      </w:r>
    </w:p>
    <w:p w14:paraId="0009F3D5">
      <w:pPr>
        <w:spacing w:line="520" w:lineRule="exact"/>
        <w:ind w:firstLine="588" w:firstLineChars="196"/>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依据评委评标签字的原始记录和评标结果，按照规定的内容要求编写评标报告，并由全体评委签名。</w:t>
      </w:r>
    </w:p>
    <w:p w14:paraId="34060878">
      <w:pPr>
        <w:pStyle w:val="24"/>
        <w:spacing w:line="520" w:lineRule="exact"/>
        <w:ind w:left="550" w:leftChars="262"/>
        <w:jc w:val="left"/>
        <w:rPr>
          <w:rFonts w:ascii="仿宋_GB2312" w:eastAsia="仿宋_GB2312"/>
          <w:b/>
          <w:color w:val="000000" w:themeColor="text1"/>
          <w:sz w:val="30"/>
          <w:szCs w:val="30"/>
          <w:highlight w:val="none"/>
          <w14:textFill>
            <w14:solidFill>
              <w14:schemeClr w14:val="tx1"/>
            </w14:solidFill>
          </w14:textFill>
        </w:rPr>
      </w:pPr>
      <w:r>
        <w:rPr>
          <w:rFonts w:hint="eastAsia" w:ascii="仿宋_GB2312" w:eastAsia="仿宋_GB2312"/>
          <w:b/>
          <w:bCs/>
          <w:color w:val="000000" w:themeColor="text1"/>
          <w:sz w:val="30"/>
          <w:szCs w:val="30"/>
          <w:highlight w:val="none"/>
          <w14:textFill>
            <w14:solidFill>
              <w14:schemeClr w14:val="tx1"/>
            </w14:solidFill>
          </w14:textFill>
        </w:rPr>
        <w:t>五、</w:t>
      </w:r>
      <w:r>
        <w:rPr>
          <w:rFonts w:hint="eastAsia" w:ascii="仿宋_GB2312" w:eastAsia="仿宋_GB2312"/>
          <w:b/>
          <w:color w:val="000000" w:themeColor="text1"/>
          <w:sz w:val="30"/>
          <w:szCs w:val="30"/>
          <w:highlight w:val="none"/>
          <w14:textFill>
            <w14:solidFill>
              <w14:schemeClr w14:val="tx1"/>
            </w14:solidFill>
          </w14:textFill>
        </w:rPr>
        <w:t>签订合同</w:t>
      </w:r>
    </w:p>
    <w:p w14:paraId="74142AB3">
      <w:pPr>
        <w:pStyle w:val="24"/>
        <w:spacing w:line="520" w:lineRule="exact"/>
        <w:ind w:firstLine="588" w:firstLineChars="196"/>
        <w:jc w:val="left"/>
        <w:rPr>
          <w:rFonts w:ascii="仿宋_GB2312"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1.评标结果公告后，由采购人与招标公司联合向中标人签发中标通知书。</w:t>
      </w:r>
    </w:p>
    <w:p w14:paraId="53C58B1E">
      <w:pPr>
        <w:pStyle w:val="24"/>
        <w:tabs>
          <w:tab w:val="left" w:pos="0"/>
        </w:tabs>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2.中标合同原则以第六部分合同书（范本）为基础，并根据投标、答疑情况进行修改补充，自签订之日起生效。</w:t>
      </w:r>
    </w:p>
    <w:p w14:paraId="0AF5C299">
      <w:pPr>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highlight w:val="none"/>
          <w14:textFill>
            <w14:solidFill>
              <w14:schemeClr w14:val="tx1"/>
            </w14:solidFill>
          </w14:textFill>
        </w:rPr>
        <w:t>3.中标人在规定的期限内无正当理由拒绝签订合同，取消原中标决定，与排位在中标人之后第一位的中标候选投标人签订采购合同或重新组织采购。</w:t>
      </w:r>
    </w:p>
    <w:p w14:paraId="58F2986C">
      <w:pPr>
        <w:pStyle w:val="42"/>
        <w:spacing w:before="0" w:after="0" w:line="360" w:lineRule="auto"/>
        <w:ind w:firstLine="2249" w:firstLineChars="700"/>
        <w:jc w:val="both"/>
        <w:rPr>
          <w:rFonts w:ascii="宋体" w:hAnsi="宋体" w:cs="宋体"/>
          <w:color w:val="000000" w:themeColor="text1"/>
          <w:highlight w:val="none"/>
          <w14:textFill>
            <w14:solidFill>
              <w14:schemeClr w14:val="tx1"/>
            </w14:solidFill>
          </w14:textFill>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14:textFill>
            <w14:solidFill>
              <w14:schemeClr w14:val="tx1"/>
            </w14:solidFill>
          </w14:textFill>
        </w:rPr>
        <w:t>第五章投标文件格式与要求</w:t>
      </w:r>
    </w:p>
    <w:p w14:paraId="52329FB6">
      <w:pPr>
        <w:spacing w:before="100" w:beforeAutospacing="1" w:after="100" w:afterAutospacing="1" w:line="415" w:lineRule="auto"/>
        <w:jc w:val="center"/>
        <w:outlineLvl w:val="0"/>
        <w:rPr>
          <w:rFonts w:ascii="楷体_GB2312" w:hAnsi="宋体" w:eastAsia="楷体_GB2312" w:cs="宋体"/>
          <w:b/>
          <w:bCs/>
          <w:color w:val="000000" w:themeColor="text1"/>
          <w:sz w:val="44"/>
          <w:szCs w:val="44"/>
          <w:highlight w:val="none"/>
          <w14:textFill>
            <w14:solidFill>
              <w14:schemeClr w14:val="tx1"/>
            </w14:solidFill>
          </w14:textFill>
        </w:rPr>
        <w:sectPr>
          <w:headerReference r:id="rId11" w:type="default"/>
          <w:footerReference r:id="rId12"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highlight w:val="none"/>
          <w14:textFill>
            <w14:solidFill>
              <w14:schemeClr w14:val="tx1"/>
            </w14:solidFill>
          </w14:textFill>
        </w:rPr>
        <w:t xml:space="preserve">  投标（响应）文件格式</w:t>
      </w:r>
    </w:p>
    <w:p w14:paraId="03DF1E69">
      <w:pPr>
        <w:spacing w:line="460" w:lineRule="exact"/>
        <w:jc w:val="left"/>
        <w:rPr>
          <w:b/>
          <w:color w:val="000000" w:themeColor="text1"/>
          <w:kern w:val="0"/>
          <w:sz w:val="24"/>
          <w:highlight w:val="none"/>
          <w14:textFill>
            <w14:solidFill>
              <w14:schemeClr w14:val="tx1"/>
            </w14:solidFill>
          </w14:textFill>
        </w:rPr>
      </w:pPr>
    </w:p>
    <w:p w14:paraId="1D04721B">
      <w:pPr>
        <w:ind w:right="2080"/>
        <w:rPr>
          <w:rFonts w:ascii="仿宋" w:hAnsi="仿宋" w:eastAsia="仿宋"/>
          <w:color w:val="000000" w:themeColor="text1"/>
          <w:sz w:val="52"/>
          <w:highlight w:val="none"/>
          <w14:textFill>
            <w14:solidFill>
              <w14:schemeClr w14:val="tx1"/>
            </w14:solidFill>
          </w14:textFill>
        </w:rPr>
      </w:pPr>
    </w:p>
    <w:p w14:paraId="61EE5E84">
      <w:pPr>
        <w:pStyle w:val="24"/>
        <w:tabs>
          <w:tab w:val="left" w:pos="580"/>
        </w:tabs>
        <w:ind w:left="201" w:leftChars="50" w:hanging="96" w:hangingChars="22"/>
        <w:jc w:val="right"/>
        <w:rPr>
          <w:rFonts w:ascii="仿宋_GB2312" w:hAnsi="宋体" w:eastAsia="仿宋_GB2312"/>
          <w:bCs/>
          <w:color w:val="000000" w:themeColor="text1"/>
          <w:sz w:val="44"/>
          <w:szCs w:val="44"/>
          <w:highlight w:val="none"/>
          <w14:textFill>
            <w14:solidFill>
              <w14:schemeClr w14:val="tx1"/>
            </w14:solidFill>
          </w14:textFill>
        </w:rPr>
      </w:pPr>
    </w:p>
    <w:p w14:paraId="143FDB55">
      <w:pPr>
        <w:jc w:val="center"/>
        <w:rPr>
          <w:rFonts w:ascii="仿宋_GB2312" w:hAnsi="宋体" w:eastAsia="仿宋_GB2312"/>
          <w:color w:val="000000" w:themeColor="text1"/>
          <w:sz w:val="72"/>
          <w:highlight w:val="none"/>
          <w14:textFill>
            <w14:solidFill>
              <w14:schemeClr w14:val="tx1"/>
            </w14:solidFill>
          </w14:textFill>
        </w:rPr>
      </w:pPr>
      <w:r>
        <w:rPr>
          <w:rFonts w:hint="eastAsia" w:ascii="仿宋_GB2312" w:hAnsi="宋体" w:eastAsia="仿宋_GB2312"/>
          <w:color w:val="000000" w:themeColor="text1"/>
          <w:sz w:val="52"/>
          <w:highlight w:val="none"/>
          <w14:textFill>
            <w14:solidFill>
              <w14:schemeClr w14:val="tx1"/>
            </w14:solidFill>
          </w14:textFill>
        </w:rPr>
        <w:cr/>
      </w:r>
      <w:r>
        <w:rPr>
          <w:rFonts w:hint="eastAsia" w:ascii="仿宋_GB2312" w:hAnsi="宋体" w:eastAsia="仿宋_GB2312"/>
          <w:b/>
          <w:bCs/>
          <w:color w:val="000000" w:themeColor="text1"/>
          <w:sz w:val="84"/>
          <w:highlight w:val="none"/>
          <w14:textFill>
            <w14:solidFill>
              <w14:schemeClr w14:val="tx1"/>
            </w14:solidFill>
          </w14:textFill>
        </w:rPr>
        <w:t>投 标 文 件</w:t>
      </w:r>
      <w:r>
        <w:rPr>
          <w:rFonts w:hint="eastAsia" w:ascii="仿宋_GB2312" w:hAnsi="宋体" w:eastAsia="仿宋_GB2312"/>
          <w:b/>
          <w:bCs/>
          <w:color w:val="000000" w:themeColor="text1"/>
          <w:sz w:val="84"/>
          <w:highlight w:val="none"/>
          <w14:textFill>
            <w14:solidFill>
              <w14:schemeClr w14:val="tx1"/>
            </w14:solidFill>
          </w14:textFill>
        </w:rPr>
        <w:cr/>
      </w:r>
    </w:p>
    <w:p w14:paraId="2138A396">
      <w:pPr>
        <w:pStyle w:val="13"/>
        <w:rPr>
          <w:rFonts w:ascii="仿宋_GB2312" w:hAnsi="宋体" w:eastAsia="仿宋_GB2312"/>
          <w:color w:val="000000" w:themeColor="text1"/>
          <w:sz w:val="72"/>
          <w:highlight w:val="none"/>
          <w14:textFill>
            <w14:solidFill>
              <w14:schemeClr w14:val="tx1"/>
            </w14:solidFill>
          </w14:textFill>
        </w:rPr>
      </w:pPr>
    </w:p>
    <w:p w14:paraId="1AB1F097">
      <w:pPr>
        <w:pStyle w:val="13"/>
        <w:rPr>
          <w:rFonts w:ascii="仿宋_GB2312" w:hAnsi="宋体" w:eastAsia="仿宋_GB2312"/>
          <w:color w:val="000000" w:themeColor="text1"/>
          <w:sz w:val="72"/>
          <w:highlight w:val="none"/>
          <w14:textFill>
            <w14:solidFill>
              <w14:schemeClr w14:val="tx1"/>
            </w14:solidFill>
          </w14:textFill>
        </w:rPr>
      </w:pPr>
    </w:p>
    <w:p w14:paraId="4538F94F">
      <w:pPr>
        <w:ind w:left="2518" w:leftChars="1199"/>
        <w:rPr>
          <w:rFonts w:ascii="仿宋_GB2312" w:hAnsi="宋体" w:eastAsia="仿宋_GB2312"/>
          <w:color w:val="000000" w:themeColor="text1"/>
          <w:sz w:val="36"/>
          <w:highlight w:val="none"/>
          <w14:textFill>
            <w14:solidFill>
              <w14:schemeClr w14:val="tx1"/>
            </w14:solidFill>
          </w14:textFill>
        </w:rPr>
      </w:pPr>
      <w:r>
        <w:rPr>
          <w:rFonts w:hint="eastAsia" w:ascii="仿宋_GB2312" w:hAnsi="宋体" w:eastAsia="仿宋_GB2312"/>
          <w:b/>
          <w:bCs/>
          <w:color w:val="000000" w:themeColor="text1"/>
          <w:sz w:val="36"/>
          <w:highlight w:val="none"/>
          <w14:textFill>
            <w14:solidFill>
              <w14:schemeClr w14:val="tx1"/>
            </w14:solidFill>
          </w14:textFill>
        </w:rPr>
        <w:t>采购项目：</w:t>
      </w:r>
      <w:r>
        <w:rPr>
          <w:rFonts w:hint="eastAsia" w:ascii="仿宋_GB2312" w:hAnsi="宋体" w:eastAsia="仿宋_GB2312"/>
          <w:color w:val="000000" w:themeColor="text1"/>
          <w:sz w:val="36"/>
          <w:highlight w:val="none"/>
          <w:lang w:eastAsia="zh-CN"/>
          <w14:textFill>
            <w14:solidFill>
              <w14:schemeClr w14:val="tx1"/>
            </w14:solidFill>
          </w14:textFill>
        </w:rPr>
        <w:t>建筑垃圾分拣中心项目用车</w:t>
      </w:r>
    </w:p>
    <w:p w14:paraId="0010CA5C">
      <w:pPr>
        <w:ind w:left="2518" w:leftChars="1199"/>
        <w:rPr>
          <w:rFonts w:hint="eastAsia" w:ascii="仿宋_GB2312" w:hAnsi="宋体" w:eastAsia="仿宋_GB2312"/>
          <w:color w:val="000000" w:themeColor="text1"/>
          <w:sz w:val="36"/>
          <w:highlight w:val="none"/>
          <w:lang w:eastAsia="zh-CN"/>
          <w14:textFill>
            <w14:solidFill>
              <w14:schemeClr w14:val="tx1"/>
            </w14:solidFill>
          </w14:textFill>
        </w:rPr>
      </w:pPr>
      <w:r>
        <w:rPr>
          <w:rFonts w:hint="eastAsia" w:ascii="仿宋_GB2312" w:hAnsi="宋体" w:eastAsia="仿宋_GB2312"/>
          <w:b/>
          <w:bCs/>
          <w:color w:val="000000" w:themeColor="text1"/>
          <w:sz w:val="36"/>
          <w:highlight w:val="none"/>
          <w14:textFill>
            <w14:solidFill>
              <w14:schemeClr w14:val="tx1"/>
            </w14:solidFill>
          </w14:textFill>
        </w:rPr>
        <w:t>采购编号：</w:t>
      </w:r>
      <w:r>
        <w:rPr>
          <w:rFonts w:hint="eastAsia" w:ascii="仿宋_GB2312" w:hAnsi="宋体" w:eastAsia="仿宋_GB2312"/>
          <w:color w:val="000000" w:themeColor="text1"/>
          <w:sz w:val="36"/>
          <w:highlight w:val="none"/>
          <w:lang w:eastAsia="zh-CN"/>
          <w14:textFill>
            <w14:solidFill>
              <w14:schemeClr w14:val="tx1"/>
            </w14:solidFill>
          </w14:textFill>
        </w:rPr>
        <w:t>WHHGYSDGQ2026-18</w:t>
      </w:r>
    </w:p>
    <w:p w14:paraId="36330562">
      <w:pPr>
        <w:ind w:left="2518" w:leftChars="1199"/>
        <w:rPr>
          <w:rFonts w:ascii="仿宋_GB2312" w:hAnsi="宋体" w:eastAsia="仿宋_GB2312"/>
          <w:color w:val="000000" w:themeColor="text1"/>
          <w:sz w:val="36"/>
          <w:highlight w:val="none"/>
          <w14:textFill>
            <w14:solidFill>
              <w14:schemeClr w14:val="tx1"/>
            </w14:solidFill>
          </w14:textFill>
        </w:rPr>
      </w:pPr>
      <w:r>
        <w:rPr>
          <w:rFonts w:hint="eastAsia" w:ascii="仿宋_GB2312" w:hAnsi="宋体" w:eastAsia="仿宋_GB2312"/>
          <w:color w:val="000000" w:themeColor="text1"/>
          <w:sz w:val="36"/>
          <w:highlight w:val="none"/>
          <w14:textFill>
            <w14:solidFill>
              <w14:schemeClr w14:val="tx1"/>
            </w14:solidFill>
          </w14:textFill>
        </w:rPr>
        <w:t>所投包段： 　　　　　　</w:t>
      </w:r>
    </w:p>
    <w:p w14:paraId="6A10716A">
      <w:pPr>
        <w:jc w:val="left"/>
        <w:rPr>
          <w:rFonts w:ascii="仿宋_GB2312" w:hAnsi="宋体" w:eastAsia="仿宋_GB2312"/>
          <w:color w:val="000000" w:themeColor="text1"/>
          <w:sz w:val="36"/>
          <w:highlight w:val="none"/>
          <w14:textFill>
            <w14:solidFill>
              <w14:schemeClr w14:val="tx1"/>
            </w14:solidFill>
          </w14:textFill>
        </w:rPr>
      </w:pPr>
    </w:p>
    <w:p w14:paraId="5221155A">
      <w:pPr>
        <w:pStyle w:val="13"/>
        <w:rPr>
          <w:rFonts w:ascii="仿宋_GB2312" w:hAnsi="宋体" w:eastAsia="仿宋_GB2312"/>
          <w:color w:val="000000" w:themeColor="text1"/>
          <w:sz w:val="36"/>
          <w:highlight w:val="none"/>
          <w14:textFill>
            <w14:solidFill>
              <w14:schemeClr w14:val="tx1"/>
            </w14:solidFill>
          </w14:textFill>
        </w:rPr>
      </w:pPr>
    </w:p>
    <w:p w14:paraId="4AFCADC0">
      <w:pPr>
        <w:pStyle w:val="13"/>
        <w:rPr>
          <w:rFonts w:ascii="仿宋_GB2312" w:hAnsi="宋体" w:eastAsia="仿宋_GB2312"/>
          <w:color w:val="000000" w:themeColor="text1"/>
          <w:sz w:val="36"/>
          <w:highlight w:val="none"/>
          <w14:textFill>
            <w14:solidFill>
              <w14:schemeClr w14:val="tx1"/>
            </w14:solidFill>
          </w14:textFill>
        </w:rPr>
      </w:pPr>
    </w:p>
    <w:p w14:paraId="17E9EFA6">
      <w:pPr>
        <w:pStyle w:val="13"/>
        <w:rPr>
          <w:color w:val="000000" w:themeColor="text1"/>
          <w:highlight w:val="none"/>
          <w14:textFill>
            <w14:solidFill>
              <w14:schemeClr w14:val="tx1"/>
            </w14:solidFill>
          </w14:textFill>
        </w:rPr>
      </w:pPr>
    </w:p>
    <w:p w14:paraId="2E3B2E7A">
      <w:pPr>
        <w:pStyle w:val="24"/>
        <w:tabs>
          <w:tab w:val="left" w:pos="580"/>
        </w:tabs>
        <w:ind w:left="185" w:leftChars="88" w:firstLine="2340" w:firstLineChars="650"/>
        <w:rPr>
          <w:rFonts w:ascii="仿宋_GB2312" w:hAnsi="宋体" w:eastAsia="仿宋_GB2312"/>
          <w:color w:val="000000" w:themeColor="text1"/>
          <w:sz w:val="36"/>
          <w:highlight w:val="none"/>
          <w14:textFill>
            <w14:solidFill>
              <w14:schemeClr w14:val="tx1"/>
            </w14:solidFill>
          </w14:textFill>
        </w:rPr>
      </w:pPr>
      <w:r>
        <w:rPr>
          <w:rFonts w:hint="eastAsia" w:ascii="仿宋_GB2312" w:hAnsi="宋体" w:eastAsia="仿宋_GB2312"/>
          <w:color w:val="000000" w:themeColor="text1"/>
          <w:sz w:val="36"/>
          <w:highlight w:val="none"/>
          <w14:textFill>
            <w14:solidFill>
              <w14:schemeClr w14:val="tx1"/>
            </w14:solidFill>
          </w14:textFill>
        </w:rPr>
        <w:t>投标人名称：***有限公司（加盖公章）</w:t>
      </w:r>
    </w:p>
    <w:p w14:paraId="3CB8E65D">
      <w:pPr>
        <w:ind w:left="7209" w:leftChars="1290" w:right="720" w:hanging="4500" w:hangingChars="1250"/>
        <w:rPr>
          <w:rFonts w:ascii="仿宋_GB2312" w:hAnsi="宋体" w:eastAsia="仿宋_GB2312"/>
          <w:color w:val="000000" w:themeColor="text1"/>
          <w:sz w:val="36"/>
          <w:highlight w:val="none"/>
          <w14:textFill>
            <w14:solidFill>
              <w14:schemeClr w14:val="tx1"/>
            </w14:solidFill>
          </w14:textFill>
        </w:rPr>
      </w:pPr>
      <w:r>
        <w:rPr>
          <w:rFonts w:hint="eastAsia" w:ascii="仿宋_GB2312" w:hAnsi="宋体" w:eastAsia="仿宋_GB2312"/>
          <w:color w:val="000000" w:themeColor="text1"/>
          <w:sz w:val="36"/>
          <w:highlight w:val="none"/>
          <w14:textFill>
            <w14:solidFill>
              <w14:schemeClr w14:val="tx1"/>
            </w14:solidFill>
          </w14:textFill>
        </w:rPr>
        <w:t>日期：2026年  月  日</w:t>
      </w:r>
      <w:r>
        <w:rPr>
          <w:rFonts w:hint="eastAsia" w:ascii="仿宋_GB2312" w:hAnsi="宋体" w:eastAsia="仿宋_GB2312"/>
          <w:color w:val="000000" w:themeColor="text1"/>
          <w:sz w:val="36"/>
          <w:highlight w:val="none"/>
          <w14:textFill>
            <w14:solidFill>
              <w14:schemeClr w14:val="tx1"/>
            </w14:solidFill>
          </w14:textFill>
        </w:rPr>
        <w:cr/>
      </w:r>
    </w:p>
    <w:p w14:paraId="593CFA80">
      <w:pPr>
        <w:ind w:right="720"/>
        <w:jc w:val="center"/>
        <w:rPr>
          <w:rFonts w:hAnsi="宋体"/>
          <w:b/>
          <w:bCs/>
          <w:color w:val="000000" w:themeColor="text1"/>
          <w:sz w:val="44"/>
          <w:szCs w:val="44"/>
          <w:highlight w:val="none"/>
          <w14:textFill>
            <w14:solidFill>
              <w14:schemeClr w14:val="tx1"/>
            </w14:solidFill>
          </w14:textFill>
        </w:rPr>
      </w:pPr>
      <w:r>
        <w:rPr>
          <w:rFonts w:hint="eastAsia" w:hAnsi="宋体"/>
          <w:b/>
          <w:color w:val="000000" w:themeColor="text1"/>
          <w:sz w:val="44"/>
          <w:szCs w:val="44"/>
          <w:highlight w:val="none"/>
          <w14:textFill>
            <w14:solidFill>
              <w14:schemeClr w14:val="tx1"/>
            </w14:solidFill>
          </w14:textFill>
        </w:rPr>
        <w:t>投标承诺函</w:t>
      </w:r>
    </w:p>
    <w:p w14:paraId="461BCA74">
      <w:pPr>
        <w:pStyle w:val="24"/>
        <w:spacing w:line="520" w:lineRule="exact"/>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山东志诚工程咨询管理有限公司：</w:t>
      </w:r>
    </w:p>
    <w:p w14:paraId="387B0351">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我方收到</w:t>
      </w:r>
      <w:r>
        <w:rPr>
          <w:rFonts w:hint="eastAsia" w:ascii="仿宋_GB2312" w:hAnsi="宋体" w:eastAsia="仿宋_GB2312"/>
          <w:color w:val="000000" w:themeColor="text1"/>
          <w:sz w:val="30"/>
          <w:szCs w:val="30"/>
          <w:highlight w:val="none"/>
          <w:lang w:eastAsia="zh-CN"/>
          <w14:textFill>
            <w14:solidFill>
              <w14:schemeClr w14:val="tx1"/>
            </w14:solidFill>
          </w14:textFill>
        </w:rPr>
        <w:t>WHHGYSDGQ2026-18</w:t>
      </w:r>
      <w:r>
        <w:rPr>
          <w:rFonts w:hint="eastAsia" w:ascii="仿宋_GB2312" w:hAnsi="宋体" w:eastAsia="仿宋_GB2312"/>
          <w:color w:val="000000" w:themeColor="text1"/>
          <w:sz w:val="30"/>
          <w:szCs w:val="30"/>
          <w:highlight w:val="none"/>
          <w14:textFill>
            <w14:solidFill>
              <w14:schemeClr w14:val="tx1"/>
            </w14:solidFill>
          </w14:textFill>
        </w:rPr>
        <w:t>号招标文件，经详细研究，决定参加投标。</w:t>
      </w:r>
    </w:p>
    <w:p w14:paraId="056D6309">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1.我方愿意按照招标文件的规定和要求提供货物和服务，报价详见《开标一览表》。</w:t>
      </w:r>
    </w:p>
    <w:p w14:paraId="3C8FEA9D">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1D0061A9">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3.我方愿意遵守招标文件的规定和要求，并提供招标文件中要求的所有资料。</w:t>
      </w:r>
    </w:p>
    <w:p w14:paraId="43059C49">
      <w:pPr>
        <w:pStyle w:val="24"/>
        <w:spacing w:line="520" w:lineRule="exact"/>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    4.我方同意最低价是中标的主要选择标准，但不是唯一的选择标准。</w:t>
      </w:r>
    </w:p>
    <w:p w14:paraId="640996AB">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5.我方愿意按招标文件规定，全额交纳投标代理费。</w:t>
      </w:r>
    </w:p>
    <w:p w14:paraId="145DDE9B">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ascii="仿宋_GB2312" w:hAnsi="宋体" w:eastAsia="仿宋_GB2312"/>
          <w:color w:val="000000" w:themeColor="text1"/>
          <w:sz w:val="30"/>
          <w:szCs w:val="30"/>
          <w:highlight w:val="none"/>
          <w14:textFill>
            <w14:solidFill>
              <w14:schemeClr w14:val="tx1"/>
            </w14:solidFill>
          </w14:textFill>
        </w:rPr>
        <w:t>6</w:t>
      </w:r>
      <w:r>
        <w:rPr>
          <w:rFonts w:hint="eastAsia" w:ascii="仿宋_GB2312" w:hAnsi="宋体" w:eastAsia="仿宋_GB2312"/>
          <w:color w:val="000000" w:themeColor="text1"/>
          <w:sz w:val="30"/>
          <w:szCs w:val="30"/>
          <w:highlight w:val="none"/>
          <w14:textFill>
            <w14:solidFill>
              <w14:schemeClr w14:val="tx1"/>
            </w14:solidFill>
          </w14:textFill>
        </w:rPr>
        <w:t>.如果我方中标：</w:t>
      </w:r>
    </w:p>
    <w:p w14:paraId="11BFC618">
      <w:pPr>
        <w:pStyle w:val="24"/>
        <w:spacing w:line="520" w:lineRule="exact"/>
        <w:ind w:firstLine="57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（1）我方承诺将按照招标文件的规定全额交纳代理服务费；</w:t>
      </w:r>
    </w:p>
    <w:p w14:paraId="1D4E5471">
      <w:pPr>
        <w:pStyle w:val="24"/>
        <w:spacing w:line="520" w:lineRule="exact"/>
        <w:ind w:firstLine="57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（2）我方承诺在中标通知书发出后，在规定期限内与招标人签订合同；</w:t>
      </w:r>
    </w:p>
    <w:p w14:paraId="1E84567E">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（3）我方承诺在合同约定的期限内，按期、保质、保量完成供货安装任务。</w:t>
      </w:r>
    </w:p>
    <w:p w14:paraId="2BC0FBC2">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ascii="仿宋_GB2312" w:hAnsi="宋体" w:eastAsia="仿宋_GB2312"/>
          <w:color w:val="000000" w:themeColor="text1"/>
          <w:sz w:val="30"/>
          <w:szCs w:val="30"/>
          <w:highlight w:val="none"/>
          <w14:textFill>
            <w14:solidFill>
              <w14:schemeClr w14:val="tx1"/>
            </w14:solidFill>
          </w14:textFill>
        </w:rPr>
        <w:t>7</w:t>
      </w:r>
      <w:r>
        <w:rPr>
          <w:rFonts w:hint="eastAsia" w:ascii="仿宋_GB2312" w:hAnsi="宋体" w:eastAsia="仿宋_GB2312"/>
          <w:color w:val="000000" w:themeColor="text1"/>
          <w:sz w:val="30"/>
          <w:szCs w:val="30"/>
          <w:highlight w:val="none"/>
          <w14:textFill>
            <w14:solidFill>
              <w14:schemeClr w14:val="tx1"/>
            </w14:solidFill>
          </w14:textFill>
        </w:rPr>
        <w:t>.所有有关本投标的函电，请按下列地址联系：</w:t>
      </w:r>
    </w:p>
    <w:p w14:paraId="044A63CB">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单    位：                     邮政编码：</w:t>
      </w:r>
    </w:p>
    <w:p w14:paraId="05194B54">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地    址：                     联 系 人：</w:t>
      </w:r>
    </w:p>
    <w:p w14:paraId="2F240F7E">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电    话：                     传    真：</w:t>
      </w:r>
    </w:p>
    <w:p w14:paraId="790E8DFB">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开户名称：</w:t>
      </w:r>
    </w:p>
    <w:p w14:paraId="220050BC">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开户银行：</w:t>
      </w:r>
    </w:p>
    <w:p w14:paraId="0C07096C">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开户账号：</w:t>
      </w:r>
    </w:p>
    <w:p w14:paraId="15178CB1">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投标人（盖章）： </w:t>
      </w:r>
    </w:p>
    <w:p w14:paraId="7AF2000B">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法定代表人（依法登记的负责人）或被授权人（签字或盖章）：</w:t>
      </w:r>
    </w:p>
    <w:p w14:paraId="7801416C">
      <w:pPr>
        <w:pStyle w:val="24"/>
        <w:spacing w:line="520" w:lineRule="exact"/>
        <w:ind w:firstLine="64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投标日期：××年××月××日 </w:t>
      </w:r>
    </w:p>
    <w:p w14:paraId="33000F9A">
      <w:pPr>
        <w:pStyle w:val="24"/>
        <w:spacing w:line="520" w:lineRule="exact"/>
        <w:jc w:val="center"/>
        <w:rPr>
          <w:rFonts w:ascii="仿宋_GB2312" w:hAnsi="宋体" w:eastAsia="仿宋_GB2312"/>
          <w:b/>
          <w:bCs/>
          <w:color w:val="000000" w:themeColor="text1"/>
          <w:sz w:val="36"/>
          <w:highlight w:val="none"/>
          <w14:textFill>
            <w14:solidFill>
              <w14:schemeClr w14:val="tx1"/>
            </w14:solidFill>
          </w14:textFill>
        </w:rPr>
      </w:pPr>
    </w:p>
    <w:p w14:paraId="44EC296D">
      <w:pPr>
        <w:pStyle w:val="24"/>
        <w:jc w:val="right"/>
        <w:rPr>
          <w:rFonts w:ascii="仿宋_GB2312" w:hAnsi="宋体" w:eastAsia="仿宋_GB2312"/>
          <w:b/>
          <w:bCs/>
          <w:color w:val="000000" w:themeColor="text1"/>
          <w:sz w:val="28"/>
          <w:szCs w:val="28"/>
          <w:highlight w:val="none"/>
          <w14:textFill>
            <w14:solidFill>
              <w14:schemeClr w14:val="tx1"/>
            </w14:solidFill>
          </w14:textFill>
        </w:rPr>
        <w:sectPr>
          <w:headerReference r:id="rId13" w:type="default"/>
          <w:footerReference r:id="rId14" w:type="default"/>
          <w:pgSz w:w="11906" w:h="16838"/>
          <w:pgMar w:top="1418" w:right="1134" w:bottom="1134" w:left="1418" w:header="851" w:footer="992" w:gutter="0"/>
          <w:cols w:space="720" w:num="1"/>
          <w:docGrid w:type="lines" w:linePitch="520" w:charSpace="0"/>
        </w:sectPr>
      </w:pPr>
      <w:r>
        <w:rPr>
          <w:rFonts w:hint="eastAsia" w:ascii="仿宋" w:hAnsi="仿宋" w:eastAsia="仿宋"/>
          <w:color w:val="000000" w:themeColor="text1"/>
          <w:sz w:val="32"/>
          <w:szCs w:val="32"/>
          <w:highlight w:val="none"/>
          <w:u w:val="single"/>
          <w14:textFill>
            <w14:solidFill>
              <w14:schemeClr w14:val="tx1"/>
            </w14:solidFill>
          </w14:textFill>
        </w:rPr>
        <w:t xml:space="preserve">           　　　</w:t>
      </w:r>
    </w:p>
    <w:p w14:paraId="7067A3EF">
      <w:pPr>
        <w:pStyle w:val="13"/>
        <w:rPr>
          <w:color w:val="000000" w:themeColor="text1"/>
          <w:highlight w:val="none"/>
          <w14:textFill>
            <w14:solidFill>
              <w14:schemeClr w14:val="tx1"/>
            </w14:solidFill>
          </w14:textFill>
        </w:rPr>
      </w:pPr>
    </w:p>
    <w:p w14:paraId="65207225">
      <w:pPr>
        <w:pStyle w:val="24"/>
        <w:spacing w:line="520" w:lineRule="exact"/>
        <w:jc w:val="center"/>
        <w:rPr>
          <w:rFonts w:hAnsi="宋体"/>
          <w:b/>
          <w:color w:val="000000" w:themeColor="text1"/>
          <w:sz w:val="44"/>
          <w:szCs w:val="44"/>
          <w:highlight w:val="none"/>
          <w14:textFill>
            <w14:solidFill>
              <w14:schemeClr w14:val="tx1"/>
            </w14:solidFill>
          </w14:textFill>
        </w:rPr>
      </w:pPr>
      <w:r>
        <w:rPr>
          <w:rFonts w:hint="eastAsia" w:hAnsi="宋体"/>
          <w:b/>
          <w:color w:val="000000" w:themeColor="text1"/>
          <w:sz w:val="44"/>
          <w:szCs w:val="44"/>
          <w:highlight w:val="none"/>
          <w14:textFill>
            <w14:solidFill>
              <w14:schemeClr w14:val="tx1"/>
            </w14:solidFill>
          </w14:textFill>
        </w:rPr>
        <w:t>有效的营业执照副本扫描件；税务登记证副本扫描件（已办理三证合一的供应商只需提供有效的营业执照副本扫描件）或其他能证明具有独立承担民事责任能力的材料扫描件</w:t>
      </w:r>
    </w:p>
    <w:p w14:paraId="6D7E7455">
      <w:pPr>
        <w:pStyle w:val="24"/>
        <w:spacing w:line="520" w:lineRule="exact"/>
        <w:jc w:val="center"/>
        <w:rPr>
          <w:rFonts w:hAnsi="宋体"/>
          <w:b/>
          <w:color w:val="000000" w:themeColor="text1"/>
          <w:sz w:val="44"/>
          <w:szCs w:val="44"/>
          <w:highlight w:val="none"/>
          <w14:textFill>
            <w14:solidFill>
              <w14:schemeClr w14:val="tx1"/>
            </w14:solidFill>
          </w14:textFill>
        </w:rPr>
      </w:pPr>
    </w:p>
    <w:p w14:paraId="4F2CA8B4">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483D3319">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3CFEAE5A">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184FAB97">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26BEDDB2">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584100F8">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4FAF222F">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4ED50E21">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6A491BFD">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25959E27">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316DFE84">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2B0772FC">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73672A60">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0DBFE752">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7D83579A">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693F678F">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1138DBA6">
      <w:pPr>
        <w:pStyle w:val="24"/>
        <w:spacing w:line="520" w:lineRule="exact"/>
        <w:jc w:val="right"/>
        <w:rPr>
          <w:rFonts w:ascii="仿宋_GB2312" w:hAnsi="宋体" w:eastAsia="仿宋_GB2312"/>
          <w:b/>
          <w:bCs/>
          <w:color w:val="000000" w:themeColor="text1"/>
          <w:sz w:val="30"/>
          <w:szCs w:val="30"/>
          <w:highlight w:val="none"/>
          <w14:textFill>
            <w14:solidFill>
              <w14:schemeClr w14:val="tx1"/>
            </w14:solidFill>
          </w14:textFill>
        </w:rPr>
      </w:pPr>
    </w:p>
    <w:p w14:paraId="372E9014">
      <w:pPr>
        <w:pStyle w:val="24"/>
        <w:spacing w:line="520" w:lineRule="exact"/>
        <w:ind w:right="600"/>
        <w:jc w:val="center"/>
        <w:rPr>
          <w:rFonts w:ascii="仿宋_GB2312" w:hAnsi="宋体" w:eastAsia="仿宋_GB2312"/>
          <w:color w:val="000000" w:themeColor="text1"/>
          <w:sz w:val="30"/>
          <w:szCs w:val="30"/>
          <w:highlight w:val="none"/>
          <w14:textFill>
            <w14:solidFill>
              <w14:schemeClr w14:val="tx1"/>
            </w14:solidFill>
          </w14:textFill>
        </w:rPr>
        <w:sectPr>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14:textFill>
            <w14:solidFill>
              <w14:schemeClr w14:val="tx1"/>
            </w14:solidFill>
          </w14:textFill>
        </w:rPr>
        <w:t>投标人(盖章)：</w:t>
      </w:r>
    </w:p>
    <w:p w14:paraId="10F99DE9">
      <w:pPr>
        <w:pStyle w:val="24"/>
        <w:spacing w:line="520" w:lineRule="exact"/>
        <w:jc w:val="center"/>
        <w:rPr>
          <w:rFonts w:hAnsi="宋体"/>
          <w:b/>
          <w:color w:val="000000" w:themeColor="text1"/>
          <w:sz w:val="44"/>
          <w:szCs w:val="44"/>
          <w:highlight w:val="none"/>
          <w14:textFill>
            <w14:solidFill>
              <w14:schemeClr w14:val="tx1"/>
            </w14:solidFill>
          </w14:textFill>
        </w:rPr>
      </w:pPr>
      <w:r>
        <w:rPr>
          <w:rFonts w:hint="eastAsia" w:hAnsi="宋体"/>
          <w:b/>
          <w:color w:val="000000" w:themeColor="text1"/>
          <w:sz w:val="44"/>
          <w:szCs w:val="44"/>
          <w:highlight w:val="none"/>
          <w14:textFill>
            <w14:solidFill>
              <w14:schemeClr w14:val="tx1"/>
            </w14:solidFill>
          </w14:textFill>
        </w:rPr>
        <w:t>法人授权委托书</w:t>
      </w:r>
    </w:p>
    <w:p w14:paraId="1BECED8B">
      <w:pPr>
        <w:pStyle w:val="24"/>
        <w:spacing w:line="520" w:lineRule="exact"/>
        <w:ind w:firstLine="1110"/>
        <w:jc w:val="center"/>
        <w:rPr>
          <w:rFonts w:ascii="仿宋_GB2312" w:hAnsi="宋体" w:eastAsia="仿宋_GB2312"/>
          <w:b/>
          <w:bCs/>
          <w:color w:val="000000" w:themeColor="text1"/>
          <w:sz w:val="28"/>
          <w:highlight w:val="none"/>
          <w14:textFill>
            <w14:solidFill>
              <w14:schemeClr w14:val="tx1"/>
            </w14:solidFill>
          </w14:textFill>
        </w:rPr>
      </w:pPr>
    </w:p>
    <w:p w14:paraId="25093AA5">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本授权书声明：注册于</w:t>
      </w:r>
      <w:r>
        <w:rPr>
          <w:rFonts w:hint="eastAsia" w:ascii="仿宋_GB2312" w:hAnsi="宋体" w:eastAsia="仿宋_GB2312"/>
          <w:color w:val="000000" w:themeColor="text1"/>
          <w:sz w:val="30"/>
          <w:szCs w:val="30"/>
          <w:highlight w:val="none"/>
          <w:u w:val="single"/>
          <w14:textFill>
            <w14:solidFill>
              <w14:schemeClr w14:val="tx1"/>
            </w14:solidFill>
          </w14:textFill>
        </w:rPr>
        <w:t xml:space="preserve">   (国家或地区的名称)  </w:t>
      </w:r>
      <w:r>
        <w:rPr>
          <w:rFonts w:hint="eastAsia" w:ascii="仿宋_GB2312" w:hAnsi="宋体" w:eastAsia="仿宋_GB2312"/>
          <w:color w:val="000000" w:themeColor="text1"/>
          <w:sz w:val="30"/>
          <w:szCs w:val="30"/>
          <w:highlight w:val="none"/>
          <w14:textFill>
            <w14:solidFill>
              <w14:schemeClr w14:val="tx1"/>
            </w14:solidFill>
          </w14:textFill>
        </w:rPr>
        <w:t>的</w:t>
      </w:r>
      <w:r>
        <w:rPr>
          <w:rFonts w:hint="eastAsia" w:ascii="仿宋_GB2312" w:hAnsi="宋体" w:eastAsia="仿宋_GB2312"/>
          <w:color w:val="000000" w:themeColor="text1"/>
          <w:sz w:val="30"/>
          <w:szCs w:val="30"/>
          <w:highlight w:val="none"/>
          <w:u w:val="single"/>
          <w14:textFill>
            <w14:solidFill>
              <w14:schemeClr w14:val="tx1"/>
            </w14:solidFill>
          </w14:textFill>
        </w:rPr>
        <w:t xml:space="preserve">  (公司名称)  </w:t>
      </w:r>
      <w:r>
        <w:rPr>
          <w:rFonts w:hint="eastAsia" w:ascii="仿宋_GB2312" w:hAnsi="宋体" w:eastAsia="仿宋_GB2312"/>
          <w:color w:val="000000" w:themeColor="text1"/>
          <w:sz w:val="30"/>
          <w:szCs w:val="30"/>
          <w:highlight w:val="none"/>
          <w14:textFill>
            <w14:solidFill>
              <w14:schemeClr w14:val="tx1"/>
            </w14:solidFill>
          </w14:textFill>
        </w:rPr>
        <w:t>的</w:t>
      </w:r>
      <w:r>
        <w:rPr>
          <w:rFonts w:hint="eastAsia" w:ascii="仿宋_GB2312" w:hAnsi="宋体" w:eastAsia="仿宋_GB2312"/>
          <w:color w:val="000000" w:themeColor="text1"/>
          <w:sz w:val="30"/>
          <w:szCs w:val="30"/>
          <w:highlight w:val="none"/>
          <w:u w:val="single"/>
          <w14:textFill>
            <w14:solidFill>
              <w14:schemeClr w14:val="tx1"/>
            </w14:solidFill>
          </w14:textFill>
        </w:rPr>
        <w:t xml:space="preserve"> (法人代表姓名、职务)  </w:t>
      </w:r>
      <w:r>
        <w:rPr>
          <w:rFonts w:hint="eastAsia" w:ascii="仿宋_GB2312" w:hAnsi="宋体" w:eastAsia="仿宋_GB2312"/>
          <w:color w:val="000000" w:themeColor="text1"/>
          <w:sz w:val="30"/>
          <w:szCs w:val="30"/>
          <w:highlight w:val="none"/>
          <w14:textFill>
            <w14:solidFill>
              <w14:schemeClr w14:val="tx1"/>
            </w14:solidFill>
          </w14:textFill>
        </w:rPr>
        <w:t>，代表本公司授权</w:t>
      </w:r>
      <w:r>
        <w:rPr>
          <w:rFonts w:hint="eastAsia" w:ascii="仿宋_GB2312" w:hAnsi="宋体" w:eastAsia="仿宋_GB2312"/>
          <w:color w:val="000000" w:themeColor="text1"/>
          <w:sz w:val="30"/>
          <w:szCs w:val="30"/>
          <w:highlight w:val="none"/>
          <w:u w:val="single"/>
          <w14:textFill>
            <w14:solidFill>
              <w14:schemeClr w14:val="tx1"/>
            </w14:solidFill>
          </w14:textFill>
        </w:rPr>
        <w:t xml:space="preserve">  (被授权单位名称)  </w:t>
      </w:r>
      <w:r>
        <w:rPr>
          <w:rFonts w:hint="eastAsia" w:ascii="仿宋_GB2312" w:hAnsi="宋体" w:eastAsia="仿宋_GB2312"/>
          <w:color w:val="000000" w:themeColor="text1"/>
          <w:sz w:val="30"/>
          <w:szCs w:val="30"/>
          <w:highlight w:val="none"/>
          <w14:textFill>
            <w14:solidFill>
              <w14:schemeClr w14:val="tx1"/>
            </w14:solidFill>
          </w14:textFill>
        </w:rPr>
        <w:t>的</w:t>
      </w:r>
      <w:r>
        <w:rPr>
          <w:rFonts w:hint="eastAsia" w:ascii="仿宋_GB2312" w:hAnsi="宋体" w:eastAsia="仿宋_GB2312"/>
          <w:color w:val="000000" w:themeColor="text1"/>
          <w:sz w:val="30"/>
          <w:szCs w:val="30"/>
          <w:highlight w:val="none"/>
          <w:u w:val="single"/>
          <w14:textFill>
            <w14:solidFill>
              <w14:schemeClr w14:val="tx1"/>
            </w14:solidFill>
          </w14:textFill>
        </w:rPr>
        <w:t xml:space="preserve">        (被授权人的姓名、职务)</w:t>
      </w:r>
      <w:r>
        <w:rPr>
          <w:rFonts w:hint="eastAsia" w:ascii="仿宋_GB2312" w:hAnsi="宋体" w:eastAsia="仿宋_GB2312"/>
          <w:color w:val="000000" w:themeColor="text1"/>
          <w:sz w:val="30"/>
          <w:szCs w:val="30"/>
          <w:highlight w:val="none"/>
          <w14:textFill>
            <w14:solidFill>
              <w14:schemeClr w14:val="tx1"/>
            </w14:solidFill>
          </w14:textFill>
        </w:rPr>
        <w:t>为本公司的合法代理人，参加编号为</w:t>
      </w:r>
      <w:r>
        <w:rPr>
          <w:rFonts w:hint="eastAsia" w:ascii="仿宋_GB2312" w:hAnsi="宋体" w:eastAsia="仿宋_GB2312"/>
          <w:color w:val="000000" w:themeColor="text1"/>
          <w:sz w:val="30"/>
          <w:szCs w:val="30"/>
          <w:highlight w:val="none"/>
          <w:lang w:eastAsia="zh-CN"/>
          <w14:textFill>
            <w14:solidFill>
              <w14:schemeClr w14:val="tx1"/>
            </w14:solidFill>
          </w14:textFill>
        </w:rPr>
        <w:t>WHHGYSDGQ2026-18</w:t>
      </w:r>
      <w:r>
        <w:rPr>
          <w:rFonts w:hint="eastAsia" w:ascii="仿宋_GB2312" w:hAnsi="宋体" w:eastAsia="仿宋_GB2312"/>
          <w:color w:val="000000" w:themeColor="text1"/>
          <w:sz w:val="30"/>
          <w:szCs w:val="30"/>
          <w:highlight w:val="none"/>
          <w14:textFill>
            <w14:solidFill>
              <w14:schemeClr w14:val="tx1"/>
            </w14:solidFill>
          </w14:textFill>
        </w:rPr>
        <w:t>号的公开招标采购活动，以本公司名义处理一切与之有关的事宜。</w:t>
      </w:r>
    </w:p>
    <w:p w14:paraId="6FFB266C">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如果本公司在此次采购活动中中标，被授权人有权代表本公司签署合同。</w:t>
      </w:r>
    </w:p>
    <w:p w14:paraId="49E46C57">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本授权书于年月日法定代表人（依法登记的负责人）签字或盖章并由被授权人签字、单位盖章生效，特此声明。</w:t>
      </w:r>
    </w:p>
    <w:p w14:paraId="4531286E">
      <w:pPr>
        <w:pStyle w:val="24"/>
        <w:spacing w:line="520" w:lineRule="exact"/>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    被授权人无转委托权。</w:t>
      </w:r>
    </w:p>
    <w:p w14:paraId="730C51D3">
      <w:pPr>
        <w:pStyle w:val="24"/>
        <w:spacing w:line="520" w:lineRule="exact"/>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 xml:space="preserve"> </w:t>
      </w:r>
    </w:p>
    <w:p w14:paraId="2F4B6EE9">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法定代表人（依法登记的负责人）签字或盖章：</w:t>
      </w:r>
    </w:p>
    <w:p w14:paraId="0272EC89">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被授权人签字：</w:t>
      </w:r>
    </w:p>
    <w:p w14:paraId="0E6126D5">
      <w:pPr>
        <w:pStyle w:val="24"/>
        <w:spacing w:line="520" w:lineRule="exact"/>
        <w:ind w:firstLine="600" w:firstLineChars="200"/>
        <w:rPr>
          <w:rFonts w:ascii="仿宋_GB2312" w:hAnsi="宋体" w:eastAsia="仿宋_GB2312"/>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投标人公章:</w:t>
      </w:r>
    </w:p>
    <w:tbl>
      <w:tblPr>
        <w:tblStyle w:val="48"/>
        <w:tblpPr w:leftFromText="180" w:rightFromText="180" w:vertAnchor="text" w:tblpXSpec="center" w:tblpY="1"/>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1349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66176866">
            <w:pPr>
              <w:pStyle w:val="40"/>
              <w:spacing w:line="440" w:lineRule="exact"/>
              <w:jc w:val="center"/>
              <w:rPr>
                <w:rFonts w:ascii="仿宋_GB2312" w:eastAsia="仿宋_GB2312"/>
                <w:color w:val="000000" w:themeColor="text1"/>
                <w:highlight w:val="none"/>
                <w14:textFill>
                  <w14:solidFill>
                    <w14:schemeClr w14:val="tx1"/>
                  </w14:solidFill>
                </w14:textFill>
              </w:rPr>
            </w:pPr>
            <w:r>
              <w:rPr>
                <w:rFonts w:hint="eastAsia" w:ascii="仿宋_GB2312" w:eastAsia="仿宋_GB2312"/>
                <w:color w:val="000000" w:themeColor="text1"/>
                <w:kern w:val="2"/>
                <w:highlight w:val="none"/>
                <w14:textFill>
                  <w14:solidFill>
                    <w14:schemeClr w14:val="tx1"/>
                  </w14:solidFill>
                </w14:textFill>
              </w:rPr>
              <w:t>（被授权人身份证扫描件）</w:t>
            </w:r>
          </w:p>
        </w:tc>
      </w:tr>
    </w:tbl>
    <w:p w14:paraId="56891E7F">
      <w:pPr>
        <w:pStyle w:val="24"/>
        <w:spacing w:line="520" w:lineRule="exact"/>
        <w:jc w:val="center"/>
        <w:rPr>
          <w:rFonts w:ascii="仿宋_GB2312" w:hAnsi="宋体" w:eastAsia="仿宋_GB2312"/>
          <w:b/>
          <w:color w:val="000000" w:themeColor="text1"/>
          <w:sz w:val="36"/>
          <w:highlight w:val="none"/>
          <w14:textFill>
            <w14:solidFill>
              <w14:schemeClr w14:val="tx1"/>
            </w14:solidFill>
          </w14:textFill>
        </w:rPr>
      </w:pPr>
    </w:p>
    <w:p w14:paraId="38B6F76F">
      <w:pPr>
        <w:rPr>
          <w:rFonts w:ascii="仿宋_GB2312" w:eastAsia="仿宋_GB2312"/>
          <w:color w:val="000000" w:themeColor="text1"/>
          <w:highlight w:val="none"/>
          <w14:textFill>
            <w14:solidFill>
              <w14:schemeClr w14:val="tx1"/>
            </w14:solidFill>
          </w14:textFill>
        </w:rPr>
      </w:pPr>
    </w:p>
    <w:p w14:paraId="0A3D35F6">
      <w:pPr>
        <w:rPr>
          <w:rFonts w:ascii="仿宋_GB2312" w:eastAsia="仿宋_GB2312"/>
          <w:color w:val="000000" w:themeColor="text1"/>
          <w:highlight w:val="none"/>
          <w14:textFill>
            <w14:solidFill>
              <w14:schemeClr w14:val="tx1"/>
            </w14:solidFill>
          </w14:textFill>
        </w:rPr>
      </w:pPr>
    </w:p>
    <w:p w14:paraId="15380E28">
      <w:pPr>
        <w:rPr>
          <w:rFonts w:ascii="仿宋_GB2312" w:eastAsia="仿宋_GB2312"/>
          <w:color w:val="000000" w:themeColor="text1"/>
          <w:highlight w:val="none"/>
          <w14:textFill>
            <w14:solidFill>
              <w14:schemeClr w14:val="tx1"/>
            </w14:solidFill>
          </w14:textFill>
        </w:rPr>
      </w:pPr>
    </w:p>
    <w:p w14:paraId="72B32519">
      <w:pPr>
        <w:rPr>
          <w:rFonts w:ascii="仿宋_GB2312" w:eastAsia="仿宋_GB2312"/>
          <w:color w:val="000000" w:themeColor="text1"/>
          <w:highlight w:val="none"/>
          <w14:textFill>
            <w14:solidFill>
              <w14:schemeClr w14:val="tx1"/>
            </w14:solidFill>
          </w14:textFill>
        </w:rPr>
      </w:pPr>
    </w:p>
    <w:p w14:paraId="4F98D90C">
      <w:pPr>
        <w:rPr>
          <w:rFonts w:ascii="仿宋_GB2312" w:eastAsia="仿宋_GB2312"/>
          <w:color w:val="000000" w:themeColor="text1"/>
          <w:highlight w:val="none"/>
          <w14:textFill>
            <w14:solidFill>
              <w14:schemeClr w14:val="tx1"/>
            </w14:solidFill>
          </w14:textFill>
        </w:rPr>
      </w:pPr>
    </w:p>
    <w:p w14:paraId="3401F2B0">
      <w:pPr>
        <w:ind w:firstLine="420" w:firstLineChars="200"/>
        <w:rPr>
          <w:rFonts w:ascii="仿宋_GB2312" w:eastAsia="仿宋_GB2312"/>
          <w:color w:val="000000" w:themeColor="text1"/>
          <w:highlight w:val="none"/>
          <w14:textFill>
            <w14:solidFill>
              <w14:schemeClr w14:val="tx1"/>
            </w14:solidFill>
          </w14:textFill>
        </w:rPr>
      </w:pPr>
    </w:p>
    <w:p w14:paraId="3CAF4BDF">
      <w:pPr>
        <w:ind w:firstLine="420" w:firstLineChars="200"/>
        <w:rPr>
          <w:rFonts w:ascii="仿宋_GB2312" w:eastAsia="仿宋_GB2312"/>
          <w:color w:val="000000" w:themeColor="text1"/>
          <w:highlight w:val="none"/>
          <w14:textFill>
            <w14:solidFill>
              <w14:schemeClr w14:val="tx1"/>
            </w14:solidFill>
          </w14:textFill>
        </w:rPr>
      </w:pPr>
    </w:p>
    <w:p w14:paraId="28AD54E3">
      <w:pPr>
        <w:ind w:firstLine="420" w:firstLineChars="200"/>
        <w:rPr>
          <w:rFonts w:ascii="仿宋_GB2312" w:eastAsia="仿宋_GB2312"/>
          <w:color w:val="000000" w:themeColor="text1"/>
          <w:highlight w:val="none"/>
          <w14:textFill>
            <w14:solidFill>
              <w14:schemeClr w14:val="tx1"/>
            </w14:solidFill>
          </w14:textFill>
        </w:rPr>
      </w:pPr>
    </w:p>
    <w:p w14:paraId="71572130">
      <w:pPr>
        <w:ind w:firstLine="420" w:firstLineChars="200"/>
        <w:rPr>
          <w:rFonts w:ascii="仿宋_GB2312" w:eastAsia="仿宋_GB2312"/>
          <w:color w:val="000000" w:themeColor="text1"/>
          <w:highlight w:val="none"/>
          <w14:textFill>
            <w14:solidFill>
              <w14:schemeClr w14:val="tx1"/>
            </w14:solidFill>
          </w14:textFill>
        </w:rPr>
      </w:pPr>
    </w:p>
    <w:p w14:paraId="49F71A26">
      <w:pPr>
        <w:ind w:firstLine="420" w:firstLineChars="200"/>
        <w:rPr>
          <w:rFonts w:ascii="仿宋_GB2312" w:eastAsia="仿宋_GB2312"/>
          <w:color w:val="000000" w:themeColor="text1"/>
          <w:highlight w:val="none"/>
          <w14:textFill>
            <w14:solidFill>
              <w14:schemeClr w14:val="tx1"/>
            </w14:solidFill>
          </w14:textFill>
        </w:rPr>
      </w:pPr>
    </w:p>
    <w:p w14:paraId="1C4C4A88">
      <w:pPr>
        <w:spacing w:line="560" w:lineRule="exact"/>
        <w:jc w:val="center"/>
        <w:rPr>
          <w:rFonts w:ascii="宋体" w:hAnsi="宋体"/>
          <w:b/>
          <w:color w:val="000000" w:themeColor="text1"/>
          <w:sz w:val="44"/>
          <w:szCs w:val="44"/>
          <w:highlight w:val="none"/>
          <w14:textFill>
            <w14:solidFill>
              <w14:schemeClr w14:val="tx1"/>
            </w14:solidFill>
          </w14:textFill>
        </w:rPr>
      </w:pPr>
    </w:p>
    <w:p w14:paraId="61B0B32C">
      <w:pPr>
        <w:spacing w:line="560" w:lineRule="exact"/>
        <w:jc w:val="center"/>
        <w:rPr>
          <w:rFonts w:ascii="宋体" w:hAnsi="宋体"/>
          <w:b/>
          <w:color w:val="000000" w:themeColor="text1"/>
          <w:sz w:val="44"/>
          <w:szCs w:val="44"/>
          <w:highlight w:val="none"/>
          <w14:textFill>
            <w14:solidFill>
              <w14:schemeClr w14:val="tx1"/>
            </w14:solidFill>
          </w14:textFill>
        </w:rPr>
      </w:pPr>
    </w:p>
    <w:p w14:paraId="69D4AF75">
      <w:pPr>
        <w:spacing w:line="560" w:lineRule="exact"/>
        <w:jc w:val="center"/>
        <w:rPr>
          <w:rFonts w:ascii="宋体" w:hAnsi="宋体"/>
          <w:b/>
          <w:color w:val="000000" w:themeColor="text1"/>
          <w:sz w:val="44"/>
          <w:szCs w:val="44"/>
          <w:highlight w:val="none"/>
          <w14:textFill>
            <w14:solidFill>
              <w14:schemeClr w14:val="tx1"/>
            </w14:solidFill>
          </w14:textFill>
        </w:rPr>
      </w:pPr>
    </w:p>
    <w:p w14:paraId="3E590D9C">
      <w:pPr>
        <w:spacing w:line="560" w:lineRule="exact"/>
        <w:jc w:val="center"/>
        <w:rPr>
          <w:rFonts w:ascii="宋体" w:hAnsi="宋体"/>
          <w:b/>
          <w:color w:val="000000" w:themeColor="text1"/>
          <w:sz w:val="44"/>
          <w:szCs w:val="44"/>
          <w:highlight w:val="none"/>
          <w14:textFill>
            <w14:solidFill>
              <w14:schemeClr w14:val="tx1"/>
            </w14:solidFill>
          </w14:textFill>
        </w:rPr>
      </w:pPr>
      <w:r>
        <w:rPr>
          <w:rFonts w:hint="eastAsia" w:ascii="宋体" w:hAnsi="宋体"/>
          <w:b/>
          <w:color w:val="000000" w:themeColor="text1"/>
          <w:sz w:val="44"/>
          <w:szCs w:val="44"/>
          <w:highlight w:val="none"/>
          <w14:textFill>
            <w14:solidFill>
              <w14:schemeClr w14:val="tx1"/>
            </w14:solidFill>
          </w14:textFill>
        </w:rPr>
        <w:t>投标人的依法缴纳税收和社会保障资金的声明</w:t>
      </w:r>
    </w:p>
    <w:p w14:paraId="5B871E5B">
      <w:pPr>
        <w:spacing w:line="560" w:lineRule="exact"/>
        <w:jc w:val="center"/>
        <w:rPr>
          <w:rFonts w:ascii="宋体" w:hAnsi="宋体"/>
          <w:b/>
          <w:color w:val="000000" w:themeColor="text1"/>
          <w:sz w:val="44"/>
          <w:szCs w:val="44"/>
          <w:highlight w:val="none"/>
          <w14:textFill>
            <w14:solidFill>
              <w14:schemeClr w14:val="tx1"/>
            </w14:solidFill>
          </w14:textFill>
        </w:rPr>
      </w:pPr>
    </w:p>
    <w:p w14:paraId="695F9649">
      <w:pPr>
        <w:spacing w:line="560" w:lineRule="exact"/>
        <w:jc w:val="center"/>
        <w:rPr>
          <w:rFonts w:ascii="宋体" w:hAnsi="宋体"/>
          <w:b/>
          <w:color w:val="000000" w:themeColor="text1"/>
          <w:sz w:val="44"/>
          <w:szCs w:val="44"/>
          <w:highlight w:val="none"/>
          <w14:textFill>
            <w14:solidFill>
              <w14:schemeClr w14:val="tx1"/>
            </w14:solidFill>
          </w14:textFill>
        </w:rPr>
      </w:pPr>
      <w:bookmarkStart w:id="20" w:name="OLE_LINK1"/>
    </w:p>
    <w:p w14:paraId="2E2EF179">
      <w:pPr>
        <w:spacing w:line="560" w:lineRule="exact"/>
        <w:jc w:val="center"/>
        <w:rPr>
          <w:rFonts w:ascii="宋体" w:hAnsi="宋体"/>
          <w:b/>
          <w:color w:val="000000" w:themeColor="text1"/>
          <w:sz w:val="44"/>
          <w:szCs w:val="44"/>
          <w:highlight w:val="none"/>
          <w14:textFill>
            <w14:solidFill>
              <w14:schemeClr w14:val="tx1"/>
            </w14:solidFill>
          </w14:textFill>
        </w:rPr>
      </w:pPr>
    </w:p>
    <w:p w14:paraId="01FDD05C">
      <w:pPr>
        <w:spacing w:line="560" w:lineRule="exact"/>
        <w:jc w:val="center"/>
        <w:rPr>
          <w:rFonts w:ascii="宋体" w:hAnsi="宋体"/>
          <w:b/>
          <w:color w:val="000000" w:themeColor="text1"/>
          <w:sz w:val="44"/>
          <w:szCs w:val="44"/>
          <w:highlight w:val="none"/>
          <w14:textFill>
            <w14:solidFill>
              <w14:schemeClr w14:val="tx1"/>
            </w14:solidFill>
          </w14:textFill>
        </w:rPr>
      </w:pPr>
    </w:p>
    <w:p w14:paraId="41571E96">
      <w:pPr>
        <w:spacing w:line="560" w:lineRule="exact"/>
        <w:jc w:val="center"/>
        <w:rPr>
          <w:rFonts w:ascii="宋体" w:hAnsi="宋体"/>
          <w:b/>
          <w:color w:val="000000" w:themeColor="text1"/>
          <w:sz w:val="44"/>
          <w:szCs w:val="44"/>
          <w:highlight w:val="none"/>
          <w14:textFill>
            <w14:solidFill>
              <w14:schemeClr w14:val="tx1"/>
            </w14:solidFill>
          </w14:textFill>
        </w:rPr>
      </w:pPr>
    </w:p>
    <w:p w14:paraId="42ABA1E5">
      <w:pPr>
        <w:spacing w:line="560" w:lineRule="exact"/>
        <w:jc w:val="center"/>
        <w:rPr>
          <w:rFonts w:ascii="宋体" w:hAnsi="宋体"/>
          <w:b/>
          <w:color w:val="000000" w:themeColor="text1"/>
          <w:sz w:val="44"/>
          <w:szCs w:val="44"/>
          <w:highlight w:val="none"/>
          <w14:textFill>
            <w14:solidFill>
              <w14:schemeClr w14:val="tx1"/>
            </w14:solidFill>
          </w14:textFill>
        </w:rPr>
      </w:pPr>
    </w:p>
    <w:p w14:paraId="27F20177">
      <w:pPr>
        <w:spacing w:line="560" w:lineRule="exact"/>
        <w:jc w:val="center"/>
        <w:rPr>
          <w:rFonts w:ascii="宋体" w:hAnsi="宋体"/>
          <w:b/>
          <w:color w:val="000000" w:themeColor="text1"/>
          <w:sz w:val="44"/>
          <w:szCs w:val="44"/>
          <w:highlight w:val="none"/>
          <w14:textFill>
            <w14:solidFill>
              <w14:schemeClr w14:val="tx1"/>
            </w14:solidFill>
          </w14:textFill>
        </w:rPr>
      </w:pPr>
    </w:p>
    <w:p w14:paraId="427E686F">
      <w:pPr>
        <w:spacing w:line="560" w:lineRule="exact"/>
        <w:jc w:val="center"/>
        <w:rPr>
          <w:rFonts w:ascii="宋体" w:hAnsi="宋体"/>
          <w:b/>
          <w:color w:val="000000" w:themeColor="text1"/>
          <w:sz w:val="44"/>
          <w:szCs w:val="44"/>
          <w:highlight w:val="none"/>
          <w14:textFill>
            <w14:solidFill>
              <w14:schemeClr w14:val="tx1"/>
            </w14:solidFill>
          </w14:textFill>
        </w:rPr>
      </w:pPr>
    </w:p>
    <w:p w14:paraId="54FAD2E9">
      <w:pPr>
        <w:spacing w:line="560" w:lineRule="exact"/>
        <w:jc w:val="center"/>
        <w:rPr>
          <w:rFonts w:ascii="宋体" w:hAnsi="宋体"/>
          <w:b/>
          <w:color w:val="000000" w:themeColor="text1"/>
          <w:sz w:val="44"/>
          <w:szCs w:val="44"/>
          <w:highlight w:val="none"/>
          <w14:textFill>
            <w14:solidFill>
              <w14:schemeClr w14:val="tx1"/>
            </w14:solidFill>
          </w14:textFill>
        </w:rPr>
      </w:pPr>
    </w:p>
    <w:p w14:paraId="5B772396">
      <w:pPr>
        <w:spacing w:line="560" w:lineRule="exact"/>
        <w:jc w:val="center"/>
        <w:rPr>
          <w:rFonts w:ascii="宋体" w:hAnsi="宋体"/>
          <w:b/>
          <w:color w:val="000000" w:themeColor="text1"/>
          <w:sz w:val="44"/>
          <w:szCs w:val="44"/>
          <w:highlight w:val="none"/>
          <w14:textFill>
            <w14:solidFill>
              <w14:schemeClr w14:val="tx1"/>
            </w14:solidFill>
          </w14:textFill>
        </w:rPr>
      </w:pPr>
    </w:p>
    <w:p w14:paraId="10BF128E">
      <w:pPr>
        <w:spacing w:line="560" w:lineRule="exact"/>
        <w:jc w:val="center"/>
        <w:rPr>
          <w:rFonts w:ascii="宋体" w:hAnsi="宋体"/>
          <w:b/>
          <w:color w:val="000000" w:themeColor="text1"/>
          <w:sz w:val="44"/>
          <w:szCs w:val="44"/>
          <w:highlight w:val="none"/>
          <w14:textFill>
            <w14:solidFill>
              <w14:schemeClr w14:val="tx1"/>
            </w14:solidFill>
          </w14:textFill>
        </w:rPr>
      </w:pPr>
    </w:p>
    <w:p w14:paraId="37640D03">
      <w:pPr>
        <w:spacing w:line="560" w:lineRule="exact"/>
        <w:jc w:val="center"/>
        <w:rPr>
          <w:rFonts w:ascii="宋体" w:hAnsi="宋体"/>
          <w:b/>
          <w:color w:val="000000" w:themeColor="text1"/>
          <w:sz w:val="44"/>
          <w:szCs w:val="44"/>
          <w:highlight w:val="none"/>
          <w14:textFill>
            <w14:solidFill>
              <w14:schemeClr w14:val="tx1"/>
            </w14:solidFill>
          </w14:textFill>
        </w:rPr>
      </w:pPr>
    </w:p>
    <w:p w14:paraId="3C00B56E">
      <w:pPr>
        <w:spacing w:line="560" w:lineRule="exact"/>
        <w:jc w:val="center"/>
        <w:rPr>
          <w:rFonts w:ascii="宋体" w:hAnsi="宋体"/>
          <w:b/>
          <w:color w:val="000000" w:themeColor="text1"/>
          <w:sz w:val="44"/>
          <w:szCs w:val="44"/>
          <w:highlight w:val="none"/>
          <w14:textFill>
            <w14:solidFill>
              <w14:schemeClr w14:val="tx1"/>
            </w14:solidFill>
          </w14:textFill>
        </w:rPr>
      </w:pPr>
    </w:p>
    <w:p w14:paraId="2192FE42">
      <w:pPr>
        <w:spacing w:line="560" w:lineRule="exact"/>
        <w:jc w:val="center"/>
        <w:rPr>
          <w:rFonts w:ascii="宋体" w:hAnsi="宋体"/>
          <w:b/>
          <w:color w:val="000000" w:themeColor="text1"/>
          <w:sz w:val="44"/>
          <w:szCs w:val="44"/>
          <w:highlight w:val="none"/>
          <w14:textFill>
            <w14:solidFill>
              <w14:schemeClr w14:val="tx1"/>
            </w14:solidFill>
          </w14:textFill>
        </w:rPr>
      </w:pPr>
    </w:p>
    <w:p w14:paraId="3F481B4F">
      <w:pPr>
        <w:spacing w:line="560" w:lineRule="exact"/>
        <w:jc w:val="center"/>
        <w:rPr>
          <w:rFonts w:ascii="宋体" w:hAnsi="宋体"/>
          <w:b/>
          <w:color w:val="000000" w:themeColor="text1"/>
          <w:sz w:val="44"/>
          <w:szCs w:val="44"/>
          <w:highlight w:val="none"/>
          <w14:textFill>
            <w14:solidFill>
              <w14:schemeClr w14:val="tx1"/>
            </w14:solidFill>
          </w14:textFill>
        </w:rPr>
      </w:pPr>
    </w:p>
    <w:p w14:paraId="23486560">
      <w:pPr>
        <w:spacing w:line="560" w:lineRule="exact"/>
        <w:jc w:val="center"/>
        <w:rPr>
          <w:rFonts w:ascii="宋体" w:hAnsi="宋体"/>
          <w:b/>
          <w:color w:val="000000" w:themeColor="text1"/>
          <w:sz w:val="44"/>
          <w:szCs w:val="44"/>
          <w:highlight w:val="none"/>
          <w14:textFill>
            <w14:solidFill>
              <w14:schemeClr w14:val="tx1"/>
            </w14:solidFill>
          </w14:textFill>
        </w:rPr>
      </w:pPr>
    </w:p>
    <w:p w14:paraId="0970502F">
      <w:pPr>
        <w:spacing w:line="560" w:lineRule="exact"/>
        <w:jc w:val="center"/>
        <w:rPr>
          <w:rFonts w:ascii="宋体" w:hAnsi="宋体"/>
          <w:b/>
          <w:color w:val="000000" w:themeColor="text1"/>
          <w:sz w:val="44"/>
          <w:szCs w:val="44"/>
          <w:highlight w:val="none"/>
          <w14:textFill>
            <w14:solidFill>
              <w14:schemeClr w14:val="tx1"/>
            </w14:solidFill>
          </w14:textFill>
        </w:rPr>
      </w:pPr>
    </w:p>
    <w:p w14:paraId="0559FDDD">
      <w:pPr>
        <w:spacing w:line="560" w:lineRule="exact"/>
        <w:jc w:val="center"/>
        <w:rPr>
          <w:rFonts w:ascii="宋体" w:hAnsi="宋体"/>
          <w:b/>
          <w:color w:val="000000" w:themeColor="text1"/>
          <w:sz w:val="44"/>
          <w:szCs w:val="44"/>
          <w:highlight w:val="none"/>
          <w14:textFill>
            <w14:solidFill>
              <w14:schemeClr w14:val="tx1"/>
            </w14:solidFill>
          </w14:textFill>
        </w:rPr>
      </w:pPr>
    </w:p>
    <w:p w14:paraId="750031CF">
      <w:pPr>
        <w:spacing w:line="560" w:lineRule="exact"/>
        <w:jc w:val="center"/>
        <w:rPr>
          <w:rFonts w:ascii="宋体" w:hAnsi="宋体"/>
          <w:b/>
          <w:color w:val="000000" w:themeColor="text1"/>
          <w:sz w:val="44"/>
          <w:szCs w:val="44"/>
          <w:highlight w:val="none"/>
          <w14:textFill>
            <w14:solidFill>
              <w14:schemeClr w14:val="tx1"/>
            </w14:solidFill>
          </w14:textFill>
        </w:rPr>
      </w:pPr>
    </w:p>
    <w:p w14:paraId="4EC2DC96">
      <w:pPr>
        <w:spacing w:line="560" w:lineRule="exact"/>
        <w:jc w:val="center"/>
        <w:rPr>
          <w:rFonts w:ascii="宋体" w:hAnsi="宋体"/>
          <w:b/>
          <w:color w:val="000000" w:themeColor="text1"/>
          <w:sz w:val="44"/>
          <w:szCs w:val="44"/>
          <w:highlight w:val="none"/>
          <w14:textFill>
            <w14:solidFill>
              <w14:schemeClr w14:val="tx1"/>
            </w14:solidFill>
          </w14:textFill>
        </w:rPr>
      </w:pPr>
    </w:p>
    <w:p w14:paraId="51423C27">
      <w:pPr>
        <w:ind w:right="600"/>
        <w:jc w:val="center"/>
        <w:rPr>
          <w:rFonts w:ascii="仿宋_GB2312" w:hAnsi="宋体" w:eastAsia="仿宋_GB2312"/>
          <w:color w:val="000000" w:themeColor="text1"/>
          <w:sz w:val="30"/>
          <w:szCs w:val="30"/>
          <w:highlight w:val="none"/>
          <w14:textFill>
            <w14:solidFill>
              <w14:schemeClr w14:val="tx1"/>
            </w14:solidFill>
          </w14:textFill>
        </w:rPr>
        <w:sectPr>
          <w:footerReference r:id="rId15" w:type="default"/>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14:textFill>
            <w14:solidFill>
              <w14:schemeClr w14:val="tx1"/>
            </w14:solidFill>
          </w14:textFill>
        </w:rPr>
        <w:t>投标人(盖章)：</w:t>
      </w:r>
      <w:bookmarkEnd w:id="20"/>
    </w:p>
    <w:p w14:paraId="3F47ECC6">
      <w:pPr>
        <w:ind w:right="600"/>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近期的完税凭证扫描件及交纳社保资金凭证的扫描件</w:t>
      </w:r>
    </w:p>
    <w:p w14:paraId="65354BD3">
      <w:pPr>
        <w:ind w:right="600"/>
        <w:jc w:val="center"/>
        <w:rPr>
          <w:rFonts w:ascii="宋体" w:hAnsi="宋体"/>
          <w:b/>
          <w:bCs/>
          <w:color w:val="000000" w:themeColor="text1"/>
          <w:sz w:val="44"/>
          <w:szCs w:val="44"/>
          <w:highlight w:val="none"/>
          <w14:textFill>
            <w14:solidFill>
              <w14:schemeClr w14:val="tx1"/>
            </w14:solidFill>
          </w14:textFill>
        </w:rPr>
      </w:pPr>
    </w:p>
    <w:p w14:paraId="4163DA37">
      <w:pPr>
        <w:spacing w:line="560" w:lineRule="exact"/>
        <w:jc w:val="center"/>
        <w:rPr>
          <w:rFonts w:ascii="宋体" w:hAnsi="宋体"/>
          <w:b/>
          <w:color w:val="000000" w:themeColor="text1"/>
          <w:sz w:val="44"/>
          <w:szCs w:val="44"/>
          <w:highlight w:val="none"/>
          <w14:textFill>
            <w14:solidFill>
              <w14:schemeClr w14:val="tx1"/>
            </w14:solidFill>
          </w14:textFill>
        </w:rPr>
      </w:pPr>
    </w:p>
    <w:p w14:paraId="2BF128D0">
      <w:pPr>
        <w:spacing w:line="560" w:lineRule="exact"/>
        <w:jc w:val="center"/>
        <w:rPr>
          <w:rFonts w:ascii="宋体" w:hAnsi="宋体"/>
          <w:b/>
          <w:color w:val="000000" w:themeColor="text1"/>
          <w:sz w:val="44"/>
          <w:szCs w:val="44"/>
          <w:highlight w:val="none"/>
          <w14:textFill>
            <w14:solidFill>
              <w14:schemeClr w14:val="tx1"/>
            </w14:solidFill>
          </w14:textFill>
        </w:rPr>
      </w:pPr>
    </w:p>
    <w:p w14:paraId="2BC33E29">
      <w:pPr>
        <w:spacing w:line="560" w:lineRule="exact"/>
        <w:jc w:val="center"/>
        <w:rPr>
          <w:rFonts w:ascii="宋体" w:hAnsi="宋体"/>
          <w:b/>
          <w:color w:val="000000" w:themeColor="text1"/>
          <w:sz w:val="44"/>
          <w:szCs w:val="44"/>
          <w:highlight w:val="none"/>
          <w14:textFill>
            <w14:solidFill>
              <w14:schemeClr w14:val="tx1"/>
            </w14:solidFill>
          </w14:textFill>
        </w:rPr>
      </w:pPr>
    </w:p>
    <w:p w14:paraId="414080E9">
      <w:pPr>
        <w:spacing w:line="560" w:lineRule="exact"/>
        <w:jc w:val="center"/>
        <w:rPr>
          <w:rFonts w:ascii="宋体" w:hAnsi="宋体"/>
          <w:b/>
          <w:color w:val="000000" w:themeColor="text1"/>
          <w:sz w:val="44"/>
          <w:szCs w:val="44"/>
          <w:highlight w:val="none"/>
          <w14:textFill>
            <w14:solidFill>
              <w14:schemeClr w14:val="tx1"/>
            </w14:solidFill>
          </w14:textFill>
        </w:rPr>
      </w:pPr>
    </w:p>
    <w:p w14:paraId="011A6827">
      <w:pPr>
        <w:spacing w:line="560" w:lineRule="exact"/>
        <w:jc w:val="center"/>
        <w:rPr>
          <w:rFonts w:ascii="宋体" w:hAnsi="宋体"/>
          <w:b/>
          <w:color w:val="000000" w:themeColor="text1"/>
          <w:sz w:val="44"/>
          <w:szCs w:val="44"/>
          <w:highlight w:val="none"/>
          <w14:textFill>
            <w14:solidFill>
              <w14:schemeClr w14:val="tx1"/>
            </w14:solidFill>
          </w14:textFill>
        </w:rPr>
      </w:pPr>
    </w:p>
    <w:p w14:paraId="643EB91D">
      <w:pPr>
        <w:spacing w:line="560" w:lineRule="exact"/>
        <w:jc w:val="center"/>
        <w:rPr>
          <w:rFonts w:ascii="宋体" w:hAnsi="宋体"/>
          <w:b/>
          <w:color w:val="000000" w:themeColor="text1"/>
          <w:sz w:val="44"/>
          <w:szCs w:val="44"/>
          <w:highlight w:val="none"/>
          <w14:textFill>
            <w14:solidFill>
              <w14:schemeClr w14:val="tx1"/>
            </w14:solidFill>
          </w14:textFill>
        </w:rPr>
      </w:pPr>
    </w:p>
    <w:p w14:paraId="6137CF4E">
      <w:pPr>
        <w:spacing w:line="560" w:lineRule="exact"/>
        <w:jc w:val="center"/>
        <w:rPr>
          <w:rFonts w:ascii="宋体" w:hAnsi="宋体"/>
          <w:b/>
          <w:color w:val="000000" w:themeColor="text1"/>
          <w:sz w:val="44"/>
          <w:szCs w:val="44"/>
          <w:highlight w:val="none"/>
          <w14:textFill>
            <w14:solidFill>
              <w14:schemeClr w14:val="tx1"/>
            </w14:solidFill>
          </w14:textFill>
        </w:rPr>
      </w:pPr>
    </w:p>
    <w:p w14:paraId="3EE94CF2">
      <w:pPr>
        <w:spacing w:line="560" w:lineRule="exact"/>
        <w:jc w:val="center"/>
        <w:rPr>
          <w:rFonts w:ascii="宋体" w:hAnsi="宋体"/>
          <w:b/>
          <w:color w:val="000000" w:themeColor="text1"/>
          <w:sz w:val="44"/>
          <w:szCs w:val="44"/>
          <w:highlight w:val="none"/>
          <w14:textFill>
            <w14:solidFill>
              <w14:schemeClr w14:val="tx1"/>
            </w14:solidFill>
          </w14:textFill>
        </w:rPr>
      </w:pPr>
    </w:p>
    <w:p w14:paraId="0FF4F9D9">
      <w:pPr>
        <w:spacing w:line="560" w:lineRule="exact"/>
        <w:jc w:val="center"/>
        <w:rPr>
          <w:rFonts w:ascii="宋体" w:hAnsi="宋体"/>
          <w:b/>
          <w:color w:val="000000" w:themeColor="text1"/>
          <w:sz w:val="44"/>
          <w:szCs w:val="44"/>
          <w:highlight w:val="none"/>
          <w14:textFill>
            <w14:solidFill>
              <w14:schemeClr w14:val="tx1"/>
            </w14:solidFill>
          </w14:textFill>
        </w:rPr>
      </w:pPr>
    </w:p>
    <w:p w14:paraId="0510A27B">
      <w:pPr>
        <w:spacing w:line="560" w:lineRule="exact"/>
        <w:jc w:val="center"/>
        <w:rPr>
          <w:rFonts w:ascii="宋体" w:hAnsi="宋体"/>
          <w:b/>
          <w:color w:val="000000" w:themeColor="text1"/>
          <w:sz w:val="44"/>
          <w:szCs w:val="44"/>
          <w:highlight w:val="none"/>
          <w14:textFill>
            <w14:solidFill>
              <w14:schemeClr w14:val="tx1"/>
            </w14:solidFill>
          </w14:textFill>
        </w:rPr>
      </w:pPr>
    </w:p>
    <w:p w14:paraId="306FC8E5">
      <w:pPr>
        <w:spacing w:line="560" w:lineRule="exact"/>
        <w:jc w:val="center"/>
        <w:rPr>
          <w:rFonts w:ascii="宋体" w:hAnsi="宋体"/>
          <w:b/>
          <w:color w:val="000000" w:themeColor="text1"/>
          <w:sz w:val="44"/>
          <w:szCs w:val="44"/>
          <w:highlight w:val="none"/>
          <w14:textFill>
            <w14:solidFill>
              <w14:schemeClr w14:val="tx1"/>
            </w14:solidFill>
          </w14:textFill>
        </w:rPr>
      </w:pPr>
    </w:p>
    <w:p w14:paraId="68ADCF04">
      <w:pPr>
        <w:spacing w:line="560" w:lineRule="exact"/>
        <w:jc w:val="center"/>
        <w:rPr>
          <w:rFonts w:ascii="宋体" w:hAnsi="宋体"/>
          <w:b/>
          <w:color w:val="000000" w:themeColor="text1"/>
          <w:sz w:val="44"/>
          <w:szCs w:val="44"/>
          <w:highlight w:val="none"/>
          <w14:textFill>
            <w14:solidFill>
              <w14:schemeClr w14:val="tx1"/>
            </w14:solidFill>
          </w14:textFill>
        </w:rPr>
      </w:pPr>
    </w:p>
    <w:p w14:paraId="305AC586">
      <w:pPr>
        <w:spacing w:line="560" w:lineRule="exact"/>
        <w:jc w:val="center"/>
        <w:rPr>
          <w:rFonts w:ascii="宋体" w:hAnsi="宋体"/>
          <w:b/>
          <w:color w:val="000000" w:themeColor="text1"/>
          <w:sz w:val="44"/>
          <w:szCs w:val="44"/>
          <w:highlight w:val="none"/>
          <w14:textFill>
            <w14:solidFill>
              <w14:schemeClr w14:val="tx1"/>
            </w14:solidFill>
          </w14:textFill>
        </w:rPr>
      </w:pPr>
    </w:p>
    <w:p w14:paraId="29B3E5B7">
      <w:pPr>
        <w:spacing w:line="560" w:lineRule="exact"/>
        <w:jc w:val="center"/>
        <w:rPr>
          <w:rFonts w:ascii="宋体" w:hAnsi="宋体"/>
          <w:b/>
          <w:color w:val="000000" w:themeColor="text1"/>
          <w:sz w:val="44"/>
          <w:szCs w:val="44"/>
          <w:highlight w:val="none"/>
          <w14:textFill>
            <w14:solidFill>
              <w14:schemeClr w14:val="tx1"/>
            </w14:solidFill>
          </w14:textFill>
        </w:rPr>
      </w:pPr>
    </w:p>
    <w:p w14:paraId="2129B9AB">
      <w:pPr>
        <w:spacing w:line="560" w:lineRule="exact"/>
        <w:jc w:val="center"/>
        <w:rPr>
          <w:rFonts w:ascii="宋体" w:hAnsi="宋体"/>
          <w:b/>
          <w:color w:val="000000" w:themeColor="text1"/>
          <w:sz w:val="44"/>
          <w:szCs w:val="44"/>
          <w:highlight w:val="none"/>
          <w14:textFill>
            <w14:solidFill>
              <w14:schemeClr w14:val="tx1"/>
            </w14:solidFill>
          </w14:textFill>
        </w:rPr>
      </w:pPr>
    </w:p>
    <w:p w14:paraId="3F91439F">
      <w:pPr>
        <w:spacing w:line="560" w:lineRule="exact"/>
        <w:jc w:val="center"/>
        <w:rPr>
          <w:rFonts w:ascii="宋体" w:hAnsi="宋体"/>
          <w:b/>
          <w:color w:val="000000" w:themeColor="text1"/>
          <w:sz w:val="44"/>
          <w:szCs w:val="44"/>
          <w:highlight w:val="none"/>
          <w14:textFill>
            <w14:solidFill>
              <w14:schemeClr w14:val="tx1"/>
            </w14:solidFill>
          </w14:textFill>
        </w:rPr>
      </w:pPr>
    </w:p>
    <w:p w14:paraId="58E1778F">
      <w:pPr>
        <w:spacing w:line="560" w:lineRule="exact"/>
        <w:jc w:val="center"/>
        <w:rPr>
          <w:rFonts w:ascii="宋体" w:hAnsi="宋体"/>
          <w:b/>
          <w:color w:val="000000" w:themeColor="text1"/>
          <w:sz w:val="44"/>
          <w:szCs w:val="44"/>
          <w:highlight w:val="none"/>
          <w14:textFill>
            <w14:solidFill>
              <w14:schemeClr w14:val="tx1"/>
            </w14:solidFill>
          </w14:textFill>
        </w:rPr>
      </w:pPr>
    </w:p>
    <w:p w14:paraId="4BFEBAA6">
      <w:pPr>
        <w:spacing w:line="560" w:lineRule="exact"/>
        <w:jc w:val="center"/>
        <w:rPr>
          <w:rFonts w:ascii="宋体" w:hAnsi="宋体"/>
          <w:b/>
          <w:color w:val="000000" w:themeColor="text1"/>
          <w:sz w:val="44"/>
          <w:szCs w:val="44"/>
          <w:highlight w:val="none"/>
          <w14:textFill>
            <w14:solidFill>
              <w14:schemeClr w14:val="tx1"/>
            </w14:solidFill>
          </w14:textFill>
        </w:rPr>
      </w:pPr>
    </w:p>
    <w:p w14:paraId="2196B0C0">
      <w:pPr>
        <w:spacing w:line="560" w:lineRule="exact"/>
        <w:jc w:val="center"/>
        <w:rPr>
          <w:rFonts w:ascii="宋体" w:hAnsi="宋体"/>
          <w:b/>
          <w:color w:val="000000" w:themeColor="text1"/>
          <w:sz w:val="44"/>
          <w:szCs w:val="44"/>
          <w:highlight w:val="none"/>
          <w14:textFill>
            <w14:solidFill>
              <w14:schemeClr w14:val="tx1"/>
            </w14:solidFill>
          </w14:textFill>
        </w:rPr>
      </w:pPr>
    </w:p>
    <w:p w14:paraId="182A6B01">
      <w:pPr>
        <w:ind w:right="600"/>
        <w:jc w:val="center"/>
        <w:rPr>
          <w:rFonts w:ascii="宋体" w:hAnsi="宋体"/>
          <w:b/>
          <w:bCs/>
          <w:color w:val="000000" w:themeColor="text1"/>
          <w:sz w:val="44"/>
          <w:szCs w:val="44"/>
          <w:highlight w:val="none"/>
          <w14:textFill>
            <w14:solidFill>
              <w14:schemeClr w14:val="tx1"/>
            </w14:solidFill>
          </w14:textFill>
        </w:rPr>
        <w:sectPr>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14:textFill>
            <w14:solidFill>
              <w14:schemeClr w14:val="tx1"/>
            </w14:solidFill>
          </w14:textFill>
        </w:rPr>
        <w:t>投标人(盖章)：</w:t>
      </w:r>
    </w:p>
    <w:p w14:paraId="25FAE8B5">
      <w:pPr>
        <w:spacing w:line="560" w:lineRule="exact"/>
        <w:rPr>
          <w:rFonts w:ascii="宋体" w:hAnsi="宋体"/>
          <w:b/>
          <w:color w:val="000000" w:themeColor="text1"/>
          <w:sz w:val="44"/>
          <w:szCs w:val="44"/>
          <w:highlight w:val="none"/>
          <w14:textFill>
            <w14:solidFill>
              <w14:schemeClr w14:val="tx1"/>
            </w14:solidFill>
          </w14:textFill>
        </w:rPr>
      </w:pPr>
    </w:p>
    <w:p w14:paraId="59787E66">
      <w:pPr>
        <w:spacing w:line="560" w:lineRule="exact"/>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投标人参加本项目投标前三年内无重大违法违纪行为声明原件（格式自定）</w:t>
      </w:r>
    </w:p>
    <w:p w14:paraId="5A84161A">
      <w:pPr>
        <w:jc w:val="right"/>
        <w:rPr>
          <w:rFonts w:ascii="仿宋_GB2312" w:hAnsi="宋体" w:eastAsia="仿宋_GB2312"/>
          <w:b/>
          <w:bCs/>
          <w:color w:val="000000" w:themeColor="text1"/>
          <w:sz w:val="30"/>
          <w:szCs w:val="30"/>
          <w:highlight w:val="none"/>
          <w14:textFill>
            <w14:solidFill>
              <w14:schemeClr w14:val="tx1"/>
            </w14:solidFill>
          </w14:textFill>
        </w:rPr>
      </w:pPr>
    </w:p>
    <w:p w14:paraId="5C790706">
      <w:pPr>
        <w:jc w:val="right"/>
        <w:rPr>
          <w:rFonts w:ascii="仿宋_GB2312" w:hAnsi="宋体" w:eastAsia="仿宋_GB2312"/>
          <w:b/>
          <w:bCs/>
          <w:color w:val="000000" w:themeColor="text1"/>
          <w:sz w:val="30"/>
          <w:szCs w:val="30"/>
          <w:highlight w:val="none"/>
          <w14:textFill>
            <w14:solidFill>
              <w14:schemeClr w14:val="tx1"/>
            </w14:solidFill>
          </w14:textFill>
        </w:rPr>
      </w:pPr>
    </w:p>
    <w:p w14:paraId="5847355B">
      <w:pPr>
        <w:jc w:val="right"/>
        <w:rPr>
          <w:rFonts w:ascii="仿宋_GB2312" w:hAnsi="宋体" w:eastAsia="仿宋_GB2312"/>
          <w:b/>
          <w:bCs/>
          <w:color w:val="000000" w:themeColor="text1"/>
          <w:sz w:val="30"/>
          <w:szCs w:val="30"/>
          <w:highlight w:val="none"/>
          <w14:textFill>
            <w14:solidFill>
              <w14:schemeClr w14:val="tx1"/>
            </w14:solidFill>
          </w14:textFill>
        </w:rPr>
      </w:pPr>
    </w:p>
    <w:p w14:paraId="7F5537CE">
      <w:pPr>
        <w:jc w:val="right"/>
        <w:rPr>
          <w:rFonts w:ascii="仿宋_GB2312" w:hAnsi="宋体" w:eastAsia="仿宋_GB2312"/>
          <w:b/>
          <w:bCs/>
          <w:color w:val="000000" w:themeColor="text1"/>
          <w:sz w:val="30"/>
          <w:szCs w:val="30"/>
          <w:highlight w:val="none"/>
          <w14:textFill>
            <w14:solidFill>
              <w14:schemeClr w14:val="tx1"/>
            </w14:solidFill>
          </w14:textFill>
        </w:rPr>
      </w:pPr>
    </w:p>
    <w:p w14:paraId="3512B5EF">
      <w:pPr>
        <w:jc w:val="right"/>
        <w:rPr>
          <w:rFonts w:ascii="仿宋_GB2312" w:hAnsi="宋体" w:eastAsia="仿宋_GB2312"/>
          <w:b/>
          <w:bCs/>
          <w:color w:val="000000" w:themeColor="text1"/>
          <w:sz w:val="30"/>
          <w:szCs w:val="30"/>
          <w:highlight w:val="none"/>
          <w14:textFill>
            <w14:solidFill>
              <w14:schemeClr w14:val="tx1"/>
            </w14:solidFill>
          </w14:textFill>
        </w:rPr>
      </w:pPr>
    </w:p>
    <w:p w14:paraId="380F34BC">
      <w:pPr>
        <w:jc w:val="right"/>
        <w:rPr>
          <w:rFonts w:ascii="仿宋_GB2312" w:hAnsi="宋体" w:eastAsia="仿宋_GB2312"/>
          <w:b/>
          <w:bCs/>
          <w:color w:val="000000" w:themeColor="text1"/>
          <w:sz w:val="30"/>
          <w:szCs w:val="30"/>
          <w:highlight w:val="none"/>
          <w14:textFill>
            <w14:solidFill>
              <w14:schemeClr w14:val="tx1"/>
            </w14:solidFill>
          </w14:textFill>
        </w:rPr>
      </w:pPr>
    </w:p>
    <w:p w14:paraId="3BF020F3">
      <w:pPr>
        <w:jc w:val="right"/>
        <w:rPr>
          <w:rFonts w:ascii="仿宋_GB2312" w:hAnsi="宋体" w:eastAsia="仿宋_GB2312"/>
          <w:b/>
          <w:bCs/>
          <w:color w:val="000000" w:themeColor="text1"/>
          <w:sz w:val="30"/>
          <w:szCs w:val="30"/>
          <w:highlight w:val="none"/>
          <w14:textFill>
            <w14:solidFill>
              <w14:schemeClr w14:val="tx1"/>
            </w14:solidFill>
          </w14:textFill>
        </w:rPr>
      </w:pPr>
    </w:p>
    <w:p w14:paraId="5CFC1B88">
      <w:pPr>
        <w:jc w:val="right"/>
        <w:rPr>
          <w:rFonts w:ascii="仿宋_GB2312" w:hAnsi="宋体" w:eastAsia="仿宋_GB2312"/>
          <w:b/>
          <w:bCs/>
          <w:color w:val="000000" w:themeColor="text1"/>
          <w:sz w:val="30"/>
          <w:szCs w:val="30"/>
          <w:highlight w:val="none"/>
          <w14:textFill>
            <w14:solidFill>
              <w14:schemeClr w14:val="tx1"/>
            </w14:solidFill>
          </w14:textFill>
        </w:rPr>
      </w:pPr>
    </w:p>
    <w:p w14:paraId="1902B316">
      <w:pPr>
        <w:jc w:val="right"/>
        <w:rPr>
          <w:rFonts w:ascii="仿宋_GB2312" w:hAnsi="宋体" w:eastAsia="仿宋_GB2312"/>
          <w:b/>
          <w:bCs/>
          <w:color w:val="000000" w:themeColor="text1"/>
          <w:sz w:val="30"/>
          <w:szCs w:val="30"/>
          <w:highlight w:val="none"/>
          <w14:textFill>
            <w14:solidFill>
              <w14:schemeClr w14:val="tx1"/>
            </w14:solidFill>
          </w14:textFill>
        </w:rPr>
      </w:pPr>
    </w:p>
    <w:p w14:paraId="677F36A6">
      <w:pPr>
        <w:jc w:val="right"/>
        <w:rPr>
          <w:rFonts w:ascii="仿宋_GB2312" w:hAnsi="宋体" w:eastAsia="仿宋_GB2312"/>
          <w:b/>
          <w:bCs/>
          <w:color w:val="000000" w:themeColor="text1"/>
          <w:sz w:val="30"/>
          <w:szCs w:val="30"/>
          <w:highlight w:val="none"/>
          <w14:textFill>
            <w14:solidFill>
              <w14:schemeClr w14:val="tx1"/>
            </w14:solidFill>
          </w14:textFill>
        </w:rPr>
      </w:pPr>
    </w:p>
    <w:p w14:paraId="5B07EE54">
      <w:pPr>
        <w:jc w:val="right"/>
        <w:rPr>
          <w:rFonts w:ascii="仿宋_GB2312" w:hAnsi="宋体" w:eastAsia="仿宋_GB2312"/>
          <w:b/>
          <w:bCs/>
          <w:color w:val="000000" w:themeColor="text1"/>
          <w:sz w:val="30"/>
          <w:szCs w:val="30"/>
          <w:highlight w:val="none"/>
          <w14:textFill>
            <w14:solidFill>
              <w14:schemeClr w14:val="tx1"/>
            </w14:solidFill>
          </w14:textFill>
        </w:rPr>
      </w:pPr>
    </w:p>
    <w:p w14:paraId="0B5F0974">
      <w:pPr>
        <w:jc w:val="right"/>
        <w:rPr>
          <w:rFonts w:ascii="仿宋_GB2312" w:hAnsi="宋体" w:eastAsia="仿宋_GB2312"/>
          <w:b/>
          <w:bCs/>
          <w:color w:val="000000" w:themeColor="text1"/>
          <w:sz w:val="30"/>
          <w:szCs w:val="30"/>
          <w:highlight w:val="none"/>
          <w14:textFill>
            <w14:solidFill>
              <w14:schemeClr w14:val="tx1"/>
            </w14:solidFill>
          </w14:textFill>
        </w:rPr>
      </w:pPr>
    </w:p>
    <w:p w14:paraId="05800E7C">
      <w:pPr>
        <w:jc w:val="right"/>
        <w:rPr>
          <w:rFonts w:ascii="仿宋_GB2312" w:hAnsi="宋体" w:eastAsia="仿宋_GB2312"/>
          <w:b/>
          <w:bCs/>
          <w:color w:val="000000" w:themeColor="text1"/>
          <w:sz w:val="30"/>
          <w:szCs w:val="30"/>
          <w:highlight w:val="none"/>
          <w14:textFill>
            <w14:solidFill>
              <w14:schemeClr w14:val="tx1"/>
            </w14:solidFill>
          </w14:textFill>
        </w:rPr>
      </w:pPr>
    </w:p>
    <w:p w14:paraId="1F859844">
      <w:pPr>
        <w:ind w:right="1204"/>
        <w:rPr>
          <w:rFonts w:ascii="仿宋_GB2312" w:hAnsi="宋体" w:eastAsia="仿宋_GB2312"/>
          <w:b/>
          <w:bCs/>
          <w:color w:val="000000" w:themeColor="text1"/>
          <w:sz w:val="30"/>
          <w:szCs w:val="30"/>
          <w:highlight w:val="none"/>
          <w14:textFill>
            <w14:solidFill>
              <w14:schemeClr w14:val="tx1"/>
            </w14:solidFill>
          </w14:textFill>
        </w:rPr>
      </w:pPr>
    </w:p>
    <w:p w14:paraId="4F9E0C61">
      <w:pPr>
        <w:jc w:val="right"/>
        <w:rPr>
          <w:rFonts w:ascii="仿宋_GB2312" w:hAnsi="宋体" w:eastAsia="仿宋_GB2312"/>
          <w:b/>
          <w:bCs/>
          <w:color w:val="000000" w:themeColor="text1"/>
          <w:sz w:val="30"/>
          <w:szCs w:val="30"/>
          <w:highlight w:val="none"/>
          <w14:textFill>
            <w14:solidFill>
              <w14:schemeClr w14:val="tx1"/>
            </w14:solidFill>
          </w14:textFill>
        </w:rPr>
      </w:pPr>
    </w:p>
    <w:p w14:paraId="06238F1C">
      <w:pPr>
        <w:jc w:val="right"/>
        <w:rPr>
          <w:rFonts w:ascii="仿宋_GB2312" w:hAnsi="宋体" w:eastAsia="仿宋_GB2312"/>
          <w:b/>
          <w:bCs/>
          <w:color w:val="000000" w:themeColor="text1"/>
          <w:sz w:val="30"/>
          <w:szCs w:val="30"/>
          <w:highlight w:val="none"/>
          <w14:textFill>
            <w14:solidFill>
              <w14:schemeClr w14:val="tx1"/>
            </w14:solidFill>
          </w14:textFill>
        </w:rPr>
      </w:pPr>
    </w:p>
    <w:p w14:paraId="381A0C6F">
      <w:pPr>
        <w:pStyle w:val="13"/>
        <w:rPr>
          <w:color w:val="000000" w:themeColor="text1"/>
          <w:highlight w:val="none"/>
          <w14:textFill>
            <w14:solidFill>
              <w14:schemeClr w14:val="tx1"/>
            </w14:solidFill>
          </w14:textFill>
        </w:rPr>
      </w:pPr>
    </w:p>
    <w:p w14:paraId="745CB79C">
      <w:pPr>
        <w:jc w:val="right"/>
        <w:rPr>
          <w:rFonts w:ascii="仿宋_GB2312" w:hAnsi="宋体" w:eastAsia="仿宋_GB2312"/>
          <w:b/>
          <w:bCs/>
          <w:color w:val="000000" w:themeColor="text1"/>
          <w:sz w:val="30"/>
          <w:szCs w:val="30"/>
          <w:highlight w:val="none"/>
          <w14:textFill>
            <w14:solidFill>
              <w14:schemeClr w14:val="tx1"/>
            </w14:solidFill>
          </w14:textFill>
        </w:rPr>
      </w:pPr>
    </w:p>
    <w:p w14:paraId="7861D0FF">
      <w:pPr>
        <w:pStyle w:val="13"/>
        <w:rPr>
          <w:color w:val="000000" w:themeColor="text1"/>
          <w:highlight w:val="none"/>
          <w14:textFill>
            <w14:solidFill>
              <w14:schemeClr w14:val="tx1"/>
            </w14:solidFill>
          </w14:textFill>
        </w:rPr>
      </w:pPr>
    </w:p>
    <w:p w14:paraId="03221EA0">
      <w:pPr>
        <w:ind w:right="600" w:firstLine="4200" w:firstLineChars="1400"/>
        <w:rPr>
          <w:rFonts w:ascii="仿宋_GB2312" w:hAnsi="宋体" w:eastAsia="仿宋_GB2312"/>
          <w:b/>
          <w:bCs/>
          <w:color w:val="000000" w:themeColor="text1"/>
          <w:sz w:val="30"/>
          <w:szCs w:val="30"/>
          <w:highlight w:val="none"/>
          <w14:textFill>
            <w14:solidFill>
              <w14:schemeClr w14:val="tx1"/>
            </w14:solidFill>
          </w14:textFill>
        </w:rPr>
      </w:pPr>
      <w:r>
        <w:rPr>
          <w:rFonts w:hint="eastAsia" w:ascii="仿宋_GB2312" w:hAnsi="宋体" w:eastAsia="仿宋_GB2312"/>
          <w:color w:val="000000" w:themeColor="text1"/>
          <w:sz w:val="30"/>
          <w:szCs w:val="30"/>
          <w:highlight w:val="none"/>
          <w14:textFill>
            <w14:solidFill>
              <w14:schemeClr w14:val="tx1"/>
            </w14:solidFill>
          </w14:textFill>
        </w:rPr>
        <w:t>投标人(盖章)：</w:t>
      </w:r>
    </w:p>
    <w:p w14:paraId="75CFD42C">
      <w:pPr>
        <w:rPr>
          <w:rFonts w:ascii="宋体" w:hAnsi="宋体"/>
          <w:b/>
          <w:color w:val="000000" w:themeColor="text1"/>
          <w:sz w:val="44"/>
          <w:szCs w:val="44"/>
          <w:highlight w:val="none"/>
          <w14:textFill>
            <w14:solidFill>
              <w14:schemeClr w14:val="tx1"/>
            </w14:solidFill>
          </w14:textFill>
        </w:rPr>
      </w:pPr>
    </w:p>
    <w:p w14:paraId="4CC85047">
      <w:pPr>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投标人、法定代表人（依法登记的负责人）、授权委托人未被最高法院列入失信被执行人</w:t>
      </w:r>
    </w:p>
    <w:p w14:paraId="19BE7905">
      <w:pPr>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（网址http://zxgk.court.gov.cn/zhzxgk/）</w:t>
      </w:r>
    </w:p>
    <w:p w14:paraId="61588259">
      <w:pPr>
        <w:jc w:val="center"/>
        <w:rPr>
          <w:rFonts w:ascii="仿宋" w:hAnsi="仿宋" w:eastAsia="仿宋"/>
          <w:color w:val="000000" w:themeColor="text1"/>
          <w:sz w:val="40"/>
          <w:szCs w:val="44"/>
          <w:highlight w:val="none"/>
          <w14:textFill>
            <w14:solidFill>
              <w14:schemeClr w14:val="tx1"/>
            </w14:solidFill>
          </w14:textFill>
        </w:rPr>
      </w:pPr>
    </w:p>
    <w:p w14:paraId="5F7CE43E">
      <w:pPr>
        <w:jc w:val="center"/>
        <w:rPr>
          <w:rFonts w:ascii="仿宋" w:hAnsi="仿宋" w:eastAsia="仿宋"/>
          <w:color w:val="000000" w:themeColor="text1"/>
          <w:sz w:val="40"/>
          <w:szCs w:val="44"/>
          <w:highlight w:val="none"/>
          <w14:textFill>
            <w14:solidFill>
              <w14:schemeClr w14:val="tx1"/>
            </w14:solidFill>
          </w14:textFill>
        </w:rPr>
      </w:pPr>
    </w:p>
    <w:p w14:paraId="759F845F">
      <w:pPr>
        <w:pStyle w:val="13"/>
        <w:rPr>
          <w:color w:val="000000" w:themeColor="text1"/>
          <w:highlight w:val="none"/>
          <w14:textFill>
            <w14:solidFill>
              <w14:schemeClr w14:val="tx1"/>
            </w14:solidFill>
          </w14:textFill>
        </w:rPr>
      </w:pPr>
    </w:p>
    <w:p w14:paraId="71754D4D">
      <w:pPr>
        <w:pStyle w:val="13"/>
        <w:rPr>
          <w:color w:val="000000" w:themeColor="text1"/>
          <w:highlight w:val="none"/>
          <w14:textFill>
            <w14:solidFill>
              <w14:schemeClr w14:val="tx1"/>
            </w14:solidFill>
          </w14:textFill>
        </w:rPr>
      </w:pPr>
    </w:p>
    <w:p w14:paraId="7A946AF8">
      <w:pPr>
        <w:pStyle w:val="13"/>
        <w:rPr>
          <w:color w:val="000000" w:themeColor="text1"/>
          <w:highlight w:val="none"/>
          <w14:textFill>
            <w14:solidFill>
              <w14:schemeClr w14:val="tx1"/>
            </w14:solidFill>
          </w14:textFill>
        </w:rPr>
      </w:pPr>
    </w:p>
    <w:p w14:paraId="7CAA6371">
      <w:pPr>
        <w:pStyle w:val="13"/>
        <w:rPr>
          <w:color w:val="000000" w:themeColor="text1"/>
          <w:highlight w:val="none"/>
          <w14:textFill>
            <w14:solidFill>
              <w14:schemeClr w14:val="tx1"/>
            </w14:solidFill>
          </w14:textFill>
        </w:rPr>
      </w:pPr>
    </w:p>
    <w:p w14:paraId="268ACFC2">
      <w:pPr>
        <w:pStyle w:val="13"/>
        <w:rPr>
          <w:color w:val="000000" w:themeColor="text1"/>
          <w:highlight w:val="none"/>
          <w14:textFill>
            <w14:solidFill>
              <w14:schemeClr w14:val="tx1"/>
            </w14:solidFill>
          </w14:textFill>
        </w:rPr>
      </w:pPr>
    </w:p>
    <w:p w14:paraId="52012D55">
      <w:pPr>
        <w:pStyle w:val="13"/>
        <w:rPr>
          <w:color w:val="000000" w:themeColor="text1"/>
          <w:highlight w:val="none"/>
          <w14:textFill>
            <w14:solidFill>
              <w14:schemeClr w14:val="tx1"/>
            </w14:solidFill>
          </w14:textFill>
        </w:rPr>
      </w:pPr>
    </w:p>
    <w:p w14:paraId="452D6EF0">
      <w:pPr>
        <w:pStyle w:val="13"/>
        <w:rPr>
          <w:color w:val="000000" w:themeColor="text1"/>
          <w:highlight w:val="none"/>
          <w14:textFill>
            <w14:solidFill>
              <w14:schemeClr w14:val="tx1"/>
            </w14:solidFill>
          </w14:textFill>
        </w:rPr>
      </w:pPr>
    </w:p>
    <w:p w14:paraId="40050ADF">
      <w:pPr>
        <w:pStyle w:val="13"/>
        <w:rPr>
          <w:color w:val="000000" w:themeColor="text1"/>
          <w:highlight w:val="none"/>
          <w14:textFill>
            <w14:solidFill>
              <w14:schemeClr w14:val="tx1"/>
            </w14:solidFill>
          </w14:textFill>
        </w:rPr>
      </w:pPr>
    </w:p>
    <w:p w14:paraId="3FA5CA7B">
      <w:pPr>
        <w:pStyle w:val="13"/>
        <w:rPr>
          <w:color w:val="000000" w:themeColor="text1"/>
          <w:highlight w:val="none"/>
          <w14:textFill>
            <w14:solidFill>
              <w14:schemeClr w14:val="tx1"/>
            </w14:solidFill>
          </w14:textFill>
        </w:rPr>
      </w:pPr>
    </w:p>
    <w:p w14:paraId="70E69974">
      <w:pPr>
        <w:pStyle w:val="13"/>
        <w:rPr>
          <w:color w:val="000000" w:themeColor="text1"/>
          <w:highlight w:val="none"/>
          <w14:textFill>
            <w14:solidFill>
              <w14:schemeClr w14:val="tx1"/>
            </w14:solidFill>
          </w14:textFill>
        </w:rPr>
      </w:pPr>
    </w:p>
    <w:p w14:paraId="13C0E20E">
      <w:pPr>
        <w:pStyle w:val="13"/>
        <w:rPr>
          <w:color w:val="000000" w:themeColor="text1"/>
          <w:highlight w:val="none"/>
          <w14:textFill>
            <w14:solidFill>
              <w14:schemeClr w14:val="tx1"/>
            </w14:solidFill>
          </w14:textFill>
        </w:rPr>
      </w:pPr>
    </w:p>
    <w:p w14:paraId="636CB318">
      <w:pPr>
        <w:pStyle w:val="13"/>
        <w:rPr>
          <w:color w:val="000000" w:themeColor="text1"/>
          <w:highlight w:val="none"/>
          <w14:textFill>
            <w14:solidFill>
              <w14:schemeClr w14:val="tx1"/>
            </w14:solidFill>
          </w14:textFill>
        </w:rPr>
      </w:pPr>
    </w:p>
    <w:p w14:paraId="0DB243D3">
      <w:pPr>
        <w:pStyle w:val="13"/>
        <w:rPr>
          <w:color w:val="000000" w:themeColor="text1"/>
          <w:highlight w:val="none"/>
          <w14:textFill>
            <w14:solidFill>
              <w14:schemeClr w14:val="tx1"/>
            </w14:solidFill>
          </w14:textFill>
        </w:rPr>
      </w:pPr>
    </w:p>
    <w:p w14:paraId="74A1316E">
      <w:pPr>
        <w:pStyle w:val="13"/>
        <w:rPr>
          <w:color w:val="000000" w:themeColor="text1"/>
          <w:highlight w:val="none"/>
          <w14:textFill>
            <w14:solidFill>
              <w14:schemeClr w14:val="tx1"/>
            </w14:solidFill>
          </w14:textFill>
        </w:rPr>
      </w:pPr>
    </w:p>
    <w:p w14:paraId="210A8E33">
      <w:pPr>
        <w:pStyle w:val="13"/>
        <w:rPr>
          <w:color w:val="000000" w:themeColor="text1"/>
          <w:highlight w:val="none"/>
          <w14:textFill>
            <w14:solidFill>
              <w14:schemeClr w14:val="tx1"/>
            </w14:solidFill>
          </w14:textFill>
        </w:rPr>
      </w:pPr>
    </w:p>
    <w:p w14:paraId="2D65CEDC">
      <w:pPr>
        <w:pStyle w:val="13"/>
        <w:rPr>
          <w:color w:val="000000" w:themeColor="text1"/>
          <w:highlight w:val="none"/>
          <w14:textFill>
            <w14:solidFill>
              <w14:schemeClr w14:val="tx1"/>
            </w14:solidFill>
          </w14:textFill>
        </w:rPr>
      </w:pPr>
    </w:p>
    <w:p w14:paraId="1A25DBEE">
      <w:pPr>
        <w:pStyle w:val="13"/>
        <w:rPr>
          <w:color w:val="000000" w:themeColor="text1"/>
          <w:highlight w:val="none"/>
          <w14:textFill>
            <w14:solidFill>
              <w14:schemeClr w14:val="tx1"/>
            </w14:solidFill>
          </w14:textFill>
        </w:rPr>
      </w:pPr>
    </w:p>
    <w:p w14:paraId="15222207">
      <w:pPr>
        <w:pStyle w:val="13"/>
        <w:rPr>
          <w:color w:val="000000" w:themeColor="text1"/>
          <w:highlight w:val="none"/>
          <w14:textFill>
            <w14:solidFill>
              <w14:schemeClr w14:val="tx1"/>
            </w14:solidFill>
          </w14:textFill>
        </w:rPr>
      </w:pPr>
    </w:p>
    <w:p w14:paraId="7B452D28">
      <w:pPr>
        <w:pStyle w:val="13"/>
        <w:rPr>
          <w:color w:val="000000" w:themeColor="text1"/>
          <w:highlight w:val="none"/>
          <w14:textFill>
            <w14:solidFill>
              <w14:schemeClr w14:val="tx1"/>
            </w14:solidFill>
          </w14:textFill>
        </w:rPr>
      </w:pPr>
    </w:p>
    <w:p w14:paraId="10C82B53">
      <w:pPr>
        <w:pStyle w:val="13"/>
        <w:rPr>
          <w:color w:val="000000" w:themeColor="text1"/>
          <w:highlight w:val="none"/>
          <w14:textFill>
            <w14:solidFill>
              <w14:schemeClr w14:val="tx1"/>
            </w14:solidFill>
          </w14:textFill>
        </w:rPr>
      </w:pPr>
    </w:p>
    <w:p w14:paraId="4B2899B8">
      <w:pPr>
        <w:pStyle w:val="13"/>
        <w:rPr>
          <w:color w:val="000000" w:themeColor="text1"/>
          <w:highlight w:val="none"/>
          <w14:textFill>
            <w14:solidFill>
              <w14:schemeClr w14:val="tx1"/>
            </w14:solidFill>
          </w14:textFill>
        </w:rPr>
      </w:pPr>
    </w:p>
    <w:p w14:paraId="058CAD6E">
      <w:pPr>
        <w:pStyle w:val="13"/>
        <w:rPr>
          <w:color w:val="000000" w:themeColor="text1"/>
          <w:highlight w:val="none"/>
          <w14:textFill>
            <w14:solidFill>
              <w14:schemeClr w14:val="tx1"/>
            </w14:solidFill>
          </w14:textFill>
        </w:rPr>
      </w:pPr>
    </w:p>
    <w:p w14:paraId="23435FD3">
      <w:pPr>
        <w:pStyle w:val="13"/>
        <w:rPr>
          <w:color w:val="000000" w:themeColor="text1"/>
          <w:highlight w:val="none"/>
          <w14:textFill>
            <w14:solidFill>
              <w14:schemeClr w14:val="tx1"/>
            </w14:solidFill>
          </w14:textFill>
        </w:rPr>
      </w:pPr>
    </w:p>
    <w:p w14:paraId="7222B6D6">
      <w:pPr>
        <w:pStyle w:val="13"/>
        <w:rPr>
          <w:color w:val="000000" w:themeColor="text1"/>
          <w:highlight w:val="none"/>
          <w14:textFill>
            <w14:solidFill>
              <w14:schemeClr w14:val="tx1"/>
            </w14:solidFill>
          </w14:textFill>
        </w:rPr>
      </w:pPr>
    </w:p>
    <w:p w14:paraId="05CFE163">
      <w:pPr>
        <w:pStyle w:val="13"/>
        <w:rPr>
          <w:color w:val="000000" w:themeColor="text1"/>
          <w:highlight w:val="none"/>
          <w14:textFill>
            <w14:solidFill>
              <w14:schemeClr w14:val="tx1"/>
            </w14:solidFill>
          </w14:textFill>
        </w:rPr>
      </w:pPr>
    </w:p>
    <w:p w14:paraId="3C5392AE">
      <w:pPr>
        <w:pStyle w:val="13"/>
        <w:rPr>
          <w:color w:val="000000" w:themeColor="text1"/>
          <w:highlight w:val="none"/>
          <w14:textFill>
            <w14:solidFill>
              <w14:schemeClr w14:val="tx1"/>
            </w14:solidFill>
          </w14:textFill>
        </w:rPr>
      </w:pPr>
    </w:p>
    <w:p w14:paraId="5CF1DFAB">
      <w:pPr>
        <w:pStyle w:val="13"/>
        <w:rPr>
          <w:color w:val="000000" w:themeColor="text1"/>
          <w:highlight w:val="none"/>
          <w14:textFill>
            <w14:solidFill>
              <w14:schemeClr w14:val="tx1"/>
            </w14:solidFill>
          </w14:textFill>
        </w:rPr>
      </w:pPr>
    </w:p>
    <w:p w14:paraId="19F95AD1">
      <w:pPr>
        <w:pStyle w:val="13"/>
        <w:rPr>
          <w:color w:val="000000" w:themeColor="text1"/>
          <w:highlight w:val="none"/>
          <w14:textFill>
            <w14:solidFill>
              <w14:schemeClr w14:val="tx1"/>
            </w14:solidFill>
          </w14:textFill>
        </w:rPr>
      </w:pPr>
    </w:p>
    <w:p w14:paraId="17C61CCF">
      <w:pPr>
        <w:pStyle w:val="13"/>
        <w:rPr>
          <w:color w:val="000000" w:themeColor="text1"/>
          <w:highlight w:val="none"/>
          <w14:textFill>
            <w14:solidFill>
              <w14:schemeClr w14:val="tx1"/>
            </w14:solidFill>
          </w14:textFill>
        </w:rPr>
      </w:pPr>
    </w:p>
    <w:p w14:paraId="45B97877">
      <w:pPr>
        <w:pStyle w:val="13"/>
        <w:rPr>
          <w:color w:val="000000" w:themeColor="text1"/>
          <w:highlight w:val="none"/>
          <w14:textFill>
            <w14:solidFill>
              <w14:schemeClr w14:val="tx1"/>
            </w14:solidFill>
          </w14:textFill>
        </w:rPr>
      </w:pPr>
    </w:p>
    <w:p w14:paraId="454B32BE">
      <w:pPr>
        <w:pStyle w:val="13"/>
        <w:rPr>
          <w:color w:val="000000" w:themeColor="text1"/>
          <w:highlight w:val="none"/>
          <w14:textFill>
            <w14:solidFill>
              <w14:schemeClr w14:val="tx1"/>
            </w14:solidFill>
          </w14:textFill>
        </w:rPr>
      </w:pPr>
    </w:p>
    <w:p w14:paraId="35F47E0E">
      <w:pPr>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财务状况报告</w:t>
      </w:r>
    </w:p>
    <w:p w14:paraId="27C8AD08">
      <w:pPr>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（加盖投标人签章）</w:t>
      </w:r>
    </w:p>
    <w:p w14:paraId="1AF42B68">
      <w:pPr>
        <w:jc w:val="center"/>
        <w:rPr>
          <w:rFonts w:ascii="仿宋" w:hAnsi="仿宋" w:eastAsia="仿宋"/>
          <w:color w:val="000000" w:themeColor="text1"/>
          <w:sz w:val="40"/>
          <w:szCs w:val="44"/>
          <w:highlight w:val="none"/>
          <w14:textFill>
            <w14:solidFill>
              <w14:schemeClr w14:val="tx1"/>
            </w14:solidFill>
          </w14:textFill>
        </w:rPr>
      </w:pPr>
    </w:p>
    <w:p w14:paraId="53103B78">
      <w:pPr>
        <w:jc w:val="center"/>
        <w:rPr>
          <w:rFonts w:ascii="仿宋" w:hAnsi="仿宋" w:eastAsia="仿宋"/>
          <w:color w:val="000000" w:themeColor="text1"/>
          <w:sz w:val="40"/>
          <w:szCs w:val="44"/>
          <w:highlight w:val="none"/>
          <w14:textFill>
            <w14:solidFill>
              <w14:schemeClr w14:val="tx1"/>
            </w14:solidFill>
          </w14:textFill>
        </w:rPr>
      </w:pPr>
    </w:p>
    <w:p w14:paraId="59019BF6">
      <w:pPr>
        <w:jc w:val="center"/>
        <w:rPr>
          <w:rFonts w:ascii="仿宋" w:hAnsi="仿宋" w:eastAsia="仿宋"/>
          <w:color w:val="000000" w:themeColor="text1"/>
          <w:sz w:val="40"/>
          <w:szCs w:val="44"/>
          <w:highlight w:val="none"/>
          <w14:textFill>
            <w14:solidFill>
              <w14:schemeClr w14:val="tx1"/>
            </w14:solidFill>
          </w14:textFill>
        </w:rPr>
      </w:pPr>
    </w:p>
    <w:p w14:paraId="09229BF3">
      <w:pPr>
        <w:jc w:val="center"/>
        <w:rPr>
          <w:rFonts w:ascii="仿宋" w:hAnsi="仿宋" w:eastAsia="仿宋"/>
          <w:color w:val="000000" w:themeColor="text1"/>
          <w:sz w:val="40"/>
          <w:szCs w:val="44"/>
          <w:highlight w:val="none"/>
          <w14:textFill>
            <w14:solidFill>
              <w14:schemeClr w14:val="tx1"/>
            </w14:solidFill>
          </w14:textFill>
        </w:rPr>
      </w:pPr>
    </w:p>
    <w:p w14:paraId="0B297F54">
      <w:pPr>
        <w:jc w:val="center"/>
        <w:rPr>
          <w:rFonts w:ascii="仿宋" w:hAnsi="仿宋" w:eastAsia="仿宋"/>
          <w:color w:val="000000" w:themeColor="text1"/>
          <w:sz w:val="40"/>
          <w:szCs w:val="44"/>
          <w:highlight w:val="none"/>
          <w14:textFill>
            <w14:solidFill>
              <w14:schemeClr w14:val="tx1"/>
            </w14:solidFill>
          </w14:textFill>
        </w:rPr>
      </w:pPr>
    </w:p>
    <w:p w14:paraId="4214C638">
      <w:pPr>
        <w:jc w:val="center"/>
        <w:rPr>
          <w:rFonts w:ascii="仿宋" w:hAnsi="仿宋" w:eastAsia="仿宋"/>
          <w:color w:val="000000" w:themeColor="text1"/>
          <w:sz w:val="40"/>
          <w:szCs w:val="44"/>
          <w:highlight w:val="none"/>
          <w14:textFill>
            <w14:solidFill>
              <w14:schemeClr w14:val="tx1"/>
            </w14:solidFill>
          </w14:textFill>
        </w:rPr>
      </w:pPr>
    </w:p>
    <w:p w14:paraId="68D9C563">
      <w:pPr>
        <w:jc w:val="center"/>
        <w:rPr>
          <w:rFonts w:ascii="仿宋" w:hAnsi="仿宋" w:eastAsia="仿宋"/>
          <w:color w:val="000000" w:themeColor="text1"/>
          <w:sz w:val="40"/>
          <w:szCs w:val="44"/>
          <w:highlight w:val="none"/>
          <w14:textFill>
            <w14:solidFill>
              <w14:schemeClr w14:val="tx1"/>
            </w14:solidFill>
          </w14:textFill>
        </w:rPr>
      </w:pPr>
    </w:p>
    <w:p w14:paraId="3A6E69FD">
      <w:pPr>
        <w:jc w:val="center"/>
        <w:rPr>
          <w:rFonts w:ascii="仿宋" w:hAnsi="仿宋" w:eastAsia="仿宋"/>
          <w:color w:val="000000" w:themeColor="text1"/>
          <w:sz w:val="40"/>
          <w:szCs w:val="44"/>
          <w:highlight w:val="none"/>
          <w14:textFill>
            <w14:solidFill>
              <w14:schemeClr w14:val="tx1"/>
            </w14:solidFill>
          </w14:textFill>
        </w:rPr>
      </w:pPr>
    </w:p>
    <w:p w14:paraId="5398FB42">
      <w:pPr>
        <w:jc w:val="center"/>
        <w:rPr>
          <w:rFonts w:ascii="仿宋" w:hAnsi="仿宋" w:eastAsia="仿宋"/>
          <w:color w:val="000000" w:themeColor="text1"/>
          <w:sz w:val="40"/>
          <w:szCs w:val="44"/>
          <w:highlight w:val="none"/>
          <w14:textFill>
            <w14:solidFill>
              <w14:schemeClr w14:val="tx1"/>
            </w14:solidFill>
          </w14:textFill>
        </w:rPr>
      </w:pPr>
    </w:p>
    <w:p w14:paraId="052E3216">
      <w:pPr>
        <w:jc w:val="center"/>
        <w:rPr>
          <w:rFonts w:ascii="仿宋" w:hAnsi="仿宋" w:eastAsia="仿宋"/>
          <w:color w:val="000000" w:themeColor="text1"/>
          <w:sz w:val="40"/>
          <w:szCs w:val="44"/>
          <w:highlight w:val="none"/>
          <w14:textFill>
            <w14:solidFill>
              <w14:schemeClr w14:val="tx1"/>
            </w14:solidFill>
          </w14:textFill>
        </w:rPr>
      </w:pPr>
    </w:p>
    <w:p w14:paraId="10C9DFEC">
      <w:pPr>
        <w:jc w:val="center"/>
        <w:rPr>
          <w:rFonts w:ascii="仿宋" w:hAnsi="仿宋" w:eastAsia="仿宋"/>
          <w:color w:val="000000" w:themeColor="text1"/>
          <w:sz w:val="40"/>
          <w:szCs w:val="44"/>
          <w:highlight w:val="none"/>
          <w14:textFill>
            <w14:solidFill>
              <w14:schemeClr w14:val="tx1"/>
            </w14:solidFill>
          </w14:textFill>
        </w:rPr>
      </w:pPr>
    </w:p>
    <w:p w14:paraId="62C60B6D">
      <w:pPr>
        <w:jc w:val="center"/>
        <w:rPr>
          <w:rFonts w:ascii="仿宋" w:hAnsi="仿宋" w:eastAsia="仿宋"/>
          <w:color w:val="000000" w:themeColor="text1"/>
          <w:sz w:val="40"/>
          <w:szCs w:val="44"/>
          <w:highlight w:val="none"/>
          <w14:textFill>
            <w14:solidFill>
              <w14:schemeClr w14:val="tx1"/>
            </w14:solidFill>
          </w14:textFill>
        </w:rPr>
      </w:pPr>
    </w:p>
    <w:p w14:paraId="46C6AA07">
      <w:pPr>
        <w:jc w:val="center"/>
        <w:rPr>
          <w:rFonts w:ascii="仿宋" w:hAnsi="仿宋" w:eastAsia="仿宋"/>
          <w:color w:val="000000" w:themeColor="text1"/>
          <w:sz w:val="40"/>
          <w:szCs w:val="44"/>
          <w:highlight w:val="none"/>
          <w14:textFill>
            <w14:solidFill>
              <w14:schemeClr w14:val="tx1"/>
            </w14:solidFill>
          </w14:textFill>
        </w:rPr>
      </w:pPr>
    </w:p>
    <w:p w14:paraId="7148319A">
      <w:pPr>
        <w:jc w:val="center"/>
        <w:rPr>
          <w:rFonts w:ascii="宋体" w:hAnsi="宋体"/>
          <w:b/>
          <w:bCs/>
          <w:color w:val="000000" w:themeColor="text1"/>
          <w:sz w:val="44"/>
          <w:szCs w:val="44"/>
          <w:highlight w:val="none"/>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07C23856">
      <w:pPr>
        <w:jc w:val="center"/>
        <w:rPr>
          <w:rFonts w:ascii="宋体" w:hAnsi="宋体"/>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14:textFill>
            <w14:solidFill>
              <w14:schemeClr w14:val="tx1"/>
            </w14:solidFill>
          </w14:textFill>
        </w:rPr>
        <w:t>投标人基本情况表</w:t>
      </w:r>
    </w:p>
    <w:tbl>
      <w:tblPr>
        <w:tblStyle w:val="48"/>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6C0C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vAlign w:val="center"/>
          </w:tcPr>
          <w:p w14:paraId="5F62BE27">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单位名称</w:t>
            </w:r>
          </w:p>
        </w:tc>
        <w:tc>
          <w:tcPr>
            <w:tcW w:w="2889" w:type="dxa"/>
            <w:gridSpan w:val="4"/>
            <w:vAlign w:val="center"/>
          </w:tcPr>
          <w:p w14:paraId="686F1123">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106" w:type="dxa"/>
            <w:gridSpan w:val="3"/>
            <w:vAlign w:val="center"/>
          </w:tcPr>
          <w:p w14:paraId="36B894E7">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地址</w:t>
            </w:r>
          </w:p>
        </w:tc>
        <w:tc>
          <w:tcPr>
            <w:tcW w:w="2049" w:type="dxa"/>
            <w:vAlign w:val="center"/>
          </w:tcPr>
          <w:p w14:paraId="61F0CB75">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13556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34A6207">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办公电话/传真</w:t>
            </w:r>
          </w:p>
        </w:tc>
        <w:tc>
          <w:tcPr>
            <w:tcW w:w="2889" w:type="dxa"/>
            <w:gridSpan w:val="4"/>
            <w:vAlign w:val="center"/>
          </w:tcPr>
          <w:p w14:paraId="720A8438">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106" w:type="dxa"/>
            <w:gridSpan w:val="3"/>
            <w:vAlign w:val="center"/>
          </w:tcPr>
          <w:p w14:paraId="3A2451C9">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联系人</w:t>
            </w:r>
          </w:p>
        </w:tc>
        <w:tc>
          <w:tcPr>
            <w:tcW w:w="2049" w:type="dxa"/>
            <w:vAlign w:val="center"/>
          </w:tcPr>
          <w:p w14:paraId="3194FB28">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6207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614D2325">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所属/主管部门</w:t>
            </w:r>
          </w:p>
        </w:tc>
        <w:tc>
          <w:tcPr>
            <w:tcW w:w="7044" w:type="dxa"/>
            <w:gridSpan w:val="8"/>
            <w:vAlign w:val="center"/>
          </w:tcPr>
          <w:p w14:paraId="2719F9DA">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187D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0419D80">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总经理</w:t>
            </w:r>
          </w:p>
        </w:tc>
        <w:tc>
          <w:tcPr>
            <w:tcW w:w="1665" w:type="dxa"/>
            <w:gridSpan w:val="2"/>
            <w:vAlign w:val="center"/>
          </w:tcPr>
          <w:p w14:paraId="56FAB9AD">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827" w:type="dxa"/>
            <w:gridSpan w:val="4"/>
            <w:vAlign w:val="center"/>
          </w:tcPr>
          <w:p w14:paraId="2A3F1CE4">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固定办公面积（平米）</w:t>
            </w:r>
          </w:p>
        </w:tc>
        <w:tc>
          <w:tcPr>
            <w:tcW w:w="2552" w:type="dxa"/>
            <w:gridSpan w:val="2"/>
            <w:vAlign w:val="center"/>
          </w:tcPr>
          <w:p w14:paraId="267B4CB6">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1283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705AC343">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注册情况</w:t>
            </w:r>
          </w:p>
        </w:tc>
        <w:tc>
          <w:tcPr>
            <w:tcW w:w="2214" w:type="dxa"/>
            <w:gridSpan w:val="2"/>
            <w:vAlign w:val="center"/>
          </w:tcPr>
          <w:p w14:paraId="53D07F5A">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工商注册号</w:t>
            </w:r>
          </w:p>
        </w:tc>
        <w:tc>
          <w:tcPr>
            <w:tcW w:w="6477" w:type="dxa"/>
            <w:gridSpan w:val="7"/>
            <w:vAlign w:val="center"/>
          </w:tcPr>
          <w:p w14:paraId="5D25400E">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0661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75B91A43">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555289D5">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注册资本（万元）</w:t>
            </w:r>
          </w:p>
        </w:tc>
        <w:tc>
          <w:tcPr>
            <w:tcW w:w="6477" w:type="dxa"/>
            <w:gridSpan w:val="7"/>
            <w:vAlign w:val="center"/>
          </w:tcPr>
          <w:p w14:paraId="7F66B91B">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2F29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607A708E">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78C3880E">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法定代表人（依法登记的负责人）</w:t>
            </w:r>
          </w:p>
        </w:tc>
        <w:tc>
          <w:tcPr>
            <w:tcW w:w="1665" w:type="dxa"/>
            <w:gridSpan w:val="2"/>
            <w:vAlign w:val="center"/>
          </w:tcPr>
          <w:p w14:paraId="0EBF9B9B">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7E0A787F">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单位类型</w:t>
            </w:r>
          </w:p>
        </w:tc>
        <w:tc>
          <w:tcPr>
            <w:tcW w:w="2598" w:type="dxa"/>
            <w:gridSpan w:val="3"/>
            <w:vAlign w:val="center"/>
          </w:tcPr>
          <w:p w14:paraId="05E95F15">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376B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CF24280">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4B33FE5E">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成立时间</w:t>
            </w:r>
          </w:p>
        </w:tc>
        <w:tc>
          <w:tcPr>
            <w:tcW w:w="1665" w:type="dxa"/>
            <w:gridSpan w:val="2"/>
            <w:vAlign w:val="center"/>
          </w:tcPr>
          <w:p w14:paraId="1912AC4B">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3EB8E69C">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营业期限</w:t>
            </w:r>
          </w:p>
        </w:tc>
        <w:tc>
          <w:tcPr>
            <w:tcW w:w="2598" w:type="dxa"/>
            <w:gridSpan w:val="3"/>
            <w:vAlign w:val="center"/>
          </w:tcPr>
          <w:p w14:paraId="36F339C9">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326B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40E369C7">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c>
          <w:tcPr>
            <w:tcW w:w="2214" w:type="dxa"/>
            <w:gridSpan w:val="2"/>
            <w:vAlign w:val="center"/>
          </w:tcPr>
          <w:p w14:paraId="3B2D60CC">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经营范围</w:t>
            </w:r>
          </w:p>
        </w:tc>
        <w:tc>
          <w:tcPr>
            <w:tcW w:w="6477" w:type="dxa"/>
            <w:gridSpan w:val="7"/>
            <w:vAlign w:val="center"/>
          </w:tcPr>
          <w:p w14:paraId="38B3F55D">
            <w:pPr>
              <w:spacing w:line="440" w:lineRule="exact"/>
              <w:jc w:val="center"/>
              <w:rPr>
                <w:rFonts w:ascii="仿宋" w:hAnsi="仿宋" w:eastAsia="仿宋"/>
                <w:color w:val="000000" w:themeColor="text1"/>
                <w:sz w:val="28"/>
                <w:szCs w:val="28"/>
                <w:highlight w:val="none"/>
                <w14:textFill>
                  <w14:solidFill>
                    <w14:schemeClr w14:val="tx1"/>
                  </w14:solidFill>
                </w14:textFill>
              </w:rPr>
            </w:pPr>
          </w:p>
        </w:tc>
      </w:tr>
      <w:tr w14:paraId="00FD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76722CC3">
            <w:pPr>
              <w:spacing w:line="440" w:lineRule="exact"/>
              <w:jc w:val="center"/>
              <w:rPr>
                <w:rFonts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投标人情况简介</w:t>
            </w:r>
          </w:p>
        </w:tc>
      </w:tr>
      <w:tr w14:paraId="59CA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2AB1B1AA">
            <w:pPr>
              <w:spacing w:line="440" w:lineRule="exact"/>
              <w:rPr>
                <w:rFonts w:ascii="仿宋" w:hAnsi="仿宋" w:eastAsia="仿宋"/>
                <w:color w:val="000000" w:themeColor="text1"/>
                <w:sz w:val="28"/>
                <w:szCs w:val="28"/>
                <w:highlight w:val="none"/>
                <w14:textFill>
                  <w14:solidFill>
                    <w14:schemeClr w14:val="tx1"/>
                  </w14:solidFill>
                </w14:textFill>
              </w:rPr>
            </w:pPr>
          </w:p>
        </w:tc>
      </w:tr>
    </w:tbl>
    <w:p w14:paraId="395872F9">
      <w:pPr>
        <w:jc w:val="center"/>
        <w:rPr>
          <w:rFonts w:ascii="仿宋" w:hAnsi="仿宋" w:eastAsia="仿宋"/>
          <w:b/>
          <w:color w:val="000000" w:themeColor="text1"/>
          <w:sz w:val="44"/>
          <w:szCs w:val="44"/>
          <w:highlight w:val="none"/>
          <w14:textFill>
            <w14:solidFill>
              <w14:schemeClr w14:val="tx1"/>
            </w14:solidFill>
          </w14:textFill>
        </w:rPr>
      </w:pPr>
    </w:p>
    <w:p w14:paraId="0786F077">
      <w:pPr>
        <w:wordWrap w:val="0"/>
        <w:spacing w:line="560" w:lineRule="exact"/>
        <w:ind w:right="640" w:firstLine="4160" w:firstLineChars="130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 xml:space="preserve">投标人单位（盖章）： </w:t>
      </w:r>
    </w:p>
    <w:p w14:paraId="32242516">
      <w:pPr>
        <w:wordWrap w:val="0"/>
        <w:spacing w:line="560" w:lineRule="exact"/>
        <w:jc w:val="righ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 xml:space="preserve">法定代表人（依法登记的负责人）或被授权人（签字或盖章） </w:t>
      </w:r>
    </w:p>
    <w:p w14:paraId="272B0B89">
      <w:pPr>
        <w:wordWrap w:val="0"/>
        <w:spacing w:line="560" w:lineRule="exact"/>
        <w:ind w:right="1280"/>
        <w:rPr>
          <w:rFonts w:ascii="仿宋_GB2312" w:hAnsi="仿宋" w:eastAsia="仿宋_GB2312"/>
          <w:color w:val="000000" w:themeColor="text1"/>
          <w:sz w:val="32"/>
          <w:szCs w:val="32"/>
          <w:highlight w:val="none"/>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5E428F99">
      <w:pPr>
        <w:pStyle w:val="405"/>
        <w:snapToGrid w:val="0"/>
        <w:jc w:val="center"/>
        <w:rPr>
          <w:rFonts w:hAnsi="宋体"/>
          <w:b/>
          <w:bCs/>
          <w:color w:val="000000" w:themeColor="text1"/>
          <w:kern w:val="2"/>
          <w:sz w:val="44"/>
          <w:szCs w:val="44"/>
          <w:highlight w:val="none"/>
          <w14:textFill>
            <w14:solidFill>
              <w14:schemeClr w14:val="tx1"/>
            </w14:solidFill>
          </w14:textFill>
        </w:rPr>
      </w:pPr>
      <w:r>
        <w:rPr>
          <w:rFonts w:hint="eastAsia" w:hAnsi="宋体"/>
          <w:b/>
          <w:bCs/>
          <w:color w:val="000000" w:themeColor="text1"/>
          <w:kern w:val="2"/>
          <w:sz w:val="44"/>
          <w:szCs w:val="44"/>
          <w:highlight w:val="none"/>
          <w14:textFill>
            <w14:solidFill>
              <w14:schemeClr w14:val="tx1"/>
            </w14:solidFill>
          </w14:textFill>
        </w:rPr>
        <w:t>2023年至类似项目业绩表</w:t>
      </w:r>
    </w:p>
    <w:tbl>
      <w:tblPr>
        <w:tblStyle w:val="48"/>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440"/>
        <w:gridCol w:w="1959"/>
      </w:tblGrid>
      <w:tr w14:paraId="3357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34" w:type="dxa"/>
            <w:noWrap/>
            <w:vAlign w:val="center"/>
          </w:tcPr>
          <w:p w14:paraId="02886C6C">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序号</w:t>
            </w:r>
          </w:p>
        </w:tc>
        <w:tc>
          <w:tcPr>
            <w:tcW w:w="1800" w:type="dxa"/>
            <w:noWrap/>
            <w:vAlign w:val="center"/>
          </w:tcPr>
          <w:p w14:paraId="0EAD4104">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用户名称</w:t>
            </w:r>
          </w:p>
        </w:tc>
        <w:tc>
          <w:tcPr>
            <w:tcW w:w="2047" w:type="dxa"/>
            <w:noWrap/>
            <w:vAlign w:val="center"/>
          </w:tcPr>
          <w:p w14:paraId="399ED192">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项目名称</w:t>
            </w:r>
          </w:p>
        </w:tc>
        <w:tc>
          <w:tcPr>
            <w:tcW w:w="1260" w:type="dxa"/>
            <w:noWrap/>
            <w:vAlign w:val="center"/>
          </w:tcPr>
          <w:p w14:paraId="1F1EBE7F">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合同额</w:t>
            </w:r>
          </w:p>
        </w:tc>
        <w:tc>
          <w:tcPr>
            <w:tcW w:w="1440" w:type="dxa"/>
            <w:noWrap/>
            <w:vAlign w:val="center"/>
          </w:tcPr>
          <w:p w14:paraId="61472E8A">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服务时间</w:t>
            </w:r>
          </w:p>
        </w:tc>
        <w:tc>
          <w:tcPr>
            <w:tcW w:w="1959" w:type="dxa"/>
            <w:noWrap/>
            <w:vAlign w:val="center"/>
          </w:tcPr>
          <w:p w14:paraId="62B26F8C">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电话/联系人</w:t>
            </w:r>
          </w:p>
        </w:tc>
      </w:tr>
      <w:tr w14:paraId="64F1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4D301FA1">
            <w:pPr>
              <w:jc w:val="cente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7BBAAEB5">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7E98035E">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5A0AC46E">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017E6783">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11C7315C">
            <w:pPr>
              <w:jc w:val="center"/>
              <w:rPr>
                <w:rFonts w:ascii="仿宋" w:hAnsi="仿宋" w:eastAsia="仿宋"/>
                <w:color w:val="000000" w:themeColor="text1"/>
                <w:sz w:val="30"/>
                <w:szCs w:val="30"/>
                <w:highlight w:val="none"/>
                <w14:textFill>
                  <w14:solidFill>
                    <w14:schemeClr w14:val="tx1"/>
                  </w14:solidFill>
                </w14:textFill>
              </w:rPr>
            </w:pPr>
          </w:p>
        </w:tc>
      </w:tr>
      <w:tr w14:paraId="2E5F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3FABB0C4">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50E7FF1A">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2204A43E">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38F4A2C0">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27FFAA15">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2CF07E1D">
            <w:pPr>
              <w:jc w:val="center"/>
              <w:rPr>
                <w:rFonts w:ascii="仿宋" w:hAnsi="仿宋" w:eastAsia="仿宋"/>
                <w:color w:val="000000" w:themeColor="text1"/>
                <w:sz w:val="30"/>
                <w:szCs w:val="30"/>
                <w:highlight w:val="none"/>
                <w14:textFill>
                  <w14:solidFill>
                    <w14:schemeClr w14:val="tx1"/>
                  </w14:solidFill>
                </w14:textFill>
              </w:rPr>
            </w:pPr>
          </w:p>
        </w:tc>
      </w:tr>
      <w:tr w14:paraId="363E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2FB294A0">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0B15A521">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62D325A6">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4FCFC08C">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32E24A63">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490A1F12">
            <w:pPr>
              <w:jc w:val="center"/>
              <w:rPr>
                <w:rFonts w:ascii="仿宋" w:hAnsi="仿宋" w:eastAsia="仿宋"/>
                <w:color w:val="000000" w:themeColor="text1"/>
                <w:sz w:val="30"/>
                <w:szCs w:val="30"/>
                <w:highlight w:val="none"/>
                <w14:textFill>
                  <w14:solidFill>
                    <w14:schemeClr w14:val="tx1"/>
                  </w14:solidFill>
                </w14:textFill>
              </w:rPr>
            </w:pPr>
          </w:p>
        </w:tc>
      </w:tr>
      <w:tr w14:paraId="2EE6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7DDABEC7">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58328E26">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36AE6465">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4799FB59">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0FFAC55C">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5D9F51CB">
            <w:pPr>
              <w:jc w:val="center"/>
              <w:rPr>
                <w:rFonts w:ascii="仿宋" w:hAnsi="仿宋" w:eastAsia="仿宋"/>
                <w:color w:val="000000" w:themeColor="text1"/>
                <w:sz w:val="30"/>
                <w:szCs w:val="30"/>
                <w:highlight w:val="none"/>
                <w14:textFill>
                  <w14:solidFill>
                    <w14:schemeClr w14:val="tx1"/>
                  </w14:solidFill>
                </w14:textFill>
              </w:rPr>
            </w:pPr>
          </w:p>
        </w:tc>
      </w:tr>
      <w:tr w14:paraId="202E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1AE2C615">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1143815F">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19ABBC27">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7F5D699D">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35547030">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10910C27">
            <w:pPr>
              <w:jc w:val="center"/>
              <w:rPr>
                <w:rFonts w:ascii="仿宋" w:hAnsi="仿宋" w:eastAsia="仿宋"/>
                <w:color w:val="000000" w:themeColor="text1"/>
                <w:sz w:val="30"/>
                <w:szCs w:val="30"/>
                <w:highlight w:val="none"/>
                <w14:textFill>
                  <w14:solidFill>
                    <w14:schemeClr w14:val="tx1"/>
                  </w14:solidFill>
                </w14:textFill>
              </w:rPr>
            </w:pPr>
          </w:p>
        </w:tc>
      </w:tr>
      <w:tr w14:paraId="0633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6064D53A">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4017E699">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4BF277A0">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45B262B1">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63AED21C">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19D69E09">
            <w:pPr>
              <w:jc w:val="center"/>
              <w:rPr>
                <w:rFonts w:ascii="仿宋" w:hAnsi="仿宋" w:eastAsia="仿宋"/>
                <w:color w:val="000000" w:themeColor="text1"/>
                <w:sz w:val="30"/>
                <w:szCs w:val="30"/>
                <w:highlight w:val="none"/>
                <w14:textFill>
                  <w14:solidFill>
                    <w14:schemeClr w14:val="tx1"/>
                  </w14:solidFill>
                </w14:textFill>
              </w:rPr>
            </w:pPr>
          </w:p>
        </w:tc>
      </w:tr>
      <w:tr w14:paraId="673F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12A192E7">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43DC6CE3">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64012160">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5A7128CD">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12289D92">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202974E5">
            <w:pPr>
              <w:jc w:val="center"/>
              <w:rPr>
                <w:rFonts w:ascii="仿宋" w:hAnsi="仿宋" w:eastAsia="仿宋"/>
                <w:color w:val="000000" w:themeColor="text1"/>
                <w:sz w:val="30"/>
                <w:szCs w:val="30"/>
                <w:highlight w:val="none"/>
                <w14:textFill>
                  <w14:solidFill>
                    <w14:schemeClr w14:val="tx1"/>
                  </w14:solidFill>
                </w14:textFill>
              </w:rPr>
            </w:pPr>
          </w:p>
        </w:tc>
      </w:tr>
      <w:tr w14:paraId="5A58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51D1EAD0">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6353B2BF">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1D68BAEC">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4486BB7A">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492CA743">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01B45FCF">
            <w:pPr>
              <w:jc w:val="center"/>
              <w:rPr>
                <w:rFonts w:ascii="仿宋" w:hAnsi="仿宋" w:eastAsia="仿宋"/>
                <w:color w:val="000000" w:themeColor="text1"/>
                <w:sz w:val="30"/>
                <w:szCs w:val="30"/>
                <w:highlight w:val="none"/>
                <w14:textFill>
                  <w14:solidFill>
                    <w14:schemeClr w14:val="tx1"/>
                  </w14:solidFill>
                </w14:textFill>
              </w:rPr>
            </w:pPr>
          </w:p>
        </w:tc>
      </w:tr>
      <w:tr w14:paraId="513B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578693C0">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53389DF6">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5A70B689">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70364A44">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7AC1F70C">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15386A5C">
            <w:pPr>
              <w:jc w:val="center"/>
              <w:rPr>
                <w:rFonts w:ascii="仿宋" w:hAnsi="仿宋" w:eastAsia="仿宋"/>
                <w:color w:val="000000" w:themeColor="text1"/>
                <w:sz w:val="30"/>
                <w:szCs w:val="30"/>
                <w:highlight w:val="none"/>
                <w14:textFill>
                  <w14:solidFill>
                    <w14:schemeClr w14:val="tx1"/>
                  </w14:solidFill>
                </w14:textFill>
              </w:rPr>
            </w:pPr>
          </w:p>
        </w:tc>
      </w:tr>
      <w:tr w14:paraId="00D3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45743BD0">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36CF53E7">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2D04732E">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3918C241">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37A3104E">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0A221FEB">
            <w:pPr>
              <w:jc w:val="center"/>
              <w:rPr>
                <w:rFonts w:ascii="仿宋" w:hAnsi="仿宋" w:eastAsia="仿宋"/>
                <w:color w:val="000000" w:themeColor="text1"/>
                <w:sz w:val="30"/>
                <w:szCs w:val="30"/>
                <w:highlight w:val="none"/>
                <w14:textFill>
                  <w14:solidFill>
                    <w14:schemeClr w14:val="tx1"/>
                  </w14:solidFill>
                </w14:textFill>
              </w:rPr>
            </w:pPr>
          </w:p>
        </w:tc>
      </w:tr>
      <w:tr w14:paraId="7B30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48830AAF">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1CE7D625">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10C064F2">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4402C943">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7A03F8D5">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23537751">
            <w:pPr>
              <w:jc w:val="center"/>
              <w:rPr>
                <w:rFonts w:ascii="仿宋" w:hAnsi="仿宋" w:eastAsia="仿宋"/>
                <w:color w:val="000000" w:themeColor="text1"/>
                <w:sz w:val="30"/>
                <w:szCs w:val="30"/>
                <w:highlight w:val="none"/>
                <w14:textFill>
                  <w14:solidFill>
                    <w14:schemeClr w14:val="tx1"/>
                  </w14:solidFill>
                </w14:textFill>
              </w:rPr>
            </w:pPr>
          </w:p>
        </w:tc>
      </w:tr>
      <w:tr w14:paraId="0378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50848131">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124D7323">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3A93C0C6">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7A0B9399">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0BB2D741">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175B7BC0">
            <w:pPr>
              <w:jc w:val="center"/>
              <w:rPr>
                <w:rFonts w:ascii="仿宋" w:hAnsi="仿宋" w:eastAsia="仿宋"/>
                <w:color w:val="000000" w:themeColor="text1"/>
                <w:sz w:val="30"/>
                <w:szCs w:val="30"/>
                <w:highlight w:val="none"/>
                <w14:textFill>
                  <w14:solidFill>
                    <w14:schemeClr w14:val="tx1"/>
                  </w14:solidFill>
                </w14:textFill>
              </w:rPr>
            </w:pPr>
          </w:p>
        </w:tc>
      </w:tr>
      <w:tr w14:paraId="5EAD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35D0E1C8">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1D8CB03E">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39A00703">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3CFC20EA">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2305BDF1">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23D1FE56">
            <w:pPr>
              <w:jc w:val="center"/>
              <w:rPr>
                <w:rFonts w:ascii="仿宋" w:hAnsi="仿宋" w:eastAsia="仿宋"/>
                <w:color w:val="000000" w:themeColor="text1"/>
                <w:sz w:val="30"/>
                <w:szCs w:val="30"/>
                <w:highlight w:val="none"/>
                <w14:textFill>
                  <w14:solidFill>
                    <w14:schemeClr w14:val="tx1"/>
                  </w14:solidFill>
                </w14:textFill>
              </w:rPr>
            </w:pPr>
          </w:p>
        </w:tc>
      </w:tr>
      <w:tr w14:paraId="2BB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34" w:type="dxa"/>
            <w:noWrap/>
            <w:vAlign w:val="center"/>
          </w:tcPr>
          <w:p w14:paraId="451CCE6E">
            <w:pPr>
              <w:rPr>
                <w:rFonts w:ascii="仿宋" w:hAnsi="仿宋" w:eastAsia="仿宋"/>
                <w:color w:val="000000" w:themeColor="text1"/>
                <w:sz w:val="30"/>
                <w:szCs w:val="30"/>
                <w:highlight w:val="none"/>
                <w14:textFill>
                  <w14:solidFill>
                    <w14:schemeClr w14:val="tx1"/>
                  </w14:solidFill>
                </w14:textFill>
              </w:rPr>
            </w:pPr>
          </w:p>
        </w:tc>
        <w:tc>
          <w:tcPr>
            <w:tcW w:w="1800" w:type="dxa"/>
            <w:noWrap/>
            <w:vAlign w:val="center"/>
          </w:tcPr>
          <w:p w14:paraId="5C21CEB8">
            <w:pPr>
              <w:jc w:val="center"/>
              <w:rPr>
                <w:rFonts w:ascii="仿宋" w:hAnsi="仿宋" w:eastAsia="仿宋"/>
                <w:color w:val="000000" w:themeColor="text1"/>
                <w:sz w:val="30"/>
                <w:szCs w:val="30"/>
                <w:highlight w:val="none"/>
                <w14:textFill>
                  <w14:solidFill>
                    <w14:schemeClr w14:val="tx1"/>
                  </w14:solidFill>
                </w14:textFill>
              </w:rPr>
            </w:pPr>
          </w:p>
        </w:tc>
        <w:tc>
          <w:tcPr>
            <w:tcW w:w="2047" w:type="dxa"/>
            <w:noWrap/>
            <w:vAlign w:val="center"/>
          </w:tcPr>
          <w:p w14:paraId="3A25B3B0">
            <w:pPr>
              <w:jc w:val="center"/>
              <w:rPr>
                <w:rFonts w:ascii="仿宋" w:hAnsi="仿宋" w:eastAsia="仿宋"/>
                <w:color w:val="000000" w:themeColor="text1"/>
                <w:sz w:val="30"/>
                <w:szCs w:val="30"/>
                <w:highlight w:val="none"/>
                <w14:textFill>
                  <w14:solidFill>
                    <w14:schemeClr w14:val="tx1"/>
                  </w14:solidFill>
                </w14:textFill>
              </w:rPr>
            </w:pPr>
          </w:p>
        </w:tc>
        <w:tc>
          <w:tcPr>
            <w:tcW w:w="1260" w:type="dxa"/>
            <w:noWrap/>
            <w:vAlign w:val="center"/>
          </w:tcPr>
          <w:p w14:paraId="2F651A8C">
            <w:pPr>
              <w:jc w:val="center"/>
              <w:rPr>
                <w:rFonts w:ascii="仿宋" w:hAnsi="仿宋" w:eastAsia="仿宋"/>
                <w:color w:val="000000" w:themeColor="text1"/>
                <w:sz w:val="30"/>
                <w:szCs w:val="30"/>
                <w:highlight w:val="none"/>
                <w14:textFill>
                  <w14:solidFill>
                    <w14:schemeClr w14:val="tx1"/>
                  </w14:solidFill>
                </w14:textFill>
              </w:rPr>
            </w:pPr>
          </w:p>
        </w:tc>
        <w:tc>
          <w:tcPr>
            <w:tcW w:w="1440" w:type="dxa"/>
            <w:noWrap/>
            <w:vAlign w:val="center"/>
          </w:tcPr>
          <w:p w14:paraId="39A7B3B6">
            <w:pPr>
              <w:jc w:val="center"/>
              <w:rPr>
                <w:rFonts w:ascii="仿宋" w:hAnsi="仿宋" w:eastAsia="仿宋"/>
                <w:color w:val="000000" w:themeColor="text1"/>
                <w:sz w:val="30"/>
                <w:szCs w:val="30"/>
                <w:highlight w:val="none"/>
                <w14:textFill>
                  <w14:solidFill>
                    <w14:schemeClr w14:val="tx1"/>
                  </w14:solidFill>
                </w14:textFill>
              </w:rPr>
            </w:pPr>
          </w:p>
        </w:tc>
        <w:tc>
          <w:tcPr>
            <w:tcW w:w="1959" w:type="dxa"/>
            <w:noWrap/>
            <w:vAlign w:val="center"/>
          </w:tcPr>
          <w:p w14:paraId="6EAEFC5A">
            <w:pPr>
              <w:jc w:val="center"/>
              <w:rPr>
                <w:rFonts w:ascii="仿宋" w:hAnsi="仿宋" w:eastAsia="仿宋"/>
                <w:color w:val="000000" w:themeColor="text1"/>
                <w:sz w:val="30"/>
                <w:szCs w:val="30"/>
                <w:highlight w:val="none"/>
                <w14:textFill>
                  <w14:solidFill>
                    <w14:schemeClr w14:val="tx1"/>
                  </w14:solidFill>
                </w14:textFill>
              </w:rPr>
            </w:pPr>
          </w:p>
        </w:tc>
      </w:tr>
      <w:tr w14:paraId="5AAA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834" w:type="dxa"/>
            <w:gridSpan w:val="2"/>
            <w:noWrap/>
            <w:vAlign w:val="center"/>
          </w:tcPr>
          <w:p w14:paraId="18D34775">
            <w:pPr>
              <w:jc w:val="cente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合同金额合计</w:t>
            </w:r>
          </w:p>
        </w:tc>
        <w:tc>
          <w:tcPr>
            <w:tcW w:w="6706" w:type="dxa"/>
            <w:gridSpan w:val="4"/>
            <w:noWrap/>
            <w:vAlign w:val="center"/>
          </w:tcPr>
          <w:p w14:paraId="6A860BA7">
            <w:pPr>
              <w:rPr>
                <w:rFonts w:ascii="仿宋" w:hAnsi="仿宋" w:eastAsia="仿宋"/>
                <w:color w:val="000000" w:themeColor="text1"/>
                <w:sz w:val="30"/>
                <w:szCs w:val="30"/>
                <w:highlight w:val="none"/>
                <w14:textFill>
                  <w14:solidFill>
                    <w14:schemeClr w14:val="tx1"/>
                  </w14:solidFill>
                </w14:textFill>
              </w:rPr>
            </w:pPr>
          </w:p>
        </w:tc>
      </w:tr>
    </w:tbl>
    <w:p w14:paraId="1576BDA7">
      <w:pPr>
        <w:rPr>
          <w:rFonts w:ascii="仿宋" w:hAnsi="仿宋" w:eastAsia="仿宋"/>
          <w:color w:val="000000" w:themeColor="text1"/>
          <w:sz w:val="30"/>
          <w:szCs w:val="30"/>
          <w:highlight w:val="none"/>
          <w14:textFill>
            <w14:solidFill>
              <w14:schemeClr w14:val="tx1"/>
            </w14:solidFill>
          </w14:textFill>
        </w:rPr>
      </w:pPr>
      <w:r>
        <w:rPr>
          <w:rFonts w:hint="eastAsia" w:ascii="仿宋" w:hAnsi="仿宋" w:eastAsia="仿宋"/>
          <w:color w:val="000000" w:themeColor="text1"/>
          <w:sz w:val="30"/>
          <w:szCs w:val="30"/>
          <w:highlight w:val="none"/>
          <w14:textFill>
            <w14:solidFill>
              <w14:schemeClr w14:val="tx1"/>
            </w14:solidFill>
          </w14:textFill>
        </w:rPr>
        <w:t>备注：此表应认真填写，不得提供虚假业绩，后附中标通知书及合同扫描件。</w:t>
      </w:r>
    </w:p>
    <w:p w14:paraId="78C603B1">
      <w:pPr>
        <w:ind w:firstLine="3900" w:firstLineChars="1300"/>
        <w:rPr>
          <w:rFonts w:ascii="仿宋" w:hAnsi="仿宋" w:eastAsia="仿宋"/>
          <w:color w:val="000000" w:themeColor="text1"/>
          <w:sz w:val="30"/>
          <w:szCs w:val="30"/>
          <w:highlight w:val="none"/>
          <w14:textFill>
            <w14:solidFill>
              <w14:schemeClr w14:val="tx1"/>
            </w14:solidFill>
          </w14:textFill>
        </w:rPr>
      </w:pPr>
    </w:p>
    <w:p w14:paraId="4286E169">
      <w:pPr>
        <w:wordWrap w:val="0"/>
        <w:spacing w:line="560" w:lineRule="exact"/>
        <w:ind w:right="960" w:firstLine="4320" w:firstLineChars="135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 xml:space="preserve">投标人单位（盖章）： </w:t>
      </w:r>
    </w:p>
    <w:p w14:paraId="3ED002A1">
      <w:pPr>
        <w:jc w:val="right"/>
        <w:rPr>
          <w:rFonts w:ascii="仿宋" w:hAnsi="仿宋" w:eastAsia="仿宋"/>
          <w:color w:val="000000" w:themeColor="text1"/>
          <w:sz w:val="32"/>
          <w:szCs w:val="32"/>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仿宋" w:hAnsi="仿宋" w:eastAsia="仿宋"/>
          <w:color w:val="000000" w:themeColor="text1"/>
          <w:sz w:val="32"/>
          <w:szCs w:val="32"/>
          <w:highlight w:val="none"/>
          <w14:textFill>
            <w14:solidFill>
              <w14:schemeClr w14:val="tx1"/>
            </w14:solidFill>
          </w14:textFill>
        </w:rPr>
        <w:t>法定代表人（依法登记的负责人）或被授权人（签字或盖章）</w:t>
      </w:r>
    </w:p>
    <w:p w14:paraId="6EB53287">
      <w:pPr>
        <w:pStyle w:val="24"/>
        <w:spacing w:line="520" w:lineRule="exact"/>
        <w:jc w:val="center"/>
        <w:rPr>
          <w:rFonts w:hAnsi="宋体"/>
          <w:b/>
          <w:bCs/>
          <w:color w:val="000000" w:themeColor="text1"/>
          <w:kern w:val="2"/>
          <w:sz w:val="44"/>
          <w:szCs w:val="44"/>
          <w:highlight w:val="none"/>
          <w14:textFill>
            <w14:solidFill>
              <w14:schemeClr w14:val="tx1"/>
            </w14:solidFill>
          </w14:textFill>
        </w:rPr>
      </w:pPr>
      <w:r>
        <w:rPr>
          <w:rFonts w:hint="eastAsia" w:hAnsi="宋体"/>
          <w:b/>
          <w:bCs/>
          <w:color w:val="000000" w:themeColor="text1"/>
          <w:kern w:val="2"/>
          <w:sz w:val="44"/>
          <w:szCs w:val="44"/>
          <w:highlight w:val="none"/>
          <w14:textFill>
            <w14:solidFill>
              <w14:schemeClr w14:val="tx1"/>
            </w14:solidFill>
          </w14:textFill>
        </w:rPr>
        <w:t>投标偏离表</w:t>
      </w:r>
    </w:p>
    <w:p w14:paraId="19E316C7">
      <w:pPr>
        <w:spacing w:line="360" w:lineRule="exact"/>
        <w:jc w:val="center"/>
        <w:rPr>
          <w:rFonts w:ascii="仿宋_GB2312" w:hAnsi="宋体" w:eastAsia="仿宋_GB2312"/>
          <w:b/>
          <w:bCs/>
          <w:color w:val="000000" w:themeColor="text1"/>
          <w:sz w:val="36"/>
          <w:szCs w:val="36"/>
          <w:highlight w:val="none"/>
          <w14:textFill>
            <w14:solidFill>
              <w14:schemeClr w14:val="tx1"/>
            </w14:solidFill>
          </w14:textFill>
        </w:rPr>
      </w:pPr>
    </w:p>
    <w:p w14:paraId="55A1955D">
      <w:pPr>
        <w:spacing w:line="360" w:lineRule="exact"/>
        <w:jc w:val="center"/>
        <w:rPr>
          <w:rFonts w:ascii="仿宋_GB2312" w:hAnsi="宋体" w:eastAsia="仿宋_GB2312"/>
          <w:bCs/>
          <w:color w:val="000000" w:themeColor="text1"/>
          <w:sz w:val="30"/>
          <w:szCs w:val="30"/>
          <w:highlight w:val="none"/>
          <w14:textFill>
            <w14:solidFill>
              <w14:schemeClr w14:val="tx1"/>
            </w14:solidFill>
          </w14:textFill>
        </w:rPr>
      </w:pPr>
      <w:r>
        <w:rPr>
          <w:rFonts w:hint="eastAsia" w:ascii="仿宋_GB2312" w:hAnsi="宋体" w:eastAsia="仿宋_GB2312"/>
          <w:bCs/>
          <w:color w:val="000000" w:themeColor="text1"/>
          <w:sz w:val="30"/>
          <w:szCs w:val="30"/>
          <w:highlight w:val="none"/>
          <w14:textFill>
            <w14:solidFill>
              <w14:schemeClr w14:val="tx1"/>
            </w14:solidFill>
          </w14:textFill>
        </w:rPr>
        <w:t>（包括技术规格、参数和商务条款偏离）</w:t>
      </w:r>
    </w:p>
    <w:p w14:paraId="5D6B2E2D">
      <w:pPr>
        <w:spacing w:line="360" w:lineRule="exact"/>
        <w:jc w:val="center"/>
        <w:rPr>
          <w:rFonts w:ascii="仿宋_GB2312" w:hAnsi="宋体" w:eastAsia="仿宋_GB2312"/>
          <w:bCs/>
          <w:color w:val="000000" w:themeColor="text1"/>
          <w:sz w:val="22"/>
          <w:highlight w:val="none"/>
          <w14:textFill>
            <w14:solidFill>
              <w14:schemeClr w14:val="tx1"/>
            </w14:solidFill>
          </w14:textFill>
        </w:rPr>
      </w:pPr>
    </w:p>
    <w:tbl>
      <w:tblPr>
        <w:tblStyle w:val="48"/>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14:paraId="4998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tcPr>
          <w:p w14:paraId="439FB6BA">
            <w:pPr>
              <w:pStyle w:val="24"/>
              <w:spacing w:line="400" w:lineRule="exac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序号</w:t>
            </w:r>
          </w:p>
        </w:tc>
        <w:tc>
          <w:tcPr>
            <w:tcW w:w="4701" w:type="dxa"/>
            <w:gridSpan w:val="2"/>
          </w:tcPr>
          <w:p w14:paraId="256E3336">
            <w:pPr>
              <w:pStyle w:val="24"/>
              <w:spacing w:line="400" w:lineRule="exac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 xml:space="preserve">         招标文件条款</w:t>
            </w:r>
          </w:p>
        </w:tc>
        <w:tc>
          <w:tcPr>
            <w:tcW w:w="4596" w:type="dxa"/>
            <w:gridSpan w:val="2"/>
          </w:tcPr>
          <w:p w14:paraId="684001CB">
            <w:pPr>
              <w:pStyle w:val="24"/>
              <w:spacing w:line="400" w:lineRule="exact"/>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 xml:space="preserve">       投标文件条款</w:t>
            </w:r>
          </w:p>
        </w:tc>
      </w:tr>
      <w:tr w14:paraId="1E3E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tcPr>
          <w:p w14:paraId="035F2F71">
            <w:pPr>
              <w:pStyle w:val="24"/>
              <w:spacing w:line="400" w:lineRule="exact"/>
              <w:rPr>
                <w:rFonts w:ascii="仿宋_GB2312" w:hAnsi="宋体" w:eastAsia="仿宋_GB2312"/>
                <w:color w:val="000000" w:themeColor="text1"/>
                <w:sz w:val="24"/>
                <w:szCs w:val="24"/>
                <w:highlight w:val="none"/>
                <w14:textFill>
                  <w14:solidFill>
                    <w14:schemeClr w14:val="tx1"/>
                  </w14:solidFill>
                </w14:textFill>
              </w:rPr>
            </w:pPr>
          </w:p>
        </w:tc>
        <w:tc>
          <w:tcPr>
            <w:tcW w:w="1236" w:type="dxa"/>
          </w:tcPr>
          <w:p w14:paraId="07B1E773">
            <w:pPr>
              <w:pStyle w:val="24"/>
              <w:spacing w:line="400" w:lineRule="exact"/>
              <w:jc w:val="center"/>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条款号</w:t>
            </w:r>
          </w:p>
        </w:tc>
        <w:tc>
          <w:tcPr>
            <w:tcW w:w="3465" w:type="dxa"/>
          </w:tcPr>
          <w:p w14:paraId="759D8308">
            <w:pPr>
              <w:pStyle w:val="24"/>
              <w:spacing w:line="400" w:lineRule="exact"/>
              <w:jc w:val="center"/>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招标文件的内容</w:t>
            </w:r>
          </w:p>
        </w:tc>
        <w:tc>
          <w:tcPr>
            <w:tcW w:w="1236" w:type="dxa"/>
          </w:tcPr>
          <w:p w14:paraId="75B588EE">
            <w:pPr>
              <w:pStyle w:val="24"/>
              <w:spacing w:line="400" w:lineRule="exact"/>
              <w:jc w:val="center"/>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条款号</w:t>
            </w:r>
          </w:p>
        </w:tc>
        <w:tc>
          <w:tcPr>
            <w:tcW w:w="3360" w:type="dxa"/>
          </w:tcPr>
          <w:p w14:paraId="32DF1305">
            <w:pPr>
              <w:pStyle w:val="24"/>
              <w:spacing w:line="400" w:lineRule="exact"/>
              <w:jc w:val="center"/>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投标文件偏离内容</w:t>
            </w:r>
          </w:p>
        </w:tc>
      </w:tr>
      <w:tr w14:paraId="41CC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7E3A1F56">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2DA2615F">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6F58B943">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F5D048D">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3D7439AD">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2F66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768151D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39CE2EF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0047F84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5EF4637B">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1EEFBF35">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393D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0AAAA8D0">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12A8FEAE">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30BEF333">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01D65CAD">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3652840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0095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517C9F17">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62AC427C">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32A44F4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3666E74">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3317AA84">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3FC9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520F5F1F">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A91E6F3">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702E4D45">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540D3E61">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301371F4">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49EE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tcPr>
          <w:p w14:paraId="21735576">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166B8A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781FC90B">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615AA60">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7FF16A6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332D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tcPr>
          <w:p w14:paraId="408BC954">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5791B82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0557FE77">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359C3EB7">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0F6FC858">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2F49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tcPr>
          <w:p w14:paraId="3586944D">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5F0CB1DE">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4C839BDE">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315C6798">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53FBE8F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15E7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tcPr>
          <w:p w14:paraId="6C35DBC6">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p w14:paraId="1A1272B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AB7E47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295B0554">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2ED9AAD8">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141285DB">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r w14:paraId="7093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Pr>
          <w:p w14:paraId="0373028A">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p w14:paraId="4955CF85">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079B7519">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465" w:type="dxa"/>
          </w:tcPr>
          <w:p w14:paraId="0946A34C">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1236" w:type="dxa"/>
          </w:tcPr>
          <w:p w14:paraId="48E325A1">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c>
          <w:tcPr>
            <w:tcW w:w="3360" w:type="dxa"/>
          </w:tcPr>
          <w:p w14:paraId="79679BB0">
            <w:pPr>
              <w:pStyle w:val="24"/>
              <w:spacing w:line="400" w:lineRule="exact"/>
              <w:rPr>
                <w:rFonts w:ascii="仿宋_GB2312" w:hAnsi="宋体" w:eastAsia="仿宋_GB2312"/>
                <w:color w:val="000000" w:themeColor="text1"/>
                <w:sz w:val="28"/>
                <w:szCs w:val="24"/>
                <w:highlight w:val="none"/>
                <w14:textFill>
                  <w14:solidFill>
                    <w14:schemeClr w14:val="tx1"/>
                  </w14:solidFill>
                </w14:textFill>
              </w:rPr>
            </w:pPr>
          </w:p>
        </w:tc>
      </w:tr>
    </w:tbl>
    <w:p w14:paraId="44773468">
      <w:pPr>
        <w:pStyle w:val="24"/>
        <w:spacing w:line="400" w:lineRule="exact"/>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注：无偏离可填写“无”字，有偏离必须在本表列明，实际存在负偏离而在本表内没有列明的，或有虚假投标信息的，监管部门将其列入不诚信名单（或不诚信记录）。</w:t>
      </w:r>
    </w:p>
    <w:p w14:paraId="5071AF45">
      <w:pPr>
        <w:spacing w:line="360" w:lineRule="exact"/>
        <w:ind w:firstLine="4900" w:firstLineChars="1750"/>
        <w:rPr>
          <w:rFonts w:ascii="仿宋_GB2312" w:hAnsi="宋体" w:eastAsia="仿宋_GB2312"/>
          <w:color w:val="000000" w:themeColor="text1"/>
          <w:sz w:val="28"/>
          <w:highlight w:val="none"/>
          <w14:textFill>
            <w14:solidFill>
              <w14:schemeClr w14:val="tx1"/>
            </w14:solidFill>
          </w14:textFill>
        </w:rPr>
      </w:pPr>
    </w:p>
    <w:p w14:paraId="5C74A1C0">
      <w:pPr>
        <w:spacing w:line="360" w:lineRule="exact"/>
        <w:ind w:firstLine="4900" w:firstLineChars="1750"/>
        <w:rPr>
          <w:rFonts w:ascii="仿宋_GB2312" w:hAnsi="宋体" w:eastAsia="仿宋_GB2312"/>
          <w:color w:val="000000" w:themeColor="text1"/>
          <w:sz w:val="28"/>
          <w:highlight w:val="none"/>
          <w14:textFill>
            <w14:solidFill>
              <w14:schemeClr w14:val="tx1"/>
            </w14:solidFill>
          </w14:textFill>
        </w:rPr>
      </w:pPr>
    </w:p>
    <w:p w14:paraId="3389AF35">
      <w:pPr>
        <w:wordWrap w:val="0"/>
        <w:spacing w:line="560" w:lineRule="exact"/>
        <w:ind w:right="960" w:firstLine="4320" w:firstLineChars="135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 xml:space="preserve">投标人单位（盖章）： </w:t>
      </w:r>
    </w:p>
    <w:p w14:paraId="079330D3">
      <w:pPr>
        <w:jc w:val="right"/>
        <w:rPr>
          <w:rFonts w:ascii="仿宋" w:hAnsi="仿宋" w:eastAsia="仿宋"/>
          <w:color w:val="000000" w:themeColor="text1"/>
          <w:sz w:val="32"/>
          <w:szCs w:val="32"/>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仿宋" w:hAnsi="仿宋" w:eastAsia="仿宋"/>
          <w:color w:val="000000" w:themeColor="text1"/>
          <w:sz w:val="32"/>
          <w:szCs w:val="32"/>
          <w:highlight w:val="none"/>
          <w14:textFill>
            <w14:solidFill>
              <w14:schemeClr w14:val="tx1"/>
            </w14:solidFill>
          </w14:textFill>
        </w:rPr>
        <w:t>法定代表人（依法登记的负责人）或被授权人（签字或盖章）</w:t>
      </w:r>
    </w:p>
    <w:p w14:paraId="5CA6A970">
      <w:pPr>
        <w:jc w:val="center"/>
        <w:rPr>
          <w:rFonts w:ascii="宋体" w:hAnsi="宋体"/>
          <w:b/>
          <w:bCs/>
          <w:color w:val="000000" w:themeColor="text1"/>
          <w:sz w:val="44"/>
          <w:szCs w:val="44"/>
          <w:highlight w:val="none"/>
          <w14:textFill>
            <w14:solidFill>
              <w14:schemeClr w14:val="tx1"/>
            </w14:solidFill>
          </w14:textFill>
        </w:rPr>
      </w:pPr>
      <w:r>
        <w:rPr>
          <w:rFonts w:ascii="宋体" w:hAnsi="宋体"/>
          <w:b/>
          <w:bCs/>
          <w:color w:val="000000" w:themeColor="text1"/>
          <w:sz w:val="44"/>
          <w:szCs w:val="44"/>
          <w:highlight w:val="none"/>
          <w14:textFill>
            <w14:solidFill>
              <w14:schemeClr w14:val="tx1"/>
            </w14:solidFill>
          </w14:textFill>
        </w:rPr>
        <w:t>技术文件</w:t>
      </w:r>
    </w:p>
    <w:p w14:paraId="0A34AA3C">
      <w:pPr>
        <w:jc w:val="center"/>
        <w:rPr>
          <w:rFonts w:ascii="宋体" w:hAnsi="宋体"/>
          <w:b/>
          <w:bCs/>
          <w:color w:val="000000" w:themeColor="text1"/>
          <w:sz w:val="44"/>
          <w:szCs w:val="44"/>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b/>
          <w:bCs/>
          <w:color w:val="000000" w:themeColor="text1"/>
          <w:sz w:val="44"/>
          <w:szCs w:val="44"/>
          <w:highlight w:val="none"/>
          <w14:textFill>
            <w14:solidFill>
              <w14:schemeClr w14:val="tx1"/>
            </w14:solidFill>
          </w14:textFill>
        </w:rPr>
        <w:t>（由供应商自行编制）</w:t>
      </w:r>
    </w:p>
    <w:p w14:paraId="405405B1">
      <w:pPr>
        <w:pStyle w:val="42"/>
        <w:spacing w:before="0" w:after="0" w:line="360" w:lineRule="auto"/>
        <w:ind w:firstLine="646" w:firstLineChars="201"/>
        <w:rPr>
          <w:rFonts w:ascii="宋体" w:hAnsi="宋体" w:cs="宋体"/>
          <w:color w:val="000000" w:themeColor="text1"/>
          <w:highlight w:val="none"/>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14:textFill>
            <w14:solidFill>
              <w14:schemeClr w14:val="tx1"/>
            </w14:solidFill>
          </w14:textFill>
        </w:rPr>
        <w:t>第六章合同书格式</w:t>
      </w:r>
    </w:p>
    <w:p w14:paraId="5D5C6B3A">
      <w:pPr>
        <w:pStyle w:val="24"/>
        <w:spacing w:line="360" w:lineRule="exact"/>
        <w:rPr>
          <w:rFonts w:ascii="仿宋" w:hAnsi="仿宋" w:eastAsia="仿宋"/>
          <w:color w:val="000000" w:themeColor="text1"/>
          <w:sz w:val="28"/>
          <w:szCs w:val="28"/>
          <w:highlight w:val="none"/>
          <w14:textFill>
            <w14:solidFill>
              <w14:schemeClr w14:val="tx1"/>
            </w14:solidFill>
          </w14:textFill>
        </w:rPr>
      </w:pPr>
    </w:p>
    <w:p w14:paraId="463F7150">
      <w:pPr>
        <w:spacing w:line="360" w:lineRule="auto"/>
        <w:jc w:val="center"/>
        <w:outlineLvl w:val="0"/>
        <w:rPr>
          <w:rFonts w:hint="eastAsia" w:ascii="仿宋" w:eastAsia="仿宋"/>
          <w:b/>
          <w:bCs/>
          <w:color w:val="000000" w:themeColor="text1"/>
          <w:sz w:val="52"/>
          <w:szCs w:val="52"/>
          <w:highlight w:val="none"/>
          <w:lang w:eastAsia="zh-CN"/>
          <w14:textFill>
            <w14:solidFill>
              <w14:schemeClr w14:val="tx1"/>
            </w14:solidFill>
          </w14:textFill>
        </w:rPr>
      </w:pPr>
      <w:r>
        <w:rPr>
          <w:rFonts w:hint="eastAsia" w:ascii="仿宋" w:eastAsia="仿宋"/>
          <w:b/>
          <w:bCs/>
          <w:color w:val="000000" w:themeColor="text1"/>
          <w:sz w:val="52"/>
          <w:szCs w:val="52"/>
          <w:highlight w:val="none"/>
          <w:lang w:eastAsia="zh-CN"/>
          <w14:textFill>
            <w14:solidFill>
              <w14:schemeClr w14:val="tx1"/>
            </w14:solidFill>
          </w14:textFill>
        </w:rPr>
        <w:t>威海海高园港城环卫服务有限公司</w:t>
      </w:r>
    </w:p>
    <w:p w14:paraId="6E3563E8">
      <w:pPr>
        <w:spacing w:line="360" w:lineRule="auto"/>
        <w:jc w:val="center"/>
        <w:outlineLvl w:val="0"/>
        <w:rPr>
          <w:rFonts w:ascii="仿宋" w:eastAsia="仿宋"/>
          <w:b/>
          <w:bCs/>
          <w:color w:val="000000" w:themeColor="text1"/>
          <w:sz w:val="52"/>
          <w:szCs w:val="52"/>
          <w:highlight w:val="none"/>
          <w14:textFill>
            <w14:solidFill>
              <w14:schemeClr w14:val="tx1"/>
            </w14:solidFill>
          </w14:textFill>
        </w:rPr>
      </w:pPr>
      <w:r>
        <w:rPr>
          <w:rFonts w:hint="eastAsia" w:ascii="仿宋" w:eastAsia="仿宋"/>
          <w:b/>
          <w:bCs/>
          <w:color w:val="000000" w:themeColor="text1"/>
          <w:sz w:val="52"/>
          <w:szCs w:val="52"/>
          <w:highlight w:val="none"/>
          <w14:textFill>
            <w14:solidFill>
              <w14:schemeClr w14:val="tx1"/>
            </w14:solidFill>
          </w14:textFill>
        </w:rPr>
        <w:t>建筑垃圾分拣中心项目用车采购合同</w:t>
      </w:r>
    </w:p>
    <w:p w14:paraId="4FBA7ACB">
      <w:pPr>
        <w:spacing w:line="360" w:lineRule="auto"/>
        <w:jc w:val="center"/>
        <w:outlineLvl w:val="0"/>
        <w:rPr>
          <w:rFonts w:ascii="仿宋" w:eastAsia="仿宋"/>
          <w:bCs/>
          <w:color w:val="000000" w:themeColor="text1"/>
          <w:sz w:val="52"/>
          <w:szCs w:val="52"/>
          <w:highlight w:val="none"/>
          <w14:textFill>
            <w14:solidFill>
              <w14:schemeClr w14:val="tx1"/>
            </w14:solidFill>
          </w14:textFill>
        </w:rPr>
      </w:pPr>
    </w:p>
    <w:p w14:paraId="7E12DBD0">
      <w:pPr>
        <w:spacing w:line="360" w:lineRule="auto"/>
        <w:jc w:val="center"/>
        <w:rPr>
          <w:rFonts w:ascii="仿宋" w:eastAsia="仿宋"/>
          <w:b/>
          <w:color w:val="000000" w:themeColor="text1"/>
          <w:sz w:val="52"/>
          <w:szCs w:val="52"/>
          <w:highlight w:val="none"/>
          <w14:textFill>
            <w14:solidFill>
              <w14:schemeClr w14:val="tx1"/>
            </w14:solidFill>
          </w14:textFill>
        </w:rPr>
      </w:pPr>
    </w:p>
    <w:p w14:paraId="05F21B90">
      <w:pPr>
        <w:spacing w:line="360" w:lineRule="auto"/>
        <w:jc w:val="center"/>
        <w:rPr>
          <w:rFonts w:ascii="仿宋" w:eastAsia="仿宋"/>
          <w:b/>
          <w:color w:val="000000" w:themeColor="text1"/>
          <w:sz w:val="52"/>
          <w:szCs w:val="52"/>
          <w:highlight w:val="none"/>
          <w14:textFill>
            <w14:solidFill>
              <w14:schemeClr w14:val="tx1"/>
            </w14:solidFill>
          </w14:textFill>
        </w:rPr>
      </w:pPr>
    </w:p>
    <w:p w14:paraId="454ACED0">
      <w:pPr>
        <w:rPr>
          <w:rFonts w:ascii="仿宋" w:eastAsia="仿宋"/>
          <w:color w:val="000000" w:themeColor="text1"/>
          <w:sz w:val="32"/>
          <w:szCs w:val="20"/>
          <w:highlight w:val="none"/>
          <w14:textFill>
            <w14:solidFill>
              <w14:schemeClr w14:val="tx1"/>
            </w14:solidFill>
          </w14:textFill>
        </w:rPr>
      </w:pPr>
    </w:p>
    <w:p w14:paraId="3326D6FD">
      <w:pPr>
        <w:rPr>
          <w:rFonts w:ascii="仿宋" w:eastAsia="仿宋"/>
          <w:color w:val="000000" w:themeColor="text1"/>
          <w:sz w:val="32"/>
          <w:szCs w:val="20"/>
          <w:highlight w:val="none"/>
          <w14:textFill>
            <w14:solidFill>
              <w14:schemeClr w14:val="tx1"/>
            </w14:solidFill>
          </w14:textFill>
        </w:rPr>
      </w:pPr>
      <w:r>
        <w:rPr>
          <w:rFonts w:hint="eastAsia" w:ascii="宋体" w:cs="宋体"/>
          <w:color w:val="000000" w:themeColor="text1"/>
          <w:highlight w:val="none"/>
          <w14:textFill>
            <w14:solidFill>
              <w14:schemeClr w14:val="tx1"/>
            </w14:solidFill>
          </w14:textFill>
        </w:rPr>
        <w:t> </w:t>
      </w:r>
    </w:p>
    <w:p w14:paraId="091836CC">
      <w:pPr>
        <w:tabs>
          <w:tab w:val="right" w:pos="8312"/>
        </w:tabs>
        <w:spacing w:line="520" w:lineRule="exact"/>
        <w:ind w:firstLine="1911" w:firstLineChars="595"/>
        <w:rPr>
          <w:rFonts w:ascii="仿宋" w:eastAsia="仿宋"/>
          <w:b/>
          <w:color w:val="000000" w:themeColor="text1"/>
          <w:sz w:val="32"/>
          <w:szCs w:val="32"/>
          <w:highlight w:val="none"/>
          <w14:textFill>
            <w14:solidFill>
              <w14:schemeClr w14:val="tx1"/>
            </w14:solidFill>
          </w14:textFill>
        </w:rPr>
      </w:pPr>
    </w:p>
    <w:p w14:paraId="7BA52C2F">
      <w:pPr>
        <w:tabs>
          <w:tab w:val="right" w:pos="8312"/>
        </w:tabs>
        <w:spacing w:line="520" w:lineRule="exact"/>
        <w:ind w:firstLine="1911" w:firstLineChars="595"/>
        <w:rPr>
          <w:rFonts w:ascii="仿宋" w:eastAsia="仿宋"/>
          <w:b/>
          <w:color w:val="000000" w:themeColor="text1"/>
          <w:sz w:val="32"/>
          <w:szCs w:val="32"/>
          <w:highlight w:val="none"/>
          <w14:textFill>
            <w14:solidFill>
              <w14:schemeClr w14:val="tx1"/>
            </w14:solidFill>
          </w14:textFill>
        </w:rPr>
      </w:pPr>
    </w:p>
    <w:p w14:paraId="598F4B13">
      <w:pPr>
        <w:tabs>
          <w:tab w:val="right" w:pos="8312"/>
        </w:tabs>
        <w:spacing w:line="520" w:lineRule="exact"/>
        <w:ind w:firstLine="1911" w:firstLineChars="595"/>
        <w:rPr>
          <w:rFonts w:ascii="仿宋" w:eastAsia="仿宋"/>
          <w:b/>
          <w:color w:val="000000" w:themeColor="text1"/>
          <w:sz w:val="32"/>
          <w:szCs w:val="32"/>
          <w:highlight w:val="none"/>
          <w14:textFill>
            <w14:solidFill>
              <w14:schemeClr w14:val="tx1"/>
            </w14:solidFill>
          </w14:textFill>
        </w:rPr>
      </w:pPr>
    </w:p>
    <w:p w14:paraId="326A324C">
      <w:pPr>
        <w:spacing w:line="520" w:lineRule="exact"/>
        <w:rPr>
          <w:rFonts w:ascii="仿宋" w:eastAsia="仿宋"/>
          <w:color w:val="000000" w:themeColor="text1"/>
          <w:sz w:val="32"/>
          <w:highlight w:val="none"/>
          <w14:textFill>
            <w14:solidFill>
              <w14:schemeClr w14:val="tx1"/>
            </w14:solidFill>
          </w14:textFill>
        </w:rPr>
      </w:pPr>
      <w:r>
        <w:rPr>
          <w:rFonts w:hint="eastAsia" w:ascii="宋体" w:cs="宋体"/>
          <w:color w:val="000000" w:themeColor="text1"/>
          <w:sz w:val="32"/>
          <w:highlight w:val="none"/>
          <w14:textFill>
            <w14:solidFill>
              <w14:schemeClr w14:val="tx1"/>
            </w14:solidFill>
          </w14:textFill>
        </w:rPr>
        <w:t> </w:t>
      </w:r>
    </w:p>
    <w:p w14:paraId="097B99EC">
      <w:pPr>
        <w:spacing w:line="276" w:lineRule="auto"/>
        <w:ind w:firstLine="1280" w:firstLineChars="400"/>
        <w:rPr>
          <w:rFonts w:hint="eastAsia" w:ascii="仿宋" w:eastAsia="仿宋" w:cs="宋体"/>
          <w:color w:val="000000" w:themeColor="text1"/>
          <w:sz w:val="32"/>
          <w:szCs w:val="32"/>
          <w:highlight w:val="none"/>
          <w:lang w:eastAsia="zh-CN"/>
          <w14:textFill>
            <w14:solidFill>
              <w14:schemeClr w14:val="tx1"/>
            </w14:solidFill>
          </w14:textFill>
        </w:rPr>
      </w:pPr>
      <w:r>
        <w:rPr>
          <w:rFonts w:hint="eastAsia" w:ascii="仿宋" w:eastAsia="仿宋" w:cs="宋体"/>
          <w:color w:val="000000" w:themeColor="text1"/>
          <w:sz w:val="32"/>
          <w:szCs w:val="32"/>
          <w:highlight w:val="none"/>
          <w14:textFill>
            <w14:solidFill>
              <w14:schemeClr w14:val="tx1"/>
            </w14:solidFill>
          </w14:textFill>
        </w:rPr>
        <w:t>采购人：</w:t>
      </w:r>
      <w:r>
        <w:rPr>
          <w:rFonts w:hint="eastAsia" w:ascii="仿宋" w:eastAsia="仿宋" w:cs="宋体"/>
          <w:color w:val="000000" w:themeColor="text1"/>
          <w:sz w:val="32"/>
          <w:szCs w:val="32"/>
          <w:highlight w:val="none"/>
          <w:lang w:eastAsia="zh-CN"/>
          <w14:textFill>
            <w14:solidFill>
              <w14:schemeClr w14:val="tx1"/>
            </w14:solidFill>
          </w14:textFill>
        </w:rPr>
        <w:t>威海海高园港城环卫服务有限公司</w:t>
      </w:r>
    </w:p>
    <w:p w14:paraId="50D36A27">
      <w:pPr>
        <w:spacing w:line="276" w:lineRule="auto"/>
        <w:ind w:firstLine="1280" w:firstLineChars="400"/>
        <w:rPr>
          <w:rFonts w:ascii="仿宋" w:eastAsia="仿宋" w:cs="宋体"/>
          <w:color w:val="000000" w:themeColor="text1"/>
          <w:sz w:val="32"/>
          <w:szCs w:val="32"/>
          <w:highlight w:val="none"/>
          <w14:textFill>
            <w14:solidFill>
              <w14:schemeClr w14:val="tx1"/>
            </w14:solidFill>
          </w14:textFill>
        </w:rPr>
      </w:pPr>
      <w:r>
        <w:rPr>
          <w:rFonts w:hint="eastAsia" w:ascii="仿宋" w:eastAsia="仿宋" w:cs="宋体"/>
          <w:color w:val="000000" w:themeColor="text1"/>
          <w:sz w:val="32"/>
          <w:szCs w:val="32"/>
          <w:highlight w:val="none"/>
          <w14:textFill>
            <w14:solidFill>
              <w14:schemeClr w14:val="tx1"/>
            </w14:solidFill>
          </w14:textFill>
        </w:rPr>
        <w:t>成交单位：中标人</w:t>
      </w:r>
    </w:p>
    <w:p w14:paraId="7CE56D28">
      <w:pPr>
        <w:pStyle w:val="24"/>
        <w:spacing w:line="520" w:lineRule="exact"/>
        <w:ind w:firstLine="1280" w:firstLineChars="400"/>
        <w:rPr>
          <w:rFonts w:hint="eastAsia" w:eastAsia="仿宋"/>
          <w:color w:val="000000" w:themeColor="text1"/>
          <w:sz w:val="32"/>
          <w:szCs w:val="32"/>
          <w:highlight w:val="none"/>
          <w:lang w:eastAsia="zh-CN"/>
          <w14:textFill>
            <w14:solidFill>
              <w14:schemeClr w14:val="tx1"/>
            </w14:solidFill>
          </w14:textFill>
        </w:rPr>
      </w:pPr>
      <w:r>
        <w:rPr>
          <w:rFonts w:hint="eastAsia" w:ascii="仿宋" w:eastAsia="仿宋"/>
          <w:color w:val="000000" w:themeColor="text1"/>
          <w:sz w:val="32"/>
          <w:szCs w:val="32"/>
          <w:highlight w:val="none"/>
          <w14:textFill>
            <w14:solidFill>
              <w14:schemeClr w14:val="tx1"/>
            </w14:solidFill>
          </w14:textFill>
        </w:rPr>
        <w:t>合同编号:</w:t>
      </w:r>
      <w:r>
        <w:rPr>
          <w:rFonts w:hint="eastAsia" w:ascii="仿宋" w:eastAsia="仿宋"/>
          <w:color w:val="000000" w:themeColor="text1"/>
          <w:sz w:val="32"/>
          <w:szCs w:val="32"/>
          <w:highlight w:val="none"/>
          <w:lang w:eastAsia="zh-CN"/>
          <w14:textFill>
            <w14:solidFill>
              <w14:schemeClr w14:val="tx1"/>
            </w14:solidFill>
          </w14:textFill>
        </w:rPr>
        <w:t>WHHGYSDGQ2026-18</w:t>
      </w:r>
    </w:p>
    <w:p w14:paraId="718E697F">
      <w:pPr>
        <w:widowControl/>
        <w:spacing w:line="276" w:lineRule="auto"/>
        <w:jc w:val="left"/>
        <w:rPr>
          <w:rFonts w:ascii="仿宋" w:eastAsia="仿宋"/>
          <w:color w:val="000000" w:themeColor="text1"/>
          <w:sz w:val="32"/>
          <w:szCs w:val="32"/>
          <w:highlight w:val="none"/>
          <w14:textFill>
            <w14:solidFill>
              <w14:schemeClr w14:val="tx1"/>
            </w14:solidFill>
          </w14:textFill>
        </w:rPr>
      </w:pPr>
      <w:r>
        <w:rPr>
          <w:rFonts w:hint="eastAsia" w:ascii="仿宋" w:eastAsia="仿宋"/>
          <w:color w:val="000000" w:themeColor="text1"/>
          <w:sz w:val="32"/>
          <w:szCs w:val="32"/>
          <w:highlight w:val="none"/>
          <w14:textFill>
            <w14:solidFill>
              <w14:schemeClr w14:val="tx1"/>
            </w14:solidFill>
          </w14:textFill>
        </w:rPr>
        <w:t xml:space="preserve">        招标代理机构：山东志诚工程咨询管理有限公司</w:t>
      </w:r>
    </w:p>
    <w:p w14:paraId="2376C9BE">
      <w:pPr>
        <w:spacing w:line="276" w:lineRule="auto"/>
        <w:ind w:firstLine="1280" w:firstLineChars="400"/>
        <w:rPr>
          <w:rFonts w:ascii="仿宋" w:eastAsia="仿宋" w:cs="宋体"/>
          <w:color w:val="000000" w:themeColor="text1"/>
          <w:sz w:val="32"/>
          <w:szCs w:val="32"/>
          <w:highlight w:val="none"/>
          <w14:textFill>
            <w14:solidFill>
              <w14:schemeClr w14:val="tx1"/>
            </w14:solidFill>
          </w14:textFill>
        </w:rPr>
      </w:pPr>
      <w:r>
        <w:rPr>
          <w:rFonts w:hint="eastAsia" w:ascii="仿宋" w:eastAsia="仿宋" w:cs="宋体"/>
          <w:color w:val="000000" w:themeColor="text1"/>
          <w:sz w:val="32"/>
          <w:szCs w:val="32"/>
          <w:highlight w:val="none"/>
          <w14:textFill>
            <w14:solidFill>
              <w14:schemeClr w14:val="tx1"/>
            </w14:solidFill>
          </w14:textFill>
        </w:rPr>
        <w:t>签订日期：2026年   月   日</w:t>
      </w:r>
      <w:r>
        <w:rPr>
          <w:rFonts w:hint="eastAsia" w:ascii="宋体" w:cs="宋体"/>
          <w:color w:val="000000" w:themeColor="text1"/>
          <w:sz w:val="32"/>
          <w:szCs w:val="32"/>
          <w:highlight w:val="none"/>
          <w14:textFill>
            <w14:solidFill>
              <w14:schemeClr w14:val="tx1"/>
            </w14:solidFill>
          </w14:textFill>
        </w:rPr>
        <w:t> </w:t>
      </w:r>
    </w:p>
    <w:p w14:paraId="7F193C59">
      <w:pPr>
        <w:wordWrap w:val="0"/>
        <w:spacing w:line="640" w:lineRule="exact"/>
        <w:ind w:right="560"/>
        <w:jc w:val="right"/>
        <w:rPr>
          <w:rFonts w:ascii="仿宋" w:eastAsia="仿宋"/>
          <w:color w:val="000000" w:themeColor="text1"/>
          <w:sz w:val="28"/>
          <w:szCs w:val="28"/>
          <w:highlight w:val="none"/>
          <w14:textFill>
            <w14:solidFill>
              <w14:schemeClr w14:val="tx1"/>
            </w14:solidFill>
          </w14:textFill>
        </w:rPr>
      </w:pPr>
    </w:p>
    <w:p w14:paraId="304D9A29">
      <w:pPr>
        <w:pStyle w:val="24"/>
        <w:spacing w:line="520" w:lineRule="exact"/>
        <w:jc w:val="center"/>
        <w:rPr>
          <w:rFonts w:ascii="仿宋" w:eastAsia="仿宋"/>
          <w:color w:val="000000" w:themeColor="text1"/>
          <w:sz w:val="28"/>
          <w:szCs w:val="28"/>
          <w:highlight w:val="none"/>
          <w14:textFill>
            <w14:solidFill>
              <w14:schemeClr w14:val="tx1"/>
            </w14:solidFill>
          </w14:textFill>
        </w:rPr>
      </w:pPr>
    </w:p>
    <w:p w14:paraId="3880184F">
      <w:pPr>
        <w:pStyle w:val="106"/>
        <w:rPr>
          <w:rFonts w:cs="Times New Roman"/>
          <w:b/>
          <w:color w:val="000000" w:themeColor="text1"/>
          <w:kern w:val="2"/>
          <w:sz w:val="36"/>
          <w:szCs w:val="36"/>
          <w:highlight w:val="none"/>
          <w14:textFill>
            <w14:solidFill>
              <w14:schemeClr w14:val="tx1"/>
            </w14:solidFill>
          </w14:textFill>
        </w:rPr>
      </w:pPr>
    </w:p>
    <w:p w14:paraId="14950571">
      <w:pPr>
        <w:spacing w:line="600" w:lineRule="exact"/>
        <w:jc w:val="center"/>
        <w:rPr>
          <w:rFonts w:ascii="宋体" w:hAnsi="宋体"/>
          <w:color w:val="000000" w:themeColor="text1"/>
          <w:sz w:val="32"/>
          <w:szCs w:val="32"/>
          <w:highlight w:val="none"/>
          <w14:textFill>
            <w14:solidFill>
              <w14:schemeClr w14:val="tx1"/>
            </w14:solidFill>
          </w14:textFill>
        </w:rPr>
      </w:pPr>
      <w:r>
        <w:rPr>
          <w:rFonts w:ascii="宋体" w:hAnsi="宋体"/>
          <w:b/>
          <w:bCs/>
          <w:color w:val="000000" w:themeColor="text1"/>
          <w:sz w:val="44"/>
          <w:szCs w:val="44"/>
          <w:highlight w:val="none"/>
          <w14:textFill>
            <w14:solidFill>
              <w14:schemeClr w14:val="tx1"/>
            </w14:solidFill>
          </w14:textFill>
        </w:rPr>
        <w:br w:type="page"/>
      </w:r>
      <w:r>
        <w:rPr>
          <w:rFonts w:hint="eastAsia" w:ascii="宋体" w:hAnsi="宋体"/>
          <w:b/>
          <w:bCs/>
          <w:color w:val="000000" w:themeColor="text1"/>
          <w:sz w:val="32"/>
          <w:szCs w:val="32"/>
          <w:highlight w:val="none"/>
          <w14:textFill>
            <w14:solidFill>
              <w14:schemeClr w14:val="tx1"/>
            </w14:solidFill>
          </w14:textFill>
        </w:rPr>
        <w:t>合 同 书</w:t>
      </w:r>
    </w:p>
    <w:p w14:paraId="06DE69A8">
      <w:pPr>
        <w:spacing w:line="600" w:lineRule="exact"/>
        <w:rPr>
          <w:rFonts w:ascii="仿宋_GB2312" w:hAnsi="宋体" w:eastAsia="仿宋_GB2312"/>
          <w:color w:val="000000" w:themeColor="text1"/>
          <w:sz w:val="28"/>
          <w:szCs w:val="28"/>
          <w:highlight w:val="none"/>
          <w14:textFill>
            <w14:solidFill>
              <w14:schemeClr w14:val="tx1"/>
            </w14:solidFill>
          </w14:textFill>
        </w:rPr>
      </w:pPr>
    </w:p>
    <w:p w14:paraId="54ADE660">
      <w:pPr>
        <w:pStyle w:val="405"/>
        <w:spacing w:line="520" w:lineRule="exact"/>
        <w:ind w:left="105" w:hanging="105"/>
        <w:rPr>
          <w:rStyle w:val="338"/>
          <w:rFonts w:hint="eastAsia" w:ascii="仿宋" w:eastAsia="仿宋"/>
          <w:color w:val="000000" w:themeColor="text1"/>
          <w:sz w:val="28"/>
          <w:szCs w:val="28"/>
          <w:highlight w:val="none"/>
          <w:lang w:eastAsia="zh-CN"/>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甲方：</w:t>
      </w:r>
      <w:r>
        <w:rPr>
          <w:rFonts w:hint="eastAsia" w:ascii="仿宋" w:eastAsia="仿宋"/>
          <w:color w:val="000000" w:themeColor="text1"/>
          <w:sz w:val="28"/>
          <w:szCs w:val="28"/>
          <w:highlight w:val="none"/>
          <w:u w:val="single" w:color="000000"/>
          <w:lang w:eastAsia="zh-CN"/>
          <w14:textFill>
            <w14:solidFill>
              <w14:schemeClr w14:val="tx1"/>
            </w14:solidFill>
          </w14:textFill>
        </w:rPr>
        <w:t>威海海高园港城环卫服务有限公司</w:t>
      </w:r>
    </w:p>
    <w:p w14:paraId="65291E3B">
      <w:pPr>
        <w:pStyle w:val="405"/>
        <w:spacing w:line="520" w:lineRule="exact"/>
        <w:ind w:left="105" w:hanging="105"/>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乙方：</w:t>
      </w:r>
      <w:r>
        <w:rPr>
          <w:rStyle w:val="338"/>
          <w:rFonts w:hint="eastAsia" w:ascii="仿宋" w:eastAsia="仿宋"/>
          <w:color w:val="000000" w:themeColor="text1"/>
          <w:sz w:val="28"/>
          <w:szCs w:val="28"/>
          <w:highlight w:val="none"/>
          <w:u w:val="single" w:color="000000"/>
          <w14:textFill>
            <w14:solidFill>
              <w14:schemeClr w14:val="tx1"/>
            </w14:solidFill>
          </w14:textFill>
        </w:rPr>
        <w:t>中标人</w:t>
      </w:r>
      <w:r>
        <w:rPr>
          <w:rStyle w:val="338"/>
          <w:rFonts w:ascii="仿宋" w:eastAsia="仿宋"/>
          <w:color w:val="000000" w:themeColor="text1"/>
          <w:sz w:val="28"/>
          <w:szCs w:val="28"/>
          <w:highlight w:val="none"/>
          <w:u w:val="single" w:color="000000"/>
          <w14:textFill>
            <w14:solidFill>
              <w14:schemeClr w14:val="tx1"/>
            </w14:solidFill>
          </w14:textFill>
        </w:rPr>
        <w:t xml:space="preserve">                </w:t>
      </w:r>
    </w:p>
    <w:p w14:paraId="4A748C71">
      <w:pPr>
        <w:pStyle w:val="405"/>
        <w:spacing w:line="520" w:lineRule="exact"/>
        <w:ind w:firstLine="567"/>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本合同于202</w:t>
      </w:r>
      <w:r>
        <w:rPr>
          <w:rStyle w:val="338"/>
          <w:rFonts w:hint="eastAsia" w:ascii="仿宋" w:eastAsia="仿宋"/>
          <w:color w:val="000000" w:themeColor="text1"/>
          <w:sz w:val="28"/>
          <w:szCs w:val="28"/>
          <w:highlight w:val="none"/>
          <w14:textFill>
            <w14:solidFill>
              <w14:schemeClr w14:val="tx1"/>
            </w14:solidFill>
          </w14:textFill>
        </w:rPr>
        <w:t>6</w:t>
      </w:r>
      <w:r>
        <w:rPr>
          <w:rStyle w:val="338"/>
          <w:rFonts w:ascii="仿宋" w:eastAsia="仿宋"/>
          <w:color w:val="000000" w:themeColor="text1"/>
          <w:sz w:val="28"/>
          <w:szCs w:val="28"/>
          <w:highlight w:val="none"/>
          <w14:textFill>
            <w14:solidFill>
              <w14:schemeClr w14:val="tx1"/>
            </w14:solidFill>
          </w14:textFill>
        </w:rPr>
        <w:t>年  月  日，由甲、乙双方共同签订。甲方为</w:t>
      </w:r>
      <w:r>
        <w:rPr>
          <w:rStyle w:val="338"/>
          <w:rFonts w:hint="eastAsia" w:ascii="仿宋" w:eastAsia="仿宋"/>
          <w:color w:val="000000" w:themeColor="text1"/>
          <w:sz w:val="28"/>
          <w:szCs w:val="28"/>
          <w:highlight w:val="none"/>
          <w:lang w:eastAsia="zh-CN"/>
          <w14:textFill>
            <w14:solidFill>
              <w14:schemeClr w14:val="tx1"/>
            </w14:solidFill>
          </w14:textFill>
        </w:rPr>
        <w:t>威海海高园港城环卫服务有限公司</w:t>
      </w:r>
      <w:r>
        <w:rPr>
          <w:rStyle w:val="338"/>
          <w:rFonts w:ascii="仿宋" w:eastAsia="仿宋"/>
          <w:color w:val="000000" w:themeColor="text1"/>
          <w:sz w:val="28"/>
          <w:szCs w:val="28"/>
          <w:highlight w:val="none"/>
          <w14:textFill>
            <w14:solidFill>
              <w14:schemeClr w14:val="tx1"/>
            </w14:solidFill>
          </w14:textFill>
        </w:rPr>
        <w:t>、乙方为成交供应商。合同双方依据《中华人民共和国民法典》及相关法律法规的规定，就采购项目的相关事宜，协商一致，达成以下条款：</w:t>
      </w:r>
    </w:p>
    <w:p w14:paraId="608E17A5">
      <w:pPr>
        <w:pStyle w:val="405"/>
        <w:spacing w:line="520" w:lineRule="exact"/>
        <w:ind w:firstLine="551" w:firstLineChars="196"/>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一、合同的组成部分：</w:t>
      </w:r>
    </w:p>
    <w:p w14:paraId="5CB9385D">
      <w:pPr>
        <w:spacing w:line="480" w:lineRule="exact"/>
        <w:ind w:firstLine="557" w:firstLineChars="19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1.本合同书</w:t>
      </w:r>
    </w:p>
    <w:p w14:paraId="2EF6BEF3">
      <w:pPr>
        <w:spacing w:line="480" w:lineRule="exact"/>
        <w:ind w:firstLine="557" w:firstLineChars="19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w:t>
      </w:r>
      <w:r>
        <w:rPr>
          <w:rStyle w:val="338"/>
          <w:rFonts w:hint="eastAsia" w:ascii="仿宋" w:eastAsia="仿宋"/>
          <w:color w:val="000000" w:themeColor="text1"/>
          <w:sz w:val="28"/>
          <w:szCs w:val="28"/>
          <w:highlight w:val="none"/>
          <w14:textFill>
            <w14:solidFill>
              <w14:schemeClr w14:val="tx1"/>
            </w14:solidFill>
          </w14:textFill>
        </w:rPr>
        <w:t>中标</w:t>
      </w:r>
      <w:r>
        <w:rPr>
          <w:rStyle w:val="338"/>
          <w:rFonts w:ascii="仿宋" w:eastAsia="仿宋"/>
          <w:color w:val="000000" w:themeColor="text1"/>
          <w:sz w:val="28"/>
          <w:szCs w:val="28"/>
          <w:highlight w:val="none"/>
          <w14:textFill>
            <w14:solidFill>
              <w14:schemeClr w14:val="tx1"/>
            </w14:solidFill>
          </w14:textFill>
        </w:rPr>
        <w:t>通知书</w:t>
      </w:r>
    </w:p>
    <w:p w14:paraId="7F4E697B">
      <w:pPr>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3.</w:t>
      </w:r>
      <w:r>
        <w:rPr>
          <w:rFonts w:hint="eastAsia" w:ascii="仿宋" w:eastAsia="仿宋"/>
          <w:color w:val="000000" w:themeColor="text1"/>
          <w:sz w:val="32"/>
          <w:szCs w:val="32"/>
          <w:highlight w:val="none"/>
          <w14:textFill>
            <w14:solidFill>
              <w14:schemeClr w14:val="tx1"/>
            </w14:solidFill>
          </w14:textFill>
        </w:rPr>
        <w:t xml:space="preserve"> </w:t>
      </w:r>
      <w:r>
        <w:rPr>
          <w:rFonts w:hint="eastAsia" w:ascii="仿宋" w:eastAsia="仿宋"/>
          <w:color w:val="000000" w:themeColor="text1"/>
          <w:sz w:val="28"/>
          <w:szCs w:val="28"/>
          <w:highlight w:val="none"/>
          <w:lang w:eastAsia="zh-CN"/>
          <w14:textFill>
            <w14:solidFill>
              <w14:schemeClr w14:val="tx1"/>
            </w14:solidFill>
          </w14:textFill>
        </w:rPr>
        <w:t>WHHGYSDGQ2026-18</w:t>
      </w:r>
      <w:r>
        <w:rPr>
          <w:rStyle w:val="338"/>
          <w:rFonts w:ascii="仿宋" w:eastAsia="仿宋"/>
          <w:color w:val="000000" w:themeColor="text1"/>
          <w:sz w:val="28"/>
          <w:szCs w:val="28"/>
          <w:highlight w:val="none"/>
          <w14:textFill>
            <w14:solidFill>
              <w14:schemeClr w14:val="tx1"/>
            </w14:solidFill>
          </w14:textFill>
        </w:rPr>
        <w:t>招标文件</w:t>
      </w:r>
    </w:p>
    <w:p w14:paraId="6ACFAA51">
      <w:pPr>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4.乙方的投标文件</w:t>
      </w:r>
    </w:p>
    <w:p w14:paraId="43FAADF9">
      <w:pPr>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5.乙方在评审过程中澄清的文件</w:t>
      </w:r>
    </w:p>
    <w:p w14:paraId="255E8E33">
      <w:pPr>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上述文件相互补充，合同双方必须予以遵守执行。若有不明确或不一致之处，以上列次序在先者为准。</w:t>
      </w:r>
    </w:p>
    <w:p w14:paraId="3CF81932">
      <w:pPr>
        <w:pStyle w:val="405"/>
        <w:tabs>
          <w:tab w:val="left" w:pos="900"/>
        </w:tabs>
        <w:spacing w:line="520" w:lineRule="exact"/>
        <w:ind w:firstLine="551" w:firstLineChars="196"/>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二、标的物及数量</w:t>
      </w:r>
    </w:p>
    <w:p w14:paraId="6043F835">
      <w:pPr>
        <w:pStyle w:val="405"/>
        <w:tabs>
          <w:tab w:val="left" w:pos="900"/>
        </w:tabs>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本合同标的物为</w:t>
      </w:r>
      <w:r>
        <w:rPr>
          <w:rStyle w:val="338"/>
          <w:rFonts w:ascii="仿宋" w:eastAsia="仿宋"/>
          <w:color w:val="000000" w:themeColor="text1"/>
          <w:sz w:val="28"/>
          <w:szCs w:val="28"/>
          <w:highlight w:val="none"/>
          <w:u w:val="single" w:color="000000"/>
          <w14:textFill>
            <w14:solidFill>
              <w14:schemeClr w14:val="tx1"/>
            </w14:solidFill>
          </w14:textFill>
        </w:rPr>
        <w:t xml:space="preserve">         采购项目</w:t>
      </w:r>
      <w:r>
        <w:rPr>
          <w:rStyle w:val="338"/>
          <w:rFonts w:ascii="仿宋" w:eastAsia="仿宋"/>
          <w:color w:val="000000" w:themeColor="text1"/>
          <w:sz w:val="28"/>
          <w:szCs w:val="28"/>
          <w:highlight w:val="none"/>
          <w14:textFill>
            <w14:solidFill>
              <w14:schemeClr w14:val="tx1"/>
            </w14:solidFill>
          </w14:textFill>
        </w:rPr>
        <w:t>。型号、规格、数量、技术参数等详见《》。</w:t>
      </w:r>
    </w:p>
    <w:p w14:paraId="3B370DB1">
      <w:pPr>
        <w:pStyle w:val="405"/>
        <w:tabs>
          <w:tab w:val="left" w:pos="60"/>
        </w:tabs>
        <w:spacing w:line="520" w:lineRule="exact"/>
        <w:ind w:firstLine="565" w:firstLineChars="201"/>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三、价款</w:t>
      </w:r>
    </w:p>
    <w:p w14:paraId="1BD7AD81">
      <w:pPr>
        <w:pStyle w:val="405"/>
        <w:tabs>
          <w:tab w:val="left" w:pos="900"/>
        </w:tabs>
        <w:spacing w:line="48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本合同总价款为人民币</w:t>
      </w:r>
      <w:r>
        <w:rPr>
          <w:rStyle w:val="338"/>
          <w:rFonts w:ascii="仿宋" w:eastAsia="仿宋"/>
          <w:color w:val="000000" w:themeColor="text1"/>
          <w:sz w:val="28"/>
          <w:szCs w:val="28"/>
          <w:highlight w:val="none"/>
          <w:u w:val="single" w:color="000000"/>
          <w14:textFill>
            <w14:solidFill>
              <w14:schemeClr w14:val="tx1"/>
            </w14:solidFill>
          </w14:textFill>
        </w:rPr>
        <w:t xml:space="preserve">   拾  万   仟佰  元  角  分</w:t>
      </w:r>
      <w:r>
        <w:rPr>
          <w:rStyle w:val="338"/>
          <w:rFonts w:ascii="仿宋" w:eastAsia="仿宋"/>
          <w:color w:val="000000" w:themeColor="text1"/>
          <w:sz w:val="28"/>
          <w:szCs w:val="28"/>
          <w:highlight w:val="none"/>
          <w14:textFill>
            <w14:solidFill>
              <w14:schemeClr w14:val="tx1"/>
            </w14:solidFill>
          </w14:textFill>
        </w:rPr>
        <w:t>（￥元）。单价或价格构成情况详见《》。</w:t>
      </w:r>
    </w:p>
    <w:p w14:paraId="0C1244AE">
      <w:pPr>
        <w:pStyle w:val="405"/>
        <w:tabs>
          <w:tab w:val="left" w:pos="900"/>
        </w:tabs>
        <w:spacing w:line="520" w:lineRule="exact"/>
        <w:ind w:firstLine="567"/>
        <w:rPr>
          <w:rStyle w:val="338"/>
          <w:rFonts w:ascii="仿宋" w:eastAsia="仿宋"/>
          <w:b/>
          <w:bCs/>
          <w:color w:val="000000" w:themeColor="text1"/>
          <w:sz w:val="28"/>
          <w:szCs w:val="28"/>
          <w:highlight w:val="none"/>
          <w14:textFill>
            <w14:solidFill>
              <w14:schemeClr w14:val="tx1"/>
            </w14:solidFill>
          </w14:textFill>
        </w:rPr>
      </w:pPr>
      <w:r>
        <w:rPr>
          <w:rStyle w:val="338"/>
          <w:rFonts w:ascii="仿宋" w:eastAsia="仿宋"/>
          <w:b/>
          <w:bCs/>
          <w:color w:val="000000" w:themeColor="text1"/>
          <w:sz w:val="28"/>
          <w:szCs w:val="28"/>
          <w:highlight w:val="none"/>
          <w14:textFill>
            <w14:solidFill>
              <w14:schemeClr w14:val="tx1"/>
            </w14:solidFill>
          </w14:textFill>
        </w:rPr>
        <w:t>四、质量及专利权：</w:t>
      </w:r>
    </w:p>
    <w:p w14:paraId="728B01E1">
      <w:pPr>
        <w:pStyle w:val="405"/>
        <w:spacing w:line="50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1.乙方所报产品技术参数或质量指标必须符合</w:t>
      </w:r>
      <w:r>
        <w:rPr>
          <w:rFonts w:hint="eastAsia" w:ascii="仿宋" w:eastAsia="仿宋"/>
          <w:color w:val="000000" w:themeColor="text1"/>
          <w:sz w:val="28"/>
          <w:szCs w:val="28"/>
          <w:highlight w:val="none"/>
          <w:lang w:eastAsia="zh-CN"/>
          <w14:textFill>
            <w14:solidFill>
              <w14:schemeClr w14:val="tx1"/>
            </w14:solidFill>
          </w14:textFill>
        </w:rPr>
        <w:t>WHHGYSDGQ2026-18</w:t>
      </w:r>
      <w:r>
        <w:rPr>
          <w:rStyle w:val="338"/>
          <w:rFonts w:ascii="仿宋" w:eastAsia="仿宋"/>
          <w:color w:val="000000" w:themeColor="text1"/>
          <w:sz w:val="28"/>
          <w:szCs w:val="28"/>
          <w:highlight w:val="none"/>
          <w14:textFill>
            <w14:solidFill>
              <w14:schemeClr w14:val="tx1"/>
            </w14:solidFill>
          </w14:textFill>
        </w:rPr>
        <w:t>招标文件的要求及乙方投标文件的承诺。</w:t>
      </w:r>
    </w:p>
    <w:p w14:paraId="1E1F2C4B">
      <w:pPr>
        <w:pStyle w:val="405"/>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56F4D2A1">
      <w:pPr>
        <w:spacing w:line="520" w:lineRule="exact"/>
        <w:ind w:firstLine="567"/>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五、</w:t>
      </w:r>
      <w:r>
        <w:rPr>
          <w:rStyle w:val="338"/>
          <w:rFonts w:hint="eastAsia" w:ascii="仿宋" w:eastAsia="仿宋"/>
          <w:b/>
          <w:bCs/>
          <w:color w:val="000000" w:themeColor="text1"/>
          <w:sz w:val="28"/>
          <w:szCs w:val="28"/>
          <w:highlight w:val="none"/>
          <w14:textFill>
            <w14:solidFill>
              <w14:schemeClr w14:val="tx1"/>
            </w14:solidFill>
          </w14:textFill>
        </w:rPr>
        <w:t>交付</w:t>
      </w:r>
      <w:r>
        <w:rPr>
          <w:rStyle w:val="338"/>
          <w:rFonts w:ascii="仿宋" w:eastAsia="仿宋"/>
          <w:b/>
          <w:bCs/>
          <w:color w:val="000000" w:themeColor="text1"/>
          <w:sz w:val="28"/>
          <w:szCs w:val="28"/>
          <w:highlight w:val="none"/>
          <w14:textFill>
            <w14:solidFill>
              <w14:schemeClr w14:val="tx1"/>
            </w14:solidFill>
          </w14:textFill>
        </w:rPr>
        <w:t>地点及联系方式</w:t>
      </w:r>
      <w:r>
        <w:rPr>
          <w:rStyle w:val="338"/>
          <w:rFonts w:ascii="仿宋" w:eastAsia="仿宋"/>
          <w:b/>
          <w:color w:val="000000" w:themeColor="text1"/>
          <w:sz w:val="28"/>
          <w:szCs w:val="28"/>
          <w:highlight w:val="none"/>
          <w14:textFill>
            <w14:solidFill>
              <w14:schemeClr w14:val="tx1"/>
            </w14:solidFill>
          </w14:textFill>
        </w:rPr>
        <w:t>：</w:t>
      </w:r>
    </w:p>
    <w:p w14:paraId="23C3C29F">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hint="eastAsia" w:ascii="仿宋" w:eastAsia="仿宋"/>
          <w:color w:val="000000" w:themeColor="text1"/>
          <w:sz w:val="28"/>
          <w:szCs w:val="28"/>
          <w:highlight w:val="none"/>
          <w14:textFill>
            <w14:solidFill>
              <w14:schemeClr w14:val="tx1"/>
            </w14:solidFill>
          </w14:textFill>
        </w:rPr>
        <w:t>甲方</w:t>
      </w:r>
      <w:r>
        <w:rPr>
          <w:rStyle w:val="338"/>
          <w:rFonts w:ascii="仿宋" w:eastAsia="仿宋"/>
          <w:color w:val="000000" w:themeColor="text1"/>
          <w:sz w:val="28"/>
          <w:szCs w:val="28"/>
          <w:highlight w:val="none"/>
          <w14:textFill>
            <w14:solidFill>
              <w14:schemeClr w14:val="tx1"/>
            </w14:solidFill>
          </w14:textFill>
        </w:rPr>
        <w:t>地点（根据实际情况列明）：</w:t>
      </w:r>
      <w:r>
        <w:rPr>
          <w:rStyle w:val="338"/>
          <w:rFonts w:ascii="仿宋" w:eastAsia="仿宋"/>
          <w:color w:val="000000" w:themeColor="text1"/>
          <w:kern w:val="0"/>
          <w:sz w:val="28"/>
          <w:szCs w:val="28"/>
          <w:highlight w:val="none"/>
          <w14:textFill>
            <w14:solidFill>
              <w14:schemeClr w14:val="tx1"/>
            </w14:solidFill>
          </w14:textFill>
        </w:rPr>
        <w:t>或甲方指定地点</w:t>
      </w:r>
      <w:r>
        <w:rPr>
          <w:rStyle w:val="338"/>
          <w:rFonts w:ascii="仿宋" w:eastAsia="仿宋"/>
          <w:color w:val="000000" w:themeColor="text1"/>
          <w:sz w:val="28"/>
          <w:szCs w:val="28"/>
          <w:highlight w:val="none"/>
          <w14:textFill>
            <w14:solidFill>
              <w14:schemeClr w14:val="tx1"/>
            </w14:solidFill>
          </w14:textFill>
        </w:rPr>
        <w:t>。</w:t>
      </w:r>
    </w:p>
    <w:p w14:paraId="612E5EC2">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甲方指定联系人：</w:t>
      </w:r>
      <w:r>
        <w:rPr>
          <w:rStyle w:val="338"/>
          <w:rFonts w:ascii="仿宋" w:eastAsia="仿宋"/>
          <w:color w:val="000000" w:themeColor="text1"/>
          <w:sz w:val="28"/>
          <w:szCs w:val="28"/>
          <w:highlight w:val="none"/>
          <w:u w:val="single" w:color="000000"/>
          <w14:textFill>
            <w14:solidFill>
              <w14:schemeClr w14:val="tx1"/>
            </w14:solidFill>
          </w14:textFill>
        </w:rPr>
        <w:t>　　　　</w:t>
      </w:r>
      <w:r>
        <w:rPr>
          <w:rStyle w:val="338"/>
          <w:rFonts w:ascii="仿宋" w:eastAsia="仿宋"/>
          <w:color w:val="000000" w:themeColor="text1"/>
          <w:sz w:val="28"/>
          <w:szCs w:val="28"/>
          <w:highlight w:val="none"/>
          <w14:textFill>
            <w14:solidFill>
              <w14:schemeClr w14:val="tx1"/>
            </w14:solidFill>
          </w14:textFill>
        </w:rPr>
        <w:t>；联系电话：</w:t>
      </w:r>
      <w:r>
        <w:rPr>
          <w:rStyle w:val="338"/>
          <w:rFonts w:ascii="仿宋" w:eastAsia="仿宋"/>
          <w:color w:val="000000" w:themeColor="text1"/>
          <w:sz w:val="28"/>
          <w:szCs w:val="28"/>
          <w:highlight w:val="none"/>
          <w:u w:val="single" w:color="000000"/>
          <w14:textFill>
            <w14:solidFill>
              <w14:schemeClr w14:val="tx1"/>
            </w14:solidFill>
          </w14:textFill>
        </w:rPr>
        <w:t>　　　　　</w:t>
      </w:r>
      <w:r>
        <w:rPr>
          <w:rStyle w:val="338"/>
          <w:rFonts w:ascii="仿宋" w:eastAsia="仿宋"/>
          <w:color w:val="000000" w:themeColor="text1"/>
          <w:sz w:val="28"/>
          <w:szCs w:val="28"/>
          <w:highlight w:val="none"/>
          <w14:textFill>
            <w14:solidFill>
              <w14:schemeClr w14:val="tx1"/>
            </w14:solidFill>
          </w14:textFill>
        </w:rPr>
        <w:t>。</w:t>
      </w:r>
    </w:p>
    <w:p w14:paraId="75470596">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乙方指定联系人：</w:t>
      </w:r>
      <w:r>
        <w:rPr>
          <w:rStyle w:val="338"/>
          <w:rFonts w:ascii="仿宋" w:eastAsia="仿宋"/>
          <w:color w:val="000000" w:themeColor="text1"/>
          <w:sz w:val="28"/>
          <w:szCs w:val="28"/>
          <w:highlight w:val="none"/>
          <w:u w:val="single" w:color="000000"/>
          <w14:textFill>
            <w14:solidFill>
              <w14:schemeClr w14:val="tx1"/>
            </w14:solidFill>
          </w14:textFill>
        </w:rPr>
        <w:t>　　　　</w:t>
      </w:r>
      <w:r>
        <w:rPr>
          <w:rStyle w:val="338"/>
          <w:rFonts w:ascii="仿宋" w:eastAsia="仿宋"/>
          <w:color w:val="000000" w:themeColor="text1"/>
          <w:sz w:val="28"/>
          <w:szCs w:val="28"/>
          <w:highlight w:val="none"/>
          <w14:textFill>
            <w14:solidFill>
              <w14:schemeClr w14:val="tx1"/>
            </w14:solidFill>
          </w14:textFill>
        </w:rPr>
        <w:t>；联系电话：</w:t>
      </w:r>
      <w:r>
        <w:rPr>
          <w:rStyle w:val="338"/>
          <w:rFonts w:ascii="仿宋" w:eastAsia="仿宋"/>
          <w:color w:val="000000" w:themeColor="text1"/>
          <w:sz w:val="28"/>
          <w:szCs w:val="28"/>
          <w:highlight w:val="none"/>
          <w:u w:val="single" w:color="000000"/>
          <w14:textFill>
            <w14:solidFill>
              <w14:schemeClr w14:val="tx1"/>
            </w14:solidFill>
          </w14:textFill>
        </w:rPr>
        <w:t>　　　　　</w:t>
      </w:r>
      <w:r>
        <w:rPr>
          <w:rStyle w:val="338"/>
          <w:rFonts w:ascii="仿宋" w:eastAsia="仿宋"/>
          <w:color w:val="000000" w:themeColor="text1"/>
          <w:sz w:val="28"/>
          <w:szCs w:val="28"/>
          <w:highlight w:val="none"/>
          <w14:textFill>
            <w14:solidFill>
              <w14:schemeClr w14:val="tx1"/>
            </w14:solidFill>
          </w14:textFill>
        </w:rPr>
        <w:t>。</w:t>
      </w:r>
    </w:p>
    <w:p w14:paraId="185AA9C0">
      <w:pPr>
        <w:spacing w:line="520" w:lineRule="exact"/>
        <w:ind w:firstLine="567"/>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六、</w:t>
      </w:r>
      <w:r>
        <w:rPr>
          <w:rStyle w:val="338"/>
          <w:rFonts w:hint="eastAsia" w:ascii="仿宋" w:eastAsia="仿宋"/>
          <w:b/>
          <w:color w:val="000000" w:themeColor="text1"/>
          <w:sz w:val="28"/>
          <w:szCs w:val="28"/>
          <w:highlight w:val="none"/>
          <w14:textFill>
            <w14:solidFill>
              <w14:schemeClr w14:val="tx1"/>
            </w14:solidFill>
          </w14:textFill>
        </w:rPr>
        <w:t>交付期及质保期</w:t>
      </w:r>
      <w:r>
        <w:rPr>
          <w:rStyle w:val="338"/>
          <w:rFonts w:ascii="仿宋" w:eastAsia="仿宋"/>
          <w:b/>
          <w:color w:val="000000" w:themeColor="text1"/>
          <w:sz w:val="28"/>
          <w:szCs w:val="28"/>
          <w:highlight w:val="none"/>
          <w14:textFill>
            <w14:solidFill>
              <w14:schemeClr w14:val="tx1"/>
            </w14:solidFill>
          </w14:textFill>
        </w:rPr>
        <w:t>：</w:t>
      </w:r>
    </w:p>
    <w:p w14:paraId="2EF5DAFA">
      <w:pPr>
        <w:spacing w:line="520" w:lineRule="exact"/>
        <w:ind w:firstLine="980" w:firstLineChars="35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w:t>
      </w:r>
    </w:p>
    <w:p w14:paraId="3796E41C">
      <w:pPr>
        <w:pStyle w:val="405"/>
        <w:tabs>
          <w:tab w:val="left" w:pos="720"/>
          <w:tab w:val="left" w:pos="1080"/>
        </w:tabs>
        <w:spacing w:line="520" w:lineRule="exact"/>
        <w:ind w:firstLine="567"/>
        <w:rPr>
          <w:rStyle w:val="338"/>
          <w:rFonts w:ascii="仿宋" w:eastAsia="仿宋"/>
          <w:b/>
          <w:color w:val="000000" w:themeColor="text1"/>
          <w:sz w:val="28"/>
          <w:szCs w:val="28"/>
          <w:highlight w:val="none"/>
          <w14:textFill>
            <w14:solidFill>
              <w14:schemeClr w14:val="tx1"/>
            </w14:solidFill>
          </w14:textFill>
        </w:rPr>
      </w:pPr>
      <w:r>
        <w:rPr>
          <w:rStyle w:val="338"/>
          <w:rFonts w:hint="eastAsia" w:ascii="仿宋" w:eastAsia="仿宋"/>
          <w:b/>
          <w:color w:val="000000" w:themeColor="text1"/>
          <w:sz w:val="28"/>
          <w:szCs w:val="28"/>
          <w:highlight w:val="none"/>
          <w14:textFill>
            <w14:solidFill>
              <w14:schemeClr w14:val="tx1"/>
            </w14:solidFill>
          </w14:textFill>
        </w:rPr>
        <w:t>七</w:t>
      </w:r>
      <w:r>
        <w:rPr>
          <w:rStyle w:val="338"/>
          <w:rFonts w:ascii="仿宋" w:eastAsia="仿宋"/>
          <w:b/>
          <w:color w:val="000000" w:themeColor="text1"/>
          <w:sz w:val="28"/>
          <w:szCs w:val="28"/>
          <w:highlight w:val="none"/>
          <w14:textFill>
            <w14:solidFill>
              <w14:schemeClr w14:val="tx1"/>
            </w14:solidFill>
          </w14:textFill>
        </w:rPr>
        <w:t>、《验收报告》的签署及送达：</w:t>
      </w:r>
    </w:p>
    <w:p w14:paraId="6B6E84E9">
      <w:pPr>
        <w:spacing w:line="46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1.项目验收合格，甲方应及时、完整、真实地签署《荣成市国有企业货物服务采购验收报告》（以下简称《验收报告》）。</w:t>
      </w:r>
    </w:p>
    <w:p w14:paraId="293FA8CF">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w:t>
      </w:r>
      <w:r>
        <w:rPr>
          <w:rStyle w:val="338"/>
          <w:rFonts w:ascii="仿宋" w:eastAsia="仿宋"/>
          <w:bCs/>
          <w:color w:val="000000" w:themeColor="text1"/>
          <w:sz w:val="28"/>
          <w:szCs w:val="28"/>
          <w:highlight w:val="none"/>
          <w14:textFill>
            <w14:solidFill>
              <w14:schemeClr w14:val="tx1"/>
            </w14:solidFill>
          </w14:textFill>
        </w:rPr>
        <w:t>合同履行达到验收条件时，</w:t>
      </w:r>
      <w:r>
        <w:rPr>
          <w:rStyle w:val="338"/>
          <w:rFonts w:ascii="仿宋" w:eastAsia="仿宋"/>
          <w:color w:val="000000" w:themeColor="text1"/>
          <w:sz w:val="28"/>
          <w:szCs w:val="28"/>
          <w:highlight w:val="none"/>
          <w14:textFill>
            <w14:solidFill>
              <w14:schemeClr w14:val="tx1"/>
            </w14:solidFill>
          </w14:textFill>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6AE47800">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3.项目验收不合格，乙方应当立即进行整改或采取修理、更换、重作、退货、减少价款等补救措施。在甲方规定的时间内整改或采取补救措施后仍不合格的，甲方有权解除合同。解除合同的相关事项按《中华人民共和国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63000994">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4.对项目验收发生的检测（检验）费、劳务报酬等费用支出，采购合同有约定的按照约定执行；无约定的，由采购人承担。因供应商问题导致重新组织项目验收的，由供应商负担验收费用。</w:t>
      </w:r>
    </w:p>
    <w:p w14:paraId="2E403FFC">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5.即使甲方未及时进行验收或者虽经验收但未发现问题的，并不免除乙方的任何质量义务。</w:t>
      </w:r>
    </w:p>
    <w:p w14:paraId="2AAFB4E1">
      <w:pPr>
        <w:pStyle w:val="405"/>
        <w:tabs>
          <w:tab w:val="left" w:pos="720"/>
          <w:tab w:val="left" w:pos="900"/>
        </w:tabs>
        <w:spacing w:line="520" w:lineRule="exact"/>
        <w:ind w:left="50" w:leftChars="24" w:firstLine="551" w:firstLineChars="196"/>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八、付款</w:t>
      </w:r>
    </w:p>
    <w:p w14:paraId="0358F877">
      <w:pPr>
        <w:spacing w:line="520" w:lineRule="exact"/>
        <w:ind w:firstLine="560" w:firstLineChars="200"/>
        <w:rPr>
          <w:rStyle w:val="338"/>
          <w:rFonts w:ascii="仿宋" w:eastAsia="仿宋"/>
          <w:bCs/>
          <w:color w:val="000000" w:themeColor="text1"/>
          <w:sz w:val="28"/>
          <w:szCs w:val="28"/>
          <w:highlight w:val="none"/>
          <w14:textFill>
            <w14:solidFill>
              <w14:schemeClr w14:val="tx1"/>
            </w14:solidFill>
          </w14:textFill>
        </w:rPr>
      </w:pPr>
      <w:r>
        <w:rPr>
          <w:rStyle w:val="338"/>
          <w:rFonts w:ascii="仿宋" w:eastAsia="仿宋"/>
          <w:bCs/>
          <w:color w:val="000000" w:themeColor="text1"/>
          <w:sz w:val="28"/>
          <w:szCs w:val="28"/>
          <w:highlight w:val="none"/>
          <w14:textFill>
            <w14:solidFill>
              <w14:schemeClr w14:val="tx1"/>
            </w14:solidFill>
          </w14:textFill>
        </w:rPr>
        <w:t>1.项目验收合格为本合同价款支付的必备条件。验收不合格的，不予支付价款。涉及分段验收付款的项目，应具备符合合同约定内容的阶段性验收报告。</w:t>
      </w:r>
    </w:p>
    <w:p w14:paraId="074815E2">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2.本合同以人民币付款。</w:t>
      </w:r>
    </w:p>
    <w:p w14:paraId="6A49772A">
      <w:pPr>
        <w:pStyle w:val="405"/>
        <w:tabs>
          <w:tab w:val="left" w:pos="1040"/>
        </w:tabs>
        <w:spacing w:line="520" w:lineRule="exact"/>
        <w:ind w:firstLine="560" w:firstLineChars="200"/>
        <w:jc w:val="left"/>
        <w:rPr>
          <w:rFonts w:ascii="仿宋_GB2312" w:hAnsi="宋体" w:eastAsia="仿宋_GB2312"/>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3.付款方式：</w:t>
      </w:r>
      <w:r>
        <w:rPr>
          <w:rFonts w:hint="eastAsia" w:ascii="仿宋_GB2312" w:hAnsi="宋体" w:eastAsia="仿宋_GB2312"/>
          <w:color w:val="000000" w:themeColor="text1"/>
          <w:sz w:val="28"/>
          <w:szCs w:val="28"/>
          <w:highlight w:val="none"/>
          <w14:textFill>
            <w14:solidFill>
              <w14:schemeClr w14:val="tx1"/>
            </w14:solidFill>
          </w14:textFill>
        </w:rPr>
        <w:t>。</w:t>
      </w:r>
    </w:p>
    <w:p w14:paraId="2F8D6FA4">
      <w:pPr>
        <w:pStyle w:val="405"/>
        <w:tabs>
          <w:tab w:val="left" w:pos="1040"/>
        </w:tabs>
        <w:spacing w:line="520" w:lineRule="exact"/>
        <w:ind w:firstLine="560" w:firstLineChars="20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4.付款信息</w:t>
      </w:r>
      <w:r>
        <w:rPr>
          <w:rStyle w:val="338"/>
          <w:rFonts w:hint="eastAsia" w:ascii="仿宋" w:eastAsia="仿宋"/>
          <w:color w:val="000000" w:themeColor="text1"/>
          <w:sz w:val="28"/>
          <w:szCs w:val="28"/>
          <w:highlight w:val="none"/>
          <w14:textFill>
            <w14:solidFill>
              <w14:schemeClr w14:val="tx1"/>
            </w14:solidFill>
          </w14:textFill>
        </w:rPr>
        <w:t>如下：</w:t>
      </w:r>
    </w:p>
    <w:p w14:paraId="60085232">
      <w:pPr>
        <w:pStyle w:val="405"/>
        <w:tabs>
          <w:tab w:val="left" w:pos="1040"/>
        </w:tabs>
        <w:spacing w:line="520" w:lineRule="exact"/>
        <w:ind w:firstLine="980" w:firstLineChars="35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 xml:space="preserve">收 款 人：           </w:t>
      </w:r>
    </w:p>
    <w:p w14:paraId="1604ED8F">
      <w:pPr>
        <w:pStyle w:val="405"/>
        <w:tabs>
          <w:tab w:val="left" w:pos="1040"/>
        </w:tabs>
        <w:spacing w:line="520" w:lineRule="exact"/>
        <w:ind w:firstLine="980" w:firstLineChars="35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 xml:space="preserve">开户银行：        </w:t>
      </w:r>
    </w:p>
    <w:p w14:paraId="198CF6A5">
      <w:pPr>
        <w:pStyle w:val="405"/>
        <w:tabs>
          <w:tab w:val="left" w:pos="1040"/>
        </w:tabs>
        <w:spacing w:line="520" w:lineRule="exact"/>
        <w:ind w:firstLine="980" w:firstLineChars="35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银行账号：</w:t>
      </w:r>
    </w:p>
    <w:p w14:paraId="62126D49">
      <w:pPr>
        <w:pStyle w:val="405"/>
        <w:tabs>
          <w:tab w:val="left" w:pos="1040"/>
        </w:tabs>
        <w:spacing w:line="520" w:lineRule="exact"/>
        <w:ind w:firstLine="980" w:firstLineChars="35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 xml:space="preserve">联 系 人：           </w:t>
      </w:r>
    </w:p>
    <w:p w14:paraId="1D331765">
      <w:pPr>
        <w:pStyle w:val="405"/>
        <w:tabs>
          <w:tab w:val="left" w:pos="1040"/>
        </w:tabs>
        <w:spacing w:line="520" w:lineRule="exact"/>
        <w:ind w:firstLine="980" w:firstLineChars="350"/>
        <w:jc w:val="lef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联系电话：</w:t>
      </w:r>
    </w:p>
    <w:p w14:paraId="709A8C6D">
      <w:pPr>
        <w:pStyle w:val="405"/>
        <w:tabs>
          <w:tab w:val="left" w:pos="1040"/>
        </w:tabs>
        <w:spacing w:line="520" w:lineRule="exact"/>
        <w:ind w:firstLine="551" w:firstLineChars="196"/>
        <w:jc w:val="left"/>
        <w:rPr>
          <w:rStyle w:val="338"/>
          <w:rFonts w:ascii="仿宋" w:eastAsia="仿宋"/>
          <w:b/>
          <w:color w:val="000000" w:themeColor="text1"/>
          <w:sz w:val="28"/>
          <w:szCs w:val="28"/>
          <w:highlight w:val="none"/>
          <w14:textFill>
            <w14:solidFill>
              <w14:schemeClr w14:val="tx1"/>
            </w14:solidFill>
          </w14:textFill>
        </w:rPr>
      </w:pPr>
      <w:r>
        <w:rPr>
          <w:rStyle w:val="338"/>
          <w:rFonts w:hint="eastAsia" w:ascii="仿宋" w:eastAsia="仿宋"/>
          <w:b/>
          <w:color w:val="000000" w:themeColor="text1"/>
          <w:sz w:val="28"/>
          <w:szCs w:val="28"/>
          <w:highlight w:val="none"/>
          <w14:textFill>
            <w14:solidFill>
              <w14:schemeClr w14:val="tx1"/>
            </w14:solidFill>
          </w14:textFill>
        </w:rPr>
        <w:t>九</w:t>
      </w:r>
      <w:r>
        <w:rPr>
          <w:rStyle w:val="338"/>
          <w:rFonts w:ascii="仿宋" w:eastAsia="仿宋"/>
          <w:b/>
          <w:color w:val="000000" w:themeColor="text1"/>
          <w:sz w:val="28"/>
          <w:szCs w:val="28"/>
          <w:highlight w:val="none"/>
          <w14:textFill>
            <w14:solidFill>
              <w14:schemeClr w14:val="tx1"/>
            </w14:solidFill>
          </w14:textFill>
        </w:rPr>
        <w:t>、售后服务</w:t>
      </w:r>
    </w:p>
    <w:p w14:paraId="4AAC82C3">
      <w:pPr>
        <w:spacing w:line="520" w:lineRule="exact"/>
        <w:ind w:firstLine="560" w:firstLineChars="200"/>
        <w:rPr>
          <w:rFonts w:ascii="仿宋" w:hAnsi="Courier New" w:eastAsia="仿宋"/>
          <w:color w:val="000000" w:themeColor="text1"/>
          <w:kern w:val="0"/>
          <w:sz w:val="28"/>
          <w:szCs w:val="28"/>
          <w:highlight w:val="none"/>
          <w14:textFill>
            <w14:solidFill>
              <w14:schemeClr w14:val="tx1"/>
            </w14:solidFill>
          </w14:textFill>
        </w:rPr>
      </w:pPr>
      <w:r>
        <w:rPr>
          <w:rFonts w:hint="eastAsia" w:ascii="仿宋" w:hAnsi="Courier New" w:eastAsia="仿宋"/>
          <w:color w:val="000000" w:themeColor="text1"/>
          <w:kern w:val="0"/>
          <w:sz w:val="28"/>
          <w:szCs w:val="28"/>
          <w:highlight w:val="none"/>
          <w14:textFill>
            <w14:solidFill>
              <w14:schemeClr w14:val="tx1"/>
            </w14:solidFill>
          </w14:textFill>
        </w:rPr>
        <w:t>乙方应按公开采购文件、投标（响应）文件及乙方在响应过程中做出的书面说明或承诺提供及时、快速、优质的售后服务。</w:t>
      </w:r>
    </w:p>
    <w:p w14:paraId="124637F9">
      <w:pPr>
        <w:spacing w:line="520" w:lineRule="exact"/>
        <w:ind w:firstLine="560" w:firstLineChars="200"/>
        <w:rPr>
          <w:rStyle w:val="338"/>
          <w:rFonts w:ascii="仿宋" w:hAnsi="Courier New" w:eastAsia="仿宋"/>
          <w:color w:val="000000" w:themeColor="text1"/>
          <w:kern w:val="0"/>
          <w:sz w:val="28"/>
          <w:szCs w:val="28"/>
          <w:highlight w:val="none"/>
          <w14:textFill>
            <w14:solidFill>
              <w14:schemeClr w14:val="tx1"/>
            </w14:solidFill>
          </w14:textFill>
        </w:rPr>
      </w:pPr>
      <w:r>
        <w:rPr>
          <w:rFonts w:hint="eastAsia" w:ascii="仿宋" w:hAnsi="Courier New" w:eastAsia="仿宋"/>
          <w:color w:val="000000" w:themeColor="text1"/>
          <w:kern w:val="0"/>
          <w:sz w:val="28"/>
          <w:szCs w:val="28"/>
          <w:highlight w:val="none"/>
          <w14:textFill>
            <w14:solidFill>
              <w14:schemeClr w14:val="tx1"/>
            </w14:solidFill>
          </w14:textFill>
        </w:rPr>
        <w:t>见附件：乙方响应文件售后服务承诺材料。</w:t>
      </w:r>
    </w:p>
    <w:p w14:paraId="38E5CB2D">
      <w:pPr>
        <w:spacing w:line="520" w:lineRule="exact"/>
        <w:ind w:firstLine="567"/>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十、变更、修改和转让</w:t>
      </w:r>
    </w:p>
    <w:p w14:paraId="77C30354">
      <w:pPr>
        <w:pStyle w:val="405"/>
        <w:spacing w:line="520" w:lineRule="exact"/>
        <w:ind w:firstLine="567"/>
        <w:rPr>
          <w:rStyle w:val="338"/>
          <w:rFonts w:ascii="仿宋" w:eastAsia="仿宋"/>
          <w:b/>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乙方应严格按合同要求</w:t>
      </w:r>
      <w:r>
        <w:rPr>
          <w:rStyle w:val="338"/>
          <w:rFonts w:hint="eastAsia" w:ascii="仿宋" w:eastAsia="仿宋"/>
          <w:color w:val="000000" w:themeColor="text1"/>
          <w:sz w:val="28"/>
          <w:szCs w:val="28"/>
          <w:highlight w:val="none"/>
          <w14:textFill>
            <w14:solidFill>
              <w14:schemeClr w14:val="tx1"/>
            </w14:solidFill>
          </w14:textFill>
        </w:rPr>
        <w:t>提供</w:t>
      </w:r>
      <w:r>
        <w:rPr>
          <w:rStyle w:val="338"/>
          <w:rFonts w:ascii="仿宋" w:eastAsia="仿宋"/>
          <w:color w:val="000000" w:themeColor="text1"/>
          <w:sz w:val="28"/>
          <w:szCs w:val="28"/>
          <w:highlight w:val="none"/>
          <w14:textFill>
            <w14:solidFill>
              <w14:schemeClr w14:val="tx1"/>
            </w14:solidFill>
          </w14:textFill>
        </w:rPr>
        <w:t>服务，未经甲方书面同意，乙方不得擅自就合同标的的数量、质量、</w:t>
      </w:r>
      <w:r>
        <w:rPr>
          <w:rStyle w:val="338"/>
          <w:rFonts w:hint="eastAsia" w:ascii="仿宋" w:eastAsia="仿宋"/>
          <w:color w:val="000000" w:themeColor="text1"/>
          <w:sz w:val="28"/>
          <w:szCs w:val="28"/>
          <w:highlight w:val="none"/>
          <w14:textFill>
            <w14:solidFill>
              <w14:schemeClr w14:val="tx1"/>
            </w14:solidFill>
          </w14:textFill>
        </w:rPr>
        <w:t>交付期及质保期</w:t>
      </w:r>
      <w:r>
        <w:rPr>
          <w:rStyle w:val="338"/>
          <w:rFonts w:ascii="仿宋" w:eastAsia="仿宋"/>
          <w:color w:val="000000" w:themeColor="text1"/>
          <w:sz w:val="28"/>
          <w:szCs w:val="28"/>
          <w:highlight w:val="none"/>
          <w14:textFill>
            <w14:solidFill>
              <w14:schemeClr w14:val="tx1"/>
            </w14:solidFill>
          </w14:textFill>
        </w:rPr>
        <w:t>、技术规格以及其他的合同条款进行变更、修改；不得部分或者全部转让其应履行的合同义务。</w:t>
      </w:r>
    </w:p>
    <w:p w14:paraId="633E8B09">
      <w:pPr>
        <w:spacing w:line="520" w:lineRule="exact"/>
        <w:ind w:firstLine="562"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b/>
          <w:bCs/>
          <w:color w:val="000000" w:themeColor="text1"/>
          <w:sz w:val="28"/>
          <w:szCs w:val="28"/>
          <w:highlight w:val="none"/>
          <w14:textFill>
            <w14:solidFill>
              <w14:schemeClr w14:val="tx1"/>
            </w14:solidFill>
          </w14:textFill>
        </w:rPr>
        <w:t>十</w:t>
      </w:r>
      <w:r>
        <w:rPr>
          <w:rStyle w:val="338"/>
          <w:rFonts w:hint="eastAsia" w:ascii="仿宋" w:eastAsia="仿宋"/>
          <w:b/>
          <w:bCs/>
          <w:color w:val="000000" w:themeColor="text1"/>
          <w:sz w:val="28"/>
          <w:szCs w:val="28"/>
          <w:highlight w:val="none"/>
          <w14:textFill>
            <w14:solidFill>
              <w14:schemeClr w14:val="tx1"/>
            </w14:solidFill>
          </w14:textFill>
        </w:rPr>
        <w:t>一</w:t>
      </w:r>
      <w:r>
        <w:rPr>
          <w:rStyle w:val="338"/>
          <w:rFonts w:ascii="仿宋" w:eastAsia="仿宋"/>
          <w:b/>
          <w:bCs/>
          <w:color w:val="000000" w:themeColor="text1"/>
          <w:sz w:val="28"/>
          <w:szCs w:val="28"/>
          <w:highlight w:val="none"/>
          <w14:textFill>
            <w14:solidFill>
              <w14:schemeClr w14:val="tx1"/>
            </w14:solidFill>
          </w14:textFill>
        </w:rPr>
        <w:t>、合同解除</w:t>
      </w:r>
    </w:p>
    <w:p w14:paraId="7F173C23">
      <w:pPr>
        <w:spacing w:line="520" w:lineRule="exact"/>
        <w:ind w:firstLine="560" w:firstLineChars="200"/>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1.出现下列情况之一的，甲方或乙方提出申请，招标代理机构将向违约方发出书面通知，解除本合同，解约方有权要求违约方按合同总金额20%支付违约金，并赔偿损失。</w:t>
      </w:r>
    </w:p>
    <w:p w14:paraId="2F7AC906">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（1）乙方拒绝履行合同或以自己的行为表明不履行合同的；</w:t>
      </w:r>
    </w:p>
    <w:p w14:paraId="1BB137F3">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（2）乙方延迟履行合同义务，经催告后仍不履行的；</w:t>
      </w:r>
    </w:p>
    <w:p w14:paraId="5DC6D8A9">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（3）乙方履行合同义务不符合约定致使不能实现合同目的的；</w:t>
      </w:r>
    </w:p>
    <w:p w14:paraId="713A489D">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（4）乙方履行合同义务不符合约定拒绝整改，或经整改后仍不合格的；</w:t>
      </w:r>
    </w:p>
    <w:p w14:paraId="70F2CF6B">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（5）乙方有其他严重违约情形的；</w:t>
      </w:r>
    </w:p>
    <w:p w14:paraId="7F403CEC">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（6）甲方应当提供而未向乙方提供履约条件的。</w:t>
      </w:r>
    </w:p>
    <w:p w14:paraId="238999D3">
      <w:pPr>
        <w:spacing w:line="520" w:lineRule="exact"/>
        <w:ind w:firstLine="567"/>
        <w:jc w:val="left"/>
        <w:rPr>
          <w:rStyle w:val="338"/>
          <w:rFonts w:ascii="仿宋" w:eastAsia="仿宋"/>
          <w:color w:val="000000" w:themeColor="text1"/>
          <w:kern w:val="0"/>
          <w:sz w:val="28"/>
          <w:szCs w:val="28"/>
          <w:highlight w:val="none"/>
          <w14:textFill>
            <w14:solidFill>
              <w14:schemeClr w14:val="tx1"/>
            </w14:solidFill>
          </w14:textFill>
        </w:rPr>
      </w:pPr>
      <w:r>
        <w:rPr>
          <w:rStyle w:val="338"/>
          <w:rFonts w:ascii="仿宋" w:eastAsia="仿宋"/>
          <w:color w:val="000000" w:themeColor="text1"/>
          <w:kern w:val="0"/>
          <w:sz w:val="28"/>
          <w:szCs w:val="28"/>
          <w:highlight w:val="none"/>
          <w14:textFill>
            <w14:solidFill>
              <w14:schemeClr w14:val="tx1"/>
            </w14:solidFill>
          </w14:textFill>
        </w:rPr>
        <w:t>2.</w:t>
      </w:r>
      <w:r>
        <w:rPr>
          <w:rStyle w:val="338"/>
          <w:rFonts w:ascii="仿宋" w:eastAsia="仿宋"/>
          <w:color w:val="000000" w:themeColor="text1"/>
          <w:sz w:val="28"/>
          <w:szCs w:val="28"/>
          <w:highlight w:val="none"/>
          <w14:textFill>
            <w14:solidFill>
              <w14:schemeClr w14:val="tx1"/>
            </w14:solidFill>
          </w14:textFill>
        </w:rPr>
        <w:t>被解除方对解除合同有异议的，应当在收到解除通知之日起15日内向荣成市人民法院起诉。</w:t>
      </w:r>
    </w:p>
    <w:p w14:paraId="5EBA4BB1">
      <w:pPr>
        <w:spacing w:line="520" w:lineRule="exact"/>
        <w:ind w:firstLine="562" w:firstLineChars="200"/>
        <w:rPr>
          <w:rStyle w:val="338"/>
          <w:rFonts w:ascii="仿宋" w:eastAsia="仿宋"/>
          <w:b/>
          <w:bCs/>
          <w:color w:val="000000" w:themeColor="text1"/>
          <w:sz w:val="28"/>
          <w:szCs w:val="28"/>
          <w:highlight w:val="none"/>
          <w14:textFill>
            <w14:solidFill>
              <w14:schemeClr w14:val="tx1"/>
            </w14:solidFill>
          </w14:textFill>
        </w:rPr>
      </w:pPr>
      <w:r>
        <w:rPr>
          <w:rStyle w:val="338"/>
          <w:rFonts w:ascii="仿宋" w:eastAsia="仿宋"/>
          <w:b/>
          <w:bCs/>
          <w:color w:val="000000" w:themeColor="text1"/>
          <w:sz w:val="28"/>
          <w:szCs w:val="28"/>
          <w:highlight w:val="none"/>
          <w14:textFill>
            <w14:solidFill>
              <w14:schemeClr w14:val="tx1"/>
            </w14:solidFill>
          </w14:textFill>
        </w:rPr>
        <w:t>十</w:t>
      </w:r>
      <w:r>
        <w:rPr>
          <w:rStyle w:val="338"/>
          <w:rFonts w:hint="eastAsia" w:ascii="仿宋" w:eastAsia="仿宋"/>
          <w:b/>
          <w:bCs/>
          <w:color w:val="000000" w:themeColor="text1"/>
          <w:sz w:val="28"/>
          <w:szCs w:val="28"/>
          <w:highlight w:val="none"/>
          <w14:textFill>
            <w14:solidFill>
              <w14:schemeClr w14:val="tx1"/>
            </w14:solidFill>
          </w14:textFill>
        </w:rPr>
        <w:t>二</w:t>
      </w:r>
      <w:r>
        <w:rPr>
          <w:rStyle w:val="338"/>
          <w:rFonts w:ascii="仿宋" w:eastAsia="仿宋"/>
          <w:b/>
          <w:bCs/>
          <w:color w:val="000000" w:themeColor="text1"/>
          <w:sz w:val="28"/>
          <w:szCs w:val="28"/>
          <w:highlight w:val="none"/>
          <w14:textFill>
            <w14:solidFill>
              <w14:schemeClr w14:val="tx1"/>
            </w14:solidFill>
          </w14:textFill>
        </w:rPr>
        <w:t>、违约赔偿</w:t>
      </w:r>
    </w:p>
    <w:p w14:paraId="2A5A28D2">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 乙方违反第四条质量及专利权第一款的约定而降低标准及违反第十条变更、修改和转让的约定，甲方将责令其限期更换或者纠正，由此而造成延期，按本条第二款的规定支付违约赔偿；</w:t>
      </w:r>
      <w:r>
        <w:rPr>
          <w:rStyle w:val="406"/>
          <w:rFonts w:ascii="仿宋" w:eastAsia="仿宋"/>
          <w:color w:val="000000" w:themeColor="text1"/>
          <w:sz w:val="28"/>
          <w:szCs w:val="28"/>
          <w:highlight w:val="none"/>
          <w14:textFill>
            <w14:solidFill>
              <w14:schemeClr w14:val="tx1"/>
            </w14:solidFill>
          </w14:textFill>
        </w:rPr>
        <w:t>如违反</w:t>
      </w:r>
      <w:r>
        <w:rPr>
          <w:rStyle w:val="338"/>
          <w:rFonts w:ascii="仿宋" w:eastAsia="仿宋"/>
          <w:color w:val="000000" w:themeColor="text1"/>
          <w:sz w:val="28"/>
          <w:szCs w:val="28"/>
          <w:highlight w:val="none"/>
          <w14:textFill>
            <w14:solidFill>
              <w14:schemeClr w14:val="tx1"/>
            </w14:solidFill>
          </w14:textFill>
        </w:rPr>
        <w:t>第四条质量及专利权第一款</w:t>
      </w:r>
      <w:r>
        <w:rPr>
          <w:rStyle w:val="406"/>
          <w:rFonts w:ascii="仿宋" w:eastAsia="仿宋"/>
          <w:color w:val="000000" w:themeColor="text1"/>
          <w:sz w:val="28"/>
          <w:szCs w:val="28"/>
          <w:highlight w:val="none"/>
          <w14:textFill>
            <w14:solidFill>
              <w14:schemeClr w14:val="tx1"/>
            </w14:solidFill>
          </w14:textFill>
        </w:rPr>
        <w:t>约定，造成甲方无法继续使用标的物及对第三方承担赔偿责任的，乙方应当承担对甲方造成的一切损失（包括但不限于甲方的采购款、利息、维权费用等）</w:t>
      </w:r>
      <w:r>
        <w:rPr>
          <w:rStyle w:val="338"/>
          <w:rFonts w:ascii="仿宋" w:eastAsia="仿宋"/>
          <w:color w:val="000000" w:themeColor="text1"/>
          <w:sz w:val="28"/>
          <w:szCs w:val="28"/>
          <w:highlight w:val="none"/>
          <w14:textFill>
            <w14:solidFill>
              <w14:schemeClr w14:val="tx1"/>
            </w14:solidFill>
          </w14:textFill>
        </w:rPr>
        <w:t>。</w:t>
      </w:r>
    </w:p>
    <w:p w14:paraId="4F3865E3">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2.乙方违反第六条关于</w:t>
      </w:r>
      <w:r>
        <w:rPr>
          <w:rStyle w:val="338"/>
          <w:rFonts w:hint="eastAsia" w:ascii="仿宋" w:eastAsia="仿宋"/>
          <w:color w:val="000000" w:themeColor="text1"/>
          <w:sz w:val="28"/>
          <w:szCs w:val="28"/>
          <w:highlight w:val="none"/>
          <w14:textFill>
            <w14:solidFill>
              <w14:schemeClr w14:val="tx1"/>
            </w14:solidFill>
          </w14:textFill>
        </w:rPr>
        <w:t>交付期及质保期</w:t>
      </w:r>
      <w:r>
        <w:rPr>
          <w:rStyle w:val="338"/>
          <w:rFonts w:ascii="仿宋" w:eastAsia="仿宋"/>
          <w:color w:val="000000" w:themeColor="text1"/>
          <w:sz w:val="28"/>
          <w:szCs w:val="28"/>
          <w:highlight w:val="none"/>
          <w14:textFill>
            <w14:solidFill>
              <w14:schemeClr w14:val="tx1"/>
            </w14:solidFill>
          </w14:textFill>
        </w:rPr>
        <w:t>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0E166B40">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3.因乙方违约致使合同被解除的，如果在解除前甲方已经实际使用了乙方的产品而解除后需要退货的，则对使用期间的损耗或折旧甲方不负责补偿。</w:t>
      </w:r>
    </w:p>
    <w:p w14:paraId="0EC5A734">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4.项目验收不合格执行本合同第</w:t>
      </w:r>
      <w:r>
        <w:rPr>
          <w:rStyle w:val="338"/>
          <w:rFonts w:hint="eastAsia" w:ascii="仿宋" w:eastAsia="仿宋"/>
          <w:color w:val="000000" w:themeColor="text1"/>
          <w:sz w:val="28"/>
          <w:szCs w:val="28"/>
          <w:highlight w:val="none"/>
          <w14:textFill>
            <w14:solidFill>
              <w14:schemeClr w14:val="tx1"/>
            </w14:solidFill>
          </w14:textFill>
        </w:rPr>
        <w:t>七</w:t>
      </w:r>
      <w:r>
        <w:rPr>
          <w:rStyle w:val="338"/>
          <w:rFonts w:ascii="仿宋" w:eastAsia="仿宋"/>
          <w:color w:val="000000" w:themeColor="text1"/>
          <w:sz w:val="28"/>
          <w:szCs w:val="28"/>
          <w:highlight w:val="none"/>
          <w14:textFill>
            <w14:solidFill>
              <w14:schemeClr w14:val="tx1"/>
            </w14:solidFill>
          </w14:textFill>
        </w:rPr>
        <w:t>条第三款。</w:t>
      </w:r>
    </w:p>
    <w:p w14:paraId="18012F95">
      <w:pPr>
        <w:spacing w:line="520" w:lineRule="exact"/>
        <w:ind w:firstLine="529" w:firstLineChars="189"/>
        <w:rPr>
          <w:rStyle w:val="338"/>
          <w:rFonts w:ascii="仿宋" w:eastAsia="仿宋"/>
          <w:bCs/>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5.</w:t>
      </w:r>
      <w:r>
        <w:rPr>
          <w:rStyle w:val="338"/>
          <w:rFonts w:ascii="仿宋" w:eastAsia="仿宋"/>
          <w:bCs/>
          <w:color w:val="000000" w:themeColor="text1"/>
          <w:sz w:val="28"/>
          <w:szCs w:val="28"/>
          <w:highlight w:val="none"/>
          <w14:textFill>
            <w14:solidFill>
              <w14:schemeClr w14:val="tx1"/>
            </w14:solidFill>
          </w14:textFill>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50844224">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6.一方因不可抗力导致合同不能履行的，不承担违约责任。但应当及时通知对方，以减轻可能给对方造成的损失，并应当在合理期限内提供证明。“不可抗力”是指不能预见、不能避免并不能克服的客观情况，如：战争、严重火灾、洪水、台风、地震等事件。</w:t>
      </w:r>
    </w:p>
    <w:p w14:paraId="0E73A063">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7.乙方存在下列行为的，纳入</w:t>
      </w:r>
      <w:r>
        <w:rPr>
          <w:rStyle w:val="338"/>
          <w:rFonts w:ascii="仿宋" w:eastAsia="仿宋"/>
          <w:color w:val="000000" w:themeColor="text1"/>
          <w:kern w:val="0"/>
          <w:sz w:val="28"/>
          <w:szCs w:val="28"/>
          <w:highlight w:val="none"/>
          <w14:textFill>
            <w14:solidFill>
              <w14:schemeClr w14:val="tx1"/>
            </w14:solidFill>
          </w14:textFill>
        </w:rPr>
        <w:t>招标代理机构的</w:t>
      </w:r>
      <w:r>
        <w:rPr>
          <w:rStyle w:val="338"/>
          <w:rFonts w:ascii="仿宋" w:eastAsia="仿宋"/>
          <w:color w:val="000000" w:themeColor="text1"/>
          <w:sz w:val="28"/>
          <w:szCs w:val="28"/>
          <w:highlight w:val="none"/>
          <w14:textFill>
            <w14:solidFill>
              <w14:schemeClr w14:val="tx1"/>
            </w14:solidFill>
          </w14:textFill>
        </w:rPr>
        <w:t>诚信记录：</w:t>
      </w:r>
    </w:p>
    <w:p w14:paraId="52911D8F">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（1）无正当理由放弃采购合同履约的；</w:t>
      </w:r>
    </w:p>
    <w:p w14:paraId="310ADABC">
      <w:pPr>
        <w:spacing w:line="520" w:lineRule="exact"/>
        <w:ind w:firstLine="531" w:firstLineChars="189"/>
        <w:rPr>
          <w:rStyle w:val="338"/>
          <w:rFonts w:ascii="仿宋" w:eastAsia="仿宋" w:cs="仿宋_GB2312"/>
          <w:b/>
          <w:bCs/>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（2）</w:t>
      </w:r>
      <w:r>
        <w:rPr>
          <w:rStyle w:val="338"/>
          <w:rFonts w:ascii="仿宋" w:eastAsia="仿宋" w:cs="仿宋_GB2312"/>
          <w:b/>
          <w:bCs/>
          <w:color w:val="000000" w:themeColor="text1"/>
          <w:sz w:val="28"/>
          <w:szCs w:val="28"/>
          <w:highlight w:val="none"/>
          <w14:textFill>
            <w14:solidFill>
              <w14:schemeClr w14:val="tx1"/>
            </w14:solidFill>
          </w14:textFill>
        </w:rPr>
        <w:t>不履行合同义务，情节严重的；</w:t>
      </w:r>
    </w:p>
    <w:p w14:paraId="78E748B1">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s="仿宋_GB2312"/>
          <w:bCs/>
          <w:color w:val="000000" w:themeColor="text1"/>
          <w:sz w:val="28"/>
          <w:szCs w:val="28"/>
          <w:highlight w:val="none"/>
          <w14:textFill>
            <w14:solidFill>
              <w14:schemeClr w14:val="tx1"/>
            </w14:solidFill>
          </w14:textFill>
        </w:rPr>
        <w:t>（3）</w:t>
      </w:r>
      <w:r>
        <w:rPr>
          <w:rStyle w:val="338"/>
          <w:rFonts w:ascii="仿宋" w:eastAsia="仿宋"/>
          <w:color w:val="000000" w:themeColor="text1"/>
          <w:sz w:val="28"/>
          <w:szCs w:val="28"/>
          <w:highlight w:val="none"/>
          <w14:textFill>
            <w14:solidFill>
              <w14:schemeClr w14:val="tx1"/>
            </w14:solidFill>
          </w14:textFill>
        </w:rPr>
        <w:t>在数量、质量、技术、服务、安全、标准、功能、工艺等方面不符合采购合同约定，给采购人造成较大损失或者影响的；</w:t>
      </w:r>
    </w:p>
    <w:p w14:paraId="73D51C3F">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（4）因履约问题影响采购项目功能实现又拒不纠正的；</w:t>
      </w:r>
    </w:p>
    <w:p w14:paraId="1CA82915">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（5）与甲方工作人员或者验收小组成员串通，实施虚假履约验收的；</w:t>
      </w:r>
    </w:p>
    <w:p w14:paraId="300233A4">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（6）其他损害公共利益、采购人利益、第三方权益且情节较重的。</w:t>
      </w:r>
    </w:p>
    <w:p w14:paraId="1BCA38A1">
      <w:pPr>
        <w:spacing w:line="520" w:lineRule="exact"/>
        <w:ind w:firstLine="529" w:firstLineChars="189"/>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8.由违约方承担因违约给对方造成的诉讼费、保全费、保全保险费、律师代理费、差旅费等因处理纠纷产生的所有费用。</w:t>
      </w:r>
    </w:p>
    <w:p w14:paraId="6E2687D1">
      <w:pPr>
        <w:spacing w:line="520" w:lineRule="exact"/>
        <w:ind w:firstLine="562" w:firstLineChars="200"/>
        <w:rPr>
          <w:rStyle w:val="338"/>
          <w:rFonts w:ascii="仿宋" w:eastAsia="仿宋"/>
          <w:b/>
          <w:bCs/>
          <w:color w:val="000000" w:themeColor="text1"/>
          <w:sz w:val="28"/>
          <w:szCs w:val="28"/>
          <w:highlight w:val="none"/>
          <w14:textFill>
            <w14:solidFill>
              <w14:schemeClr w14:val="tx1"/>
            </w14:solidFill>
          </w14:textFill>
        </w:rPr>
      </w:pPr>
      <w:r>
        <w:rPr>
          <w:rStyle w:val="338"/>
          <w:rFonts w:ascii="仿宋" w:eastAsia="仿宋"/>
          <w:b/>
          <w:bCs/>
          <w:color w:val="000000" w:themeColor="text1"/>
          <w:sz w:val="28"/>
          <w:szCs w:val="28"/>
          <w:highlight w:val="none"/>
          <w14:textFill>
            <w14:solidFill>
              <w14:schemeClr w14:val="tx1"/>
            </w14:solidFill>
          </w14:textFill>
        </w:rPr>
        <w:t>十</w:t>
      </w:r>
      <w:r>
        <w:rPr>
          <w:rStyle w:val="338"/>
          <w:rFonts w:hint="eastAsia" w:ascii="仿宋" w:eastAsia="仿宋"/>
          <w:b/>
          <w:bCs/>
          <w:color w:val="000000" w:themeColor="text1"/>
          <w:sz w:val="28"/>
          <w:szCs w:val="28"/>
          <w:highlight w:val="none"/>
          <w14:textFill>
            <w14:solidFill>
              <w14:schemeClr w14:val="tx1"/>
            </w14:solidFill>
          </w14:textFill>
        </w:rPr>
        <w:t>三</w:t>
      </w:r>
      <w:r>
        <w:rPr>
          <w:rStyle w:val="338"/>
          <w:rFonts w:ascii="仿宋" w:eastAsia="仿宋"/>
          <w:b/>
          <w:bCs/>
          <w:color w:val="000000" w:themeColor="text1"/>
          <w:sz w:val="28"/>
          <w:szCs w:val="28"/>
          <w:highlight w:val="none"/>
          <w14:textFill>
            <w14:solidFill>
              <w14:schemeClr w14:val="tx1"/>
            </w14:solidFill>
          </w14:textFill>
        </w:rPr>
        <w:t>、争议解决</w:t>
      </w:r>
    </w:p>
    <w:p w14:paraId="6116F91C">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1.合同执行期内，甲、乙双方均不得随意变更或解除合同。合同如有未尽事宜，须经双方共同协商，作出补充协议，补充协议与本合同具有同等效力。</w:t>
      </w:r>
    </w:p>
    <w:p w14:paraId="0D3927FE">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2.合同各方应通过友好协商，解决执行本合同中所发生的或与本合同有关的一切争议，如协商不成，甲、乙双方可向荣成市人民法院提起诉讼。</w:t>
      </w:r>
    </w:p>
    <w:p w14:paraId="3D68EAE4">
      <w:pPr>
        <w:spacing w:line="520" w:lineRule="exact"/>
        <w:ind w:firstLine="560"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3.在诉讼期间，本合同无争议的部分应继续履行。</w:t>
      </w:r>
    </w:p>
    <w:p w14:paraId="2643A1C9">
      <w:pPr>
        <w:spacing w:line="520" w:lineRule="exact"/>
        <w:ind w:firstLine="562" w:firstLineChars="200"/>
        <w:rPr>
          <w:rStyle w:val="338"/>
          <w:rFonts w:ascii="仿宋" w:eastAsia="仿宋"/>
          <w:b/>
          <w:bCs/>
          <w:color w:val="000000" w:themeColor="text1"/>
          <w:sz w:val="28"/>
          <w:szCs w:val="28"/>
          <w:highlight w:val="none"/>
          <w14:textFill>
            <w14:solidFill>
              <w14:schemeClr w14:val="tx1"/>
            </w14:solidFill>
          </w14:textFill>
        </w:rPr>
      </w:pPr>
      <w:r>
        <w:rPr>
          <w:rStyle w:val="338"/>
          <w:rFonts w:ascii="仿宋" w:eastAsia="仿宋"/>
          <w:b/>
          <w:bCs/>
          <w:color w:val="000000" w:themeColor="text1"/>
          <w:sz w:val="28"/>
          <w:szCs w:val="28"/>
          <w:highlight w:val="none"/>
          <w14:textFill>
            <w14:solidFill>
              <w14:schemeClr w14:val="tx1"/>
            </w14:solidFill>
          </w14:textFill>
        </w:rPr>
        <w:t>十</w:t>
      </w:r>
      <w:r>
        <w:rPr>
          <w:rStyle w:val="338"/>
          <w:rFonts w:hint="eastAsia" w:ascii="仿宋" w:eastAsia="仿宋"/>
          <w:b/>
          <w:bCs/>
          <w:color w:val="000000" w:themeColor="text1"/>
          <w:sz w:val="28"/>
          <w:szCs w:val="28"/>
          <w:highlight w:val="none"/>
          <w14:textFill>
            <w14:solidFill>
              <w14:schemeClr w14:val="tx1"/>
            </w14:solidFill>
          </w14:textFill>
        </w:rPr>
        <w:t>四</w:t>
      </w:r>
      <w:r>
        <w:rPr>
          <w:rStyle w:val="338"/>
          <w:rFonts w:ascii="仿宋" w:eastAsia="仿宋"/>
          <w:b/>
          <w:bCs/>
          <w:color w:val="000000" w:themeColor="text1"/>
          <w:sz w:val="28"/>
          <w:szCs w:val="28"/>
          <w:highlight w:val="none"/>
          <w14:textFill>
            <w14:solidFill>
              <w14:schemeClr w14:val="tx1"/>
            </w14:solidFill>
          </w14:textFill>
        </w:rPr>
        <w:t>、合同生效</w:t>
      </w:r>
    </w:p>
    <w:p w14:paraId="69E0D058">
      <w:pPr>
        <w:pStyle w:val="405"/>
        <w:spacing w:line="520" w:lineRule="exact"/>
        <w:ind w:firstLine="567"/>
        <w:rPr>
          <w:rStyle w:val="338"/>
          <w:rFonts w:ascii="仿宋" w:eastAsia="仿宋"/>
          <w:color w:val="000000" w:themeColor="text1"/>
          <w:sz w:val="28"/>
          <w:szCs w:val="28"/>
          <w:highlight w:val="none"/>
          <w:shd w:val="pct10" w:color="auto" w:fill="FFFFFF"/>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本合同由各方代表签字并加盖各方公章或合同章及骑缝章后生效。。</w:t>
      </w:r>
    </w:p>
    <w:p w14:paraId="1F210474">
      <w:pPr>
        <w:spacing w:line="520" w:lineRule="exact"/>
        <w:ind w:firstLine="562" w:firstLineChars="200"/>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b/>
          <w:color w:val="000000" w:themeColor="text1"/>
          <w:sz w:val="28"/>
          <w:szCs w:val="28"/>
          <w:highlight w:val="none"/>
          <w14:textFill>
            <w14:solidFill>
              <w14:schemeClr w14:val="tx1"/>
            </w14:solidFill>
          </w14:textFill>
        </w:rPr>
        <w:t>十</w:t>
      </w:r>
      <w:r>
        <w:rPr>
          <w:rStyle w:val="338"/>
          <w:rFonts w:hint="eastAsia" w:ascii="仿宋" w:eastAsia="仿宋"/>
          <w:b/>
          <w:color w:val="000000" w:themeColor="text1"/>
          <w:sz w:val="28"/>
          <w:szCs w:val="28"/>
          <w:highlight w:val="none"/>
          <w14:textFill>
            <w14:solidFill>
              <w14:schemeClr w14:val="tx1"/>
            </w14:solidFill>
          </w14:textFill>
        </w:rPr>
        <w:t>五</w:t>
      </w:r>
      <w:r>
        <w:rPr>
          <w:rStyle w:val="338"/>
          <w:rFonts w:ascii="仿宋" w:eastAsia="仿宋"/>
          <w:b/>
          <w:color w:val="000000" w:themeColor="text1"/>
          <w:sz w:val="28"/>
          <w:szCs w:val="28"/>
          <w:highlight w:val="none"/>
          <w14:textFill>
            <w14:solidFill>
              <w14:schemeClr w14:val="tx1"/>
            </w14:solidFill>
          </w14:textFill>
        </w:rPr>
        <w:t>、签约地点：</w:t>
      </w:r>
      <w:r>
        <w:rPr>
          <w:rStyle w:val="338"/>
          <w:rFonts w:ascii="仿宋" w:eastAsia="仿宋"/>
          <w:color w:val="000000" w:themeColor="text1"/>
          <w:sz w:val="28"/>
          <w:szCs w:val="28"/>
          <w:highlight w:val="none"/>
          <w14:textFill>
            <w14:solidFill>
              <w14:schemeClr w14:val="tx1"/>
            </w14:solidFill>
          </w14:textFill>
        </w:rPr>
        <w:t>山东省荣成市。</w:t>
      </w:r>
    </w:p>
    <w:p w14:paraId="6C3F08B0">
      <w:pPr>
        <w:spacing w:line="360" w:lineRule="exact"/>
        <w:ind w:firstLine="700" w:firstLineChars="250"/>
        <w:rPr>
          <w:rStyle w:val="338"/>
          <w:rFonts w:ascii="仿宋" w:eastAsia="仿宋"/>
          <w:color w:val="000000" w:themeColor="text1"/>
          <w:sz w:val="28"/>
          <w:szCs w:val="28"/>
          <w:highlight w:val="none"/>
          <w14:textFill>
            <w14:solidFill>
              <w14:schemeClr w14:val="tx1"/>
            </w14:solidFill>
          </w14:textFill>
        </w:rPr>
      </w:pPr>
    </w:p>
    <w:p w14:paraId="7C1FC5EB">
      <w:pPr>
        <w:spacing w:line="360" w:lineRule="exact"/>
        <w:rPr>
          <w:rStyle w:val="338"/>
          <w:rFonts w:ascii="仿宋" w:eastAsia="仿宋"/>
          <w:color w:val="000000" w:themeColor="text1"/>
          <w:sz w:val="28"/>
          <w:szCs w:val="28"/>
          <w:highlight w:val="none"/>
          <w14:textFill>
            <w14:solidFill>
              <w14:schemeClr w14:val="tx1"/>
            </w14:solidFill>
          </w14:textFill>
        </w:rPr>
      </w:pPr>
    </w:p>
    <w:p w14:paraId="4CB40725">
      <w:pPr>
        <w:spacing w:line="360" w:lineRule="exact"/>
        <w:ind w:firstLine="700" w:firstLineChars="250"/>
        <w:rPr>
          <w:rStyle w:val="338"/>
          <w:rFonts w:ascii="仿宋" w:eastAsia="仿宋"/>
          <w:color w:val="000000" w:themeColor="text1"/>
          <w:sz w:val="28"/>
          <w:szCs w:val="28"/>
          <w:highlight w:val="none"/>
          <w14:textFill>
            <w14:solidFill>
              <w14:schemeClr w14:val="tx1"/>
            </w14:solidFill>
          </w14:textFill>
        </w:rPr>
      </w:pPr>
    </w:p>
    <w:p w14:paraId="53CB637C">
      <w:pPr>
        <w:spacing w:line="360" w:lineRule="exact"/>
        <w:rPr>
          <w:rStyle w:val="338"/>
          <w:rFonts w:hint="eastAsia" w:ascii="仿宋" w:eastAsia="仿宋"/>
          <w:color w:val="000000" w:themeColor="text1"/>
          <w:sz w:val="28"/>
          <w:szCs w:val="28"/>
          <w:highlight w:val="none"/>
          <w:lang w:eastAsia="zh-CN"/>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甲    方：</w:t>
      </w:r>
      <w:r>
        <w:rPr>
          <w:rFonts w:hint="eastAsia" w:ascii="仿宋" w:eastAsia="仿宋"/>
          <w:color w:val="000000" w:themeColor="text1"/>
          <w:sz w:val="28"/>
          <w:szCs w:val="28"/>
          <w:highlight w:val="none"/>
          <w:lang w:eastAsia="zh-CN"/>
          <w14:textFill>
            <w14:solidFill>
              <w14:schemeClr w14:val="tx1"/>
            </w14:solidFill>
          </w14:textFill>
        </w:rPr>
        <w:t>威海海高园港城环卫服务有限公司</w:t>
      </w:r>
    </w:p>
    <w:p w14:paraId="45253062">
      <w:pPr>
        <w:spacing w:line="360" w:lineRule="exact"/>
        <w:rPr>
          <w:rStyle w:val="338"/>
          <w:rFonts w:ascii="仿宋" w:eastAsia="仿宋"/>
          <w:color w:val="000000" w:themeColor="text1"/>
          <w:sz w:val="28"/>
          <w:szCs w:val="28"/>
          <w:highlight w:val="none"/>
          <w14:textFill>
            <w14:solidFill>
              <w14:schemeClr w14:val="tx1"/>
            </w14:solidFill>
          </w14:textFill>
        </w:rPr>
      </w:pPr>
    </w:p>
    <w:p w14:paraId="6212F6B6">
      <w:pPr>
        <w:spacing w:line="360" w:lineRule="exac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单位盖章：</w:t>
      </w:r>
    </w:p>
    <w:p w14:paraId="04E0124C">
      <w:pPr>
        <w:spacing w:line="360" w:lineRule="exact"/>
        <w:rPr>
          <w:rStyle w:val="338"/>
          <w:rFonts w:ascii="仿宋" w:eastAsia="仿宋"/>
          <w:color w:val="000000" w:themeColor="text1"/>
          <w:sz w:val="28"/>
          <w:szCs w:val="28"/>
          <w:highlight w:val="none"/>
          <w14:textFill>
            <w14:solidFill>
              <w14:schemeClr w14:val="tx1"/>
            </w14:solidFill>
          </w14:textFill>
        </w:rPr>
      </w:pPr>
    </w:p>
    <w:p w14:paraId="5FC2003A">
      <w:pPr>
        <w:spacing w:line="360" w:lineRule="exac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代表签字：</w:t>
      </w:r>
    </w:p>
    <w:p w14:paraId="3E003D08">
      <w:pPr>
        <w:spacing w:line="360" w:lineRule="exact"/>
        <w:rPr>
          <w:rStyle w:val="338"/>
          <w:rFonts w:ascii="仿宋" w:eastAsia="仿宋"/>
          <w:color w:val="000000" w:themeColor="text1"/>
          <w:sz w:val="28"/>
          <w:szCs w:val="28"/>
          <w:highlight w:val="none"/>
          <w14:textFill>
            <w14:solidFill>
              <w14:schemeClr w14:val="tx1"/>
            </w14:solidFill>
          </w14:textFill>
        </w:rPr>
      </w:pPr>
    </w:p>
    <w:p w14:paraId="4BA112EC">
      <w:pPr>
        <w:spacing w:line="360" w:lineRule="exact"/>
        <w:rPr>
          <w:rStyle w:val="338"/>
          <w:rFonts w:ascii="仿宋" w:eastAsia="仿宋"/>
          <w:color w:val="000000" w:themeColor="text1"/>
          <w:sz w:val="28"/>
          <w:szCs w:val="28"/>
          <w:highlight w:val="none"/>
          <w14:textFill>
            <w14:solidFill>
              <w14:schemeClr w14:val="tx1"/>
            </w14:solidFill>
          </w14:textFill>
        </w:rPr>
      </w:pPr>
    </w:p>
    <w:p w14:paraId="10036AD3">
      <w:pPr>
        <w:spacing w:line="360" w:lineRule="exact"/>
        <w:rPr>
          <w:rStyle w:val="338"/>
          <w:rFonts w:ascii="仿宋" w:eastAsia="仿宋"/>
          <w:b/>
          <w:bCs/>
          <w:color w:val="000000" w:themeColor="text1"/>
          <w:sz w:val="28"/>
          <w:szCs w:val="28"/>
          <w:highlight w:val="none"/>
          <w:shd w:val="pct10" w:color="auto" w:fill="FFFFFF"/>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乙    方：</w:t>
      </w:r>
      <w:r>
        <w:rPr>
          <w:rStyle w:val="338"/>
          <w:rFonts w:hint="eastAsia" w:ascii="仿宋" w:eastAsia="仿宋"/>
          <w:color w:val="000000" w:themeColor="text1"/>
          <w:sz w:val="28"/>
          <w:szCs w:val="28"/>
          <w:highlight w:val="none"/>
          <w14:textFill>
            <w14:solidFill>
              <w14:schemeClr w14:val="tx1"/>
            </w14:solidFill>
          </w14:textFill>
        </w:rPr>
        <w:t>中标人</w:t>
      </w:r>
    </w:p>
    <w:p w14:paraId="25CA710E">
      <w:pPr>
        <w:pStyle w:val="405"/>
        <w:spacing w:line="360" w:lineRule="exact"/>
        <w:rPr>
          <w:rStyle w:val="338"/>
          <w:rFonts w:ascii="仿宋" w:eastAsia="仿宋"/>
          <w:color w:val="000000" w:themeColor="text1"/>
          <w:sz w:val="28"/>
          <w:szCs w:val="28"/>
          <w:highlight w:val="none"/>
          <w14:textFill>
            <w14:solidFill>
              <w14:schemeClr w14:val="tx1"/>
            </w14:solidFill>
          </w14:textFill>
        </w:rPr>
      </w:pPr>
    </w:p>
    <w:p w14:paraId="793F37A8">
      <w:pPr>
        <w:pStyle w:val="405"/>
        <w:spacing w:line="360" w:lineRule="exact"/>
        <w:rPr>
          <w:rStyle w:val="338"/>
          <w:rFonts w:ascii="仿宋" w:eastAsia="仿宋"/>
          <w:color w:val="000000" w:themeColor="text1"/>
          <w:sz w:val="28"/>
          <w:szCs w:val="28"/>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 xml:space="preserve">单位盖章: </w:t>
      </w:r>
    </w:p>
    <w:p w14:paraId="51EDAEA4">
      <w:pPr>
        <w:pStyle w:val="405"/>
        <w:spacing w:line="360" w:lineRule="exact"/>
        <w:rPr>
          <w:rStyle w:val="338"/>
          <w:rFonts w:ascii="仿宋" w:eastAsia="仿宋"/>
          <w:color w:val="000000" w:themeColor="text1"/>
          <w:sz w:val="28"/>
          <w:szCs w:val="28"/>
          <w:highlight w:val="none"/>
          <w14:textFill>
            <w14:solidFill>
              <w14:schemeClr w14:val="tx1"/>
            </w14:solidFill>
          </w14:textFill>
        </w:rPr>
      </w:pPr>
    </w:p>
    <w:p w14:paraId="6C3AFD2F">
      <w:pPr>
        <w:pStyle w:val="13"/>
        <w:ind w:firstLine="0"/>
        <w:rPr>
          <w:rFonts w:ascii="仿宋" w:hAnsi="仿宋" w:eastAsia="仿宋"/>
          <w:color w:val="000000" w:themeColor="text1"/>
          <w:highlight w:val="none"/>
          <w14:textFill>
            <w14:solidFill>
              <w14:schemeClr w14:val="tx1"/>
            </w14:solidFill>
          </w14:textFill>
        </w:rPr>
      </w:pPr>
      <w:r>
        <w:rPr>
          <w:rStyle w:val="338"/>
          <w:rFonts w:ascii="仿宋" w:eastAsia="仿宋"/>
          <w:color w:val="000000" w:themeColor="text1"/>
          <w:sz w:val="28"/>
          <w:szCs w:val="28"/>
          <w:highlight w:val="none"/>
          <w14:textFill>
            <w14:solidFill>
              <w14:schemeClr w14:val="tx1"/>
            </w14:solidFill>
          </w14:textFill>
        </w:rPr>
        <w:t>代表签字:</w:t>
      </w:r>
    </w:p>
    <w:p w14:paraId="2D5DE75B">
      <w:pPr>
        <w:pStyle w:val="13"/>
        <w:rPr>
          <w:rFonts w:ascii="仿宋" w:hAnsi="仿宋" w:eastAsia="仿宋"/>
          <w:color w:val="000000" w:themeColor="text1"/>
          <w:highlight w:val="none"/>
          <w14:textFill>
            <w14:solidFill>
              <w14:schemeClr w14:val="tx1"/>
            </w14:solidFill>
          </w14:textFill>
        </w:rPr>
      </w:pPr>
    </w:p>
    <w:bookmarkEnd w:id="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14:paraId="3524B376">
        <w:pPr>
          <w:pStyle w:val="29"/>
          <w:jc w:val="center"/>
        </w:pPr>
        <w:r>
          <w:fldChar w:fldCharType="begin"/>
        </w:r>
        <w:r>
          <w:instrText xml:space="preserve"> PAGE   \* MERGEFORMAT </w:instrText>
        </w:r>
        <w:r>
          <w:fldChar w:fldCharType="separate"/>
        </w:r>
        <w:r>
          <w:rPr>
            <w:lang w:val="zh-CN"/>
          </w:rPr>
          <w:t>2</w:t>
        </w:r>
        <w:r>
          <w:rPr>
            <w:lang w:val="zh-CN"/>
          </w:rPr>
          <w:fldChar w:fldCharType="end"/>
        </w:r>
      </w:p>
    </w:sdtContent>
  </w:sdt>
  <w:p w14:paraId="7E6D7CA0">
    <w:pPr>
      <w:pStyle w:val="29"/>
      <w:pBdr>
        <w:top w:val="single" w:color="auto" w:sz="4" w:space="1"/>
      </w:pBdr>
      <w:spacing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1C146">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1E263">
    <w:pPr>
      <w:jc w:val="center"/>
    </w:pPr>
    <w:r>
      <w:fldChar w:fldCharType="begin"/>
    </w:r>
    <w:r>
      <w:instrText xml:space="preserve"> PAGE   \* MERGEFORMAT </w:instrText>
    </w:r>
    <w:r>
      <w:fldChar w:fldCharType="separate"/>
    </w:r>
    <w:r>
      <w:t>12</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C92AC">
    <w:pPr>
      <w:rPr>
        <w:rFonts w:ascii="宋体" w:hAnsi="宋体"/>
        <w:b/>
        <w:bCs/>
      </w:rPr>
    </w:pPr>
    <w:r>
      <w:rPr>
        <w:rFonts w:hint="eastAsia" w:ascii="宋体" w:hAnsi="宋体"/>
        <w:bCs/>
      </w:rPr>
      <w:t>湖北省政府采购中心编制</w:t>
    </w:r>
    <w:r>
      <w:rPr>
        <w:rFonts w:ascii="宋体" w:hAnsi="宋体"/>
        <w:bCs/>
      </w:rPr>
      <w:t>V3.0.2017.0930</w:t>
    </w:r>
  </w:p>
  <w:p w14:paraId="4F55BA35">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60</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776AA">
    <w:pPr>
      <w:pStyle w:val="30"/>
    </w:pPr>
    <w:r>
      <w:fldChar w:fldCharType="begin"/>
    </w:r>
    <w:r>
      <w:instrText xml:space="preserve">PAGE   \* MERGEFORMAT</w:instrText>
    </w:r>
    <w:r>
      <w:fldChar w:fldCharType="separate"/>
    </w:r>
    <w:r>
      <w:t>89</w:t>
    </w:r>
    <w:r>
      <w:rPr>
        <w:lang w:val="zh-CN"/>
      </w:rPr>
      <w:fldChar w:fldCharType="end"/>
    </w:r>
  </w:p>
  <w:p w14:paraId="0D9160E9">
    <w:pPr>
      <w:pStyle w:val="18"/>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DDA14">
    <w:pPr>
      <w:jc w:val="center"/>
    </w:pPr>
    <w:r>
      <w:fldChar w:fldCharType="begin"/>
    </w:r>
    <w:r>
      <w:instrText xml:space="preserve"> PAGE   \* MERGEFORMAT </w:instrText>
    </w:r>
    <w:r>
      <w:fldChar w:fldCharType="separate"/>
    </w:r>
    <w:r>
      <w:t>90</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6493">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94</w:t>
    </w:r>
    <w:r>
      <w:fldChar w:fldCharType="end"/>
    </w:r>
  </w:p>
  <w:p w14:paraId="73F98B5B">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C7AD1">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90A7">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CAA50">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4B15">
    <w:pPr>
      <w:pStyle w:val="18"/>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3BB8E">
    <w:pPr>
      <w:pStyle w:val="3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26200">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2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VmNTM2N2UzNzUwNTk3NGIyNTc4ZGRkNjFlNjI4NjkifQ=="/>
  </w:docVars>
  <w:rsids>
    <w:rsidRoot w:val="00E729D8"/>
    <w:rsid w:val="00003B04"/>
    <w:rsid w:val="000048B3"/>
    <w:rsid w:val="00004F29"/>
    <w:rsid w:val="00006295"/>
    <w:rsid w:val="0000633F"/>
    <w:rsid w:val="00006983"/>
    <w:rsid w:val="00007BF4"/>
    <w:rsid w:val="000103AD"/>
    <w:rsid w:val="000115A9"/>
    <w:rsid w:val="0001417A"/>
    <w:rsid w:val="00015421"/>
    <w:rsid w:val="000206C9"/>
    <w:rsid w:val="000224AA"/>
    <w:rsid w:val="0002262D"/>
    <w:rsid w:val="00025447"/>
    <w:rsid w:val="0002563B"/>
    <w:rsid w:val="000260B3"/>
    <w:rsid w:val="00027998"/>
    <w:rsid w:val="00030295"/>
    <w:rsid w:val="00030B07"/>
    <w:rsid w:val="00030F8C"/>
    <w:rsid w:val="000316F2"/>
    <w:rsid w:val="00031983"/>
    <w:rsid w:val="0003228E"/>
    <w:rsid w:val="00032582"/>
    <w:rsid w:val="000337A9"/>
    <w:rsid w:val="0003495B"/>
    <w:rsid w:val="00042274"/>
    <w:rsid w:val="0004428F"/>
    <w:rsid w:val="000461D8"/>
    <w:rsid w:val="000463F0"/>
    <w:rsid w:val="00050873"/>
    <w:rsid w:val="00050C5F"/>
    <w:rsid w:val="00052A50"/>
    <w:rsid w:val="00052DA4"/>
    <w:rsid w:val="0005771C"/>
    <w:rsid w:val="000618DA"/>
    <w:rsid w:val="000656E8"/>
    <w:rsid w:val="0006771B"/>
    <w:rsid w:val="00070AE6"/>
    <w:rsid w:val="000712D9"/>
    <w:rsid w:val="000756A0"/>
    <w:rsid w:val="00076F62"/>
    <w:rsid w:val="00080AEE"/>
    <w:rsid w:val="00080E3C"/>
    <w:rsid w:val="00081B46"/>
    <w:rsid w:val="00082AAE"/>
    <w:rsid w:val="0008368A"/>
    <w:rsid w:val="00083892"/>
    <w:rsid w:val="00083BC0"/>
    <w:rsid w:val="00086B8A"/>
    <w:rsid w:val="00086D95"/>
    <w:rsid w:val="000924BE"/>
    <w:rsid w:val="00092C93"/>
    <w:rsid w:val="00095534"/>
    <w:rsid w:val="00095AEC"/>
    <w:rsid w:val="00095DD4"/>
    <w:rsid w:val="00096240"/>
    <w:rsid w:val="00096A0F"/>
    <w:rsid w:val="000A093B"/>
    <w:rsid w:val="000A0F92"/>
    <w:rsid w:val="000A198D"/>
    <w:rsid w:val="000A1AFB"/>
    <w:rsid w:val="000A3C2B"/>
    <w:rsid w:val="000A60EC"/>
    <w:rsid w:val="000A6447"/>
    <w:rsid w:val="000A7720"/>
    <w:rsid w:val="000B1B7B"/>
    <w:rsid w:val="000B2D5C"/>
    <w:rsid w:val="000B4896"/>
    <w:rsid w:val="000B65FB"/>
    <w:rsid w:val="000B6F61"/>
    <w:rsid w:val="000C0E24"/>
    <w:rsid w:val="000C10AD"/>
    <w:rsid w:val="000C1B27"/>
    <w:rsid w:val="000C329D"/>
    <w:rsid w:val="000C4891"/>
    <w:rsid w:val="000C4CB0"/>
    <w:rsid w:val="000C4D4D"/>
    <w:rsid w:val="000C508F"/>
    <w:rsid w:val="000C5F52"/>
    <w:rsid w:val="000C62AF"/>
    <w:rsid w:val="000C6407"/>
    <w:rsid w:val="000C6BAE"/>
    <w:rsid w:val="000C72C4"/>
    <w:rsid w:val="000C7C85"/>
    <w:rsid w:val="000D0129"/>
    <w:rsid w:val="000D09BC"/>
    <w:rsid w:val="000D1AFE"/>
    <w:rsid w:val="000D27B5"/>
    <w:rsid w:val="000D2849"/>
    <w:rsid w:val="000D4349"/>
    <w:rsid w:val="000D4CCC"/>
    <w:rsid w:val="000D7C1D"/>
    <w:rsid w:val="000E14BC"/>
    <w:rsid w:val="000E14D7"/>
    <w:rsid w:val="000E3B19"/>
    <w:rsid w:val="000E3E45"/>
    <w:rsid w:val="000E3EDC"/>
    <w:rsid w:val="000E428E"/>
    <w:rsid w:val="000E473D"/>
    <w:rsid w:val="000E5C1C"/>
    <w:rsid w:val="000E5EE5"/>
    <w:rsid w:val="000E6EE0"/>
    <w:rsid w:val="000F002B"/>
    <w:rsid w:val="000F01A3"/>
    <w:rsid w:val="000F2BB3"/>
    <w:rsid w:val="000F41B9"/>
    <w:rsid w:val="000F5361"/>
    <w:rsid w:val="000F581D"/>
    <w:rsid w:val="000F6D10"/>
    <w:rsid w:val="00100081"/>
    <w:rsid w:val="00102A25"/>
    <w:rsid w:val="00103135"/>
    <w:rsid w:val="001036DE"/>
    <w:rsid w:val="00104F04"/>
    <w:rsid w:val="001058AF"/>
    <w:rsid w:val="00105F5E"/>
    <w:rsid w:val="0010784B"/>
    <w:rsid w:val="001129E9"/>
    <w:rsid w:val="00116FB6"/>
    <w:rsid w:val="0012295D"/>
    <w:rsid w:val="001260A4"/>
    <w:rsid w:val="00126C2F"/>
    <w:rsid w:val="00127474"/>
    <w:rsid w:val="00131196"/>
    <w:rsid w:val="00132D84"/>
    <w:rsid w:val="00133712"/>
    <w:rsid w:val="00133F79"/>
    <w:rsid w:val="00134C3A"/>
    <w:rsid w:val="001366ED"/>
    <w:rsid w:val="00137650"/>
    <w:rsid w:val="001413E4"/>
    <w:rsid w:val="001420A1"/>
    <w:rsid w:val="00142795"/>
    <w:rsid w:val="0014339B"/>
    <w:rsid w:val="0014495C"/>
    <w:rsid w:val="0014541D"/>
    <w:rsid w:val="00145A47"/>
    <w:rsid w:val="001519FC"/>
    <w:rsid w:val="001521F9"/>
    <w:rsid w:val="00153C4E"/>
    <w:rsid w:val="001562B8"/>
    <w:rsid w:val="001603BB"/>
    <w:rsid w:val="00162599"/>
    <w:rsid w:val="001632B9"/>
    <w:rsid w:val="00165CD4"/>
    <w:rsid w:val="00171F0C"/>
    <w:rsid w:val="001724C4"/>
    <w:rsid w:val="0017275F"/>
    <w:rsid w:val="00173826"/>
    <w:rsid w:val="001811B9"/>
    <w:rsid w:val="00181EBA"/>
    <w:rsid w:val="00182683"/>
    <w:rsid w:val="00183278"/>
    <w:rsid w:val="00185F39"/>
    <w:rsid w:val="00192825"/>
    <w:rsid w:val="00192E49"/>
    <w:rsid w:val="0019481B"/>
    <w:rsid w:val="00195CCE"/>
    <w:rsid w:val="001A1B90"/>
    <w:rsid w:val="001A43C1"/>
    <w:rsid w:val="001B3EE1"/>
    <w:rsid w:val="001B3EE7"/>
    <w:rsid w:val="001B796F"/>
    <w:rsid w:val="001C086B"/>
    <w:rsid w:val="001C2721"/>
    <w:rsid w:val="001C4496"/>
    <w:rsid w:val="001C4ADB"/>
    <w:rsid w:val="001C5FAD"/>
    <w:rsid w:val="001C77B5"/>
    <w:rsid w:val="001D114C"/>
    <w:rsid w:val="001D2425"/>
    <w:rsid w:val="001D29C0"/>
    <w:rsid w:val="001D4B99"/>
    <w:rsid w:val="001D4FC3"/>
    <w:rsid w:val="001D51AC"/>
    <w:rsid w:val="001D6913"/>
    <w:rsid w:val="001D6AE4"/>
    <w:rsid w:val="001E1230"/>
    <w:rsid w:val="001E21BF"/>
    <w:rsid w:val="001E318E"/>
    <w:rsid w:val="001E3260"/>
    <w:rsid w:val="001E4D1B"/>
    <w:rsid w:val="001F352E"/>
    <w:rsid w:val="001F44E7"/>
    <w:rsid w:val="001F4559"/>
    <w:rsid w:val="0020199A"/>
    <w:rsid w:val="002028A6"/>
    <w:rsid w:val="00202914"/>
    <w:rsid w:val="00203165"/>
    <w:rsid w:val="00204AE8"/>
    <w:rsid w:val="00204D06"/>
    <w:rsid w:val="00205DD7"/>
    <w:rsid w:val="00206D82"/>
    <w:rsid w:val="002075B0"/>
    <w:rsid w:val="00212E00"/>
    <w:rsid w:val="00214222"/>
    <w:rsid w:val="00214B46"/>
    <w:rsid w:val="0021657E"/>
    <w:rsid w:val="00221D00"/>
    <w:rsid w:val="00222F7D"/>
    <w:rsid w:val="002237B9"/>
    <w:rsid w:val="00224DFB"/>
    <w:rsid w:val="002250D5"/>
    <w:rsid w:val="0022562C"/>
    <w:rsid w:val="00226E77"/>
    <w:rsid w:val="00227CD8"/>
    <w:rsid w:val="00231CB3"/>
    <w:rsid w:val="00232037"/>
    <w:rsid w:val="002325F9"/>
    <w:rsid w:val="0023291D"/>
    <w:rsid w:val="00233943"/>
    <w:rsid w:val="002347C2"/>
    <w:rsid w:val="0023588A"/>
    <w:rsid w:val="00241A5E"/>
    <w:rsid w:val="00242933"/>
    <w:rsid w:val="002472F7"/>
    <w:rsid w:val="00247C24"/>
    <w:rsid w:val="00247D73"/>
    <w:rsid w:val="0025057A"/>
    <w:rsid w:val="0025135C"/>
    <w:rsid w:val="002515E7"/>
    <w:rsid w:val="0025354A"/>
    <w:rsid w:val="002554F6"/>
    <w:rsid w:val="00255A67"/>
    <w:rsid w:val="002562F0"/>
    <w:rsid w:val="00257021"/>
    <w:rsid w:val="0025766A"/>
    <w:rsid w:val="0025795E"/>
    <w:rsid w:val="00261E49"/>
    <w:rsid w:val="00262282"/>
    <w:rsid w:val="00263262"/>
    <w:rsid w:val="0026370A"/>
    <w:rsid w:val="00263A31"/>
    <w:rsid w:val="00267879"/>
    <w:rsid w:val="00272E3E"/>
    <w:rsid w:val="002730AA"/>
    <w:rsid w:val="00273E6F"/>
    <w:rsid w:val="002765A3"/>
    <w:rsid w:val="0027756F"/>
    <w:rsid w:val="00282E2F"/>
    <w:rsid w:val="0028316F"/>
    <w:rsid w:val="002849BD"/>
    <w:rsid w:val="00287900"/>
    <w:rsid w:val="00287F38"/>
    <w:rsid w:val="002918D6"/>
    <w:rsid w:val="00293463"/>
    <w:rsid w:val="00293822"/>
    <w:rsid w:val="0029410F"/>
    <w:rsid w:val="00294740"/>
    <w:rsid w:val="002951D1"/>
    <w:rsid w:val="0029645E"/>
    <w:rsid w:val="00296C32"/>
    <w:rsid w:val="00297B49"/>
    <w:rsid w:val="002A0B14"/>
    <w:rsid w:val="002A167A"/>
    <w:rsid w:val="002A26FD"/>
    <w:rsid w:val="002A4F2D"/>
    <w:rsid w:val="002A51A4"/>
    <w:rsid w:val="002A548D"/>
    <w:rsid w:val="002A54DE"/>
    <w:rsid w:val="002A6A05"/>
    <w:rsid w:val="002A7CF9"/>
    <w:rsid w:val="002B09C5"/>
    <w:rsid w:val="002B0A47"/>
    <w:rsid w:val="002B1D21"/>
    <w:rsid w:val="002B2BF0"/>
    <w:rsid w:val="002B2DA9"/>
    <w:rsid w:val="002B31AD"/>
    <w:rsid w:val="002B3EF4"/>
    <w:rsid w:val="002B480D"/>
    <w:rsid w:val="002B5187"/>
    <w:rsid w:val="002B6E0A"/>
    <w:rsid w:val="002B7B17"/>
    <w:rsid w:val="002D188A"/>
    <w:rsid w:val="002D2697"/>
    <w:rsid w:val="002D37E3"/>
    <w:rsid w:val="002D3F71"/>
    <w:rsid w:val="002D4B5E"/>
    <w:rsid w:val="002D5FF6"/>
    <w:rsid w:val="002D6A18"/>
    <w:rsid w:val="002D772A"/>
    <w:rsid w:val="002D7F41"/>
    <w:rsid w:val="002E10FF"/>
    <w:rsid w:val="002E201D"/>
    <w:rsid w:val="002F015B"/>
    <w:rsid w:val="002F0221"/>
    <w:rsid w:val="002F10EC"/>
    <w:rsid w:val="002F27D3"/>
    <w:rsid w:val="002F3B4C"/>
    <w:rsid w:val="002F40CC"/>
    <w:rsid w:val="002F4571"/>
    <w:rsid w:val="002F5E0F"/>
    <w:rsid w:val="002F5FCC"/>
    <w:rsid w:val="002F7DA0"/>
    <w:rsid w:val="003006EF"/>
    <w:rsid w:val="0030124D"/>
    <w:rsid w:val="003025BA"/>
    <w:rsid w:val="00302995"/>
    <w:rsid w:val="00302A95"/>
    <w:rsid w:val="00303EAE"/>
    <w:rsid w:val="00304109"/>
    <w:rsid w:val="003044E5"/>
    <w:rsid w:val="003061E9"/>
    <w:rsid w:val="00306655"/>
    <w:rsid w:val="00306B58"/>
    <w:rsid w:val="003120C5"/>
    <w:rsid w:val="00312FB9"/>
    <w:rsid w:val="0031326D"/>
    <w:rsid w:val="00313351"/>
    <w:rsid w:val="00314D1E"/>
    <w:rsid w:val="00316553"/>
    <w:rsid w:val="00316ECB"/>
    <w:rsid w:val="00322E47"/>
    <w:rsid w:val="00322F68"/>
    <w:rsid w:val="00322FE0"/>
    <w:rsid w:val="00323437"/>
    <w:rsid w:val="003266BD"/>
    <w:rsid w:val="003309B7"/>
    <w:rsid w:val="00330AFD"/>
    <w:rsid w:val="0033203E"/>
    <w:rsid w:val="00333D89"/>
    <w:rsid w:val="003341B2"/>
    <w:rsid w:val="00335A46"/>
    <w:rsid w:val="003403D9"/>
    <w:rsid w:val="003409CA"/>
    <w:rsid w:val="00341BDB"/>
    <w:rsid w:val="00346566"/>
    <w:rsid w:val="00350109"/>
    <w:rsid w:val="00350DD7"/>
    <w:rsid w:val="00351FCA"/>
    <w:rsid w:val="00354D6F"/>
    <w:rsid w:val="00354E87"/>
    <w:rsid w:val="003552F0"/>
    <w:rsid w:val="00355C0D"/>
    <w:rsid w:val="00355F38"/>
    <w:rsid w:val="00355FCD"/>
    <w:rsid w:val="003565C3"/>
    <w:rsid w:val="00360EC2"/>
    <w:rsid w:val="00361482"/>
    <w:rsid w:val="00361CA7"/>
    <w:rsid w:val="0036279E"/>
    <w:rsid w:val="00362DCA"/>
    <w:rsid w:val="0036333E"/>
    <w:rsid w:val="00363CAD"/>
    <w:rsid w:val="00366245"/>
    <w:rsid w:val="003666FE"/>
    <w:rsid w:val="00370012"/>
    <w:rsid w:val="003715AC"/>
    <w:rsid w:val="00371AC5"/>
    <w:rsid w:val="00371D8D"/>
    <w:rsid w:val="003734F4"/>
    <w:rsid w:val="003745D5"/>
    <w:rsid w:val="00375CC8"/>
    <w:rsid w:val="003763FE"/>
    <w:rsid w:val="003767A5"/>
    <w:rsid w:val="0038088A"/>
    <w:rsid w:val="00383193"/>
    <w:rsid w:val="00383974"/>
    <w:rsid w:val="0039110E"/>
    <w:rsid w:val="003915F0"/>
    <w:rsid w:val="003919F2"/>
    <w:rsid w:val="00392732"/>
    <w:rsid w:val="003932D4"/>
    <w:rsid w:val="003943C1"/>
    <w:rsid w:val="003A1F6C"/>
    <w:rsid w:val="003A31B2"/>
    <w:rsid w:val="003A4062"/>
    <w:rsid w:val="003A49C8"/>
    <w:rsid w:val="003A57FD"/>
    <w:rsid w:val="003A7605"/>
    <w:rsid w:val="003A7A87"/>
    <w:rsid w:val="003B03D9"/>
    <w:rsid w:val="003B3D61"/>
    <w:rsid w:val="003B485F"/>
    <w:rsid w:val="003B5711"/>
    <w:rsid w:val="003C0B4D"/>
    <w:rsid w:val="003C5D35"/>
    <w:rsid w:val="003C62D2"/>
    <w:rsid w:val="003C6BF9"/>
    <w:rsid w:val="003C7563"/>
    <w:rsid w:val="003D0986"/>
    <w:rsid w:val="003D0EA1"/>
    <w:rsid w:val="003D21BB"/>
    <w:rsid w:val="003D58B1"/>
    <w:rsid w:val="003D673D"/>
    <w:rsid w:val="003D6D01"/>
    <w:rsid w:val="003E04E4"/>
    <w:rsid w:val="003E0EBA"/>
    <w:rsid w:val="003E22DE"/>
    <w:rsid w:val="003E2503"/>
    <w:rsid w:val="003E3C7B"/>
    <w:rsid w:val="003E4150"/>
    <w:rsid w:val="003E77FA"/>
    <w:rsid w:val="003F3A85"/>
    <w:rsid w:val="00400BCB"/>
    <w:rsid w:val="00401046"/>
    <w:rsid w:val="00401659"/>
    <w:rsid w:val="004059FF"/>
    <w:rsid w:val="004070F4"/>
    <w:rsid w:val="004103D5"/>
    <w:rsid w:val="00411370"/>
    <w:rsid w:val="004116BF"/>
    <w:rsid w:val="00412813"/>
    <w:rsid w:val="004146EB"/>
    <w:rsid w:val="00415953"/>
    <w:rsid w:val="00415E9E"/>
    <w:rsid w:val="00416391"/>
    <w:rsid w:val="00417D82"/>
    <w:rsid w:val="00421028"/>
    <w:rsid w:val="0042115B"/>
    <w:rsid w:val="00422364"/>
    <w:rsid w:val="00424559"/>
    <w:rsid w:val="00430117"/>
    <w:rsid w:val="004318A6"/>
    <w:rsid w:val="0043338A"/>
    <w:rsid w:val="0043638B"/>
    <w:rsid w:val="004372EA"/>
    <w:rsid w:val="00440970"/>
    <w:rsid w:val="00441B51"/>
    <w:rsid w:val="00443859"/>
    <w:rsid w:val="00446374"/>
    <w:rsid w:val="00446551"/>
    <w:rsid w:val="0044704F"/>
    <w:rsid w:val="004521C6"/>
    <w:rsid w:val="004544D1"/>
    <w:rsid w:val="004558FC"/>
    <w:rsid w:val="00462397"/>
    <w:rsid w:val="004646D8"/>
    <w:rsid w:val="00464E11"/>
    <w:rsid w:val="004656ED"/>
    <w:rsid w:val="004668A1"/>
    <w:rsid w:val="00470302"/>
    <w:rsid w:val="00471F24"/>
    <w:rsid w:val="00472369"/>
    <w:rsid w:val="00472976"/>
    <w:rsid w:val="00472AA4"/>
    <w:rsid w:val="00473753"/>
    <w:rsid w:val="004739C8"/>
    <w:rsid w:val="0047400E"/>
    <w:rsid w:val="00475D91"/>
    <w:rsid w:val="0047709E"/>
    <w:rsid w:val="004778DC"/>
    <w:rsid w:val="00481337"/>
    <w:rsid w:val="004837BD"/>
    <w:rsid w:val="00484A38"/>
    <w:rsid w:val="0049097F"/>
    <w:rsid w:val="00491D41"/>
    <w:rsid w:val="00492833"/>
    <w:rsid w:val="00494BFA"/>
    <w:rsid w:val="00495856"/>
    <w:rsid w:val="00496896"/>
    <w:rsid w:val="004A2235"/>
    <w:rsid w:val="004A3153"/>
    <w:rsid w:val="004A3950"/>
    <w:rsid w:val="004A4841"/>
    <w:rsid w:val="004A6CBD"/>
    <w:rsid w:val="004B016C"/>
    <w:rsid w:val="004B1930"/>
    <w:rsid w:val="004B30D8"/>
    <w:rsid w:val="004B3668"/>
    <w:rsid w:val="004B4434"/>
    <w:rsid w:val="004B497B"/>
    <w:rsid w:val="004B6C77"/>
    <w:rsid w:val="004B7AE5"/>
    <w:rsid w:val="004B7CDD"/>
    <w:rsid w:val="004C14C0"/>
    <w:rsid w:val="004C4873"/>
    <w:rsid w:val="004C5FC6"/>
    <w:rsid w:val="004C6EAD"/>
    <w:rsid w:val="004D13C5"/>
    <w:rsid w:val="004D1C72"/>
    <w:rsid w:val="004D1D1B"/>
    <w:rsid w:val="004D36D9"/>
    <w:rsid w:val="004D51AC"/>
    <w:rsid w:val="004D5EEE"/>
    <w:rsid w:val="004D61F3"/>
    <w:rsid w:val="004D6F8A"/>
    <w:rsid w:val="004E031D"/>
    <w:rsid w:val="004E0886"/>
    <w:rsid w:val="004E0C18"/>
    <w:rsid w:val="004E0F67"/>
    <w:rsid w:val="004E1D64"/>
    <w:rsid w:val="004E2AD0"/>
    <w:rsid w:val="004E2E7C"/>
    <w:rsid w:val="004E332C"/>
    <w:rsid w:val="004E4452"/>
    <w:rsid w:val="004E776E"/>
    <w:rsid w:val="004F22B5"/>
    <w:rsid w:val="004F3C91"/>
    <w:rsid w:val="004F5039"/>
    <w:rsid w:val="004F53A1"/>
    <w:rsid w:val="004F57A5"/>
    <w:rsid w:val="004F607F"/>
    <w:rsid w:val="004F7661"/>
    <w:rsid w:val="004F76BE"/>
    <w:rsid w:val="005029F3"/>
    <w:rsid w:val="00502F4C"/>
    <w:rsid w:val="00502FEE"/>
    <w:rsid w:val="00503C71"/>
    <w:rsid w:val="0050432D"/>
    <w:rsid w:val="00505DB4"/>
    <w:rsid w:val="00505F2E"/>
    <w:rsid w:val="00506702"/>
    <w:rsid w:val="00510221"/>
    <w:rsid w:val="00512231"/>
    <w:rsid w:val="00512E9B"/>
    <w:rsid w:val="00513190"/>
    <w:rsid w:val="00513BA0"/>
    <w:rsid w:val="00515DA9"/>
    <w:rsid w:val="00517237"/>
    <w:rsid w:val="005179E1"/>
    <w:rsid w:val="00517D4E"/>
    <w:rsid w:val="00522773"/>
    <w:rsid w:val="005248BB"/>
    <w:rsid w:val="005279DF"/>
    <w:rsid w:val="00527C93"/>
    <w:rsid w:val="0053114B"/>
    <w:rsid w:val="0053135D"/>
    <w:rsid w:val="0053164E"/>
    <w:rsid w:val="00531AEF"/>
    <w:rsid w:val="00537146"/>
    <w:rsid w:val="0054083F"/>
    <w:rsid w:val="005415CF"/>
    <w:rsid w:val="00541B36"/>
    <w:rsid w:val="005437ED"/>
    <w:rsid w:val="0055084B"/>
    <w:rsid w:val="005547F9"/>
    <w:rsid w:val="005554B1"/>
    <w:rsid w:val="00556E35"/>
    <w:rsid w:val="00557A16"/>
    <w:rsid w:val="00560714"/>
    <w:rsid w:val="00561388"/>
    <w:rsid w:val="00561F91"/>
    <w:rsid w:val="005631B3"/>
    <w:rsid w:val="00567661"/>
    <w:rsid w:val="00570032"/>
    <w:rsid w:val="00570334"/>
    <w:rsid w:val="00570FF7"/>
    <w:rsid w:val="0057155F"/>
    <w:rsid w:val="005715D7"/>
    <w:rsid w:val="00572C6B"/>
    <w:rsid w:val="005746A6"/>
    <w:rsid w:val="005771C3"/>
    <w:rsid w:val="0057778A"/>
    <w:rsid w:val="00580EC5"/>
    <w:rsid w:val="005833D9"/>
    <w:rsid w:val="00583FA5"/>
    <w:rsid w:val="005848BB"/>
    <w:rsid w:val="00584AE9"/>
    <w:rsid w:val="0058569C"/>
    <w:rsid w:val="00586F04"/>
    <w:rsid w:val="0059021A"/>
    <w:rsid w:val="0059049D"/>
    <w:rsid w:val="00590FC5"/>
    <w:rsid w:val="005921B2"/>
    <w:rsid w:val="005929F6"/>
    <w:rsid w:val="005941B8"/>
    <w:rsid w:val="00594B12"/>
    <w:rsid w:val="00594F86"/>
    <w:rsid w:val="00596086"/>
    <w:rsid w:val="0059660E"/>
    <w:rsid w:val="005A070E"/>
    <w:rsid w:val="005A2CD6"/>
    <w:rsid w:val="005A6BCE"/>
    <w:rsid w:val="005B1354"/>
    <w:rsid w:val="005B23B2"/>
    <w:rsid w:val="005B4981"/>
    <w:rsid w:val="005B52A5"/>
    <w:rsid w:val="005C34AD"/>
    <w:rsid w:val="005C4E42"/>
    <w:rsid w:val="005C79F4"/>
    <w:rsid w:val="005D0216"/>
    <w:rsid w:val="005D0B77"/>
    <w:rsid w:val="005D0D0D"/>
    <w:rsid w:val="005D2303"/>
    <w:rsid w:val="005D537B"/>
    <w:rsid w:val="005D5D92"/>
    <w:rsid w:val="005D6A60"/>
    <w:rsid w:val="005D7EC3"/>
    <w:rsid w:val="005E2C33"/>
    <w:rsid w:val="005E4610"/>
    <w:rsid w:val="005E7D1E"/>
    <w:rsid w:val="005F196D"/>
    <w:rsid w:val="005F1EB8"/>
    <w:rsid w:val="005F6CA3"/>
    <w:rsid w:val="00602A7B"/>
    <w:rsid w:val="006030D6"/>
    <w:rsid w:val="006042CC"/>
    <w:rsid w:val="006052F0"/>
    <w:rsid w:val="006074C3"/>
    <w:rsid w:val="00607A2B"/>
    <w:rsid w:val="006126D3"/>
    <w:rsid w:val="00612862"/>
    <w:rsid w:val="00614255"/>
    <w:rsid w:val="006159C2"/>
    <w:rsid w:val="00616E2F"/>
    <w:rsid w:val="006170BC"/>
    <w:rsid w:val="00617EB4"/>
    <w:rsid w:val="00622FB2"/>
    <w:rsid w:val="0062388B"/>
    <w:rsid w:val="00623EC5"/>
    <w:rsid w:val="0062527C"/>
    <w:rsid w:val="006254BD"/>
    <w:rsid w:val="00626CD4"/>
    <w:rsid w:val="00634B01"/>
    <w:rsid w:val="00634EB1"/>
    <w:rsid w:val="00635614"/>
    <w:rsid w:val="006372DA"/>
    <w:rsid w:val="00640C75"/>
    <w:rsid w:val="00641B58"/>
    <w:rsid w:val="00642FD4"/>
    <w:rsid w:val="006447B9"/>
    <w:rsid w:val="00645A45"/>
    <w:rsid w:val="00645ABF"/>
    <w:rsid w:val="00645E68"/>
    <w:rsid w:val="00650DB8"/>
    <w:rsid w:val="00653EFA"/>
    <w:rsid w:val="00655252"/>
    <w:rsid w:val="00655336"/>
    <w:rsid w:val="006556C3"/>
    <w:rsid w:val="0065725A"/>
    <w:rsid w:val="00657AC1"/>
    <w:rsid w:val="00663867"/>
    <w:rsid w:val="00663EEB"/>
    <w:rsid w:val="00664551"/>
    <w:rsid w:val="00667414"/>
    <w:rsid w:val="00667AA0"/>
    <w:rsid w:val="00667E86"/>
    <w:rsid w:val="006700F7"/>
    <w:rsid w:val="00684516"/>
    <w:rsid w:val="0068466C"/>
    <w:rsid w:val="00684A9A"/>
    <w:rsid w:val="00685953"/>
    <w:rsid w:val="006869FB"/>
    <w:rsid w:val="0068764E"/>
    <w:rsid w:val="00690ABD"/>
    <w:rsid w:val="00690B5C"/>
    <w:rsid w:val="006951F6"/>
    <w:rsid w:val="00696331"/>
    <w:rsid w:val="00697206"/>
    <w:rsid w:val="006A1A3C"/>
    <w:rsid w:val="006A3824"/>
    <w:rsid w:val="006A4778"/>
    <w:rsid w:val="006A4E17"/>
    <w:rsid w:val="006A650B"/>
    <w:rsid w:val="006B27B9"/>
    <w:rsid w:val="006B3BCA"/>
    <w:rsid w:val="006B72EE"/>
    <w:rsid w:val="006B737C"/>
    <w:rsid w:val="006B7B2B"/>
    <w:rsid w:val="006C10A5"/>
    <w:rsid w:val="006C4109"/>
    <w:rsid w:val="006C5D7A"/>
    <w:rsid w:val="006C74A3"/>
    <w:rsid w:val="006C7681"/>
    <w:rsid w:val="006D0B5A"/>
    <w:rsid w:val="006D0E2B"/>
    <w:rsid w:val="006D22D9"/>
    <w:rsid w:val="006D2ED9"/>
    <w:rsid w:val="006D3E74"/>
    <w:rsid w:val="006D517F"/>
    <w:rsid w:val="006D798F"/>
    <w:rsid w:val="006E22CA"/>
    <w:rsid w:val="006E3033"/>
    <w:rsid w:val="006E440F"/>
    <w:rsid w:val="006E7479"/>
    <w:rsid w:val="006E7AB6"/>
    <w:rsid w:val="006F077E"/>
    <w:rsid w:val="006F2328"/>
    <w:rsid w:val="006F555C"/>
    <w:rsid w:val="006F5CF4"/>
    <w:rsid w:val="006F5EB1"/>
    <w:rsid w:val="006F6C59"/>
    <w:rsid w:val="00702503"/>
    <w:rsid w:val="0070530B"/>
    <w:rsid w:val="00706767"/>
    <w:rsid w:val="00707235"/>
    <w:rsid w:val="00707F6C"/>
    <w:rsid w:val="00712207"/>
    <w:rsid w:val="0071277B"/>
    <w:rsid w:val="007127FA"/>
    <w:rsid w:val="0071335F"/>
    <w:rsid w:val="00713C6C"/>
    <w:rsid w:val="00713E98"/>
    <w:rsid w:val="007146CD"/>
    <w:rsid w:val="00716A1D"/>
    <w:rsid w:val="00717D64"/>
    <w:rsid w:val="007225A8"/>
    <w:rsid w:val="00722A9E"/>
    <w:rsid w:val="007237BE"/>
    <w:rsid w:val="007245EA"/>
    <w:rsid w:val="00727507"/>
    <w:rsid w:val="00727992"/>
    <w:rsid w:val="00727EFB"/>
    <w:rsid w:val="00727EFC"/>
    <w:rsid w:val="00730CE5"/>
    <w:rsid w:val="00730F6B"/>
    <w:rsid w:val="00731700"/>
    <w:rsid w:val="00731FD5"/>
    <w:rsid w:val="0073404A"/>
    <w:rsid w:val="00735A3F"/>
    <w:rsid w:val="00735A4C"/>
    <w:rsid w:val="00735FD3"/>
    <w:rsid w:val="00740710"/>
    <w:rsid w:val="007408E4"/>
    <w:rsid w:val="00742560"/>
    <w:rsid w:val="00744148"/>
    <w:rsid w:val="00744EDB"/>
    <w:rsid w:val="00745AAE"/>
    <w:rsid w:val="007467A6"/>
    <w:rsid w:val="00746899"/>
    <w:rsid w:val="007533F0"/>
    <w:rsid w:val="00756456"/>
    <w:rsid w:val="0075690B"/>
    <w:rsid w:val="00761D41"/>
    <w:rsid w:val="00763483"/>
    <w:rsid w:val="007654F0"/>
    <w:rsid w:val="00765885"/>
    <w:rsid w:val="00766340"/>
    <w:rsid w:val="0077017C"/>
    <w:rsid w:val="007703F0"/>
    <w:rsid w:val="00770EE4"/>
    <w:rsid w:val="00772BB0"/>
    <w:rsid w:val="00774A35"/>
    <w:rsid w:val="007768D9"/>
    <w:rsid w:val="00780F8F"/>
    <w:rsid w:val="0078104B"/>
    <w:rsid w:val="007821D5"/>
    <w:rsid w:val="0078388D"/>
    <w:rsid w:val="0078408C"/>
    <w:rsid w:val="00785039"/>
    <w:rsid w:val="00785ED3"/>
    <w:rsid w:val="00791053"/>
    <w:rsid w:val="00791455"/>
    <w:rsid w:val="00793F89"/>
    <w:rsid w:val="00794EB0"/>
    <w:rsid w:val="0079559D"/>
    <w:rsid w:val="007972E9"/>
    <w:rsid w:val="007A04FF"/>
    <w:rsid w:val="007A22FF"/>
    <w:rsid w:val="007A3F45"/>
    <w:rsid w:val="007A5C4B"/>
    <w:rsid w:val="007A7B81"/>
    <w:rsid w:val="007B01F2"/>
    <w:rsid w:val="007B0350"/>
    <w:rsid w:val="007B103B"/>
    <w:rsid w:val="007B1040"/>
    <w:rsid w:val="007B7C67"/>
    <w:rsid w:val="007C00DF"/>
    <w:rsid w:val="007C280E"/>
    <w:rsid w:val="007C2A52"/>
    <w:rsid w:val="007C319C"/>
    <w:rsid w:val="007C3E31"/>
    <w:rsid w:val="007C5B71"/>
    <w:rsid w:val="007C5BDC"/>
    <w:rsid w:val="007C7A5F"/>
    <w:rsid w:val="007D2629"/>
    <w:rsid w:val="007D2971"/>
    <w:rsid w:val="007D3206"/>
    <w:rsid w:val="007D339C"/>
    <w:rsid w:val="007D464D"/>
    <w:rsid w:val="007D586F"/>
    <w:rsid w:val="007D74F5"/>
    <w:rsid w:val="007E0B39"/>
    <w:rsid w:val="007E17C4"/>
    <w:rsid w:val="007E2BEE"/>
    <w:rsid w:val="007E39B8"/>
    <w:rsid w:val="007E3C56"/>
    <w:rsid w:val="007E3D53"/>
    <w:rsid w:val="007E452D"/>
    <w:rsid w:val="007E6852"/>
    <w:rsid w:val="007E780D"/>
    <w:rsid w:val="007F0D58"/>
    <w:rsid w:val="007F0E0E"/>
    <w:rsid w:val="007F1F2B"/>
    <w:rsid w:val="007F312A"/>
    <w:rsid w:val="007F51D3"/>
    <w:rsid w:val="007F5FDE"/>
    <w:rsid w:val="007F678F"/>
    <w:rsid w:val="008003D4"/>
    <w:rsid w:val="00800D67"/>
    <w:rsid w:val="00804863"/>
    <w:rsid w:val="00805F86"/>
    <w:rsid w:val="0080753F"/>
    <w:rsid w:val="00810AF3"/>
    <w:rsid w:val="00810FE8"/>
    <w:rsid w:val="00811871"/>
    <w:rsid w:val="0081652A"/>
    <w:rsid w:val="00816F04"/>
    <w:rsid w:val="00820EE8"/>
    <w:rsid w:val="00821E24"/>
    <w:rsid w:val="008236A2"/>
    <w:rsid w:val="00823955"/>
    <w:rsid w:val="00823E18"/>
    <w:rsid w:val="00824684"/>
    <w:rsid w:val="00825FB9"/>
    <w:rsid w:val="00826CA2"/>
    <w:rsid w:val="00831F86"/>
    <w:rsid w:val="00835120"/>
    <w:rsid w:val="0083524C"/>
    <w:rsid w:val="0083553B"/>
    <w:rsid w:val="00836873"/>
    <w:rsid w:val="00840872"/>
    <w:rsid w:val="0084175F"/>
    <w:rsid w:val="00842169"/>
    <w:rsid w:val="008430BF"/>
    <w:rsid w:val="0084512A"/>
    <w:rsid w:val="008461BB"/>
    <w:rsid w:val="00846FBB"/>
    <w:rsid w:val="008475FB"/>
    <w:rsid w:val="00851741"/>
    <w:rsid w:val="00852C94"/>
    <w:rsid w:val="00856DA8"/>
    <w:rsid w:val="0085798F"/>
    <w:rsid w:val="00860155"/>
    <w:rsid w:val="0086086D"/>
    <w:rsid w:val="0087076E"/>
    <w:rsid w:val="00870BDA"/>
    <w:rsid w:val="0087168C"/>
    <w:rsid w:val="00871991"/>
    <w:rsid w:val="00873E10"/>
    <w:rsid w:val="0087689B"/>
    <w:rsid w:val="00876F21"/>
    <w:rsid w:val="008776BD"/>
    <w:rsid w:val="00877D38"/>
    <w:rsid w:val="008825B9"/>
    <w:rsid w:val="00883798"/>
    <w:rsid w:val="0088691F"/>
    <w:rsid w:val="00886FDE"/>
    <w:rsid w:val="00893148"/>
    <w:rsid w:val="00894EF5"/>
    <w:rsid w:val="008955B4"/>
    <w:rsid w:val="008974CF"/>
    <w:rsid w:val="008977B6"/>
    <w:rsid w:val="008A0F7E"/>
    <w:rsid w:val="008A2A02"/>
    <w:rsid w:val="008A4F1B"/>
    <w:rsid w:val="008A58AA"/>
    <w:rsid w:val="008A6177"/>
    <w:rsid w:val="008A658E"/>
    <w:rsid w:val="008A666A"/>
    <w:rsid w:val="008A6E45"/>
    <w:rsid w:val="008A711A"/>
    <w:rsid w:val="008A7BAD"/>
    <w:rsid w:val="008A7CEE"/>
    <w:rsid w:val="008A7FE8"/>
    <w:rsid w:val="008B00A5"/>
    <w:rsid w:val="008B0B29"/>
    <w:rsid w:val="008B1D53"/>
    <w:rsid w:val="008B2C61"/>
    <w:rsid w:val="008B4E0F"/>
    <w:rsid w:val="008B60DC"/>
    <w:rsid w:val="008B629E"/>
    <w:rsid w:val="008B6407"/>
    <w:rsid w:val="008B6561"/>
    <w:rsid w:val="008B6677"/>
    <w:rsid w:val="008C0EA8"/>
    <w:rsid w:val="008C1F1B"/>
    <w:rsid w:val="008C20DE"/>
    <w:rsid w:val="008C2952"/>
    <w:rsid w:val="008C31A6"/>
    <w:rsid w:val="008C5357"/>
    <w:rsid w:val="008C5C3A"/>
    <w:rsid w:val="008C63D2"/>
    <w:rsid w:val="008C7B52"/>
    <w:rsid w:val="008D097E"/>
    <w:rsid w:val="008D1B06"/>
    <w:rsid w:val="008D36AD"/>
    <w:rsid w:val="008D3A4F"/>
    <w:rsid w:val="008D3CA2"/>
    <w:rsid w:val="008D63C1"/>
    <w:rsid w:val="008E01E6"/>
    <w:rsid w:val="008E1FAC"/>
    <w:rsid w:val="008E26AA"/>
    <w:rsid w:val="008E344E"/>
    <w:rsid w:val="008E3A74"/>
    <w:rsid w:val="008E3E0C"/>
    <w:rsid w:val="008E56FA"/>
    <w:rsid w:val="008E7782"/>
    <w:rsid w:val="008E7961"/>
    <w:rsid w:val="008F114B"/>
    <w:rsid w:val="008F1225"/>
    <w:rsid w:val="008F25FA"/>
    <w:rsid w:val="008F2AFA"/>
    <w:rsid w:val="008F2E34"/>
    <w:rsid w:val="008F5AA6"/>
    <w:rsid w:val="008F63B6"/>
    <w:rsid w:val="008F6C2A"/>
    <w:rsid w:val="00904FB6"/>
    <w:rsid w:val="00907FDE"/>
    <w:rsid w:val="009121EE"/>
    <w:rsid w:val="00912846"/>
    <w:rsid w:val="00912FA3"/>
    <w:rsid w:val="009150EC"/>
    <w:rsid w:val="00917116"/>
    <w:rsid w:val="00917919"/>
    <w:rsid w:val="0092157A"/>
    <w:rsid w:val="0092188A"/>
    <w:rsid w:val="00923263"/>
    <w:rsid w:val="00925301"/>
    <w:rsid w:val="0092570D"/>
    <w:rsid w:val="009301A8"/>
    <w:rsid w:val="00930527"/>
    <w:rsid w:val="00930584"/>
    <w:rsid w:val="009309A5"/>
    <w:rsid w:val="0093190F"/>
    <w:rsid w:val="00932DCC"/>
    <w:rsid w:val="0093320D"/>
    <w:rsid w:val="009349C3"/>
    <w:rsid w:val="00934EDF"/>
    <w:rsid w:val="00935C43"/>
    <w:rsid w:val="00936417"/>
    <w:rsid w:val="00936781"/>
    <w:rsid w:val="00941003"/>
    <w:rsid w:val="00943043"/>
    <w:rsid w:val="00946626"/>
    <w:rsid w:val="0095004F"/>
    <w:rsid w:val="009525ED"/>
    <w:rsid w:val="00953EDF"/>
    <w:rsid w:val="00954CE1"/>
    <w:rsid w:val="00954F5F"/>
    <w:rsid w:val="00955A32"/>
    <w:rsid w:val="00955C41"/>
    <w:rsid w:val="0095724B"/>
    <w:rsid w:val="00957E73"/>
    <w:rsid w:val="00960478"/>
    <w:rsid w:val="00960C67"/>
    <w:rsid w:val="0096120D"/>
    <w:rsid w:val="0096153F"/>
    <w:rsid w:val="00962773"/>
    <w:rsid w:val="00962EF1"/>
    <w:rsid w:val="00964731"/>
    <w:rsid w:val="009650E9"/>
    <w:rsid w:val="00967951"/>
    <w:rsid w:val="0097005A"/>
    <w:rsid w:val="00972DB7"/>
    <w:rsid w:val="009745F1"/>
    <w:rsid w:val="00980033"/>
    <w:rsid w:val="00980BEC"/>
    <w:rsid w:val="00981010"/>
    <w:rsid w:val="0098321F"/>
    <w:rsid w:val="00992190"/>
    <w:rsid w:val="00992B25"/>
    <w:rsid w:val="009A1CF4"/>
    <w:rsid w:val="009A400D"/>
    <w:rsid w:val="009A4166"/>
    <w:rsid w:val="009A4E3F"/>
    <w:rsid w:val="009A6E85"/>
    <w:rsid w:val="009A7ABA"/>
    <w:rsid w:val="009B013C"/>
    <w:rsid w:val="009B133B"/>
    <w:rsid w:val="009B191F"/>
    <w:rsid w:val="009B2915"/>
    <w:rsid w:val="009B35C8"/>
    <w:rsid w:val="009B527B"/>
    <w:rsid w:val="009B71C2"/>
    <w:rsid w:val="009C0C68"/>
    <w:rsid w:val="009C23D2"/>
    <w:rsid w:val="009C47C5"/>
    <w:rsid w:val="009C68E2"/>
    <w:rsid w:val="009C6D61"/>
    <w:rsid w:val="009D16D2"/>
    <w:rsid w:val="009D1720"/>
    <w:rsid w:val="009D2F33"/>
    <w:rsid w:val="009D4A16"/>
    <w:rsid w:val="009D4A50"/>
    <w:rsid w:val="009D62EA"/>
    <w:rsid w:val="009D7294"/>
    <w:rsid w:val="009E2400"/>
    <w:rsid w:val="009E2E12"/>
    <w:rsid w:val="009E7D7A"/>
    <w:rsid w:val="009F0DA6"/>
    <w:rsid w:val="009F34A5"/>
    <w:rsid w:val="009F4AB5"/>
    <w:rsid w:val="009F62A1"/>
    <w:rsid w:val="00A001A0"/>
    <w:rsid w:val="00A0174D"/>
    <w:rsid w:val="00A021DB"/>
    <w:rsid w:val="00A028E9"/>
    <w:rsid w:val="00A03871"/>
    <w:rsid w:val="00A05E29"/>
    <w:rsid w:val="00A11101"/>
    <w:rsid w:val="00A11676"/>
    <w:rsid w:val="00A15CDC"/>
    <w:rsid w:val="00A16FFF"/>
    <w:rsid w:val="00A220F8"/>
    <w:rsid w:val="00A26B8F"/>
    <w:rsid w:val="00A273C1"/>
    <w:rsid w:val="00A2771D"/>
    <w:rsid w:val="00A27A7E"/>
    <w:rsid w:val="00A335CC"/>
    <w:rsid w:val="00A33D60"/>
    <w:rsid w:val="00A33ECB"/>
    <w:rsid w:val="00A34A71"/>
    <w:rsid w:val="00A3576D"/>
    <w:rsid w:val="00A35F8F"/>
    <w:rsid w:val="00A36BC4"/>
    <w:rsid w:val="00A37A1F"/>
    <w:rsid w:val="00A37E8E"/>
    <w:rsid w:val="00A407E6"/>
    <w:rsid w:val="00A4157B"/>
    <w:rsid w:val="00A41779"/>
    <w:rsid w:val="00A422B6"/>
    <w:rsid w:val="00A42F75"/>
    <w:rsid w:val="00A43423"/>
    <w:rsid w:val="00A43D34"/>
    <w:rsid w:val="00A44D5F"/>
    <w:rsid w:val="00A44EA9"/>
    <w:rsid w:val="00A45DE9"/>
    <w:rsid w:val="00A4749A"/>
    <w:rsid w:val="00A50085"/>
    <w:rsid w:val="00A5070F"/>
    <w:rsid w:val="00A511F0"/>
    <w:rsid w:val="00A5706F"/>
    <w:rsid w:val="00A57123"/>
    <w:rsid w:val="00A57800"/>
    <w:rsid w:val="00A60A49"/>
    <w:rsid w:val="00A64FBB"/>
    <w:rsid w:val="00A65B8F"/>
    <w:rsid w:val="00A66091"/>
    <w:rsid w:val="00A71329"/>
    <w:rsid w:val="00A71383"/>
    <w:rsid w:val="00A72A37"/>
    <w:rsid w:val="00A7407B"/>
    <w:rsid w:val="00A76184"/>
    <w:rsid w:val="00A7782E"/>
    <w:rsid w:val="00A77B1F"/>
    <w:rsid w:val="00A816C4"/>
    <w:rsid w:val="00A82C68"/>
    <w:rsid w:val="00A831B2"/>
    <w:rsid w:val="00A8451E"/>
    <w:rsid w:val="00A84548"/>
    <w:rsid w:val="00A85688"/>
    <w:rsid w:val="00A857F5"/>
    <w:rsid w:val="00A868AE"/>
    <w:rsid w:val="00A86A54"/>
    <w:rsid w:val="00A8721B"/>
    <w:rsid w:val="00A91287"/>
    <w:rsid w:val="00A917C2"/>
    <w:rsid w:val="00A94D76"/>
    <w:rsid w:val="00A96DE7"/>
    <w:rsid w:val="00A96FB3"/>
    <w:rsid w:val="00AA0BFB"/>
    <w:rsid w:val="00AA1C16"/>
    <w:rsid w:val="00AA1D69"/>
    <w:rsid w:val="00AA27F6"/>
    <w:rsid w:val="00AA34D7"/>
    <w:rsid w:val="00AA368A"/>
    <w:rsid w:val="00AA499E"/>
    <w:rsid w:val="00AA639D"/>
    <w:rsid w:val="00AA643A"/>
    <w:rsid w:val="00AA6D58"/>
    <w:rsid w:val="00AA6D6A"/>
    <w:rsid w:val="00AA6DB7"/>
    <w:rsid w:val="00AB51F5"/>
    <w:rsid w:val="00AB6488"/>
    <w:rsid w:val="00AC13D4"/>
    <w:rsid w:val="00AC15CC"/>
    <w:rsid w:val="00AC4C9E"/>
    <w:rsid w:val="00AC53C8"/>
    <w:rsid w:val="00AC6A8C"/>
    <w:rsid w:val="00AD08BB"/>
    <w:rsid w:val="00AD10B0"/>
    <w:rsid w:val="00AD2176"/>
    <w:rsid w:val="00AD2D6E"/>
    <w:rsid w:val="00AD3BB8"/>
    <w:rsid w:val="00AD6199"/>
    <w:rsid w:val="00AD6874"/>
    <w:rsid w:val="00AD6A09"/>
    <w:rsid w:val="00AD742E"/>
    <w:rsid w:val="00AE38B4"/>
    <w:rsid w:val="00AE3986"/>
    <w:rsid w:val="00AE6762"/>
    <w:rsid w:val="00AF263D"/>
    <w:rsid w:val="00AF31A2"/>
    <w:rsid w:val="00AF77EB"/>
    <w:rsid w:val="00B02695"/>
    <w:rsid w:val="00B0609E"/>
    <w:rsid w:val="00B06246"/>
    <w:rsid w:val="00B07E4E"/>
    <w:rsid w:val="00B11656"/>
    <w:rsid w:val="00B12A5A"/>
    <w:rsid w:val="00B13E5F"/>
    <w:rsid w:val="00B172A6"/>
    <w:rsid w:val="00B178F5"/>
    <w:rsid w:val="00B17C65"/>
    <w:rsid w:val="00B226D9"/>
    <w:rsid w:val="00B24367"/>
    <w:rsid w:val="00B2534E"/>
    <w:rsid w:val="00B30059"/>
    <w:rsid w:val="00B30FDD"/>
    <w:rsid w:val="00B3368D"/>
    <w:rsid w:val="00B350D3"/>
    <w:rsid w:val="00B35D68"/>
    <w:rsid w:val="00B370B8"/>
    <w:rsid w:val="00B376EA"/>
    <w:rsid w:val="00B408F7"/>
    <w:rsid w:val="00B40F08"/>
    <w:rsid w:val="00B458A0"/>
    <w:rsid w:val="00B47726"/>
    <w:rsid w:val="00B507C5"/>
    <w:rsid w:val="00B5147E"/>
    <w:rsid w:val="00B53364"/>
    <w:rsid w:val="00B56134"/>
    <w:rsid w:val="00B63974"/>
    <w:rsid w:val="00B63B93"/>
    <w:rsid w:val="00B63FAC"/>
    <w:rsid w:val="00B677F5"/>
    <w:rsid w:val="00B71A06"/>
    <w:rsid w:val="00B71E9D"/>
    <w:rsid w:val="00B7206C"/>
    <w:rsid w:val="00B7483A"/>
    <w:rsid w:val="00B751B2"/>
    <w:rsid w:val="00B75657"/>
    <w:rsid w:val="00B75F70"/>
    <w:rsid w:val="00B778D5"/>
    <w:rsid w:val="00B77A4D"/>
    <w:rsid w:val="00B808B5"/>
    <w:rsid w:val="00B81657"/>
    <w:rsid w:val="00B84B99"/>
    <w:rsid w:val="00B87350"/>
    <w:rsid w:val="00B902CC"/>
    <w:rsid w:val="00B94404"/>
    <w:rsid w:val="00B947C1"/>
    <w:rsid w:val="00B94DD5"/>
    <w:rsid w:val="00B96F99"/>
    <w:rsid w:val="00BA1016"/>
    <w:rsid w:val="00BA190B"/>
    <w:rsid w:val="00BA2F46"/>
    <w:rsid w:val="00BA300B"/>
    <w:rsid w:val="00BA4C1A"/>
    <w:rsid w:val="00BA65B8"/>
    <w:rsid w:val="00BB1F06"/>
    <w:rsid w:val="00BB346E"/>
    <w:rsid w:val="00BB3628"/>
    <w:rsid w:val="00BB4E8C"/>
    <w:rsid w:val="00BB557F"/>
    <w:rsid w:val="00BB60B5"/>
    <w:rsid w:val="00BB6DBD"/>
    <w:rsid w:val="00BB780E"/>
    <w:rsid w:val="00BB7976"/>
    <w:rsid w:val="00BB7D07"/>
    <w:rsid w:val="00BC0C76"/>
    <w:rsid w:val="00BC101E"/>
    <w:rsid w:val="00BC1FE5"/>
    <w:rsid w:val="00BC38B9"/>
    <w:rsid w:val="00BC4579"/>
    <w:rsid w:val="00BC55AD"/>
    <w:rsid w:val="00BC584F"/>
    <w:rsid w:val="00BC5C38"/>
    <w:rsid w:val="00BC7DB7"/>
    <w:rsid w:val="00BD1D0F"/>
    <w:rsid w:val="00BD3D3B"/>
    <w:rsid w:val="00BD608E"/>
    <w:rsid w:val="00BD765F"/>
    <w:rsid w:val="00BD7870"/>
    <w:rsid w:val="00BE0CA5"/>
    <w:rsid w:val="00BE2450"/>
    <w:rsid w:val="00BE2A5E"/>
    <w:rsid w:val="00BE3497"/>
    <w:rsid w:val="00BE5DA5"/>
    <w:rsid w:val="00BE65D3"/>
    <w:rsid w:val="00BE6A13"/>
    <w:rsid w:val="00BF4591"/>
    <w:rsid w:val="00BF5E9C"/>
    <w:rsid w:val="00C00CC4"/>
    <w:rsid w:val="00C01736"/>
    <w:rsid w:val="00C019B3"/>
    <w:rsid w:val="00C02097"/>
    <w:rsid w:val="00C0299C"/>
    <w:rsid w:val="00C0410C"/>
    <w:rsid w:val="00C07FD3"/>
    <w:rsid w:val="00C10596"/>
    <w:rsid w:val="00C11EAE"/>
    <w:rsid w:val="00C12098"/>
    <w:rsid w:val="00C149DF"/>
    <w:rsid w:val="00C2263B"/>
    <w:rsid w:val="00C232CD"/>
    <w:rsid w:val="00C2333B"/>
    <w:rsid w:val="00C2418F"/>
    <w:rsid w:val="00C24C51"/>
    <w:rsid w:val="00C2718E"/>
    <w:rsid w:val="00C302E6"/>
    <w:rsid w:val="00C3072E"/>
    <w:rsid w:val="00C30A8D"/>
    <w:rsid w:val="00C3184A"/>
    <w:rsid w:val="00C33EB4"/>
    <w:rsid w:val="00C3405E"/>
    <w:rsid w:val="00C34233"/>
    <w:rsid w:val="00C369A7"/>
    <w:rsid w:val="00C3738B"/>
    <w:rsid w:val="00C40AB7"/>
    <w:rsid w:val="00C40FE5"/>
    <w:rsid w:val="00C44843"/>
    <w:rsid w:val="00C451E8"/>
    <w:rsid w:val="00C46F20"/>
    <w:rsid w:val="00C51199"/>
    <w:rsid w:val="00C51E5B"/>
    <w:rsid w:val="00C5290E"/>
    <w:rsid w:val="00C54A4C"/>
    <w:rsid w:val="00C56B56"/>
    <w:rsid w:val="00C574D6"/>
    <w:rsid w:val="00C577DA"/>
    <w:rsid w:val="00C57D7E"/>
    <w:rsid w:val="00C604EC"/>
    <w:rsid w:val="00C60BD4"/>
    <w:rsid w:val="00C60C11"/>
    <w:rsid w:val="00C60CCE"/>
    <w:rsid w:val="00C62405"/>
    <w:rsid w:val="00C63C57"/>
    <w:rsid w:val="00C65370"/>
    <w:rsid w:val="00C65742"/>
    <w:rsid w:val="00C66DA4"/>
    <w:rsid w:val="00C704F8"/>
    <w:rsid w:val="00C72569"/>
    <w:rsid w:val="00C72652"/>
    <w:rsid w:val="00C7267D"/>
    <w:rsid w:val="00C7387E"/>
    <w:rsid w:val="00C74BD9"/>
    <w:rsid w:val="00C77852"/>
    <w:rsid w:val="00C81826"/>
    <w:rsid w:val="00C83730"/>
    <w:rsid w:val="00C83AFA"/>
    <w:rsid w:val="00C83ECB"/>
    <w:rsid w:val="00C84113"/>
    <w:rsid w:val="00C84CA8"/>
    <w:rsid w:val="00C85B1D"/>
    <w:rsid w:val="00C87E1A"/>
    <w:rsid w:val="00C91A3F"/>
    <w:rsid w:val="00C92CB2"/>
    <w:rsid w:val="00C93C49"/>
    <w:rsid w:val="00C94D5B"/>
    <w:rsid w:val="00C95590"/>
    <w:rsid w:val="00C96329"/>
    <w:rsid w:val="00C963BB"/>
    <w:rsid w:val="00C97CFA"/>
    <w:rsid w:val="00CA1961"/>
    <w:rsid w:val="00CA2016"/>
    <w:rsid w:val="00CA213A"/>
    <w:rsid w:val="00CA259D"/>
    <w:rsid w:val="00CA499E"/>
    <w:rsid w:val="00CA5269"/>
    <w:rsid w:val="00CA6DD9"/>
    <w:rsid w:val="00CB01E1"/>
    <w:rsid w:val="00CB17C6"/>
    <w:rsid w:val="00CB1BA8"/>
    <w:rsid w:val="00CB40A9"/>
    <w:rsid w:val="00CB4F80"/>
    <w:rsid w:val="00CB5531"/>
    <w:rsid w:val="00CB7F99"/>
    <w:rsid w:val="00CC019A"/>
    <w:rsid w:val="00CC1691"/>
    <w:rsid w:val="00CC1FF0"/>
    <w:rsid w:val="00CC2A6A"/>
    <w:rsid w:val="00CC3788"/>
    <w:rsid w:val="00CC3944"/>
    <w:rsid w:val="00CC4D5D"/>
    <w:rsid w:val="00CD17E7"/>
    <w:rsid w:val="00CD1EAD"/>
    <w:rsid w:val="00CD365E"/>
    <w:rsid w:val="00CD3A1B"/>
    <w:rsid w:val="00CD4023"/>
    <w:rsid w:val="00CD5E47"/>
    <w:rsid w:val="00CD64DC"/>
    <w:rsid w:val="00CD72FC"/>
    <w:rsid w:val="00CE10AB"/>
    <w:rsid w:val="00CE1BFC"/>
    <w:rsid w:val="00CE2191"/>
    <w:rsid w:val="00CE41A0"/>
    <w:rsid w:val="00CE7E98"/>
    <w:rsid w:val="00CF04E4"/>
    <w:rsid w:val="00CF05AA"/>
    <w:rsid w:val="00CF0F67"/>
    <w:rsid w:val="00CF38E3"/>
    <w:rsid w:val="00CF4670"/>
    <w:rsid w:val="00CF556F"/>
    <w:rsid w:val="00D03E96"/>
    <w:rsid w:val="00D06C64"/>
    <w:rsid w:val="00D06DD2"/>
    <w:rsid w:val="00D12F39"/>
    <w:rsid w:val="00D1473C"/>
    <w:rsid w:val="00D14985"/>
    <w:rsid w:val="00D149F3"/>
    <w:rsid w:val="00D157A2"/>
    <w:rsid w:val="00D1621D"/>
    <w:rsid w:val="00D167FB"/>
    <w:rsid w:val="00D1690F"/>
    <w:rsid w:val="00D1700C"/>
    <w:rsid w:val="00D170E1"/>
    <w:rsid w:val="00D21FFD"/>
    <w:rsid w:val="00D22D6E"/>
    <w:rsid w:val="00D2471F"/>
    <w:rsid w:val="00D25DA2"/>
    <w:rsid w:val="00D3540D"/>
    <w:rsid w:val="00D375EC"/>
    <w:rsid w:val="00D41004"/>
    <w:rsid w:val="00D426CF"/>
    <w:rsid w:val="00D43737"/>
    <w:rsid w:val="00D444FB"/>
    <w:rsid w:val="00D53497"/>
    <w:rsid w:val="00D55553"/>
    <w:rsid w:val="00D56348"/>
    <w:rsid w:val="00D56859"/>
    <w:rsid w:val="00D57160"/>
    <w:rsid w:val="00D579DB"/>
    <w:rsid w:val="00D6005E"/>
    <w:rsid w:val="00D607A9"/>
    <w:rsid w:val="00D60DFB"/>
    <w:rsid w:val="00D61BE1"/>
    <w:rsid w:val="00D638ED"/>
    <w:rsid w:val="00D64F5E"/>
    <w:rsid w:val="00D668D4"/>
    <w:rsid w:val="00D66C48"/>
    <w:rsid w:val="00D67C99"/>
    <w:rsid w:val="00D731C0"/>
    <w:rsid w:val="00D732F9"/>
    <w:rsid w:val="00D738E4"/>
    <w:rsid w:val="00D7547C"/>
    <w:rsid w:val="00D76DB0"/>
    <w:rsid w:val="00D80912"/>
    <w:rsid w:val="00D8103A"/>
    <w:rsid w:val="00D82004"/>
    <w:rsid w:val="00D822E3"/>
    <w:rsid w:val="00D82BB0"/>
    <w:rsid w:val="00D82CC3"/>
    <w:rsid w:val="00D82E97"/>
    <w:rsid w:val="00D83B49"/>
    <w:rsid w:val="00D84879"/>
    <w:rsid w:val="00D85475"/>
    <w:rsid w:val="00D85FA5"/>
    <w:rsid w:val="00D8615A"/>
    <w:rsid w:val="00D86A1A"/>
    <w:rsid w:val="00D86B38"/>
    <w:rsid w:val="00D86EB0"/>
    <w:rsid w:val="00D906BB"/>
    <w:rsid w:val="00D90A7C"/>
    <w:rsid w:val="00D91214"/>
    <w:rsid w:val="00D93448"/>
    <w:rsid w:val="00D93943"/>
    <w:rsid w:val="00D94F1B"/>
    <w:rsid w:val="00DA3F55"/>
    <w:rsid w:val="00DA4178"/>
    <w:rsid w:val="00DA4AEE"/>
    <w:rsid w:val="00DA5263"/>
    <w:rsid w:val="00DA54D8"/>
    <w:rsid w:val="00DA6020"/>
    <w:rsid w:val="00DA6398"/>
    <w:rsid w:val="00DB050A"/>
    <w:rsid w:val="00DB2E38"/>
    <w:rsid w:val="00DB3856"/>
    <w:rsid w:val="00DB428A"/>
    <w:rsid w:val="00DB6056"/>
    <w:rsid w:val="00DB7550"/>
    <w:rsid w:val="00DB7ACE"/>
    <w:rsid w:val="00DB7C17"/>
    <w:rsid w:val="00DC03B3"/>
    <w:rsid w:val="00DC0740"/>
    <w:rsid w:val="00DC115B"/>
    <w:rsid w:val="00DC1C83"/>
    <w:rsid w:val="00DC2097"/>
    <w:rsid w:val="00DC3843"/>
    <w:rsid w:val="00DC422F"/>
    <w:rsid w:val="00DC64F6"/>
    <w:rsid w:val="00DC689F"/>
    <w:rsid w:val="00DC70A2"/>
    <w:rsid w:val="00DC7868"/>
    <w:rsid w:val="00DD2C3D"/>
    <w:rsid w:val="00DD3743"/>
    <w:rsid w:val="00DD5E8A"/>
    <w:rsid w:val="00DD6785"/>
    <w:rsid w:val="00DD67D8"/>
    <w:rsid w:val="00DE0860"/>
    <w:rsid w:val="00DE23C4"/>
    <w:rsid w:val="00DE3B98"/>
    <w:rsid w:val="00DE46BB"/>
    <w:rsid w:val="00DE68F3"/>
    <w:rsid w:val="00DE6BF2"/>
    <w:rsid w:val="00DE7974"/>
    <w:rsid w:val="00DF03F7"/>
    <w:rsid w:val="00DF0D3B"/>
    <w:rsid w:val="00DF10C6"/>
    <w:rsid w:val="00DF13BB"/>
    <w:rsid w:val="00DF2C7D"/>
    <w:rsid w:val="00DF2DA4"/>
    <w:rsid w:val="00DF6615"/>
    <w:rsid w:val="00E00778"/>
    <w:rsid w:val="00E0167F"/>
    <w:rsid w:val="00E0673D"/>
    <w:rsid w:val="00E07D05"/>
    <w:rsid w:val="00E101ED"/>
    <w:rsid w:val="00E11EDF"/>
    <w:rsid w:val="00E12A3F"/>
    <w:rsid w:val="00E139E9"/>
    <w:rsid w:val="00E14757"/>
    <w:rsid w:val="00E16F11"/>
    <w:rsid w:val="00E2046D"/>
    <w:rsid w:val="00E219F6"/>
    <w:rsid w:val="00E2215F"/>
    <w:rsid w:val="00E2278E"/>
    <w:rsid w:val="00E24C33"/>
    <w:rsid w:val="00E31DC9"/>
    <w:rsid w:val="00E33DD2"/>
    <w:rsid w:val="00E34F6D"/>
    <w:rsid w:val="00E36076"/>
    <w:rsid w:val="00E364D4"/>
    <w:rsid w:val="00E402BB"/>
    <w:rsid w:val="00E429F8"/>
    <w:rsid w:val="00E439F0"/>
    <w:rsid w:val="00E44787"/>
    <w:rsid w:val="00E51520"/>
    <w:rsid w:val="00E52CE9"/>
    <w:rsid w:val="00E52F68"/>
    <w:rsid w:val="00E55E00"/>
    <w:rsid w:val="00E5602B"/>
    <w:rsid w:val="00E5638C"/>
    <w:rsid w:val="00E57352"/>
    <w:rsid w:val="00E60088"/>
    <w:rsid w:val="00E608A1"/>
    <w:rsid w:val="00E610D4"/>
    <w:rsid w:val="00E620E3"/>
    <w:rsid w:val="00E62646"/>
    <w:rsid w:val="00E6334F"/>
    <w:rsid w:val="00E64B01"/>
    <w:rsid w:val="00E65DDD"/>
    <w:rsid w:val="00E66DDB"/>
    <w:rsid w:val="00E6709A"/>
    <w:rsid w:val="00E67E17"/>
    <w:rsid w:val="00E729D8"/>
    <w:rsid w:val="00E730BD"/>
    <w:rsid w:val="00E7348E"/>
    <w:rsid w:val="00E7452D"/>
    <w:rsid w:val="00E80671"/>
    <w:rsid w:val="00E81D42"/>
    <w:rsid w:val="00E82C50"/>
    <w:rsid w:val="00E840FA"/>
    <w:rsid w:val="00E84254"/>
    <w:rsid w:val="00E8489F"/>
    <w:rsid w:val="00E867DB"/>
    <w:rsid w:val="00E86A19"/>
    <w:rsid w:val="00E87F1C"/>
    <w:rsid w:val="00E90209"/>
    <w:rsid w:val="00E90A30"/>
    <w:rsid w:val="00E910DB"/>
    <w:rsid w:val="00E9144A"/>
    <w:rsid w:val="00E91DF0"/>
    <w:rsid w:val="00E9455C"/>
    <w:rsid w:val="00E95E08"/>
    <w:rsid w:val="00E96124"/>
    <w:rsid w:val="00EA106D"/>
    <w:rsid w:val="00EA1862"/>
    <w:rsid w:val="00EA1F6F"/>
    <w:rsid w:val="00EA3086"/>
    <w:rsid w:val="00EA34EB"/>
    <w:rsid w:val="00EA3677"/>
    <w:rsid w:val="00EA3F10"/>
    <w:rsid w:val="00EA4188"/>
    <w:rsid w:val="00EA41C3"/>
    <w:rsid w:val="00EA57EF"/>
    <w:rsid w:val="00EA593E"/>
    <w:rsid w:val="00EA6BB5"/>
    <w:rsid w:val="00EA6C2D"/>
    <w:rsid w:val="00EA6DB0"/>
    <w:rsid w:val="00EB2163"/>
    <w:rsid w:val="00EB30FD"/>
    <w:rsid w:val="00EB3DBE"/>
    <w:rsid w:val="00EB3E8C"/>
    <w:rsid w:val="00EB4B86"/>
    <w:rsid w:val="00EB5977"/>
    <w:rsid w:val="00EC05E4"/>
    <w:rsid w:val="00EC1B03"/>
    <w:rsid w:val="00EC3914"/>
    <w:rsid w:val="00EC649E"/>
    <w:rsid w:val="00EC6FE5"/>
    <w:rsid w:val="00ED52F6"/>
    <w:rsid w:val="00ED5D25"/>
    <w:rsid w:val="00ED6628"/>
    <w:rsid w:val="00ED7570"/>
    <w:rsid w:val="00EE3149"/>
    <w:rsid w:val="00EE50A7"/>
    <w:rsid w:val="00EE63A4"/>
    <w:rsid w:val="00EF0D7D"/>
    <w:rsid w:val="00EF0F5A"/>
    <w:rsid w:val="00EF10C1"/>
    <w:rsid w:val="00EF3178"/>
    <w:rsid w:val="00EF5850"/>
    <w:rsid w:val="00F00498"/>
    <w:rsid w:val="00F00BA4"/>
    <w:rsid w:val="00F01FF5"/>
    <w:rsid w:val="00F030C2"/>
    <w:rsid w:val="00F06343"/>
    <w:rsid w:val="00F06A2D"/>
    <w:rsid w:val="00F0733E"/>
    <w:rsid w:val="00F11931"/>
    <w:rsid w:val="00F13441"/>
    <w:rsid w:val="00F143A8"/>
    <w:rsid w:val="00F14F39"/>
    <w:rsid w:val="00F1531B"/>
    <w:rsid w:val="00F16D8F"/>
    <w:rsid w:val="00F17004"/>
    <w:rsid w:val="00F219DB"/>
    <w:rsid w:val="00F21F26"/>
    <w:rsid w:val="00F2450D"/>
    <w:rsid w:val="00F24FF6"/>
    <w:rsid w:val="00F266EC"/>
    <w:rsid w:val="00F26B48"/>
    <w:rsid w:val="00F31007"/>
    <w:rsid w:val="00F315C7"/>
    <w:rsid w:val="00F324DB"/>
    <w:rsid w:val="00F3282E"/>
    <w:rsid w:val="00F329CE"/>
    <w:rsid w:val="00F32A3E"/>
    <w:rsid w:val="00F3407E"/>
    <w:rsid w:val="00F35C4C"/>
    <w:rsid w:val="00F366C4"/>
    <w:rsid w:val="00F4068C"/>
    <w:rsid w:val="00F40B44"/>
    <w:rsid w:val="00F416EE"/>
    <w:rsid w:val="00F44707"/>
    <w:rsid w:val="00F45748"/>
    <w:rsid w:val="00F46315"/>
    <w:rsid w:val="00F46BB4"/>
    <w:rsid w:val="00F46C94"/>
    <w:rsid w:val="00F50B64"/>
    <w:rsid w:val="00F51788"/>
    <w:rsid w:val="00F52A99"/>
    <w:rsid w:val="00F53AEE"/>
    <w:rsid w:val="00F53CAF"/>
    <w:rsid w:val="00F56143"/>
    <w:rsid w:val="00F61E11"/>
    <w:rsid w:val="00F62849"/>
    <w:rsid w:val="00F63595"/>
    <w:rsid w:val="00F63787"/>
    <w:rsid w:val="00F6439B"/>
    <w:rsid w:val="00F6557B"/>
    <w:rsid w:val="00F6590B"/>
    <w:rsid w:val="00F71B6D"/>
    <w:rsid w:val="00F71DE5"/>
    <w:rsid w:val="00F72B66"/>
    <w:rsid w:val="00F739DE"/>
    <w:rsid w:val="00F74865"/>
    <w:rsid w:val="00F765DE"/>
    <w:rsid w:val="00F7675B"/>
    <w:rsid w:val="00F80BE3"/>
    <w:rsid w:val="00F810ED"/>
    <w:rsid w:val="00F82E30"/>
    <w:rsid w:val="00F836E4"/>
    <w:rsid w:val="00F8449E"/>
    <w:rsid w:val="00F8587B"/>
    <w:rsid w:val="00F85D4C"/>
    <w:rsid w:val="00F86B43"/>
    <w:rsid w:val="00F8728B"/>
    <w:rsid w:val="00F91AE1"/>
    <w:rsid w:val="00F93656"/>
    <w:rsid w:val="00F93A28"/>
    <w:rsid w:val="00F93A5D"/>
    <w:rsid w:val="00F95275"/>
    <w:rsid w:val="00F967B8"/>
    <w:rsid w:val="00F96A38"/>
    <w:rsid w:val="00F971A1"/>
    <w:rsid w:val="00FA196A"/>
    <w:rsid w:val="00FA2B3E"/>
    <w:rsid w:val="00FA48F2"/>
    <w:rsid w:val="00FA781B"/>
    <w:rsid w:val="00FA7FD0"/>
    <w:rsid w:val="00FB026B"/>
    <w:rsid w:val="00FB0F80"/>
    <w:rsid w:val="00FB3532"/>
    <w:rsid w:val="00FB38D8"/>
    <w:rsid w:val="00FB4967"/>
    <w:rsid w:val="00FC09AB"/>
    <w:rsid w:val="00FC1D39"/>
    <w:rsid w:val="00FD0FAF"/>
    <w:rsid w:val="00FD1E5B"/>
    <w:rsid w:val="00FD269E"/>
    <w:rsid w:val="00FD28D1"/>
    <w:rsid w:val="00FD39B3"/>
    <w:rsid w:val="00FD5945"/>
    <w:rsid w:val="00FD60B7"/>
    <w:rsid w:val="00FE062A"/>
    <w:rsid w:val="00FE0D74"/>
    <w:rsid w:val="00FE1FEA"/>
    <w:rsid w:val="00FE3B5D"/>
    <w:rsid w:val="00FE3B89"/>
    <w:rsid w:val="00FE6A8F"/>
    <w:rsid w:val="00FE7F44"/>
    <w:rsid w:val="00FF0A7D"/>
    <w:rsid w:val="00FF1F6E"/>
    <w:rsid w:val="00FF235B"/>
    <w:rsid w:val="00FF27A4"/>
    <w:rsid w:val="00FF377B"/>
    <w:rsid w:val="00FF55C8"/>
    <w:rsid w:val="014D24E0"/>
    <w:rsid w:val="02520836"/>
    <w:rsid w:val="048A7457"/>
    <w:rsid w:val="05BB4897"/>
    <w:rsid w:val="05C6234C"/>
    <w:rsid w:val="06A436FB"/>
    <w:rsid w:val="071C0D73"/>
    <w:rsid w:val="08292EF0"/>
    <w:rsid w:val="08702488"/>
    <w:rsid w:val="08D521F0"/>
    <w:rsid w:val="0A4C6703"/>
    <w:rsid w:val="0B2B18D0"/>
    <w:rsid w:val="0C010665"/>
    <w:rsid w:val="0C7B5742"/>
    <w:rsid w:val="0DA30068"/>
    <w:rsid w:val="0DD9007E"/>
    <w:rsid w:val="0FBF6A20"/>
    <w:rsid w:val="0FF1630F"/>
    <w:rsid w:val="104F540B"/>
    <w:rsid w:val="10582E4D"/>
    <w:rsid w:val="10B463A5"/>
    <w:rsid w:val="10CD0B16"/>
    <w:rsid w:val="133121DF"/>
    <w:rsid w:val="144C328F"/>
    <w:rsid w:val="15613E91"/>
    <w:rsid w:val="16E129C7"/>
    <w:rsid w:val="16FC53DE"/>
    <w:rsid w:val="189A5F9C"/>
    <w:rsid w:val="189B78DE"/>
    <w:rsid w:val="18DD7817"/>
    <w:rsid w:val="19697F31"/>
    <w:rsid w:val="1A7E2606"/>
    <w:rsid w:val="1B19090B"/>
    <w:rsid w:val="1CD20B5B"/>
    <w:rsid w:val="1DB4038D"/>
    <w:rsid w:val="1F9017C1"/>
    <w:rsid w:val="20486FB7"/>
    <w:rsid w:val="22A654BA"/>
    <w:rsid w:val="23072D77"/>
    <w:rsid w:val="23A67EEB"/>
    <w:rsid w:val="27215C33"/>
    <w:rsid w:val="27BC1BC5"/>
    <w:rsid w:val="28994707"/>
    <w:rsid w:val="2A396119"/>
    <w:rsid w:val="2A6D3B32"/>
    <w:rsid w:val="2B1E31E3"/>
    <w:rsid w:val="2B9B6245"/>
    <w:rsid w:val="2BB95995"/>
    <w:rsid w:val="2BD83EBF"/>
    <w:rsid w:val="2CB32B2E"/>
    <w:rsid w:val="2D9D1C2B"/>
    <w:rsid w:val="2E286FCC"/>
    <w:rsid w:val="2F0922B4"/>
    <w:rsid w:val="2F153EE7"/>
    <w:rsid w:val="2FB83131"/>
    <w:rsid w:val="2FBC7F5F"/>
    <w:rsid w:val="2FD40E75"/>
    <w:rsid w:val="306653E6"/>
    <w:rsid w:val="31597D59"/>
    <w:rsid w:val="32320A80"/>
    <w:rsid w:val="331A5596"/>
    <w:rsid w:val="33914519"/>
    <w:rsid w:val="33E8218F"/>
    <w:rsid w:val="35B84990"/>
    <w:rsid w:val="368D5F42"/>
    <w:rsid w:val="36B41C7C"/>
    <w:rsid w:val="37CE1C1C"/>
    <w:rsid w:val="37D840A9"/>
    <w:rsid w:val="3806660C"/>
    <w:rsid w:val="396E311B"/>
    <w:rsid w:val="397268D4"/>
    <w:rsid w:val="3F34691C"/>
    <w:rsid w:val="40B04C94"/>
    <w:rsid w:val="42417305"/>
    <w:rsid w:val="42FF5D83"/>
    <w:rsid w:val="43DD608C"/>
    <w:rsid w:val="447F681A"/>
    <w:rsid w:val="45533A0C"/>
    <w:rsid w:val="45AD5CC5"/>
    <w:rsid w:val="46C91F85"/>
    <w:rsid w:val="46CC1CEE"/>
    <w:rsid w:val="47160F29"/>
    <w:rsid w:val="47F279E3"/>
    <w:rsid w:val="48B044F6"/>
    <w:rsid w:val="48DD1FC7"/>
    <w:rsid w:val="49E739C6"/>
    <w:rsid w:val="4A6F3E14"/>
    <w:rsid w:val="4AA06010"/>
    <w:rsid w:val="4B6D660E"/>
    <w:rsid w:val="4D7102B1"/>
    <w:rsid w:val="4E5A5E35"/>
    <w:rsid w:val="50CF7548"/>
    <w:rsid w:val="51181EB3"/>
    <w:rsid w:val="511A4DB4"/>
    <w:rsid w:val="51AD73BF"/>
    <w:rsid w:val="51C128DC"/>
    <w:rsid w:val="528D3EA0"/>
    <w:rsid w:val="547A3510"/>
    <w:rsid w:val="54E52040"/>
    <w:rsid w:val="556502F8"/>
    <w:rsid w:val="5639745C"/>
    <w:rsid w:val="56546D4A"/>
    <w:rsid w:val="58353226"/>
    <w:rsid w:val="5AA5517D"/>
    <w:rsid w:val="5C87366D"/>
    <w:rsid w:val="5D082EFF"/>
    <w:rsid w:val="5DD22B07"/>
    <w:rsid w:val="5DFE22BA"/>
    <w:rsid w:val="5E063EF5"/>
    <w:rsid w:val="5E6D3EF4"/>
    <w:rsid w:val="5FB25D7E"/>
    <w:rsid w:val="60142654"/>
    <w:rsid w:val="609558DE"/>
    <w:rsid w:val="61FC4B9F"/>
    <w:rsid w:val="632414F2"/>
    <w:rsid w:val="636101AA"/>
    <w:rsid w:val="63C67FEE"/>
    <w:rsid w:val="64874569"/>
    <w:rsid w:val="663C11C6"/>
    <w:rsid w:val="671117EB"/>
    <w:rsid w:val="676634E7"/>
    <w:rsid w:val="6A8D22AF"/>
    <w:rsid w:val="6DDF459D"/>
    <w:rsid w:val="6E130200"/>
    <w:rsid w:val="6E6A2B17"/>
    <w:rsid w:val="6F000C4B"/>
    <w:rsid w:val="6F0E33B0"/>
    <w:rsid w:val="6FE74523"/>
    <w:rsid w:val="70EF6D4C"/>
    <w:rsid w:val="71705F87"/>
    <w:rsid w:val="7211280E"/>
    <w:rsid w:val="740A0B66"/>
    <w:rsid w:val="75195704"/>
    <w:rsid w:val="76263B40"/>
    <w:rsid w:val="76DD0CC0"/>
    <w:rsid w:val="76E901AD"/>
    <w:rsid w:val="7727085B"/>
    <w:rsid w:val="77D8692B"/>
    <w:rsid w:val="78C07423"/>
    <w:rsid w:val="79BB68F9"/>
    <w:rsid w:val="7B2368A0"/>
    <w:rsid w:val="7CB62EA9"/>
    <w:rsid w:val="7CD44EDD"/>
    <w:rsid w:val="7DB44302"/>
    <w:rsid w:val="7E461622"/>
    <w:rsid w:val="7E561D14"/>
    <w:rsid w:val="7F4C24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0">
    <w:name w:val="List 3"/>
    <w:basedOn w:val="1"/>
    <w:semiHidden/>
    <w:unhideWhenUsed/>
    <w:qFormat/>
    <w:uiPriority w:val="99"/>
    <w:pPr>
      <w:ind w:left="100" w:leftChars="400" w:hanging="200" w:hangingChars="200"/>
      <w:contextualSpacing/>
    </w:p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2"/>
    <w:qFormat/>
    <w:uiPriority w:val="0"/>
    <w:pPr>
      <w:ind w:firstLine="420"/>
    </w:pPr>
    <w:rPr>
      <w:rFonts w:ascii="等线" w:hAnsi="等线" w:eastAsia="等线"/>
      <w:szCs w:val="22"/>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0"/>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99"/>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39"/>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45"/>
    <w:link w:val="348"/>
    <w:qFormat/>
    <w:uiPriority w:val="0"/>
    <w:pPr>
      <w:tabs>
        <w:tab w:val="left" w:pos="420"/>
      </w:tabs>
      <w:spacing w:after="120" w:line="240" w:lineRule="auto"/>
      <w:ind w:firstLine="420" w:firstLineChars="100"/>
    </w:pPr>
  </w:style>
  <w:style w:type="paragraph" w:customStyle="1" w:styleId="45">
    <w:name w:val="正文要点"/>
    <w:basedOn w:val="1"/>
    <w:next w:val="46"/>
    <w:link w:val="100"/>
    <w:qFormat/>
    <w:uiPriority w:val="0"/>
    <w:pPr>
      <w:tabs>
        <w:tab w:val="left" w:pos="420"/>
      </w:tabs>
      <w:spacing w:line="360" w:lineRule="auto"/>
      <w:ind w:left="840" w:hanging="420"/>
    </w:pPr>
    <w:rPr>
      <w:szCs w:val="21"/>
    </w:rPr>
  </w:style>
  <w:style w:type="paragraph" w:customStyle="1" w:styleId="46">
    <w:name w:val="正文要点内容"/>
    <w:basedOn w:val="45"/>
    <w:link w:val="99"/>
    <w:qFormat/>
    <w:uiPriority w:val="0"/>
    <w:pPr>
      <w:tabs>
        <w:tab w:val="left" w:pos="840"/>
        <w:tab w:val="clear" w:pos="420"/>
      </w:tabs>
      <w:ind w:left="400" w:leftChars="400" w:firstLine="200" w:firstLineChars="200"/>
    </w:pPr>
  </w:style>
  <w:style w:type="paragraph" w:styleId="47">
    <w:name w:val="Body Text First Indent 2"/>
    <w:basedOn w:val="19"/>
    <w:qFormat/>
    <w:uiPriority w:val="0"/>
    <w:pPr>
      <w:ind w:firstLine="420" w:firstLineChars="200"/>
    </w:pPr>
    <w:rPr>
      <w:szCs w:val="24"/>
    </w:rPr>
  </w:style>
  <w:style w:type="table" w:styleId="49">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1">
    <w:name w:val="Strong"/>
    <w:qFormat/>
    <w:uiPriority w:val="0"/>
    <w:rPr>
      <w:b/>
      <w:bCs/>
    </w:rPr>
  </w:style>
  <w:style w:type="character" w:styleId="52">
    <w:name w:val="page number"/>
    <w:qFormat/>
    <w:uiPriority w:val="0"/>
    <w:rPr>
      <w:rFonts w:cs="Times New Roman"/>
    </w:rPr>
  </w:style>
  <w:style w:type="character" w:styleId="53">
    <w:name w:val="FollowedHyperlink"/>
    <w:qFormat/>
    <w:uiPriority w:val="99"/>
    <w:rPr>
      <w:color w:val="954F72"/>
      <w:u w:val="single"/>
    </w:rPr>
  </w:style>
  <w:style w:type="character" w:styleId="54">
    <w:name w:val="Emphasis"/>
    <w:qFormat/>
    <w:uiPriority w:val="0"/>
    <w:rPr>
      <w:i/>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页眉 Char1"/>
    <w:basedOn w:val="50"/>
    <w:link w:val="30"/>
    <w:qFormat/>
    <w:uiPriority w:val="99"/>
    <w:rPr>
      <w:sz w:val="18"/>
      <w:szCs w:val="18"/>
    </w:rPr>
  </w:style>
  <w:style w:type="character" w:customStyle="1" w:styleId="58">
    <w:name w:val="页脚 Char1"/>
    <w:basedOn w:val="50"/>
    <w:link w:val="29"/>
    <w:qFormat/>
    <w:uiPriority w:val="99"/>
    <w:rPr>
      <w:sz w:val="18"/>
      <w:szCs w:val="18"/>
    </w:rPr>
  </w:style>
  <w:style w:type="character" w:customStyle="1" w:styleId="59">
    <w:name w:val="标题 1 字符"/>
    <w:basedOn w:val="50"/>
    <w:qFormat/>
    <w:uiPriority w:val="0"/>
    <w:rPr>
      <w:rFonts w:ascii="Times New Roman" w:hAnsi="Times New Roman" w:eastAsia="宋体" w:cs="Times New Roman"/>
      <w:b/>
      <w:bCs/>
      <w:kern w:val="44"/>
      <w:sz w:val="44"/>
      <w:szCs w:val="44"/>
    </w:rPr>
  </w:style>
  <w:style w:type="character" w:customStyle="1" w:styleId="60">
    <w:name w:val="标题 2 字符"/>
    <w:basedOn w:val="50"/>
    <w:qFormat/>
    <w:uiPriority w:val="0"/>
    <w:rPr>
      <w:rFonts w:asciiTheme="majorHAnsi" w:hAnsiTheme="majorHAnsi" w:eastAsiaTheme="majorEastAsia" w:cstheme="majorBidi"/>
      <w:b/>
      <w:bCs/>
      <w:sz w:val="32"/>
      <w:szCs w:val="32"/>
    </w:rPr>
  </w:style>
  <w:style w:type="character" w:customStyle="1" w:styleId="61">
    <w:name w:val="标题 3 字符"/>
    <w:basedOn w:val="50"/>
    <w:qFormat/>
    <w:uiPriority w:val="0"/>
    <w:rPr>
      <w:rFonts w:ascii="Times New Roman" w:hAnsi="Times New Roman" w:eastAsia="宋体" w:cs="Times New Roman"/>
      <w:b/>
      <w:bCs/>
      <w:sz w:val="32"/>
      <w:szCs w:val="32"/>
    </w:rPr>
  </w:style>
  <w:style w:type="character" w:customStyle="1" w:styleId="62">
    <w:name w:val="标题 4 字符"/>
    <w:basedOn w:val="50"/>
    <w:qFormat/>
    <w:uiPriority w:val="9"/>
    <w:rPr>
      <w:rFonts w:asciiTheme="majorHAnsi" w:hAnsiTheme="majorHAnsi" w:eastAsiaTheme="majorEastAsia" w:cstheme="majorBidi"/>
      <w:b/>
      <w:bCs/>
      <w:sz w:val="28"/>
      <w:szCs w:val="28"/>
    </w:rPr>
  </w:style>
  <w:style w:type="character" w:customStyle="1" w:styleId="63">
    <w:name w:val="标题 5 字符"/>
    <w:basedOn w:val="50"/>
    <w:qFormat/>
    <w:uiPriority w:val="0"/>
    <w:rPr>
      <w:rFonts w:ascii="Times New Roman" w:hAnsi="Times New Roman" w:eastAsia="宋体" w:cs="Times New Roman"/>
      <w:b/>
      <w:bCs/>
      <w:sz w:val="28"/>
      <w:szCs w:val="28"/>
    </w:rPr>
  </w:style>
  <w:style w:type="character" w:customStyle="1" w:styleId="64">
    <w:name w:val="标题 6 字符"/>
    <w:basedOn w:val="50"/>
    <w:qFormat/>
    <w:uiPriority w:val="0"/>
    <w:rPr>
      <w:rFonts w:asciiTheme="majorHAnsi" w:hAnsiTheme="majorHAnsi" w:eastAsiaTheme="majorEastAsia" w:cstheme="majorBidi"/>
      <w:b/>
      <w:bCs/>
      <w:sz w:val="24"/>
      <w:szCs w:val="24"/>
    </w:rPr>
  </w:style>
  <w:style w:type="character" w:customStyle="1" w:styleId="65">
    <w:name w:val="标题 7 字符"/>
    <w:basedOn w:val="50"/>
    <w:qFormat/>
    <w:uiPriority w:val="0"/>
    <w:rPr>
      <w:rFonts w:ascii="Times New Roman" w:hAnsi="Times New Roman" w:eastAsia="宋体" w:cs="Times New Roman"/>
      <w:b/>
      <w:bCs/>
      <w:sz w:val="24"/>
      <w:szCs w:val="24"/>
    </w:rPr>
  </w:style>
  <w:style w:type="character" w:customStyle="1" w:styleId="66">
    <w:name w:val="标题 8 字符"/>
    <w:basedOn w:val="50"/>
    <w:qFormat/>
    <w:uiPriority w:val="0"/>
    <w:rPr>
      <w:rFonts w:asciiTheme="majorHAnsi" w:hAnsiTheme="majorHAnsi" w:eastAsiaTheme="majorEastAsia" w:cstheme="majorBidi"/>
      <w:sz w:val="24"/>
      <w:szCs w:val="24"/>
    </w:rPr>
  </w:style>
  <w:style w:type="character" w:customStyle="1" w:styleId="67">
    <w:name w:val="页眉 字符1"/>
    <w:basedOn w:val="50"/>
    <w:qFormat/>
    <w:uiPriority w:val="0"/>
    <w:rPr>
      <w:kern w:val="2"/>
      <w:sz w:val="18"/>
      <w:szCs w:val="18"/>
    </w:rPr>
  </w:style>
  <w:style w:type="character" w:customStyle="1" w:styleId="68">
    <w:name w:val="页脚 字符1"/>
    <w:basedOn w:val="50"/>
    <w:qFormat/>
    <w:uiPriority w:val="0"/>
    <w:rPr>
      <w:kern w:val="2"/>
      <w:sz w:val="18"/>
      <w:szCs w:val="18"/>
    </w:rPr>
  </w:style>
  <w:style w:type="character" w:customStyle="1" w:styleId="69">
    <w:name w:val="文档结构图 字符"/>
    <w:basedOn w:val="50"/>
    <w:qFormat/>
    <w:uiPriority w:val="0"/>
    <w:rPr>
      <w:rFonts w:ascii="Microsoft YaHei UI" w:hAnsi="Times New Roman" w:eastAsia="Microsoft YaHei UI" w:cs="Times New Roman"/>
      <w:sz w:val="18"/>
      <w:szCs w:val="18"/>
    </w:rPr>
  </w:style>
  <w:style w:type="character" w:customStyle="1" w:styleId="70">
    <w:name w:val="标题 2 Char"/>
    <w:basedOn w:val="50"/>
    <w:link w:val="3"/>
    <w:qFormat/>
    <w:uiPriority w:val="0"/>
    <w:rPr>
      <w:rFonts w:ascii="Arial" w:hAnsi="Arial" w:eastAsia="黑体" w:cs="Times New Roman"/>
      <w:b/>
      <w:bCs/>
      <w:sz w:val="32"/>
      <w:szCs w:val="32"/>
    </w:rPr>
  </w:style>
  <w:style w:type="character" w:customStyle="1" w:styleId="71">
    <w:name w:val="标题 1 Char"/>
    <w:basedOn w:val="50"/>
    <w:link w:val="2"/>
    <w:qFormat/>
    <w:uiPriority w:val="0"/>
    <w:rPr>
      <w:rFonts w:ascii="宋体" w:hAnsi="Courier New" w:eastAsia="宋体" w:cs="Times New Roman"/>
      <w:b/>
      <w:bCs/>
      <w:kern w:val="44"/>
      <w:sz w:val="44"/>
      <w:szCs w:val="44"/>
    </w:rPr>
  </w:style>
  <w:style w:type="character" w:customStyle="1" w:styleId="72">
    <w:name w:val="标题 3 Char"/>
    <w:basedOn w:val="50"/>
    <w:qFormat/>
    <w:uiPriority w:val="0"/>
    <w:rPr>
      <w:b/>
      <w:bCs/>
      <w:kern w:val="2"/>
      <w:sz w:val="32"/>
      <w:szCs w:val="32"/>
    </w:rPr>
  </w:style>
  <w:style w:type="character" w:customStyle="1" w:styleId="73">
    <w:name w:val="标题 4 Char"/>
    <w:basedOn w:val="50"/>
    <w:qFormat/>
    <w:uiPriority w:val="0"/>
    <w:rPr>
      <w:rFonts w:ascii="仿宋_GB2312" w:eastAsia="仿宋_GB2312" w:cs="仿宋_GB2312"/>
      <w:kern w:val="2"/>
      <w:sz w:val="28"/>
      <w:szCs w:val="28"/>
    </w:rPr>
  </w:style>
  <w:style w:type="character" w:customStyle="1" w:styleId="74">
    <w:name w:val="批注文字 字符"/>
    <w:basedOn w:val="50"/>
    <w:qFormat/>
    <w:uiPriority w:val="0"/>
    <w:rPr>
      <w:rFonts w:ascii="Times New Roman" w:hAnsi="Times New Roman" w:eastAsia="宋体" w:cs="Times New Roman"/>
      <w:szCs w:val="24"/>
    </w:rPr>
  </w:style>
  <w:style w:type="character" w:customStyle="1" w:styleId="75">
    <w:name w:val="批注文字 Char1"/>
    <w:basedOn w:val="50"/>
    <w:link w:val="16"/>
    <w:qFormat/>
    <w:uiPriority w:val="99"/>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50"/>
    <w:qFormat/>
    <w:uiPriority w:val="0"/>
    <w:rPr>
      <w:rFonts w:ascii="Times New Roman" w:hAnsi="Times New Roman" w:eastAsia="宋体" w:cs="Times New Roman"/>
      <w:szCs w:val="24"/>
    </w:rPr>
  </w:style>
  <w:style w:type="character" w:customStyle="1" w:styleId="79">
    <w:name w:val="正文文本 Char"/>
    <w:basedOn w:val="50"/>
    <w:link w:val="18"/>
    <w:qFormat/>
    <w:uiPriority w:val="0"/>
    <w:rPr>
      <w:rFonts w:ascii="Times New Roman" w:hAnsi="Times New Roman" w:eastAsia="宋体" w:cs="Times New Roman"/>
      <w:kern w:val="0"/>
      <w:sz w:val="24"/>
      <w:szCs w:val="24"/>
    </w:rPr>
  </w:style>
  <w:style w:type="character" w:customStyle="1" w:styleId="80">
    <w:name w:val="正文文本缩进 字符"/>
    <w:basedOn w:val="50"/>
    <w:qFormat/>
    <w:uiPriority w:val="0"/>
    <w:rPr>
      <w:rFonts w:ascii="Times New Roman" w:hAnsi="Times New Roman" w:eastAsia="宋体" w:cs="Times New Roman"/>
      <w:szCs w:val="24"/>
    </w:rPr>
  </w:style>
  <w:style w:type="character" w:customStyle="1" w:styleId="81">
    <w:name w:val="正文文本缩进 Char"/>
    <w:basedOn w:val="50"/>
    <w:link w:val="19"/>
    <w:qFormat/>
    <w:uiPriority w:val="0"/>
    <w:rPr>
      <w:rFonts w:ascii="宋体" w:hAnsi="宋体" w:eastAsia="等线" w:cs="Times New Roman"/>
      <w:sz w:val="28"/>
      <w:szCs w:val="24"/>
    </w:rPr>
  </w:style>
  <w:style w:type="character" w:customStyle="1" w:styleId="82">
    <w:name w:val="纯文本 字符"/>
    <w:basedOn w:val="50"/>
    <w:qFormat/>
    <w:uiPriority w:val="99"/>
    <w:rPr>
      <w:rFonts w:hAnsi="Courier New" w:cs="Courier New" w:asciiTheme="minorEastAsia"/>
      <w:szCs w:val="24"/>
    </w:rPr>
  </w:style>
  <w:style w:type="character" w:customStyle="1" w:styleId="83">
    <w:name w:val="纯文本 Char"/>
    <w:basedOn w:val="50"/>
    <w:qFormat/>
    <w:uiPriority w:val="0"/>
    <w:rPr>
      <w:rFonts w:ascii="宋体" w:hAnsi="Courier New"/>
      <w:sz w:val="21"/>
      <w:szCs w:val="21"/>
    </w:rPr>
  </w:style>
  <w:style w:type="character" w:customStyle="1" w:styleId="84">
    <w:name w:val="日期 Char1"/>
    <w:basedOn w:val="50"/>
    <w:link w:val="26"/>
    <w:qFormat/>
    <w:uiPriority w:val="0"/>
    <w:rPr>
      <w:rFonts w:ascii="宋体" w:hAnsi="Courier New" w:eastAsia="楷体_GB2312" w:cs="Times New Roman"/>
      <w:sz w:val="32"/>
      <w:szCs w:val="20"/>
    </w:rPr>
  </w:style>
  <w:style w:type="character" w:customStyle="1" w:styleId="85">
    <w:name w:val="日期 Char"/>
    <w:basedOn w:val="50"/>
    <w:qFormat/>
    <w:uiPriority w:val="0"/>
    <w:rPr>
      <w:rFonts w:ascii="宋体" w:hAnsi="Courier New"/>
      <w:sz w:val="21"/>
      <w:szCs w:val="21"/>
    </w:rPr>
  </w:style>
  <w:style w:type="character" w:customStyle="1" w:styleId="86">
    <w:name w:val="正文文本缩进 2 字符"/>
    <w:basedOn w:val="50"/>
    <w:qFormat/>
    <w:uiPriority w:val="0"/>
    <w:rPr>
      <w:rFonts w:ascii="Times New Roman" w:hAnsi="Times New Roman" w:eastAsia="宋体" w:cs="Times New Roman"/>
      <w:szCs w:val="24"/>
    </w:rPr>
  </w:style>
  <w:style w:type="character" w:customStyle="1" w:styleId="87">
    <w:name w:val="正文文本缩进 2 Char"/>
    <w:basedOn w:val="50"/>
    <w:qFormat/>
    <w:uiPriority w:val="0"/>
    <w:rPr>
      <w:sz w:val="24"/>
      <w:szCs w:val="24"/>
    </w:rPr>
  </w:style>
  <w:style w:type="character" w:customStyle="1" w:styleId="88">
    <w:name w:val="批注框文本 字符"/>
    <w:basedOn w:val="50"/>
    <w:qFormat/>
    <w:uiPriority w:val="0"/>
    <w:rPr>
      <w:rFonts w:ascii="Times New Roman" w:hAnsi="Times New Roman" w:eastAsia="宋体" w:cs="Times New Roman"/>
      <w:sz w:val="18"/>
      <w:szCs w:val="18"/>
    </w:rPr>
  </w:style>
  <w:style w:type="character" w:customStyle="1" w:styleId="89">
    <w:name w:val="批注框文本 Char"/>
    <w:basedOn w:val="50"/>
    <w:link w:val="28"/>
    <w:qFormat/>
    <w:uiPriority w:val="0"/>
    <w:rPr>
      <w:rFonts w:ascii="Times New Roman" w:hAnsi="Times New Roman" w:eastAsia="宋体" w:cs="Times New Roman"/>
      <w:sz w:val="18"/>
      <w:szCs w:val="18"/>
    </w:rPr>
  </w:style>
  <w:style w:type="character" w:customStyle="1" w:styleId="90">
    <w:name w:val="副标题 Char"/>
    <w:basedOn w:val="50"/>
    <w:link w:val="33"/>
    <w:qFormat/>
    <w:uiPriority w:val="0"/>
    <w:rPr>
      <w:rFonts w:ascii="Cambria" w:hAnsi="Cambria" w:eastAsia="方正楷体简体" w:cs="Times New Roman"/>
      <w:kern w:val="28"/>
      <w:sz w:val="32"/>
      <w:szCs w:val="32"/>
    </w:rPr>
  </w:style>
  <w:style w:type="character" w:customStyle="1" w:styleId="91">
    <w:name w:val="正文文本缩进 3 字符"/>
    <w:basedOn w:val="50"/>
    <w:qFormat/>
    <w:uiPriority w:val="0"/>
    <w:rPr>
      <w:rFonts w:ascii="Times New Roman" w:hAnsi="Times New Roman" w:eastAsia="宋体" w:cs="Times New Roman"/>
      <w:sz w:val="16"/>
      <w:szCs w:val="16"/>
    </w:rPr>
  </w:style>
  <w:style w:type="character" w:customStyle="1" w:styleId="92">
    <w:name w:val="正文文本缩进 3 Char"/>
    <w:basedOn w:val="50"/>
    <w:qFormat/>
    <w:uiPriority w:val="0"/>
    <w:rPr>
      <w:sz w:val="16"/>
      <w:szCs w:val="16"/>
    </w:rPr>
  </w:style>
  <w:style w:type="character" w:customStyle="1" w:styleId="93">
    <w:name w:val="标题 Char1"/>
    <w:basedOn w:val="50"/>
    <w:link w:val="42"/>
    <w:qFormat/>
    <w:uiPriority w:val="0"/>
    <w:rPr>
      <w:rFonts w:ascii="Cambria" w:hAnsi="Cambria" w:eastAsia="宋体" w:cs="Times New Roman"/>
      <w:b/>
      <w:bCs/>
      <w:sz w:val="32"/>
      <w:szCs w:val="32"/>
    </w:rPr>
  </w:style>
  <w:style w:type="character" w:customStyle="1" w:styleId="94">
    <w:name w:val="标题 Char"/>
    <w:basedOn w:val="50"/>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46"/>
    <w:qFormat/>
    <w:locked/>
    <w:uiPriority w:val="0"/>
    <w:rPr>
      <w:rFonts w:ascii="Times New Roman" w:hAnsi="Times New Roman" w:eastAsia="宋体" w:cs="Times New Roman"/>
      <w:szCs w:val="21"/>
    </w:rPr>
  </w:style>
  <w:style w:type="character" w:customStyle="1" w:styleId="100">
    <w:name w:val="正文要点 Char Char"/>
    <w:basedOn w:val="50"/>
    <w:link w:val="4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50"/>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50"/>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50"/>
    <w:qFormat/>
    <w:uiPriority w:val="0"/>
    <w:rPr>
      <w:rFonts w:eastAsia="宋体"/>
      <w:b/>
      <w:bCs/>
      <w:kern w:val="44"/>
      <w:sz w:val="44"/>
      <w:szCs w:val="44"/>
      <w:lang w:val="en-US" w:eastAsia="zh-CN"/>
    </w:rPr>
  </w:style>
  <w:style w:type="character" w:customStyle="1" w:styleId="125">
    <w:name w:val="普通文字 Char"/>
    <w:basedOn w:val="50"/>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50"/>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3"/>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99"/>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50"/>
    <w:link w:val="39"/>
    <w:qFormat/>
    <w:uiPriority w:val="0"/>
    <w:rPr>
      <w:rFonts w:ascii="宋体" w:hAnsi="宋体" w:eastAsia="宋体" w:cs="宋体"/>
      <w:kern w:val="0"/>
      <w:sz w:val="24"/>
      <w:szCs w:val="24"/>
    </w:rPr>
  </w:style>
  <w:style w:type="character" w:customStyle="1" w:styleId="243">
    <w:name w:val="正文文本 2 Char"/>
    <w:basedOn w:val="50"/>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kern w:val="0"/>
      <w:sz w:val="24"/>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kern w:val="0"/>
      <w:sz w:val="24"/>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qFormat/>
    <w:uiPriority w:val="0"/>
    <w:rPr>
      <w:rFonts w:ascii="宋体" w:eastAsia="宋体"/>
      <w:color w:val="000000"/>
      <w:sz w:val="24"/>
      <w:szCs w:val="24"/>
      <w:u w:val="none"/>
    </w:rPr>
  </w:style>
  <w:style w:type="character" w:customStyle="1" w:styleId="290">
    <w:name w:val="font71"/>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50"/>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50"/>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3"/>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3"/>
    <w:link w:val="344"/>
    <w:qFormat/>
    <w:uiPriority w:val="0"/>
    <w:pPr>
      <w:numPr>
        <w:ilvl w:val="0"/>
        <w:numId w:val="3"/>
      </w:numPr>
      <w:outlineLvl w:val="0"/>
    </w:pPr>
    <w:rPr>
      <w:rFonts w:ascii="Calibri" w:hAnsi="Calibri"/>
    </w:rPr>
  </w:style>
  <w:style w:type="paragraph" w:customStyle="1" w:styleId="343">
    <w:name w:val="2级"/>
    <w:basedOn w:val="13"/>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3"/>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50"/>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1"/>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纯文本 Char2"/>
    <w:qFormat/>
    <w:uiPriority w:val="0"/>
    <w:rPr>
      <w:rFonts w:ascii="宋体" w:hAnsi="Courier New" w:eastAsia="宋体" w:cs="Times New Roman"/>
      <w:kern w:val="0"/>
      <w:sz w:val="20"/>
      <w:szCs w:val="20"/>
    </w:rPr>
  </w:style>
  <w:style w:type="paragraph" w:customStyle="1" w:styleId="397">
    <w:name w:val="mybody"/>
    <w:basedOn w:val="1"/>
    <w:link w:val="398"/>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8">
    <w:name w:val="mybody Char"/>
    <w:link w:val="397"/>
    <w:qFormat/>
    <w:uiPriority w:val="0"/>
    <w:rPr>
      <w:rFonts w:ascii="Calibri" w:hAnsi="Calibri"/>
      <w:color w:val="000000"/>
      <w:sz w:val="28"/>
      <w:szCs w:val="22"/>
      <w:lang w:eastAsia="en-US"/>
    </w:rPr>
  </w:style>
  <w:style w:type="paragraph" w:customStyle="1" w:styleId="399">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400">
    <w:name w:val="xdrichtextbox"/>
    <w:qFormat/>
    <w:uiPriority w:val="0"/>
  </w:style>
  <w:style w:type="character" w:customStyle="1" w:styleId="401">
    <w:name w:val="批注框文本 Char1"/>
    <w:basedOn w:val="50"/>
    <w:semiHidden/>
    <w:qFormat/>
    <w:uiPriority w:val="99"/>
    <w:rPr>
      <w:rFonts w:ascii="Times New Roman" w:hAnsi="Times New Roman" w:eastAsia="宋体" w:cs="Times New Roman"/>
      <w:sz w:val="18"/>
      <w:szCs w:val="18"/>
    </w:rPr>
  </w:style>
  <w:style w:type="character" w:customStyle="1" w:styleId="402">
    <w:name w:val="批注主题 Char1"/>
    <w:basedOn w:val="75"/>
    <w:semiHidden/>
    <w:qFormat/>
    <w:uiPriority w:val="99"/>
    <w:rPr>
      <w:rFonts w:ascii="Times New Roman" w:hAnsi="Times New Roman" w:eastAsia="宋体" w:cs="Times New Roman"/>
      <w:b/>
      <w:bCs/>
      <w:szCs w:val="24"/>
    </w:rPr>
  </w:style>
  <w:style w:type="character" w:customStyle="1" w:styleId="403">
    <w:name w:val="文档结构图 Char1"/>
    <w:basedOn w:val="50"/>
    <w:semiHidden/>
    <w:qFormat/>
    <w:uiPriority w:val="99"/>
    <w:rPr>
      <w:rFonts w:ascii="宋体" w:hAnsi="Times New Roman" w:eastAsia="宋体" w:cs="Times New Roman"/>
      <w:sz w:val="18"/>
      <w:szCs w:val="18"/>
    </w:rPr>
  </w:style>
  <w:style w:type="paragraph" w:customStyle="1" w:styleId="404">
    <w:name w:val="[基本段落]"/>
    <w:basedOn w:val="1"/>
    <w:qFormat/>
    <w:uiPriority w:val="99"/>
    <w:pPr>
      <w:autoSpaceDE w:val="0"/>
      <w:autoSpaceDN w:val="0"/>
      <w:adjustRightInd w:val="0"/>
      <w:spacing w:line="288" w:lineRule="auto"/>
    </w:pPr>
    <w:rPr>
      <w:rFonts w:ascii="宋体" w:hAnsi="Calibri" w:cs="宋体"/>
      <w:color w:val="000000"/>
      <w:kern w:val="0"/>
      <w:sz w:val="24"/>
      <w:lang w:val="zh-CN"/>
    </w:rPr>
  </w:style>
  <w:style w:type="paragraph" w:customStyle="1" w:styleId="405">
    <w:name w:val="PlainText"/>
    <w:basedOn w:val="1"/>
    <w:link w:val="407"/>
    <w:qFormat/>
    <w:uiPriority w:val="0"/>
    <w:pPr>
      <w:widowControl/>
      <w:textAlignment w:val="baseline"/>
    </w:pPr>
    <w:rPr>
      <w:rFonts w:ascii="宋体" w:hAnsi="Courier New"/>
      <w:kern w:val="0"/>
      <w:szCs w:val="21"/>
    </w:rPr>
  </w:style>
  <w:style w:type="character" w:customStyle="1" w:styleId="406">
    <w:name w:val="UserStyle_0"/>
    <w:qFormat/>
    <w:uiPriority w:val="0"/>
  </w:style>
  <w:style w:type="character" w:customStyle="1" w:styleId="407">
    <w:name w:val="UserStyle_18"/>
    <w:link w:val="405"/>
    <w:qFormat/>
    <w:uiPriority w:val="0"/>
    <w:rPr>
      <w:rFonts w:ascii="宋体" w:hAnsi="Courier New"/>
      <w:sz w:val="21"/>
      <w:szCs w:val="21"/>
    </w:rPr>
  </w:style>
  <w:style w:type="character" w:customStyle="1" w:styleId="408">
    <w:name w:val="font01"/>
    <w:basedOn w:val="5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B2ABC-40B4-4CD8-B9C3-853338C822EA}">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81</Pages>
  <Words>20325</Words>
  <Characters>21695</Characters>
  <Lines>471</Lines>
  <Paragraphs>132</Paragraphs>
  <TotalTime>57</TotalTime>
  <ScaleCrop>false</ScaleCrop>
  <LinksUpToDate>false</LinksUpToDate>
  <CharactersWithSpaces>21815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2026-03-24T06:43:00Z</dcterms:created>
  <dc:creator>Administrator</dc:creator>
  <cp:lastModifiedBy>皮皮夏</cp:lastModifiedBy>
  <cp:lastPrinted>2022-08-25T06:57:00Z</cp:lastPrinted>
  <dcterms:modified xsi:type="dcterms:W3CDTF">2026-04-20T03:31:37Z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FE6A9B4B4E9749F6A3240483D9988494_13</vt:lpwstr>
  </property>
  <property fmtid="{D5CDD505-2E9C-101B-9397-08002B2CF9AE}" pid="4" name="KSOTemplateDocerSaveRecord">
    <vt:lpwstr>eyJoZGlkIjoiZDQxYjA2ZTllZmE5MGM2MjRiNDYyMDNiZGU5MjI0NTgiLCJ1c2VySWQiOiI4NDA2MjczNjIifQ==</vt:lpwstr>
  </property>
</Properties>
</file>