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257102">
      <w:pPr>
        <w:widowControl/>
        <w:adjustRightInd w:val="0"/>
        <w:spacing w:line="240" w:lineRule="atLeast"/>
        <w:jc w:val="center"/>
        <w:rPr>
          <w:rFonts w:eastAsia="方正小标宋简体" w:cs="宋体"/>
          <w:color w:val="auto"/>
          <w:sz w:val="36"/>
          <w:szCs w:val="36"/>
          <w:highlight w:val="none"/>
        </w:rPr>
      </w:pPr>
    </w:p>
    <w:p w14:paraId="486D3D62">
      <w:pPr>
        <w:spacing w:line="360" w:lineRule="exact"/>
        <w:rPr>
          <w:rFonts w:ascii="宋体" w:hAnsi="宋体"/>
          <w:color w:val="auto"/>
          <w:szCs w:val="21"/>
          <w:highlight w:val="none"/>
        </w:rPr>
      </w:pPr>
    </w:p>
    <w:p w14:paraId="21D8A268">
      <w:pPr>
        <w:spacing w:line="360" w:lineRule="exact"/>
        <w:rPr>
          <w:rFonts w:ascii="宋体" w:hAnsi="宋体"/>
          <w:color w:val="auto"/>
          <w:szCs w:val="21"/>
          <w:highlight w:val="none"/>
        </w:rPr>
      </w:pPr>
    </w:p>
    <w:p w14:paraId="0EDB4667">
      <w:pPr>
        <w:spacing w:line="360" w:lineRule="auto"/>
        <w:ind w:firstLine="565" w:firstLineChars="201"/>
        <w:jc w:val="center"/>
        <w:rPr>
          <w:rFonts w:ascii="宋体" w:hAnsi="宋体"/>
          <w:b/>
          <w:bCs/>
          <w:color w:val="auto"/>
          <w:kern w:val="0"/>
          <w:sz w:val="28"/>
          <w:szCs w:val="28"/>
          <w:highlight w:val="none"/>
        </w:rPr>
      </w:pPr>
    </w:p>
    <w:p w14:paraId="0D288FFF">
      <w:pPr>
        <w:snapToGrid w:val="0"/>
        <w:jc w:val="center"/>
        <w:rPr>
          <w:rFonts w:hint="eastAsia" w:ascii="方正小标宋简体" w:hAnsi="黑体" w:eastAsia="方正小标宋简体" w:cs="方正小标宋简体"/>
          <w:color w:val="auto"/>
          <w:kern w:val="0"/>
          <w:sz w:val="56"/>
          <w:szCs w:val="52"/>
          <w:highlight w:val="none"/>
          <w:lang w:eastAsia="zh-CN"/>
        </w:rPr>
      </w:pPr>
      <w:r>
        <w:rPr>
          <w:rFonts w:hint="eastAsia" w:ascii="方正小标宋简体" w:hAnsi="黑体" w:eastAsia="方正小标宋简体" w:cs="方正小标宋简体"/>
          <w:color w:val="auto"/>
          <w:kern w:val="0"/>
          <w:sz w:val="56"/>
          <w:szCs w:val="52"/>
          <w:highlight w:val="none"/>
          <w:lang w:eastAsia="zh-CN"/>
        </w:rPr>
        <w:t>乳山市市政建设工程有限公司</w:t>
      </w:r>
    </w:p>
    <w:p w14:paraId="6828F46A">
      <w:pPr>
        <w:spacing w:before="624" w:beforeLines="200" w:line="360" w:lineRule="auto"/>
        <w:jc w:val="center"/>
        <w:rPr>
          <w:rFonts w:ascii="方正小标宋简体" w:hAnsi="黑体" w:eastAsia="方正小标宋简体"/>
          <w:color w:val="auto"/>
          <w:kern w:val="0"/>
          <w:sz w:val="72"/>
          <w:szCs w:val="52"/>
          <w:highlight w:val="none"/>
        </w:rPr>
      </w:pPr>
      <w:r>
        <w:rPr>
          <w:rFonts w:hint="eastAsia" w:ascii="方正小标宋简体" w:hAnsi="黑体" w:eastAsia="方正小标宋简体" w:cs="方正小标宋简体"/>
          <w:color w:val="auto"/>
          <w:kern w:val="0"/>
          <w:sz w:val="72"/>
          <w:szCs w:val="52"/>
          <w:highlight w:val="none"/>
        </w:rPr>
        <w:t>竞争谈判文件</w:t>
      </w:r>
    </w:p>
    <w:p w14:paraId="06356AFE">
      <w:pPr>
        <w:spacing w:line="360" w:lineRule="auto"/>
        <w:ind w:firstLine="723" w:firstLineChars="201"/>
        <w:jc w:val="left"/>
        <w:rPr>
          <w:rFonts w:ascii="宋体" w:hAnsi="宋体"/>
          <w:color w:val="auto"/>
          <w:sz w:val="36"/>
          <w:szCs w:val="36"/>
          <w:highlight w:val="none"/>
        </w:rPr>
      </w:pPr>
    </w:p>
    <w:p w14:paraId="4A5635A4">
      <w:pPr>
        <w:spacing w:line="360" w:lineRule="auto"/>
        <w:jc w:val="left"/>
        <w:rPr>
          <w:rFonts w:ascii="宋体" w:hAnsi="宋体"/>
          <w:color w:val="auto"/>
          <w:sz w:val="36"/>
          <w:szCs w:val="36"/>
          <w:highlight w:val="none"/>
        </w:rPr>
      </w:pPr>
      <w:r>
        <w:rPr>
          <w:rFonts w:hint="eastAsia" w:ascii="宋体" w:hAnsi="宋体"/>
          <w:color w:val="auto"/>
          <w:sz w:val="36"/>
          <w:szCs w:val="36"/>
          <w:highlight w:val="none"/>
        </w:rPr>
        <w:t xml:space="preserve">    </w:t>
      </w:r>
    </w:p>
    <w:p w14:paraId="6854A43A">
      <w:pPr>
        <w:spacing w:after="156" w:afterLines="50" w:line="360" w:lineRule="auto"/>
        <w:ind w:firstLine="726" w:firstLineChars="201"/>
        <w:jc w:val="left"/>
        <w:rPr>
          <w:rFonts w:hint="eastAsia" w:ascii="仿宋_GB2312" w:hAnsi="仿宋" w:eastAsia="仿宋_GB2312" w:cs="方正楷体简体"/>
          <w:b/>
          <w:color w:val="auto"/>
          <w:sz w:val="36"/>
          <w:szCs w:val="36"/>
          <w:highlight w:val="none"/>
          <w:lang w:eastAsia="zh-CN"/>
        </w:rPr>
      </w:pPr>
      <w:r>
        <w:rPr>
          <w:rFonts w:hint="eastAsia" w:ascii="仿宋_GB2312" w:hAnsi="仿宋" w:eastAsia="仿宋_GB2312" w:cs="方正楷体简体"/>
          <w:b/>
          <w:color w:val="auto"/>
          <w:sz w:val="36"/>
          <w:szCs w:val="36"/>
          <w:highlight w:val="none"/>
        </w:rPr>
        <w:t>项目名称：</w:t>
      </w:r>
      <w:r>
        <w:rPr>
          <w:rFonts w:hint="eastAsia" w:ascii="仿宋_GB2312" w:hAnsi="仿宋" w:eastAsia="仿宋_GB2312" w:cs="方正楷体简体"/>
          <w:color w:val="auto"/>
          <w:sz w:val="36"/>
          <w:szCs w:val="36"/>
          <w:highlight w:val="none"/>
          <w:lang w:eastAsia="zh-CN"/>
        </w:rPr>
        <w:t>路沿石、人行道板采购</w:t>
      </w:r>
    </w:p>
    <w:p w14:paraId="122D2222">
      <w:pPr>
        <w:spacing w:after="156" w:afterLines="50" w:line="360" w:lineRule="auto"/>
        <w:ind w:firstLine="726" w:firstLineChars="201"/>
        <w:jc w:val="left"/>
        <w:rPr>
          <w:rFonts w:hint="eastAsia" w:ascii="仿宋_GB2312" w:hAnsi="仿宋" w:eastAsia="仿宋_GB2312" w:cs="方正楷体简体"/>
          <w:b/>
          <w:color w:val="auto"/>
          <w:sz w:val="36"/>
          <w:szCs w:val="36"/>
          <w:highlight w:val="none"/>
          <w:lang w:eastAsia="zh-CN"/>
        </w:rPr>
      </w:pPr>
      <w:r>
        <w:rPr>
          <w:rFonts w:hint="eastAsia" w:ascii="仿宋_GB2312" w:hAnsi="仿宋" w:eastAsia="仿宋_GB2312" w:cs="方正楷体简体"/>
          <w:b/>
          <w:color w:val="auto"/>
          <w:sz w:val="36"/>
          <w:szCs w:val="36"/>
          <w:highlight w:val="none"/>
        </w:rPr>
        <w:t>项目编号：</w:t>
      </w:r>
      <w:r>
        <w:rPr>
          <w:rFonts w:hint="eastAsia" w:ascii="仿宋_GB2312" w:hAnsi="仿宋" w:eastAsia="仿宋_GB2312" w:cs="方正楷体简体"/>
          <w:color w:val="auto"/>
          <w:sz w:val="36"/>
          <w:szCs w:val="36"/>
          <w:highlight w:val="none"/>
          <w:lang w:eastAsia="zh-CN"/>
        </w:rPr>
        <w:t>WHJX-ZB-2026-030</w:t>
      </w:r>
    </w:p>
    <w:p w14:paraId="0DBEA01E">
      <w:pPr>
        <w:spacing w:after="156" w:afterLines="50" w:line="360" w:lineRule="auto"/>
        <w:ind w:firstLine="726" w:firstLineChars="201"/>
        <w:jc w:val="left"/>
        <w:rPr>
          <w:rFonts w:ascii="仿宋_GB2312" w:hAnsi="仿宋" w:eastAsia="仿宋_GB2312" w:cs="方正楷体简体"/>
          <w:b/>
          <w:color w:val="auto"/>
          <w:sz w:val="36"/>
          <w:szCs w:val="36"/>
          <w:highlight w:val="none"/>
        </w:rPr>
      </w:pPr>
      <w:r>
        <w:rPr>
          <w:rFonts w:hint="eastAsia" w:ascii="仿宋_GB2312" w:hAnsi="仿宋" w:eastAsia="仿宋_GB2312" w:cs="方正楷体简体"/>
          <w:b/>
          <w:color w:val="auto"/>
          <w:sz w:val="36"/>
          <w:szCs w:val="36"/>
          <w:highlight w:val="none"/>
        </w:rPr>
        <w:t>包段名称：</w:t>
      </w:r>
      <w:r>
        <w:rPr>
          <w:rFonts w:hint="eastAsia" w:ascii="仿宋_GB2312" w:hAnsi="仿宋" w:eastAsia="仿宋_GB2312" w:cs="方正楷体简体"/>
          <w:color w:val="auto"/>
          <w:sz w:val="36"/>
          <w:szCs w:val="36"/>
          <w:highlight w:val="none"/>
          <w:lang w:eastAsia="zh-CN"/>
        </w:rPr>
        <w:t>路沿石采购</w:t>
      </w:r>
      <w:r>
        <w:rPr>
          <w:rFonts w:hint="eastAsia" w:ascii="仿宋_GB2312" w:hAnsi="仿宋" w:eastAsia="仿宋_GB2312" w:cs="方正楷体简体"/>
          <w:color w:val="auto"/>
          <w:sz w:val="36"/>
          <w:szCs w:val="36"/>
          <w:highlight w:val="none"/>
        </w:rPr>
        <w:t>(第</w:t>
      </w:r>
      <w:r>
        <w:rPr>
          <w:rFonts w:hint="eastAsia" w:ascii="仿宋_GB2312" w:hAnsi="仿宋" w:eastAsia="仿宋_GB2312" w:cs="方正楷体简体"/>
          <w:color w:val="auto"/>
          <w:sz w:val="36"/>
          <w:szCs w:val="36"/>
          <w:highlight w:val="none"/>
          <w:lang w:val="en-US" w:eastAsia="zh-CN"/>
        </w:rPr>
        <w:t>A</w:t>
      </w:r>
      <w:r>
        <w:rPr>
          <w:rFonts w:hint="eastAsia" w:ascii="仿宋_GB2312" w:hAnsi="仿宋" w:eastAsia="仿宋_GB2312" w:cs="方正楷体简体"/>
          <w:color w:val="auto"/>
          <w:sz w:val="36"/>
          <w:szCs w:val="36"/>
          <w:highlight w:val="none"/>
        </w:rPr>
        <w:t>包，共</w:t>
      </w:r>
      <w:r>
        <w:rPr>
          <w:rFonts w:hint="eastAsia" w:ascii="仿宋_GB2312" w:hAnsi="仿宋" w:eastAsia="仿宋_GB2312" w:cs="方正楷体简体"/>
          <w:color w:val="auto"/>
          <w:sz w:val="36"/>
          <w:szCs w:val="36"/>
          <w:highlight w:val="none"/>
          <w:lang w:val="en-US" w:eastAsia="zh-CN"/>
        </w:rPr>
        <w:t>2</w:t>
      </w:r>
      <w:r>
        <w:rPr>
          <w:rFonts w:hint="eastAsia" w:ascii="仿宋_GB2312" w:hAnsi="仿宋" w:eastAsia="仿宋_GB2312" w:cs="方正楷体简体"/>
          <w:color w:val="auto"/>
          <w:sz w:val="36"/>
          <w:szCs w:val="36"/>
          <w:highlight w:val="none"/>
        </w:rPr>
        <w:t xml:space="preserve">包) </w:t>
      </w:r>
    </w:p>
    <w:p w14:paraId="651156DE">
      <w:pPr>
        <w:spacing w:after="156" w:afterLines="50" w:line="360" w:lineRule="auto"/>
        <w:ind w:firstLine="726" w:firstLineChars="201"/>
        <w:jc w:val="left"/>
        <w:rPr>
          <w:rFonts w:ascii="仿宋_GB2312" w:hAnsi="仿宋" w:eastAsia="仿宋_GB2312" w:cs="方正楷体简体"/>
          <w:b/>
          <w:color w:val="auto"/>
          <w:sz w:val="36"/>
          <w:szCs w:val="36"/>
          <w:highlight w:val="none"/>
        </w:rPr>
      </w:pPr>
      <w:r>
        <w:rPr>
          <w:rFonts w:hint="eastAsia" w:ascii="仿宋_GB2312" w:hAnsi="仿宋" w:eastAsia="仿宋_GB2312" w:cs="方正楷体简体"/>
          <w:b/>
          <w:color w:val="auto"/>
          <w:sz w:val="36"/>
          <w:szCs w:val="36"/>
          <w:highlight w:val="none"/>
        </w:rPr>
        <w:t>采购方式：</w:t>
      </w:r>
      <w:r>
        <w:rPr>
          <w:rFonts w:ascii="仿宋_GB2312" w:hAnsi="仿宋" w:eastAsia="仿宋_GB2312" w:cs="方正楷体简体"/>
          <w:color w:val="auto"/>
          <w:sz w:val="36"/>
          <w:szCs w:val="36"/>
          <w:highlight w:val="none"/>
        </w:rPr>
        <w:t>竞争谈判</w:t>
      </w:r>
    </w:p>
    <w:p w14:paraId="653E76C9">
      <w:pPr>
        <w:spacing w:line="360" w:lineRule="auto"/>
        <w:rPr>
          <w:rFonts w:ascii="仿宋_GB2312" w:hAnsi="仿宋" w:eastAsia="仿宋_GB2312" w:cs="方正楷体简体"/>
          <w:b/>
          <w:color w:val="auto"/>
          <w:sz w:val="16"/>
          <w:szCs w:val="36"/>
          <w:highlight w:val="none"/>
        </w:rPr>
      </w:pPr>
    </w:p>
    <w:p w14:paraId="285FEBB1">
      <w:pPr>
        <w:spacing w:line="360" w:lineRule="auto"/>
        <w:ind w:firstLine="363" w:firstLineChars="201"/>
        <w:jc w:val="center"/>
        <w:rPr>
          <w:rFonts w:ascii="仿宋_GB2312" w:hAnsi="仿宋" w:eastAsia="仿宋_GB2312" w:cs="方正楷体简体"/>
          <w:b/>
          <w:color w:val="auto"/>
          <w:sz w:val="18"/>
          <w:szCs w:val="36"/>
          <w:highlight w:val="none"/>
        </w:rPr>
      </w:pPr>
    </w:p>
    <w:p w14:paraId="02E1A3A5">
      <w:pPr>
        <w:spacing w:before="156" w:beforeLines="50" w:line="360" w:lineRule="auto"/>
        <w:ind w:firstLine="726" w:firstLineChars="201"/>
        <w:jc w:val="center"/>
        <w:rPr>
          <w:rFonts w:hint="eastAsia" w:ascii="仿宋_GB2312" w:hAnsi="仿宋" w:eastAsia="仿宋_GB2312"/>
          <w:b/>
          <w:bCs/>
          <w:color w:val="auto"/>
          <w:kern w:val="0"/>
          <w:sz w:val="36"/>
          <w:szCs w:val="36"/>
          <w:highlight w:val="none"/>
          <w:lang w:eastAsia="zh-CN"/>
        </w:rPr>
      </w:pPr>
      <w:r>
        <w:rPr>
          <w:rFonts w:hint="eastAsia" w:ascii="仿宋_GB2312" w:hAnsi="仿宋" w:eastAsia="仿宋_GB2312" w:cs="方正楷体简体"/>
          <w:b/>
          <w:color w:val="auto"/>
          <w:sz w:val="36"/>
          <w:szCs w:val="36"/>
          <w:highlight w:val="none"/>
        </w:rPr>
        <w:t>代理机构：</w:t>
      </w:r>
      <w:r>
        <w:rPr>
          <w:rFonts w:hint="eastAsia" w:ascii="仿宋_GB2312" w:hAnsi="仿宋" w:eastAsia="仿宋_GB2312" w:cs="方正楷体简体"/>
          <w:color w:val="auto"/>
          <w:sz w:val="36"/>
          <w:szCs w:val="36"/>
          <w:highlight w:val="none"/>
          <w:lang w:eastAsia="zh-CN"/>
        </w:rPr>
        <w:t>威海市嘉鑫工程检测鉴定有限公司</w:t>
      </w:r>
    </w:p>
    <w:p w14:paraId="254FA937">
      <w:pPr>
        <w:spacing w:before="156" w:beforeLines="50" w:line="360" w:lineRule="auto"/>
        <w:ind w:firstLine="726" w:firstLineChars="201"/>
        <w:jc w:val="center"/>
        <w:rPr>
          <w:rFonts w:hint="eastAsia"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编制时间：</w:t>
      </w:r>
      <w:r>
        <w:rPr>
          <w:rFonts w:hint="eastAsia" w:ascii="仿宋_GB2312" w:hAnsi="仿宋" w:eastAsia="仿宋_GB2312" w:cs="方正楷体简体"/>
          <w:color w:val="auto"/>
          <w:sz w:val="36"/>
          <w:szCs w:val="36"/>
          <w:highlight w:val="none"/>
        </w:rPr>
        <w:t xml:space="preserve"> </w:t>
      </w:r>
      <w:r>
        <w:rPr>
          <w:rFonts w:hint="eastAsia" w:ascii="仿宋_GB2312" w:hAnsi="仿宋" w:eastAsia="仿宋_GB2312" w:cs="方正楷体简体"/>
          <w:color w:val="auto"/>
          <w:sz w:val="36"/>
          <w:szCs w:val="36"/>
          <w:highlight w:val="none"/>
          <w:lang w:eastAsia="zh-CN"/>
        </w:rPr>
        <w:t>2026年04月24日</w:t>
      </w:r>
    </w:p>
    <w:p w14:paraId="7C1B6644">
      <w:pPr>
        <w:spacing w:before="156" w:beforeLines="50" w:line="360" w:lineRule="auto"/>
        <w:ind w:firstLine="726" w:firstLineChars="201"/>
        <w:jc w:val="center"/>
        <w:rPr>
          <w:rFonts w:ascii="仿宋_GB2312" w:hAnsi="仿宋" w:eastAsia="仿宋_GB2312" w:cs="方正楷体简体"/>
          <w:b/>
          <w:color w:val="auto"/>
          <w:sz w:val="36"/>
          <w:szCs w:val="36"/>
          <w:highlight w:val="none"/>
        </w:rPr>
      </w:pPr>
    </w:p>
    <w:p w14:paraId="422F33E4">
      <w:pPr>
        <w:spacing w:line="360" w:lineRule="auto"/>
        <w:ind w:firstLine="1045" w:firstLineChars="201"/>
        <w:jc w:val="center"/>
        <w:rPr>
          <w:rFonts w:ascii="黑体" w:hAnsi="黑体" w:eastAsia="黑体" w:cs="方正小标宋简体"/>
          <w:color w:val="auto"/>
          <w:kern w:val="0"/>
          <w:sz w:val="52"/>
          <w:szCs w:val="52"/>
          <w:highlight w:val="none"/>
        </w:rPr>
        <w:sectPr>
          <w:headerReference r:id="rId3" w:type="default"/>
          <w:pgSz w:w="11906" w:h="16838"/>
          <w:pgMar w:top="1440" w:right="1080" w:bottom="1440" w:left="1080" w:header="851" w:footer="992" w:gutter="0"/>
          <w:pgNumType w:start="1"/>
          <w:cols w:space="720" w:num="1"/>
          <w:docGrid w:type="lines" w:linePitch="312" w:charSpace="0"/>
        </w:sectPr>
      </w:pPr>
    </w:p>
    <w:p w14:paraId="27E68EF7">
      <w:pPr>
        <w:spacing w:line="360" w:lineRule="auto"/>
        <w:ind w:firstLine="1045" w:firstLineChars="201"/>
        <w:jc w:val="center"/>
        <w:rPr>
          <w:rFonts w:ascii="黑体" w:hAnsi="黑体" w:eastAsia="黑体"/>
          <w:b/>
          <w:color w:val="auto"/>
          <w:sz w:val="44"/>
          <w:szCs w:val="44"/>
          <w:highlight w:val="none"/>
        </w:rPr>
      </w:pPr>
      <w:r>
        <w:rPr>
          <w:rFonts w:hint="eastAsia" w:ascii="黑体" w:hAnsi="黑体" w:eastAsia="黑体" w:cs="方正小标宋简体"/>
          <w:color w:val="auto"/>
          <w:kern w:val="0"/>
          <w:sz w:val="52"/>
          <w:szCs w:val="52"/>
          <w:highlight w:val="none"/>
        </w:rPr>
        <w:t>目  录</w:t>
      </w:r>
    </w:p>
    <w:p w14:paraId="53076B1A">
      <w:pPr>
        <w:spacing w:line="560" w:lineRule="exact"/>
        <w:ind w:firstLine="562" w:firstLineChars="201"/>
        <w:jc w:val="left"/>
        <w:rPr>
          <w:rFonts w:ascii="宋体" w:hAnsi="宋体" w:cs="方正楷体简体"/>
          <w:color w:val="auto"/>
          <w:sz w:val="28"/>
          <w:szCs w:val="28"/>
          <w:highlight w:val="none"/>
        </w:rPr>
      </w:pPr>
    </w:p>
    <w:p w14:paraId="5EA4A853">
      <w:pPr>
        <w:spacing w:line="560" w:lineRule="exact"/>
        <w:ind w:firstLine="565" w:firstLineChars="201"/>
        <w:jc w:val="left"/>
        <w:rPr>
          <w:rFonts w:ascii="仿宋_GB2312" w:hAnsi="宋体" w:eastAsia="仿宋_GB2312" w:cs="宋体"/>
          <w:b/>
          <w:bCs/>
          <w:caps/>
          <w:color w:val="auto"/>
          <w:sz w:val="28"/>
          <w:szCs w:val="28"/>
          <w:highlight w:val="none"/>
        </w:rPr>
      </w:pPr>
    </w:p>
    <w:p w14:paraId="6DDA56DC">
      <w:pPr>
        <w:rPr>
          <w:rFonts w:ascii="仿宋_GB2312" w:hAnsi="宋体" w:eastAsia="仿宋_GB2312"/>
          <w:b/>
          <w:color w:val="auto"/>
          <w:highlight w:val="none"/>
        </w:rPr>
      </w:pPr>
    </w:p>
    <w:p w14:paraId="6C432689">
      <w:pPr>
        <w:spacing w:line="560" w:lineRule="exact"/>
        <w:ind w:firstLine="565" w:firstLineChars="201"/>
        <w:jc w:val="left"/>
        <w:rPr>
          <w:rFonts w:ascii="仿宋_GB2312" w:hAnsi="宋体" w:eastAsia="仿宋_GB2312"/>
          <w:b/>
          <w:bCs/>
          <w:caps/>
          <w:color w:val="auto"/>
          <w:sz w:val="28"/>
          <w:szCs w:val="28"/>
          <w:highlight w:val="none"/>
        </w:rPr>
      </w:pPr>
    </w:p>
    <w:p w14:paraId="672A5645">
      <w:pPr>
        <w:spacing w:line="560" w:lineRule="exact"/>
        <w:ind w:firstLine="565" w:firstLineChars="201"/>
        <w:jc w:val="left"/>
        <w:rPr>
          <w:rFonts w:ascii="仿宋_GB2312" w:hAnsi="宋体" w:eastAsia="仿宋_GB2312" w:cs="方正楷体简体"/>
          <w:b/>
          <w:color w:val="auto"/>
          <w:sz w:val="28"/>
          <w:szCs w:val="28"/>
          <w:highlight w:val="none"/>
        </w:rPr>
      </w:pPr>
    </w:p>
    <w:p w14:paraId="5E3C82AF">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 xml:space="preserve">第一章   竞争谈判公告 </w:t>
      </w:r>
    </w:p>
    <w:p w14:paraId="526E69CF">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第二章   竞争谈判须知</w:t>
      </w:r>
    </w:p>
    <w:p w14:paraId="70DE1C2A">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第三章   采购内容与要求</w:t>
      </w:r>
    </w:p>
    <w:p w14:paraId="13EB5BAA">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第四章   竞争谈判原则、程序与方法</w:t>
      </w:r>
    </w:p>
    <w:p w14:paraId="47284B85">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第五章   响应文件格式与要求</w:t>
      </w:r>
    </w:p>
    <w:p w14:paraId="6FE60115">
      <w:pPr>
        <w:spacing w:line="720" w:lineRule="exact"/>
        <w:ind w:firstLine="565" w:firstLineChars="201"/>
        <w:jc w:val="left"/>
        <w:rPr>
          <w:rFonts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第六章   采购合同（范本）</w:t>
      </w:r>
    </w:p>
    <w:p w14:paraId="65C485AD">
      <w:pPr>
        <w:spacing w:line="560" w:lineRule="exact"/>
        <w:ind w:firstLine="424" w:firstLineChars="151"/>
        <w:jc w:val="left"/>
        <w:rPr>
          <w:rFonts w:ascii="仿宋_GB2312" w:hAnsi="宋体" w:eastAsia="仿宋_GB2312" w:cs="宋体"/>
          <w:b/>
          <w:bCs/>
          <w:caps/>
          <w:color w:val="auto"/>
          <w:sz w:val="28"/>
          <w:szCs w:val="28"/>
          <w:highlight w:val="none"/>
        </w:rPr>
      </w:pPr>
    </w:p>
    <w:p w14:paraId="3F493236">
      <w:pPr>
        <w:spacing w:line="560" w:lineRule="exact"/>
        <w:ind w:firstLine="424" w:firstLineChars="151"/>
        <w:jc w:val="left"/>
        <w:rPr>
          <w:rFonts w:ascii="仿宋_GB2312" w:hAnsi="宋体" w:eastAsia="仿宋_GB2312"/>
          <w:b/>
          <w:bCs/>
          <w:caps/>
          <w:color w:val="auto"/>
          <w:sz w:val="28"/>
          <w:szCs w:val="28"/>
          <w:highlight w:val="none"/>
        </w:rPr>
      </w:pPr>
    </w:p>
    <w:p w14:paraId="76181ED3">
      <w:pPr>
        <w:rPr>
          <w:rFonts w:ascii="宋体" w:hAnsi="宋体"/>
          <w:color w:val="auto"/>
          <w:kern w:val="0"/>
          <w:highlight w:val="none"/>
        </w:rPr>
        <w:sectPr>
          <w:headerReference r:id="rId4" w:type="default"/>
          <w:pgSz w:w="11906" w:h="16838"/>
          <w:pgMar w:top="1440" w:right="1080" w:bottom="1440" w:left="1080" w:header="851" w:footer="992" w:gutter="0"/>
          <w:pgNumType w:start="1"/>
          <w:cols w:space="720" w:num="1"/>
          <w:docGrid w:type="lines" w:linePitch="312" w:charSpace="0"/>
        </w:sectPr>
      </w:pPr>
    </w:p>
    <w:p w14:paraId="1663835C">
      <w:pPr>
        <w:pStyle w:val="32"/>
        <w:spacing w:before="100" w:beforeAutospacing="1" w:after="100" w:afterAutospacing="1" w:line="415" w:lineRule="auto"/>
        <w:rPr>
          <w:rFonts w:ascii="宋体" w:hAnsi="宋体" w:cs="宋体"/>
          <w:color w:val="auto"/>
          <w:sz w:val="24"/>
          <w:szCs w:val="44"/>
          <w:highlight w:val="none"/>
        </w:rPr>
      </w:pPr>
      <w:r>
        <w:rPr>
          <w:rFonts w:hint="eastAsia" w:ascii="楷体_GB2312" w:hAnsi="宋体" w:eastAsia="楷体_GB2312" w:cs="宋体"/>
          <w:color w:val="auto"/>
          <w:sz w:val="44"/>
          <w:szCs w:val="44"/>
          <w:highlight w:val="none"/>
        </w:rPr>
        <w:t>第一章 采购公告</w:t>
      </w:r>
    </w:p>
    <w:p w14:paraId="02B319E5">
      <w:pPr>
        <w:rPr>
          <w:color w:val="auto"/>
          <w:highlight w:val="none"/>
        </w:rPr>
      </w:pPr>
    </w:p>
    <w:p w14:paraId="2BF525E2">
      <w:pPr>
        <w:rPr>
          <w:color w:val="auto"/>
          <w:highlight w:val="none"/>
        </w:rPr>
        <w:sectPr>
          <w:headerReference r:id="rId6" w:type="first"/>
          <w:footerReference r:id="rId7" w:type="default"/>
          <w:headerReference r:id="rId5" w:type="even"/>
          <w:pgSz w:w="11906" w:h="16838"/>
          <w:pgMar w:top="1440" w:right="1077" w:bottom="1440" w:left="1077" w:header="851" w:footer="992" w:gutter="0"/>
          <w:cols w:space="720" w:num="1"/>
          <w:docGrid w:type="lines" w:linePitch="312" w:charSpace="0"/>
        </w:sectPr>
      </w:pPr>
    </w:p>
    <w:p w14:paraId="76BB11B6">
      <w:pPr>
        <w:spacing w:line="360" w:lineRule="auto"/>
        <w:jc w:val="center"/>
        <w:rPr>
          <w:rFonts w:ascii="方正小标宋简体" w:eastAsia="方正小标宋简体"/>
          <w:b/>
          <w:color w:val="auto"/>
          <w:sz w:val="30"/>
          <w:szCs w:val="30"/>
          <w:highlight w:val="none"/>
        </w:rPr>
      </w:pPr>
      <w:r>
        <w:rPr>
          <w:rFonts w:hint="eastAsia" w:ascii="方正小标宋简体" w:eastAsia="方正小标宋简体"/>
          <w:b/>
          <w:color w:val="auto"/>
          <w:sz w:val="30"/>
          <w:szCs w:val="30"/>
          <w:highlight w:val="none"/>
          <w:lang w:eastAsia="zh-CN"/>
        </w:rPr>
        <w:t>路沿石、人行道板采购</w:t>
      </w:r>
      <w:r>
        <w:rPr>
          <w:rFonts w:hint="eastAsia" w:ascii="方正小标宋简体" w:eastAsia="方正小标宋简体"/>
          <w:b/>
          <w:color w:val="auto"/>
          <w:sz w:val="30"/>
          <w:szCs w:val="30"/>
          <w:highlight w:val="none"/>
        </w:rPr>
        <w:t>竞争谈判公告</w:t>
      </w:r>
    </w:p>
    <w:p w14:paraId="76FEDD5C">
      <w:pPr>
        <w:pBdr>
          <w:top w:val="single" w:color="auto" w:sz="4" w:space="1"/>
          <w:left w:val="single" w:color="auto" w:sz="4" w:space="4"/>
          <w:bottom w:val="single" w:color="auto" w:sz="4" w:space="1"/>
          <w:right w:val="single" w:color="auto" w:sz="4" w:space="4"/>
        </w:pBdr>
        <w:spacing w:line="360" w:lineRule="auto"/>
        <w:ind w:firstLine="560" w:firstLineChars="20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项目概况</w:t>
      </w:r>
    </w:p>
    <w:p w14:paraId="2A7F0DC2">
      <w:pPr>
        <w:widowControl/>
        <w:pBdr>
          <w:top w:val="single" w:color="auto" w:sz="4" w:space="1"/>
          <w:left w:val="single" w:color="auto" w:sz="4" w:space="4"/>
          <w:bottom w:val="single" w:color="auto" w:sz="4" w:space="1"/>
          <w:right w:val="single" w:color="auto" w:sz="4" w:space="4"/>
        </w:pBdr>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lang w:eastAsia="zh-CN"/>
        </w:rPr>
        <w:t>路沿石、人行道板采购</w:t>
      </w:r>
      <w:r>
        <w:rPr>
          <w:rFonts w:hint="eastAsia" w:ascii="仿宋_GB2312" w:hAnsi="仿宋" w:eastAsia="仿宋_GB2312" w:cs="宋体"/>
          <w:color w:val="auto"/>
          <w:spacing w:val="8"/>
          <w:sz w:val="28"/>
          <w:szCs w:val="28"/>
          <w:highlight w:val="none"/>
        </w:rPr>
        <w:t>采购项目的潜在供应商应</w:t>
      </w:r>
      <w:r>
        <w:rPr>
          <w:rFonts w:hint="eastAsia" w:ascii="仿宋_GB2312" w:hAnsi="仿宋" w:eastAsia="仿宋_GB2312" w:cs="宋体"/>
          <w:color w:val="auto"/>
          <w:spacing w:val="8"/>
          <w:sz w:val="28"/>
          <w:szCs w:val="28"/>
          <w:highlight w:val="none"/>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sz w:val="28"/>
          <w:szCs w:val="28"/>
          <w:highlight w:val="none"/>
        </w:rPr>
        <w:t>获取采购文件，并于</w:t>
      </w:r>
      <w:r>
        <w:rPr>
          <w:rFonts w:hint="eastAsia" w:ascii="仿宋_GB2312" w:hAnsi="宋体" w:eastAsia="仿宋_GB2312" w:cs="宋体"/>
          <w:color w:val="auto"/>
          <w:spacing w:val="8"/>
          <w:sz w:val="28"/>
          <w:szCs w:val="28"/>
          <w:highlight w:val="none"/>
          <w:u w:val="single"/>
        </w:rPr>
        <w:t xml:space="preserve"> </w:t>
      </w:r>
      <w:r>
        <w:rPr>
          <w:rFonts w:hint="eastAsia" w:ascii="仿宋_GB2312" w:hAnsi="仿宋" w:eastAsia="仿宋_GB2312" w:cs="宋体"/>
          <w:color w:val="auto"/>
          <w:spacing w:val="8"/>
          <w:sz w:val="28"/>
          <w:szCs w:val="28"/>
          <w:highlight w:val="none"/>
          <w:u w:val="single"/>
          <w:lang w:eastAsia="zh-CN"/>
        </w:rPr>
        <w:t>2026年05月06日14时00分</w:t>
      </w:r>
      <w:r>
        <w:rPr>
          <w:rFonts w:hint="eastAsia" w:ascii="仿宋_GB2312" w:hAnsi="仿宋" w:eastAsia="仿宋_GB2312" w:cs="宋体"/>
          <w:color w:val="auto"/>
          <w:spacing w:val="8"/>
          <w:sz w:val="28"/>
          <w:szCs w:val="28"/>
          <w:highlight w:val="none"/>
          <w:u w:val="single"/>
        </w:rPr>
        <w:t>（北京时间）</w:t>
      </w:r>
      <w:r>
        <w:rPr>
          <w:rFonts w:hint="eastAsia" w:ascii="仿宋_GB2312" w:hAnsi="仿宋" w:eastAsia="仿宋_GB2312" w:cs="宋体"/>
          <w:color w:val="auto"/>
          <w:spacing w:val="8"/>
          <w:sz w:val="28"/>
          <w:szCs w:val="28"/>
          <w:highlight w:val="none"/>
        </w:rPr>
        <w:t>前递交响应文件。</w:t>
      </w:r>
    </w:p>
    <w:p w14:paraId="673F89BD">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一、项目基本情况</w:t>
      </w:r>
    </w:p>
    <w:p w14:paraId="0B9415B1">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项目编号：</w:t>
      </w:r>
      <w:r>
        <w:rPr>
          <w:rFonts w:hint="eastAsia" w:ascii="仿宋_GB2312" w:hAnsi="仿宋" w:eastAsia="仿宋_GB2312" w:cs="宋体"/>
          <w:color w:val="auto"/>
          <w:spacing w:val="8"/>
          <w:sz w:val="28"/>
          <w:szCs w:val="28"/>
          <w:highlight w:val="none"/>
          <w:lang w:eastAsia="zh-CN"/>
        </w:rPr>
        <w:t>WHJX-ZB-2026-030</w:t>
      </w:r>
    </w:p>
    <w:p w14:paraId="4B10EEB5">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项目名称：</w:t>
      </w:r>
      <w:r>
        <w:rPr>
          <w:rFonts w:hint="eastAsia" w:ascii="仿宋_GB2312" w:hAnsi="仿宋" w:eastAsia="仿宋_GB2312" w:cs="宋体"/>
          <w:color w:val="auto"/>
          <w:spacing w:val="8"/>
          <w:sz w:val="28"/>
          <w:szCs w:val="28"/>
          <w:highlight w:val="none"/>
          <w:lang w:eastAsia="zh-CN"/>
        </w:rPr>
        <w:t>路沿石、人行道板采购</w:t>
      </w:r>
    </w:p>
    <w:p w14:paraId="63A27390">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采购方式：</w:t>
      </w:r>
      <w:r>
        <w:rPr>
          <w:rFonts w:ascii="仿宋_GB2312" w:hAnsi="仿宋" w:eastAsia="仿宋_GB2312" w:cs="宋体"/>
          <w:color w:val="auto"/>
          <w:spacing w:val="8"/>
          <w:sz w:val="28"/>
          <w:szCs w:val="28"/>
          <w:highlight w:val="none"/>
        </w:rPr>
        <w:t>竞争谈判</w:t>
      </w:r>
    </w:p>
    <w:p w14:paraId="6A384509">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采购项目分包情况：</w:t>
      </w:r>
    </w:p>
    <w:tbl>
      <w:tblPr>
        <w:tblStyle w:val="34"/>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851"/>
        <w:gridCol w:w="2268"/>
        <w:gridCol w:w="709"/>
        <w:gridCol w:w="1818"/>
        <w:gridCol w:w="1559"/>
        <w:gridCol w:w="1417"/>
        <w:gridCol w:w="1357"/>
      </w:tblGrid>
      <w:tr w14:paraId="60582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bottom w:val="single" w:color="auto" w:sz="4" w:space="0"/>
            </w:tcBorders>
            <w:vAlign w:val="center"/>
          </w:tcPr>
          <w:p w14:paraId="0BBD4F6D">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标包</w:t>
            </w:r>
          </w:p>
        </w:tc>
        <w:tc>
          <w:tcPr>
            <w:tcW w:w="2268" w:type="dxa"/>
            <w:vAlign w:val="center"/>
          </w:tcPr>
          <w:p w14:paraId="789CC450">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名称</w:t>
            </w:r>
          </w:p>
        </w:tc>
        <w:tc>
          <w:tcPr>
            <w:tcW w:w="709" w:type="dxa"/>
            <w:vAlign w:val="center"/>
          </w:tcPr>
          <w:p w14:paraId="31242859">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数量</w:t>
            </w:r>
          </w:p>
        </w:tc>
        <w:tc>
          <w:tcPr>
            <w:tcW w:w="1818" w:type="dxa"/>
            <w:tcBorders>
              <w:right w:val="single" w:color="auto" w:sz="4" w:space="0"/>
            </w:tcBorders>
            <w:vAlign w:val="center"/>
          </w:tcPr>
          <w:p w14:paraId="532CBEC4">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包预算金额</w:t>
            </w:r>
          </w:p>
          <w:p w14:paraId="769F3646">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lang w:val="en-US" w:eastAsia="zh-CN"/>
              </w:rPr>
              <w:t>含税价</w:t>
            </w:r>
            <w:r>
              <w:rPr>
                <w:rFonts w:hint="eastAsia" w:ascii="仿宋_GB2312" w:hAnsi="宋体" w:eastAsia="仿宋_GB2312" w:cs="宋体"/>
                <w:b/>
                <w:color w:val="auto"/>
                <w:sz w:val="28"/>
                <w:highlight w:val="none"/>
              </w:rPr>
              <w:t>（元）</w:t>
            </w:r>
          </w:p>
        </w:tc>
        <w:tc>
          <w:tcPr>
            <w:tcW w:w="1559" w:type="dxa"/>
            <w:vAlign w:val="center"/>
          </w:tcPr>
          <w:p w14:paraId="54F209CC">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最高限价</w:t>
            </w:r>
            <w:r>
              <w:rPr>
                <w:rFonts w:hint="eastAsia" w:ascii="仿宋_GB2312" w:hAnsi="宋体" w:eastAsia="仿宋_GB2312" w:cs="宋体"/>
                <w:b/>
                <w:color w:val="auto"/>
                <w:sz w:val="28"/>
                <w:highlight w:val="none"/>
                <w:lang w:val="en-US" w:eastAsia="zh-CN"/>
              </w:rPr>
              <w:t>含税价</w:t>
            </w:r>
            <w:r>
              <w:rPr>
                <w:rFonts w:hint="eastAsia" w:ascii="仿宋_GB2312" w:hAnsi="宋体" w:eastAsia="仿宋_GB2312" w:cs="宋体"/>
                <w:b/>
                <w:color w:val="auto"/>
                <w:sz w:val="28"/>
                <w:highlight w:val="none"/>
              </w:rPr>
              <w:t>（元）</w:t>
            </w:r>
          </w:p>
        </w:tc>
        <w:tc>
          <w:tcPr>
            <w:tcW w:w="1417" w:type="dxa"/>
            <w:tcBorders>
              <w:right w:val="single" w:color="auto" w:sz="4" w:space="0"/>
            </w:tcBorders>
            <w:vAlign w:val="center"/>
          </w:tcPr>
          <w:p w14:paraId="646EC660">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采购需求</w:t>
            </w:r>
          </w:p>
        </w:tc>
        <w:tc>
          <w:tcPr>
            <w:tcW w:w="1357" w:type="dxa"/>
            <w:tcBorders>
              <w:right w:val="single" w:color="auto" w:sz="4" w:space="0"/>
            </w:tcBorders>
            <w:vAlign w:val="center"/>
          </w:tcPr>
          <w:p w14:paraId="08BD46F7">
            <w:pPr>
              <w:widowControl/>
              <w:adjustRightInd w:val="0"/>
              <w:snapToGrid w:val="0"/>
              <w:jc w:val="center"/>
              <w:rPr>
                <w:rFonts w:ascii="仿宋_GB2312" w:hAnsi="宋体" w:eastAsia="仿宋_GB2312" w:cs="宋体"/>
                <w:b/>
                <w:color w:val="auto"/>
                <w:sz w:val="28"/>
                <w:highlight w:val="none"/>
              </w:rPr>
            </w:pPr>
            <w:r>
              <w:rPr>
                <w:rFonts w:hint="eastAsia" w:ascii="仿宋_GB2312" w:hAnsi="宋体" w:eastAsia="仿宋_GB2312" w:cs="宋体"/>
                <w:b/>
                <w:color w:val="auto"/>
                <w:sz w:val="28"/>
                <w:highlight w:val="none"/>
              </w:rPr>
              <w:t>合同履行期限</w:t>
            </w:r>
          </w:p>
        </w:tc>
      </w:tr>
      <w:tr w14:paraId="223B9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top w:val="single" w:color="auto" w:sz="4" w:space="0"/>
              <w:bottom w:val="single" w:color="auto" w:sz="4" w:space="0"/>
            </w:tcBorders>
            <w:vAlign w:val="center"/>
          </w:tcPr>
          <w:p w14:paraId="321F2257">
            <w:pPr>
              <w:widowControl/>
              <w:adjustRightInd w:val="0"/>
              <w:snapToGrid w:val="0"/>
              <w:jc w:val="center"/>
              <w:rPr>
                <w:rFonts w:ascii="仿宋_GB2312" w:hAnsi="宋体" w:eastAsia="仿宋_GB2312" w:cs="宋体"/>
                <w:color w:val="auto"/>
                <w:sz w:val="28"/>
                <w:highlight w:val="none"/>
              </w:rPr>
            </w:pPr>
            <w:r>
              <w:rPr>
                <w:rFonts w:ascii="仿宋_GB2312" w:hAnsi="宋体" w:eastAsia="仿宋_GB2312" w:cs="宋体"/>
                <w:color w:val="auto"/>
                <w:sz w:val="28"/>
                <w:highlight w:val="none"/>
              </w:rPr>
              <w:t>A</w:t>
            </w:r>
          </w:p>
        </w:tc>
        <w:tc>
          <w:tcPr>
            <w:tcW w:w="2268" w:type="dxa"/>
            <w:vAlign w:val="center"/>
          </w:tcPr>
          <w:p w14:paraId="6F75259D">
            <w:pPr>
              <w:widowControl/>
              <w:adjustRightInd w:val="0"/>
              <w:snapToGrid w:val="0"/>
              <w:jc w:val="center"/>
              <w:rPr>
                <w:rFonts w:hint="eastAsia" w:ascii="仿宋_GB2312" w:hAnsi="宋体" w:eastAsia="仿宋_GB2312" w:cs="宋体"/>
                <w:color w:val="auto"/>
                <w:sz w:val="28"/>
                <w:highlight w:val="none"/>
                <w:lang w:eastAsia="zh-CN"/>
              </w:rPr>
            </w:pPr>
            <w:r>
              <w:rPr>
                <w:rFonts w:hint="eastAsia" w:ascii="仿宋_GB2312" w:hAnsi="宋体" w:eastAsia="仿宋_GB2312" w:cs="宋体"/>
                <w:color w:val="auto"/>
                <w:sz w:val="28"/>
                <w:highlight w:val="none"/>
                <w:lang w:eastAsia="zh-CN"/>
              </w:rPr>
              <w:t>路沿石采购</w:t>
            </w:r>
          </w:p>
        </w:tc>
        <w:tc>
          <w:tcPr>
            <w:tcW w:w="709" w:type="dxa"/>
            <w:vAlign w:val="center"/>
          </w:tcPr>
          <w:p w14:paraId="7C30F935">
            <w:pPr>
              <w:widowControl/>
              <w:adjustRightInd w:val="0"/>
              <w:snapToGrid w:val="0"/>
              <w:jc w:val="center"/>
              <w:rPr>
                <w:rFonts w:ascii="仿宋_GB2312" w:hAnsi="宋体" w:eastAsia="仿宋_GB2312" w:cs="宋体"/>
                <w:color w:val="auto"/>
                <w:sz w:val="28"/>
                <w:highlight w:val="none"/>
              </w:rPr>
            </w:pPr>
            <w:r>
              <w:rPr>
                <w:rFonts w:ascii="仿宋_GB2312" w:hAnsi="宋体" w:eastAsia="仿宋_GB2312" w:cs="宋体"/>
                <w:color w:val="auto"/>
                <w:sz w:val="28"/>
                <w:highlight w:val="none"/>
              </w:rPr>
              <w:t>1宗</w:t>
            </w:r>
          </w:p>
        </w:tc>
        <w:tc>
          <w:tcPr>
            <w:tcW w:w="1818" w:type="dxa"/>
            <w:tcBorders>
              <w:right w:val="single" w:color="auto" w:sz="4" w:space="0"/>
            </w:tcBorders>
            <w:vAlign w:val="center"/>
          </w:tcPr>
          <w:p w14:paraId="7DD56C26">
            <w:pPr>
              <w:widowControl/>
              <w:adjustRightInd w:val="0"/>
              <w:snapToGrid w:val="0"/>
              <w:jc w:val="center"/>
              <w:rPr>
                <w:rFonts w:hint="default" w:ascii="仿宋_GB2312" w:hAnsi="宋体" w:eastAsia="仿宋_GB2312" w:cs="宋体"/>
                <w:color w:val="auto"/>
                <w:sz w:val="28"/>
                <w:highlight w:val="none"/>
                <w:lang w:val="en-US" w:eastAsia="zh-CN"/>
              </w:rPr>
            </w:pPr>
            <w:r>
              <w:rPr>
                <w:rFonts w:hint="eastAsia" w:ascii="仿宋_GB2312" w:hAnsi="宋体" w:eastAsia="仿宋_GB2312" w:cs="宋体"/>
                <w:color w:val="auto"/>
                <w:sz w:val="28"/>
                <w:highlight w:val="none"/>
                <w:lang w:val="en-US" w:eastAsia="zh-CN"/>
              </w:rPr>
              <w:t>1530元/m³</w:t>
            </w:r>
          </w:p>
        </w:tc>
        <w:tc>
          <w:tcPr>
            <w:tcW w:w="1559" w:type="dxa"/>
            <w:shd w:val="clear" w:color="auto" w:fill="auto"/>
            <w:vAlign w:val="center"/>
          </w:tcPr>
          <w:p w14:paraId="7FA2DE6B">
            <w:pPr>
              <w:widowControl/>
              <w:adjustRightInd w:val="0"/>
              <w:snapToGrid w:val="0"/>
              <w:jc w:val="center"/>
              <w:rPr>
                <w:rFonts w:hint="default" w:ascii="仿宋_GB2312" w:hAnsi="宋体" w:eastAsia="仿宋_GB2312" w:cs="宋体"/>
                <w:color w:val="auto"/>
                <w:kern w:val="2"/>
                <w:sz w:val="28"/>
                <w:szCs w:val="22"/>
                <w:highlight w:val="none"/>
                <w:lang w:val="en-US" w:eastAsia="zh-CN" w:bidi="ar-SA"/>
              </w:rPr>
            </w:pPr>
            <w:r>
              <w:rPr>
                <w:rFonts w:hint="eastAsia" w:ascii="仿宋_GB2312" w:hAnsi="宋体" w:eastAsia="仿宋_GB2312" w:cs="宋体"/>
                <w:color w:val="auto"/>
                <w:sz w:val="28"/>
                <w:highlight w:val="none"/>
                <w:lang w:val="en-US" w:eastAsia="zh-CN"/>
              </w:rPr>
              <w:t>1530元/m³</w:t>
            </w:r>
          </w:p>
        </w:tc>
        <w:tc>
          <w:tcPr>
            <w:tcW w:w="1417" w:type="dxa"/>
            <w:tcBorders>
              <w:right w:val="single" w:color="auto" w:sz="4" w:space="0"/>
            </w:tcBorders>
            <w:vAlign w:val="center"/>
          </w:tcPr>
          <w:p w14:paraId="263BAF60">
            <w:pPr>
              <w:widowControl/>
              <w:adjustRightInd w:val="0"/>
              <w:snapToGrid w:val="0"/>
              <w:jc w:val="center"/>
              <w:rPr>
                <w:rFonts w:ascii="仿宋_GB2312" w:hAnsi="宋体" w:eastAsia="仿宋_GB2312" w:cs="宋体"/>
                <w:color w:val="auto"/>
                <w:sz w:val="28"/>
                <w:highlight w:val="none"/>
              </w:rPr>
            </w:pPr>
            <w:r>
              <w:rPr>
                <w:rFonts w:hint="eastAsia" w:ascii="仿宋_GB2312" w:hAnsi="宋体" w:eastAsia="仿宋_GB2312" w:cs="宋体"/>
                <w:color w:val="auto"/>
                <w:sz w:val="28"/>
                <w:highlight w:val="none"/>
              </w:rPr>
              <w:t>详见采购文件</w:t>
            </w:r>
          </w:p>
        </w:tc>
        <w:tc>
          <w:tcPr>
            <w:tcW w:w="1357" w:type="dxa"/>
            <w:tcBorders>
              <w:right w:val="single" w:color="auto" w:sz="4" w:space="0"/>
            </w:tcBorders>
            <w:vAlign w:val="center"/>
          </w:tcPr>
          <w:p w14:paraId="5AC3BD21">
            <w:pPr>
              <w:widowControl/>
              <w:adjustRightInd w:val="0"/>
              <w:snapToGrid w:val="0"/>
              <w:jc w:val="center"/>
              <w:rPr>
                <w:rFonts w:ascii="仿宋_GB2312" w:hAnsi="宋体" w:eastAsia="仿宋_GB2312" w:cs="宋体"/>
                <w:color w:val="auto"/>
                <w:sz w:val="28"/>
                <w:highlight w:val="none"/>
              </w:rPr>
            </w:pPr>
            <w:r>
              <w:rPr>
                <w:rFonts w:hint="eastAsia" w:ascii="仿宋_GB2312" w:hAnsi="宋体" w:eastAsia="仿宋_GB2312" w:cs="宋体"/>
                <w:color w:val="auto"/>
                <w:sz w:val="28"/>
                <w:highlight w:val="none"/>
              </w:rPr>
              <w:t>详见采购文件</w:t>
            </w:r>
          </w:p>
        </w:tc>
      </w:tr>
    </w:tbl>
    <w:p w14:paraId="623F29AC">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本项目不接受联合体响应</w:t>
      </w:r>
    </w:p>
    <w:p w14:paraId="2C2E8FE4">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二、申请人的资格要求：</w:t>
      </w:r>
    </w:p>
    <w:p w14:paraId="1152E098">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1.具有独立承担民事责任的能力；</w:t>
      </w:r>
    </w:p>
    <w:p w14:paraId="337ED4A0">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2.具有良好的商业信誉和健全的财务会计制度及履约能力；</w:t>
      </w:r>
    </w:p>
    <w:p w14:paraId="23AFDAD0">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3.具有履行合同所必需的设备和专业技术能力；</w:t>
      </w:r>
    </w:p>
    <w:p w14:paraId="2C6A2B7D">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4.具有依法缴纳税收和社会保障资金的良好记录；</w:t>
      </w:r>
    </w:p>
    <w:p w14:paraId="001330A8">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5.供应商参加采购活动前3年内在经营活动中没有重大违法记录;</w:t>
      </w:r>
    </w:p>
    <w:p w14:paraId="7B3E5320">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6.供应商、法定代表人、授权委托人未被最高法院列入失信被执行人；</w:t>
      </w:r>
    </w:p>
    <w:p w14:paraId="2107F860">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ascii="仿宋_GB2312" w:hAnsi="仿宋" w:eastAsia="仿宋_GB2312" w:cs="宋体"/>
          <w:color w:val="auto"/>
          <w:spacing w:val="8"/>
          <w:sz w:val="28"/>
          <w:szCs w:val="28"/>
          <w:highlight w:val="none"/>
        </w:rPr>
        <w:t>7.供应商未被工商行政管理机关在全国企业信用信息公示系统中列入严重违法失信企业名单。</w:t>
      </w:r>
    </w:p>
    <w:p w14:paraId="49D044D4">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三、获取采购文件</w:t>
      </w:r>
    </w:p>
    <w:p w14:paraId="55ED5D92">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1.时间：</w:t>
      </w:r>
      <w:r>
        <w:rPr>
          <w:rFonts w:hint="eastAsia" w:ascii="仿宋_GB2312" w:hAnsi="仿宋" w:eastAsia="仿宋_GB2312" w:cs="宋体"/>
          <w:color w:val="auto"/>
          <w:spacing w:val="8"/>
          <w:sz w:val="28"/>
          <w:szCs w:val="28"/>
          <w:highlight w:val="none"/>
          <w:lang w:eastAsia="zh-CN"/>
        </w:rPr>
        <w:t>2026年04月24日</w:t>
      </w:r>
      <w:r>
        <w:rPr>
          <w:rFonts w:ascii="仿宋_GB2312" w:hAnsi="仿宋" w:eastAsia="仿宋_GB2312" w:cs="宋体"/>
          <w:color w:val="auto"/>
          <w:spacing w:val="8"/>
          <w:sz w:val="28"/>
          <w:szCs w:val="28"/>
          <w:highlight w:val="none"/>
        </w:rPr>
        <w:t>17时00分</w:t>
      </w:r>
      <w:r>
        <w:rPr>
          <w:rFonts w:hint="eastAsia" w:ascii="仿宋_GB2312" w:hAnsi="仿宋" w:eastAsia="仿宋_GB2312" w:cs="宋体"/>
          <w:color w:val="auto"/>
          <w:spacing w:val="8"/>
          <w:sz w:val="28"/>
          <w:szCs w:val="28"/>
          <w:highlight w:val="none"/>
        </w:rPr>
        <w:t>至</w:t>
      </w:r>
      <w:r>
        <w:rPr>
          <w:rFonts w:hint="eastAsia" w:ascii="仿宋_GB2312" w:hAnsi="仿宋" w:eastAsia="仿宋_GB2312" w:cs="宋体"/>
          <w:color w:val="auto"/>
          <w:spacing w:val="8"/>
          <w:sz w:val="28"/>
          <w:szCs w:val="28"/>
          <w:highlight w:val="none"/>
          <w:lang w:eastAsia="zh-CN"/>
        </w:rPr>
        <w:t>2026年04月29日</w:t>
      </w:r>
      <w:r>
        <w:rPr>
          <w:rFonts w:ascii="仿宋_GB2312" w:hAnsi="仿宋" w:eastAsia="仿宋_GB2312" w:cs="宋体"/>
          <w:color w:val="auto"/>
          <w:spacing w:val="8"/>
          <w:sz w:val="28"/>
          <w:szCs w:val="28"/>
          <w:highlight w:val="none"/>
        </w:rPr>
        <w:t>17时00分</w:t>
      </w:r>
      <w:r>
        <w:rPr>
          <w:rFonts w:hint="eastAsia" w:ascii="仿宋_GB2312" w:hAnsi="仿宋" w:eastAsia="仿宋_GB2312" w:cs="宋体"/>
          <w:color w:val="auto"/>
          <w:spacing w:val="8"/>
          <w:sz w:val="28"/>
          <w:szCs w:val="28"/>
          <w:highlight w:val="none"/>
        </w:rPr>
        <w:t>（北京时间）</w:t>
      </w:r>
    </w:p>
    <w:p w14:paraId="3484A6EE">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2.地点：登录威海市国有企业阳光采购电子化服务平台（威海市公共资源交易网（乳山分中心）右侧“（新版）一网通办”登录后选择“国企采购”按钮）获取文件。逾期无法从威海市国有企业阳光采购电子化服务平台中获取文件，未在规定时间内从系统中获取文件的投标人将无法递交电子投标（响应）文件。</w:t>
      </w:r>
    </w:p>
    <w:p w14:paraId="63DA3E59">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交易服务一网通办系统技术支持电话：4009980000（受理问题：系统登录、CA锁绑定、平台切换），一网通办技术支持QQ群：1143439694；CA锁办理咨询电话：0631-5172975；国企采购技术支持电话：17863029936，国企技术支持QQ群（投标人）：1046971257。</w:t>
      </w:r>
    </w:p>
    <w:p w14:paraId="52ACBEDF">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3.方式：本项目须网上获取文件。参在“威海市交易服务一网通办系统”（威海市公共资源交易网（乳山分中心）右侧“（新版）交易服务一网通办”按钮）登录端口注册登记，并办理“安全证书（CA）”和“电子签章”进行获取文件。“安全证书（CA）”</w:t>
      </w:r>
      <w:bookmarkStart w:id="1" w:name="_GoBack"/>
      <w:bookmarkEnd w:id="1"/>
      <w:r>
        <w:rPr>
          <w:rFonts w:hint="eastAsia" w:ascii="仿宋_GB2312" w:hAnsi="仿宋" w:eastAsia="仿宋_GB2312" w:cs="宋体"/>
          <w:color w:val="auto"/>
          <w:spacing w:val="8"/>
          <w:sz w:val="28"/>
          <w:szCs w:val="28"/>
          <w:highlight w:val="none"/>
        </w:rPr>
        <w:t>和“电子签章”办理按照“威海市公共资源交易网（乳山分中心）”右侧“CA 办理”中“CA证书办理介绍”进行办理。</w:t>
      </w:r>
    </w:p>
    <w:p w14:paraId="48235E42">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4.售价：免费</w:t>
      </w:r>
    </w:p>
    <w:p w14:paraId="0FE3DD60">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四、响应文件提交</w:t>
      </w:r>
    </w:p>
    <w:p w14:paraId="33B065B9">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时间：</w:t>
      </w:r>
      <w:r>
        <w:rPr>
          <w:rFonts w:hint="eastAsia" w:ascii="仿宋_GB2312" w:hAnsi="仿宋" w:eastAsia="仿宋_GB2312" w:cs="宋体"/>
          <w:color w:val="auto"/>
          <w:spacing w:val="8"/>
          <w:sz w:val="28"/>
          <w:szCs w:val="28"/>
          <w:highlight w:val="none"/>
          <w:lang w:eastAsia="zh-CN"/>
        </w:rPr>
        <w:t>2026年04月24日</w:t>
      </w:r>
      <w:r>
        <w:rPr>
          <w:rFonts w:ascii="仿宋_GB2312" w:hAnsi="仿宋" w:eastAsia="仿宋_GB2312" w:cs="宋体"/>
          <w:color w:val="auto"/>
          <w:spacing w:val="8"/>
          <w:sz w:val="28"/>
          <w:szCs w:val="28"/>
          <w:highlight w:val="none"/>
        </w:rPr>
        <w:t>18时00分</w:t>
      </w:r>
      <w:r>
        <w:rPr>
          <w:rFonts w:hint="eastAsia" w:ascii="仿宋_GB2312" w:hAnsi="仿宋" w:eastAsia="仿宋_GB2312" w:cs="宋体"/>
          <w:color w:val="auto"/>
          <w:spacing w:val="8"/>
          <w:sz w:val="28"/>
          <w:szCs w:val="28"/>
          <w:highlight w:val="none"/>
        </w:rPr>
        <w:t>至</w:t>
      </w:r>
      <w:r>
        <w:rPr>
          <w:rFonts w:hint="eastAsia" w:ascii="仿宋_GB2312" w:hAnsi="仿宋" w:eastAsia="仿宋_GB2312" w:cs="宋体"/>
          <w:color w:val="auto"/>
          <w:spacing w:val="8"/>
          <w:sz w:val="28"/>
          <w:szCs w:val="28"/>
          <w:highlight w:val="none"/>
          <w:lang w:eastAsia="zh-CN"/>
        </w:rPr>
        <w:t>2026年05月06日14时00分</w:t>
      </w:r>
    </w:p>
    <w:p w14:paraId="62F35E31">
      <w:pPr>
        <w:widowControl/>
        <w:adjustRightInd w:val="0"/>
        <w:spacing w:line="360" w:lineRule="auto"/>
        <w:ind w:firstLine="592" w:firstLineChars="200"/>
        <w:jc w:val="left"/>
        <w:outlineLvl w:val="0"/>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地点：登录威海市公共资源交易网（乳山分中心）首页右侧“（新版）交易服务一网通办系统”进行平台切换点击“国企采购”进入国有企业阳光采购电子化服务平台网上递交（网址：http://ggzyjy.weihai.cn/rushan/）。已在威海市国有企业阳光采购电子化服务平台获取文件的投标人在规定时间内递交电子投标（响应）文件。</w:t>
      </w:r>
    </w:p>
    <w:p w14:paraId="253C053F">
      <w:pPr>
        <w:widowControl/>
        <w:adjustRightInd w:val="0"/>
        <w:spacing w:line="360" w:lineRule="auto"/>
        <w:ind w:firstLine="560" w:firstLineChars="200"/>
        <w:jc w:val="left"/>
        <w:outlineLvl w:val="0"/>
        <w:rPr>
          <w:rFonts w:ascii="仿宋_GB2312" w:hAnsi="仿宋" w:eastAsia="仿宋_GB2312" w:cs="宋体"/>
          <w:color w:val="auto"/>
          <w:spacing w:val="8"/>
          <w:sz w:val="28"/>
          <w:szCs w:val="28"/>
          <w:highlight w:val="none"/>
        </w:rPr>
      </w:pPr>
      <w:r>
        <w:rPr>
          <w:rFonts w:hint="eastAsia" w:ascii="黑体" w:hAnsi="黑体" w:eastAsia="黑体" w:cs="宋体"/>
          <w:color w:val="auto"/>
          <w:sz w:val="28"/>
          <w:szCs w:val="28"/>
          <w:highlight w:val="none"/>
        </w:rPr>
        <w:t>五、开启</w:t>
      </w:r>
    </w:p>
    <w:p w14:paraId="0AA20999">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时间：</w:t>
      </w:r>
      <w:r>
        <w:rPr>
          <w:rFonts w:hint="eastAsia" w:ascii="仿宋_GB2312" w:hAnsi="仿宋" w:eastAsia="仿宋_GB2312" w:cs="宋体"/>
          <w:color w:val="auto"/>
          <w:spacing w:val="8"/>
          <w:sz w:val="28"/>
          <w:szCs w:val="28"/>
          <w:highlight w:val="none"/>
          <w:lang w:eastAsia="zh-CN"/>
        </w:rPr>
        <w:t>2026年05月06日14时00分</w:t>
      </w:r>
      <w:r>
        <w:rPr>
          <w:rFonts w:hint="eastAsia" w:ascii="仿宋_GB2312" w:hAnsi="仿宋" w:eastAsia="仿宋_GB2312" w:cs="宋体"/>
          <w:color w:val="auto"/>
          <w:spacing w:val="8"/>
          <w:sz w:val="28"/>
          <w:szCs w:val="28"/>
          <w:highlight w:val="none"/>
        </w:rPr>
        <w:t>（北京时间）</w:t>
      </w:r>
    </w:p>
    <w:p w14:paraId="0556DF8B">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地点：威海市乳山市深圳路108号市民服务中心三楼</w:t>
      </w:r>
    </w:p>
    <w:p w14:paraId="70CA8A5F">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六、其他补充事宜</w:t>
      </w:r>
    </w:p>
    <w:p w14:paraId="49A493BA">
      <w:pPr>
        <w:spacing w:line="360" w:lineRule="auto"/>
        <w:ind w:firstLine="592" w:firstLineChars="200"/>
        <w:outlineLvl w:val="0"/>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1.本项目实行全流程电子化，提交投标文件截止时间前，随时关注威海市公共资源交易网（变更公告栏）内变更提醒。</w:t>
      </w:r>
    </w:p>
    <w:p w14:paraId="69D2AD2E">
      <w:pPr>
        <w:spacing w:line="360" w:lineRule="auto"/>
        <w:ind w:firstLine="592" w:firstLineChars="200"/>
        <w:outlineLvl w:val="0"/>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2.投标人自行准备电脑，提前在个人电脑上进行测试确保音频、视频功能、CA 签章功能可正常使用，因通讯不畅造成的一切后果由供应商自行承担。</w:t>
      </w:r>
    </w:p>
    <w:p w14:paraId="08093068">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七、对本次采购提出询问，请按以下方式联系。</w:t>
      </w:r>
    </w:p>
    <w:p w14:paraId="6392B895">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1.采购人信息</w:t>
      </w:r>
    </w:p>
    <w:p w14:paraId="0EC00BD1">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名  称：</w:t>
      </w:r>
      <w:r>
        <w:rPr>
          <w:rFonts w:hint="eastAsia" w:ascii="仿宋_GB2312" w:hAnsi="仿宋" w:eastAsia="仿宋_GB2312" w:cs="宋体"/>
          <w:color w:val="auto"/>
          <w:spacing w:val="8"/>
          <w:sz w:val="28"/>
          <w:szCs w:val="28"/>
          <w:highlight w:val="none"/>
          <w:lang w:eastAsia="zh-CN"/>
        </w:rPr>
        <w:t>乳山市市政建设工程有限公司</w:t>
      </w:r>
    </w:p>
    <w:p w14:paraId="789202AD">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地  址：</w:t>
      </w:r>
      <w:r>
        <w:rPr>
          <w:rFonts w:hint="eastAsia" w:ascii="仿宋_GB2312" w:hAnsi="仿宋" w:eastAsia="仿宋_GB2312" w:cs="宋体"/>
          <w:color w:val="auto"/>
          <w:spacing w:val="8"/>
          <w:sz w:val="28"/>
          <w:szCs w:val="28"/>
          <w:highlight w:val="none"/>
          <w:lang w:eastAsia="zh-CN"/>
        </w:rPr>
        <w:t>山东省威海市乳山市深圳路8号</w:t>
      </w:r>
    </w:p>
    <w:p w14:paraId="147D9811">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联系方式：</w:t>
      </w:r>
      <w:r>
        <w:rPr>
          <w:rFonts w:hint="eastAsia" w:ascii="仿宋_GB2312" w:hAnsi="仿宋" w:eastAsia="仿宋_GB2312" w:cs="宋体"/>
          <w:color w:val="auto"/>
          <w:spacing w:val="8"/>
          <w:sz w:val="28"/>
          <w:szCs w:val="28"/>
          <w:highlight w:val="none"/>
          <w:lang w:eastAsia="zh-CN"/>
        </w:rPr>
        <w:t>18561278337</w:t>
      </w:r>
    </w:p>
    <w:p w14:paraId="313F8956">
      <w:pPr>
        <w:widowControl/>
        <w:adjustRightInd w:val="0"/>
        <w:spacing w:line="360" w:lineRule="auto"/>
        <w:ind w:firstLine="592" w:firstLineChars="200"/>
        <w:jc w:val="left"/>
        <w:rPr>
          <w:rFonts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2.采购代理机构信息</w:t>
      </w:r>
    </w:p>
    <w:p w14:paraId="6D8474D1">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名  称：</w:t>
      </w:r>
      <w:r>
        <w:rPr>
          <w:rFonts w:hint="eastAsia" w:ascii="仿宋_GB2312" w:hAnsi="仿宋" w:eastAsia="仿宋_GB2312" w:cs="宋体"/>
          <w:color w:val="auto"/>
          <w:spacing w:val="8"/>
          <w:sz w:val="28"/>
          <w:szCs w:val="28"/>
          <w:highlight w:val="none"/>
          <w:lang w:eastAsia="zh-CN"/>
        </w:rPr>
        <w:t>威海市嘉鑫工程检测鉴定有限公司</w:t>
      </w:r>
    </w:p>
    <w:p w14:paraId="0D826832">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地  址：</w:t>
      </w:r>
      <w:r>
        <w:rPr>
          <w:rFonts w:hint="eastAsia" w:ascii="仿宋_GB2312" w:hAnsi="仿宋" w:eastAsia="仿宋_GB2312" w:cs="宋体"/>
          <w:color w:val="auto"/>
          <w:spacing w:val="8"/>
          <w:sz w:val="28"/>
          <w:szCs w:val="28"/>
          <w:highlight w:val="none"/>
          <w:lang w:eastAsia="zh-CN"/>
        </w:rPr>
        <w:t>乳山市深圳路久久发7号楼</w:t>
      </w:r>
    </w:p>
    <w:p w14:paraId="33294597">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lang w:eastAsia="zh-CN"/>
        </w:rPr>
        <w:t>项目联系人：刘宁</w:t>
      </w:r>
    </w:p>
    <w:p w14:paraId="5EE3F9CA">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lang w:eastAsia="zh-CN"/>
        </w:rPr>
      </w:pPr>
      <w:r>
        <w:rPr>
          <w:rFonts w:hint="eastAsia" w:ascii="仿宋_GB2312" w:hAnsi="仿宋" w:eastAsia="仿宋_GB2312" w:cs="宋体"/>
          <w:color w:val="auto"/>
          <w:spacing w:val="8"/>
          <w:sz w:val="28"/>
          <w:szCs w:val="28"/>
          <w:highlight w:val="none"/>
        </w:rPr>
        <w:t>联系方式：</w:t>
      </w:r>
      <w:r>
        <w:rPr>
          <w:rFonts w:hint="eastAsia" w:ascii="仿宋_GB2312" w:hAnsi="仿宋" w:eastAsia="仿宋_GB2312" w:cs="宋体"/>
          <w:color w:val="auto"/>
          <w:spacing w:val="8"/>
          <w:sz w:val="28"/>
          <w:szCs w:val="28"/>
          <w:highlight w:val="none"/>
          <w:lang w:eastAsia="zh-CN"/>
        </w:rPr>
        <w:t>0631-6651889</w:t>
      </w:r>
    </w:p>
    <w:p w14:paraId="45A8A846">
      <w:pPr>
        <w:spacing w:line="360" w:lineRule="auto"/>
        <w:ind w:firstLine="560" w:firstLineChars="200"/>
        <w:outlineLvl w:val="0"/>
        <w:rPr>
          <w:rFonts w:ascii="黑体" w:hAnsi="黑体" w:eastAsia="黑体" w:cs="宋体"/>
          <w:color w:val="auto"/>
          <w:sz w:val="28"/>
          <w:szCs w:val="28"/>
          <w:highlight w:val="none"/>
        </w:rPr>
      </w:pPr>
      <w:r>
        <w:rPr>
          <w:rFonts w:hint="eastAsia" w:ascii="黑体" w:hAnsi="黑体" w:eastAsia="黑体" w:cs="宋体"/>
          <w:color w:val="auto"/>
          <w:sz w:val="28"/>
          <w:szCs w:val="28"/>
          <w:highlight w:val="none"/>
        </w:rPr>
        <w:t>八、发布公告的媒介</w:t>
      </w:r>
    </w:p>
    <w:p w14:paraId="6DCABCE2">
      <w:pPr>
        <w:widowControl/>
        <w:adjustRightInd w:val="0"/>
        <w:spacing w:line="360" w:lineRule="auto"/>
        <w:ind w:firstLine="592" w:firstLineChars="200"/>
        <w:jc w:val="left"/>
        <w:rPr>
          <w:rFonts w:hint="eastAsia" w:ascii="仿宋_GB2312" w:hAnsi="仿宋" w:eastAsia="仿宋_GB2312" w:cs="宋体"/>
          <w:color w:val="auto"/>
          <w:spacing w:val="8"/>
          <w:sz w:val="28"/>
          <w:szCs w:val="28"/>
          <w:highlight w:val="none"/>
        </w:rPr>
      </w:pPr>
      <w:r>
        <w:rPr>
          <w:rFonts w:hint="eastAsia" w:ascii="仿宋_GB2312" w:hAnsi="仿宋" w:eastAsia="仿宋_GB2312" w:cs="宋体"/>
          <w:color w:val="auto"/>
          <w:spacing w:val="8"/>
          <w:sz w:val="28"/>
          <w:szCs w:val="28"/>
          <w:highlight w:val="none"/>
        </w:rPr>
        <w:t>本次公告在中国招标投标公共服务平台（www.cebpubservice.com）、威海市公共资源交易网（http://ggzyjy.weihai.cn/）</w:t>
      </w:r>
      <w:r>
        <w:rPr>
          <w:rFonts w:hint="eastAsia" w:ascii="仿宋_GB2312" w:hAnsi="仿宋" w:eastAsia="仿宋_GB2312" w:cs="宋体"/>
          <w:color w:val="auto"/>
          <w:spacing w:val="8"/>
          <w:sz w:val="28"/>
          <w:szCs w:val="28"/>
          <w:highlight w:val="none"/>
          <w:lang w:eastAsia="zh-CN"/>
        </w:rPr>
        <w:t>、</w:t>
      </w:r>
      <w:r>
        <w:rPr>
          <w:rFonts w:hint="eastAsia" w:ascii="仿宋_GB2312" w:hAnsi="仿宋" w:eastAsia="仿宋_GB2312" w:cs="宋体"/>
          <w:color w:val="auto"/>
          <w:spacing w:val="8"/>
          <w:sz w:val="28"/>
          <w:szCs w:val="28"/>
          <w:highlight w:val="none"/>
        </w:rPr>
        <w:t>威海市公共资源交易网（乳山分中心）（http://ggzyjy.weihai.cn/rushan/）同时发布，其它媒介转发无效。</w:t>
      </w:r>
    </w:p>
    <w:p w14:paraId="32B9C55A">
      <w:pPr>
        <w:spacing w:line="360" w:lineRule="auto"/>
        <w:jc w:val="right"/>
        <w:rPr>
          <w:rFonts w:ascii="仿宋_GB2312" w:hAnsi="宋体" w:eastAsia="仿宋_GB2312"/>
          <w:color w:val="auto"/>
          <w:sz w:val="28"/>
          <w:szCs w:val="28"/>
          <w:highlight w:val="none"/>
        </w:rPr>
      </w:pPr>
      <w:r>
        <w:rPr>
          <w:rFonts w:hint="eastAsia" w:ascii="仿宋_GB2312" w:hAnsi="宋体" w:eastAsia="仿宋_GB2312" w:cs="宋体"/>
          <w:color w:val="auto"/>
          <w:sz w:val="28"/>
          <w:szCs w:val="28"/>
          <w:highlight w:val="none"/>
        </w:rPr>
        <w:t>发布人：</w:t>
      </w:r>
      <w:r>
        <w:rPr>
          <w:rFonts w:hint="eastAsia" w:ascii="仿宋_GB2312" w:hAnsi="宋体" w:eastAsia="仿宋_GB2312" w:cs="宋体"/>
          <w:color w:val="auto"/>
          <w:sz w:val="28"/>
          <w:szCs w:val="28"/>
          <w:highlight w:val="none"/>
          <w:lang w:eastAsia="zh-CN"/>
        </w:rPr>
        <w:t>威海市嘉鑫工程检测鉴定有限公司</w:t>
      </w:r>
      <w:r>
        <w:rPr>
          <w:rFonts w:hint="eastAsia" w:ascii="仿宋_GB2312" w:hAnsi="宋体" w:eastAsia="仿宋_GB2312"/>
          <w:color w:val="auto"/>
          <w:sz w:val="28"/>
          <w:szCs w:val="28"/>
          <w:highlight w:val="none"/>
        </w:rPr>
        <w:t xml:space="preserve"> </w:t>
      </w:r>
    </w:p>
    <w:p w14:paraId="1BD4EA62">
      <w:pPr>
        <w:widowControl/>
        <w:adjustRightInd w:val="0"/>
        <w:spacing w:line="360" w:lineRule="auto"/>
        <w:ind w:left="-240"/>
        <w:jc w:val="right"/>
        <w:rPr>
          <w:rFonts w:hint="eastAsia" w:ascii="仿宋_GB2312" w:hAnsi="宋体" w:eastAsia="仿宋_GB2312" w:cs="宋体"/>
          <w:color w:val="auto"/>
          <w:sz w:val="28"/>
          <w:szCs w:val="28"/>
          <w:highlight w:val="none"/>
          <w:lang w:eastAsia="zh-CN"/>
        </w:rPr>
      </w:pPr>
      <w:r>
        <w:rPr>
          <w:rFonts w:hint="eastAsia" w:ascii="仿宋_GB2312" w:hAnsi="宋体" w:eastAsia="仿宋_GB2312" w:cs="宋体"/>
          <w:color w:val="auto"/>
          <w:sz w:val="28"/>
          <w:szCs w:val="28"/>
          <w:highlight w:val="none"/>
        </w:rPr>
        <w:t>发布时间：</w:t>
      </w:r>
      <w:r>
        <w:rPr>
          <w:rFonts w:hint="eastAsia" w:ascii="仿宋_GB2312" w:hAnsi="宋体" w:eastAsia="仿宋_GB2312" w:cs="宋体"/>
          <w:color w:val="auto"/>
          <w:sz w:val="28"/>
          <w:szCs w:val="28"/>
          <w:highlight w:val="none"/>
          <w:lang w:eastAsia="zh-CN"/>
        </w:rPr>
        <w:t>2026年04月24日</w:t>
      </w:r>
    </w:p>
    <w:p w14:paraId="52307F87">
      <w:pPr>
        <w:widowControl/>
        <w:adjustRightInd w:val="0"/>
        <w:spacing w:line="360" w:lineRule="auto"/>
        <w:ind w:left="-240"/>
        <w:jc w:val="right"/>
        <w:rPr>
          <w:rFonts w:ascii="仿宋_GB2312" w:hAnsi="宋体" w:eastAsia="仿宋_GB2312" w:cs="宋体"/>
          <w:color w:val="auto"/>
          <w:sz w:val="28"/>
          <w:szCs w:val="28"/>
          <w:highlight w:val="none"/>
        </w:rPr>
      </w:pPr>
    </w:p>
    <w:p w14:paraId="2999344A">
      <w:pPr>
        <w:widowControl/>
        <w:adjustRightInd w:val="0"/>
        <w:spacing w:line="360" w:lineRule="auto"/>
        <w:ind w:left="-240"/>
        <w:jc w:val="right"/>
        <w:rPr>
          <w:rFonts w:ascii="仿宋_GB2312" w:hAnsi="宋体" w:eastAsia="仿宋_GB2312" w:cs="宋体"/>
          <w:color w:val="auto"/>
          <w:sz w:val="28"/>
          <w:szCs w:val="28"/>
          <w:highlight w:val="none"/>
        </w:rPr>
      </w:pPr>
    </w:p>
    <w:p w14:paraId="7577B0FA">
      <w:pPr>
        <w:widowControl/>
        <w:adjustRightInd w:val="0"/>
        <w:spacing w:line="360" w:lineRule="auto"/>
        <w:ind w:left="-240"/>
        <w:jc w:val="right"/>
        <w:rPr>
          <w:rFonts w:ascii="仿宋_GB2312" w:hAnsi="宋体" w:eastAsia="仿宋_GB2312" w:cs="宋体"/>
          <w:color w:val="auto"/>
          <w:sz w:val="28"/>
          <w:szCs w:val="28"/>
          <w:highlight w:val="none"/>
        </w:rPr>
      </w:pPr>
    </w:p>
    <w:p w14:paraId="0BCD6C92">
      <w:pPr>
        <w:widowControl/>
        <w:adjustRightInd w:val="0"/>
        <w:spacing w:line="360" w:lineRule="auto"/>
        <w:ind w:left="-240"/>
        <w:jc w:val="right"/>
        <w:rPr>
          <w:rFonts w:ascii="仿宋_GB2312" w:hAnsi="宋体" w:eastAsia="仿宋_GB2312" w:cs="宋体"/>
          <w:color w:val="auto"/>
          <w:sz w:val="28"/>
          <w:szCs w:val="28"/>
          <w:highlight w:val="none"/>
        </w:rPr>
      </w:pPr>
    </w:p>
    <w:p w14:paraId="62CAD95B">
      <w:pPr>
        <w:pStyle w:val="32"/>
        <w:spacing w:before="100" w:beforeAutospacing="1" w:after="100" w:afterAutospacing="1" w:line="415" w:lineRule="auto"/>
        <w:ind w:left="1440"/>
        <w:rPr>
          <w:rFonts w:ascii="楷体_GB2312" w:hAnsi="宋体" w:eastAsia="楷体_GB2312" w:cs="宋体"/>
          <w:color w:val="auto"/>
          <w:sz w:val="44"/>
          <w:szCs w:val="44"/>
          <w:highlight w:val="none"/>
        </w:rPr>
      </w:pPr>
      <w:r>
        <w:rPr>
          <w:rFonts w:ascii="楷体_GB2312" w:hAnsi="宋体" w:eastAsia="楷体_GB2312" w:cs="宋体"/>
          <w:color w:val="auto"/>
          <w:sz w:val="44"/>
          <w:szCs w:val="44"/>
          <w:highlight w:val="none"/>
        </w:rPr>
        <w:br w:type="page"/>
      </w:r>
      <w:r>
        <w:rPr>
          <w:rFonts w:hint="eastAsia" w:ascii="楷体_GB2312" w:hAnsi="宋体" w:eastAsia="楷体_GB2312" w:cs="宋体"/>
          <w:color w:val="auto"/>
          <w:sz w:val="44"/>
          <w:szCs w:val="44"/>
          <w:highlight w:val="none"/>
        </w:rPr>
        <w:t>第二章 投标（响应）须知</w:t>
      </w:r>
    </w:p>
    <w:p w14:paraId="1B015A5E">
      <w:pPr>
        <w:rPr>
          <w:color w:val="auto"/>
          <w:highlight w:val="none"/>
        </w:rPr>
      </w:pPr>
    </w:p>
    <w:p w14:paraId="1DF4879D">
      <w:pPr>
        <w:rPr>
          <w:color w:val="auto"/>
          <w:highlight w:val="none"/>
        </w:rPr>
        <w:sectPr>
          <w:headerReference r:id="rId8" w:type="default"/>
          <w:footerReference r:id="rId9" w:type="default"/>
          <w:pgSz w:w="11906" w:h="16838"/>
          <w:pgMar w:top="1440" w:right="1077" w:bottom="1440" w:left="1077" w:header="851" w:footer="992" w:gutter="0"/>
          <w:cols w:space="720" w:num="1"/>
          <w:docGrid w:type="lines" w:linePitch="312" w:charSpace="0"/>
        </w:sectPr>
      </w:pPr>
    </w:p>
    <w:p w14:paraId="2270EC02">
      <w:pPr>
        <w:spacing w:line="560" w:lineRule="exact"/>
        <w:jc w:val="center"/>
        <w:rPr>
          <w:rFonts w:ascii="黑体" w:hAnsi="黑体" w:eastAsia="黑体"/>
          <w:color w:val="auto"/>
          <w:sz w:val="32"/>
          <w:szCs w:val="32"/>
          <w:highlight w:val="none"/>
        </w:rPr>
      </w:pPr>
      <w:r>
        <w:rPr>
          <w:rFonts w:hint="eastAsia" w:ascii="黑体" w:hAnsi="黑体" w:eastAsia="黑体"/>
          <w:color w:val="auto"/>
          <w:sz w:val="32"/>
          <w:szCs w:val="32"/>
          <w:highlight w:val="none"/>
        </w:rPr>
        <w:t>响应</w:t>
      </w:r>
      <w:r>
        <w:rPr>
          <w:rFonts w:ascii="黑体" w:hAnsi="黑体" w:eastAsia="黑体"/>
          <w:color w:val="auto"/>
          <w:sz w:val="32"/>
          <w:szCs w:val="32"/>
          <w:highlight w:val="none"/>
        </w:rPr>
        <w:t>须知前附表</w:t>
      </w:r>
    </w:p>
    <w:p w14:paraId="5B31375C">
      <w:pPr>
        <w:spacing w:line="560" w:lineRule="exact"/>
        <w:ind w:firstLine="560" w:firstLineChars="20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本表是本采购项目的具体资料，是对投标（响应）须知的汇总和补充，如有矛盾，应以本资料表为准。</w:t>
      </w:r>
    </w:p>
    <w:tbl>
      <w:tblPr>
        <w:tblStyle w:val="34"/>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21CB23B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643D3395">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序号</w:t>
            </w:r>
          </w:p>
        </w:tc>
        <w:tc>
          <w:tcPr>
            <w:tcW w:w="8291" w:type="dxa"/>
            <w:tcBorders>
              <w:top w:val="single" w:color="auto" w:sz="4" w:space="0"/>
              <w:left w:val="single" w:color="auto" w:sz="4" w:space="0"/>
              <w:bottom w:val="single" w:color="auto" w:sz="4" w:space="0"/>
            </w:tcBorders>
            <w:vAlign w:val="center"/>
          </w:tcPr>
          <w:p w14:paraId="1AF0C53B">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内           容</w:t>
            </w:r>
          </w:p>
        </w:tc>
      </w:tr>
      <w:tr w14:paraId="70FE643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09257DDF">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7E5A807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项目名称：</w:t>
            </w:r>
            <w:r>
              <w:rPr>
                <w:rFonts w:hint="eastAsia" w:ascii="仿宋_GB2312" w:hAnsi="宋体" w:eastAsia="仿宋_GB2312"/>
                <w:color w:val="auto"/>
                <w:sz w:val="28"/>
                <w:szCs w:val="28"/>
                <w:highlight w:val="none"/>
                <w:lang w:eastAsia="zh-CN"/>
              </w:rPr>
              <w:t>路沿石、人行道板采购</w:t>
            </w:r>
          </w:p>
        </w:tc>
      </w:tr>
      <w:tr w14:paraId="2BD401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6A58554B">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59CD160E">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项目编号：</w:t>
            </w:r>
            <w:r>
              <w:rPr>
                <w:rFonts w:hint="eastAsia" w:ascii="仿宋_GB2312" w:hAnsi="宋体" w:eastAsia="仿宋_GB2312"/>
                <w:color w:val="auto"/>
                <w:sz w:val="28"/>
                <w:szCs w:val="28"/>
                <w:highlight w:val="none"/>
                <w:lang w:eastAsia="zh-CN"/>
              </w:rPr>
              <w:t>WHJX-ZB-2026-030</w:t>
            </w:r>
          </w:p>
        </w:tc>
      </w:tr>
      <w:tr w14:paraId="51CD827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7F5B0869">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625E9522">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采购人名称：</w:t>
            </w:r>
            <w:r>
              <w:rPr>
                <w:rFonts w:hint="eastAsia" w:ascii="仿宋_GB2312" w:hAnsi="宋体" w:eastAsia="仿宋_GB2312"/>
                <w:color w:val="auto"/>
                <w:sz w:val="28"/>
                <w:szCs w:val="28"/>
                <w:highlight w:val="none"/>
                <w:lang w:eastAsia="zh-CN"/>
              </w:rPr>
              <w:t>乳山市市政建设工程有限公司</w:t>
            </w:r>
          </w:p>
          <w:p w14:paraId="618C364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地址：</w:t>
            </w:r>
            <w:r>
              <w:rPr>
                <w:rFonts w:hint="eastAsia" w:ascii="仿宋_GB2312" w:hAnsi="仿宋" w:eastAsia="仿宋_GB2312" w:cs="宋体"/>
                <w:color w:val="auto"/>
                <w:spacing w:val="8"/>
                <w:sz w:val="28"/>
                <w:szCs w:val="28"/>
                <w:highlight w:val="none"/>
                <w:lang w:eastAsia="zh-CN"/>
              </w:rPr>
              <w:t>山东省威海市乳山市深圳路8号</w:t>
            </w:r>
          </w:p>
          <w:p w14:paraId="5B0A53F2">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联系人：</w:t>
            </w:r>
            <w:r>
              <w:rPr>
                <w:rFonts w:hint="eastAsia" w:ascii="仿宋_GB2312" w:hAnsi="宋体" w:eastAsia="仿宋_GB2312"/>
                <w:color w:val="auto"/>
                <w:sz w:val="28"/>
                <w:szCs w:val="28"/>
                <w:highlight w:val="none"/>
                <w:lang w:eastAsia="zh-CN"/>
              </w:rPr>
              <w:t>任康辉</w:t>
            </w:r>
          </w:p>
          <w:p w14:paraId="3643602E">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联系方式：</w:t>
            </w:r>
            <w:r>
              <w:rPr>
                <w:rFonts w:hint="eastAsia" w:ascii="仿宋_GB2312" w:hAnsi="宋体" w:eastAsia="仿宋_GB2312"/>
                <w:color w:val="auto"/>
                <w:sz w:val="28"/>
                <w:szCs w:val="28"/>
                <w:highlight w:val="none"/>
                <w:lang w:eastAsia="zh-CN"/>
              </w:rPr>
              <w:t>18561278337</w:t>
            </w:r>
          </w:p>
        </w:tc>
      </w:tr>
      <w:tr w14:paraId="29959A1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4126964">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61620595">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采购代理机构名称：</w:t>
            </w:r>
            <w:r>
              <w:rPr>
                <w:rFonts w:hint="eastAsia" w:ascii="仿宋_GB2312" w:hAnsi="宋体" w:eastAsia="仿宋_GB2312"/>
                <w:color w:val="auto"/>
                <w:sz w:val="28"/>
                <w:szCs w:val="28"/>
                <w:highlight w:val="none"/>
                <w:lang w:eastAsia="zh-CN"/>
              </w:rPr>
              <w:t>威海市嘉鑫工程检测鉴定有限公司</w:t>
            </w:r>
          </w:p>
          <w:p w14:paraId="087D005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地址：</w:t>
            </w:r>
            <w:r>
              <w:rPr>
                <w:rFonts w:hint="eastAsia" w:ascii="仿宋_GB2312" w:hAnsi="宋体" w:eastAsia="仿宋_GB2312"/>
                <w:color w:val="auto"/>
                <w:sz w:val="28"/>
                <w:szCs w:val="28"/>
                <w:highlight w:val="none"/>
                <w:lang w:eastAsia="zh-CN"/>
              </w:rPr>
              <w:t>乳山市深圳路久久发7号楼</w:t>
            </w:r>
            <w:r>
              <w:rPr>
                <w:rFonts w:ascii="仿宋_GB2312" w:hAnsi="宋体" w:eastAsia="仿宋_GB2312"/>
                <w:color w:val="auto"/>
                <w:sz w:val="28"/>
                <w:szCs w:val="28"/>
                <w:highlight w:val="none"/>
              </w:rPr>
              <w:t xml:space="preserve"> </w:t>
            </w:r>
          </w:p>
          <w:p w14:paraId="3E81FF70">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联系人：</w:t>
            </w:r>
            <w:r>
              <w:rPr>
                <w:rFonts w:hint="eastAsia" w:ascii="仿宋_GB2312" w:hAnsi="宋体" w:eastAsia="仿宋_GB2312"/>
                <w:color w:val="auto"/>
                <w:sz w:val="28"/>
                <w:szCs w:val="28"/>
                <w:highlight w:val="none"/>
                <w:lang w:eastAsia="zh-CN"/>
              </w:rPr>
              <w:t>刘宁</w:t>
            </w:r>
          </w:p>
          <w:p w14:paraId="1C3147A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联系方式：</w:t>
            </w:r>
            <w:r>
              <w:rPr>
                <w:rFonts w:hint="eastAsia" w:ascii="仿宋_GB2312" w:hAnsi="宋体" w:eastAsia="仿宋_GB2312"/>
                <w:color w:val="auto"/>
                <w:sz w:val="28"/>
                <w:szCs w:val="28"/>
                <w:highlight w:val="none"/>
                <w:lang w:eastAsia="zh-CN"/>
              </w:rPr>
              <w:t>0631-6651889</w:t>
            </w:r>
          </w:p>
        </w:tc>
      </w:tr>
      <w:tr w14:paraId="5ECDA3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57" w:hRule="atLeast"/>
          <w:jc w:val="center"/>
        </w:trPr>
        <w:tc>
          <w:tcPr>
            <w:tcW w:w="908" w:type="dxa"/>
            <w:tcBorders>
              <w:top w:val="single" w:color="auto" w:sz="4" w:space="0"/>
              <w:bottom w:val="single" w:color="auto" w:sz="4" w:space="0"/>
              <w:right w:val="single" w:color="auto" w:sz="4" w:space="0"/>
            </w:tcBorders>
            <w:vAlign w:val="center"/>
          </w:tcPr>
          <w:p w14:paraId="6B4563CE">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1CAEE1C8">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1．登录威海市公共资源交易网（http://ggzyjy.weihai.cn/）首页右侧“交易服务一网通办系统-（新版）一网通办系统”进行“平台切换”点击“国企采购”进入“威海市国有企业阳光采购服务平台”，如跳转国企阳光采购平台时，提示用户不存在，可拨打技术支持电话（17863029936）咨询；首次注册的投标人应及时办理安全证书（CA锁）及电子签章。</w:t>
            </w:r>
          </w:p>
          <w:p w14:paraId="271D431E">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0261DDE">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3．电子投标文件的制作及提交等有关操作见本文件及威海市公共资源交易网）办事指南栏目-国企采购专区-《新版威海市国有企业阳光采购服务平台操作演示视频（投标人）》，网址: https://ggzyjy.weihai.cn/bszn/005005/20260109/315a049e-0d75-4f85-8634-00d90a843936.html。投标文件制作及系统使用咨询电话：17863029936 ；QQ服务群：1046971257。</w:t>
            </w:r>
          </w:p>
          <w:p w14:paraId="1208D24C">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4．网上提交投标文件时，登录交易平台的电脑须满足环境要求（详见新版威海市国有企业阳光采购服务平台投标人用户手册https://ggzyjy.weihai.cn/bszn/005005/20260109/eb4ba418-4b35-4f05-aa69-44fd7d8a7ffb.html）。</w:t>
            </w:r>
          </w:p>
          <w:p w14:paraId="6FFFF4B1">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7B6ED57">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6．电子投标文件必需有电子签章方为合法的投标文件，未对电子投标文件进行电子签章的，将作为无效投标处理。电子投标文件的电子签章要求：在生成电子投标文件pdf格式时，都必须对电子投标文件进行电子签章。</w:t>
            </w:r>
          </w:p>
          <w:p w14:paraId="7822C326">
            <w:pPr>
              <w:snapToGrid w:val="0"/>
              <w:spacing w:line="560" w:lineRule="exact"/>
              <w:jc w:val="left"/>
              <w:rPr>
                <w:rFonts w:ascii="仿宋_GB2312" w:hAnsi="宋体" w:eastAsia="仿宋_GB2312" w:cs="Times New Roman"/>
                <w:color w:val="auto"/>
                <w:sz w:val="28"/>
                <w:szCs w:val="28"/>
                <w:highlight w:val="none"/>
              </w:rPr>
            </w:pPr>
            <w:r>
              <w:rPr>
                <w:rFonts w:hint="eastAsia" w:ascii="仿宋_GB2312" w:hAnsi="宋体" w:eastAsia="仿宋_GB2312" w:cs="Times New Roman"/>
                <w:color w:val="auto"/>
                <w:sz w:val="28"/>
                <w:szCs w:val="28"/>
                <w:highlight w:val="none"/>
              </w:rPr>
              <w:t>7．投标人投标文件中的相关扫描件应保证清晰度，无法辨认的评审时受到影响的，由投标人承担相应责任。</w:t>
            </w:r>
          </w:p>
          <w:p w14:paraId="52944C39">
            <w:pPr>
              <w:snapToGrid w:val="0"/>
              <w:spacing w:line="560" w:lineRule="exact"/>
              <w:jc w:val="left"/>
              <w:rPr>
                <w:rFonts w:ascii="仿宋_GB2312" w:hAnsi="宋体" w:eastAsia="仿宋_GB2312"/>
                <w:color w:val="auto"/>
                <w:sz w:val="28"/>
                <w:szCs w:val="28"/>
                <w:highlight w:val="none"/>
              </w:rPr>
            </w:pPr>
            <w:r>
              <w:rPr>
                <w:rFonts w:hint="eastAsia" w:ascii="仿宋_GB2312" w:hAnsi="宋体" w:eastAsia="仿宋_GB2312" w:cs="Times New Roman"/>
                <w:color w:val="auto"/>
                <w:sz w:val="28"/>
                <w:szCs w:val="28"/>
                <w:highlight w:val="none"/>
              </w:rPr>
              <w:t>8．投标人应充分考虑到网上递交投标文件会发生的故障和风险。对发生的任何故障和风险造成投标人报价内容不一致或利益受损或投标失败的，招标人及招标代理机构不承担任何责任。</w:t>
            </w:r>
          </w:p>
        </w:tc>
      </w:tr>
      <w:tr w14:paraId="47B5775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2068686">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1F63836C">
            <w:pPr>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资质证明文件原件：无需提供资质证明文件原件</w:t>
            </w:r>
          </w:p>
        </w:tc>
      </w:tr>
      <w:tr w14:paraId="7346C5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7AF10EE">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32293E46">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响应文件份数：网上按时递交电子响应文件1份</w:t>
            </w:r>
          </w:p>
        </w:tc>
      </w:tr>
      <w:tr w14:paraId="0068A60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7D19FA79">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68AAED9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实物样品：无 </w:t>
            </w:r>
          </w:p>
        </w:tc>
      </w:tr>
      <w:tr w14:paraId="09C4794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49B5FF8F">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9</w:t>
            </w:r>
          </w:p>
        </w:tc>
        <w:tc>
          <w:tcPr>
            <w:tcW w:w="8291" w:type="dxa"/>
            <w:tcBorders>
              <w:top w:val="single" w:color="auto" w:sz="4" w:space="0"/>
              <w:left w:val="single" w:color="auto" w:sz="4" w:space="0"/>
              <w:bottom w:val="single" w:color="auto" w:sz="4" w:space="0"/>
            </w:tcBorders>
            <w:vAlign w:val="center"/>
          </w:tcPr>
          <w:p w14:paraId="6619E073">
            <w:pPr>
              <w:spacing w:line="560" w:lineRule="exact"/>
              <w:textAlignment w:val="top"/>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现场踏勘：无 </w:t>
            </w:r>
          </w:p>
        </w:tc>
      </w:tr>
      <w:tr w14:paraId="7DBC5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16DD9BC">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10</w:t>
            </w:r>
          </w:p>
        </w:tc>
        <w:tc>
          <w:tcPr>
            <w:tcW w:w="8291" w:type="dxa"/>
            <w:tcBorders>
              <w:top w:val="single" w:color="auto" w:sz="4" w:space="0"/>
              <w:left w:val="single" w:color="auto" w:sz="4" w:space="0"/>
              <w:bottom w:val="single" w:color="auto" w:sz="4" w:space="0"/>
            </w:tcBorders>
            <w:vAlign w:val="center"/>
          </w:tcPr>
          <w:p w14:paraId="7E46D091">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现场演示：无 </w:t>
            </w:r>
          </w:p>
        </w:tc>
      </w:tr>
      <w:tr w14:paraId="3FEAF60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C941FD9">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19968EA4">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报价有效期：开标之日起</w:t>
            </w:r>
            <w:r>
              <w:rPr>
                <w:rFonts w:ascii="仿宋_GB2312" w:hAnsi="宋体" w:eastAsia="仿宋_GB2312"/>
                <w:color w:val="auto"/>
                <w:sz w:val="28"/>
                <w:szCs w:val="28"/>
                <w:highlight w:val="none"/>
              </w:rPr>
              <w:t>9</w:t>
            </w:r>
            <w:r>
              <w:rPr>
                <w:rFonts w:hint="eastAsia" w:ascii="仿宋_GB2312" w:hAnsi="宋体" w:eastAsia="仿宋_GB2312"/>
                <w:color w:val="auto"/>
                <w:sz w:val="28"/>
                <w:szCs w:val="28"/>
                <w:highlight w:val="none"/>
              </w:rPr>
              <w:t>0天</w:t>
            </w:r>
          </w:p>
        </w:tc>
      </w:tr>
      <w:tr w14:paraId="3744D0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3EC68B1">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0F793076">
            <w:pPr>
              <w:spacing w:line="60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本分包最高限价：</w:t>
            </w:r>
            <w:r>
              <w:rPr>
                <w:rFonts w:hint="eastAsia" w:ascii="仿宋_GB2312" w:hAnsi="宋体" w:eastAsia="仿宋_GB2312"/>
                <w:color w:val="auto"/>
                <w:sz w:val="28"/>
                <w:szCs w:val="28"/>
                <w:highlight w:val="none"/>
                <w:u w:val="single"/>
                <w:lang w:eastAsia="zh-CN"/>
              </w:rPr>
              <w:t>A包：路沿石</w:t>
            </w:r>
            <w:r>
              <w:rPr>
                <w:rFonts w:hint="eastAsia" w:ascii="仿宋_GB2312" w:hAnsi="宋体" w:eastAsia="仿宋_GB2312"/>
                <w:color w:val="auto"/>
                <w:sz w:val="28"/>
                <w:szCs w:val="28"/>
                <w:highlight w:val="none"/>
                <w:u w:val="single"/>
                <w:lang w:val="en-US" w:eastAsia="zh-CN"/>
              </w:rPr>
              <w:t>含税价</w:t>
            </w:r>
            <w:r>
              <w:rPr>
                <w:rFonts w:hint="eastAsia" w:ascii="仿宋_GB2312" w:hAnsi="宋体" w:eastAsia="仿宋_GB2312"/>
                <w:color w:val="auto"/>
                <w:sz w:val="28"/>
                <w:szCs w:val="28"/>
                <w:highlight w:val="none"/>
                <w:u w:val="single"/>
                <w:lang w:eastAsia="zh-CN"/>
              </w:rPr>
              <w:t>：15</w:t>
            </w:r>
            <w:r>
              <w:rPr>
                <w:rFonts w:hint="eastAsia" w:ascii="仿宋_GB2312" w:hAnsi="宋体" w:eastAsia="仿宋_GB2312"/>
                <w:color w:val="auto"/>
                <w:sz w:val="28"/>
                <w:szCs w:val="28"/>
                <w:highlight w:val="none"/>
                <w:u w:val="single"/>
                <w:lang w:val="en-US" w:eastAsia="zh-CN"/>
              </w:rPr>
              <w:t>3</w:t>
            </w:r>
            <w:r>
              <w:rPr>
                <w:rFonts w:hint="eastAsia" w:ascii="仿宋_GB2312" w:hAnsi="宋体" w:eastAsia="仿宋_GB2312"/>
                <w:color w:val="auto"/>
                <w:sz w:val="28"/>
                <w:szCs w:val="28"/>
                <w:highlight w:val="none"/>
                <w:u w:val="single"/>
                <w:lang w:eastAsia="zh-CN"/>
              </w:rPr>
              <w:t>0元/m³</w:t>
            </w:r>
          </w:p>
        </w:tc>
      </w:tr>
      <w:tr w14:paraId="57A1F20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5FB8F00">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7EA9EACF">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本项目不接受联合体响应</w:t>
            </w:r>
          </w:p>
        </w:tc>
      </w:tr>
      <w:tr w14:paraId="409C62C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7ACF9118">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07FE44A7">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本项目不收取竞争谈判保证金</w:t>
            </w:r>
          </w:p>
        </w:tc>
      </w:tr>
      <w:tr w14:paraId="547F5F7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4A8566C5">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7AC4798A">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响应文件递交时间：</w:t>
            </w:r>
          </w:p>
          <w:p w14:paraId="5E77AB80">
            <w:pPr>
              <w:spacing w:line="560" w:lineRule="exact"/>
              <w:rPr>
                <w:rFonts w:hint="eastAsia" w:ascii="仿宋_GB2312" w:hAnsi="宋体" w:eastAsia="仿宋_GB2312" w:cs="Times New Roman"/>
                <w:color w:val="auto"/>
                <w:sz w:val="28"/>
                <w:szCs w:val="28"/>
                <w:highlight w:val="none"/>
              </w:rPr>
            </w:pPr>
            <w:r>
              <w:rPr>
                <w:rFonts w:hint="eastAsia" w:ascii="仿宋_GB2312" w:hAnsi="宋体" w:eastAsia="仿宋_GB2312"/>
                <w:color w:val="auto"/>
                <w:sz w:val="28"/>
                <w:szCs w:val="28"/>
                <w:highlight w:val="none"/>
                <w:lang w:eastAsia="zh-CN"/>
              </w:rPr>
              <w:t>2026年04月24日</w:t>
            </w:r>
            <w:r>
              <w:rPr>
                <w:rFonts w:ascii="仿宋_GB2312" w:hAnsi="宋体" w:eastAsia="仿宋_GB2312"/>
                <w:color w:val="auto"/>
                <w:sz w:val="28"/>
                <w:szCs w:val="28"/>
                <w:highlight w:val="none"/>
              </w:rPr>
              <w:t>18时00分</w:t>
            </w:r>
            <w:r>
              <w:rPr>
                <w:rFonts w:hint="eastAsia" w:ascii="仿宋_GB2312" w:hAnsi="宋体" w:eastAsia="仿宋_GB2312"/>
                <w:color w:val="auto"/>
                <w:sz w:val="28"/>
                <w:szCs w:val="28"/>
                <w:highlight w:val="none"/>
              </w:rPr>
              <w:t>至</w:t>
            </w:r>
            <w:r>
              <w:rPr>
                <w:rFonts w:hint="eastAsia" w:ascii="仿宋_GB2312" w:hAnsi="宋体" w:eastAsia="仿宋_GB2312"/>
                <w:color w:val="auto"/>
                <w:sz w:val="28"/>
                <w:szCs w:val="28"/>
                <w:highlight w:val="none"/>
                <w:lang w:eastAsia="zh-CN"/>
              </w:rPr>
              <w:t>2026年05月06日14时00分</w:t>
            </w:r>
            <w:r>
              <w:rPr>
                <w:rFonts w:hint="eastAsia" w:ascii="仿宋_GB2312" w:hAnsi="宋体" w:eastAsia="仿宋_GB2312"/>
                <w:color w:val="auto"/>
                <w:sz w:val="28"/>
                <w:szCs w:val="28"/>
                <w:highlight w:val="none"/>
              </w:rPr>
              <w:t>（以电子交易系统具体显示时间为准</w:t>
            </w:r>
            <w:r>
              <w:rPr>
                <w:rFonts w:hint="eastAsia" w:ascii="仿宋_GB2312" w:hAnsi="宋体" w:eastAsia="仿宋_GB2312" w:cs="Times New Roman"/>
                <w:color w:val="auto"/>
                <w:sz w:val="28"/>
                <w:szCs w:val="28"/>
                <w:highlight w:val="none"/>
              </w:rPr>
              <w:t>）</w:t>
            </w:r>
          </w:p>
          <w:p w14:paraId="2FFB3DD2">
            <w:pPr>
              <w:spacing w:line="560" w:lineRule="exact"/>
              <w:rPr>
                <w:rFonts w:ascii="仿宋_GB2312" w:hAnsi="宋体" w:eastAsia="仿宋_GB2312"/>
                <w:color w:val="auto"/>
                <w:sz w:val="28"/>
                <w:szCs w:val="28"/>
                <w:highlight w:val="none"/>
              </w:rPr>
            </w:pPr>
            <w:r>
              <w:rPr>
                <w:rFonts w:hint="eastAsia" w:ascii="仿宋_GB2312" w:hAnsi="宋体" w:eastAsia="仿宋_GB2312" w:cs="Times New Roman"/>
                <w:color w:val="auto"/>
                <w:sz w:val="28"/>
                <w:szCs w:val="28"/>
                <w:highlight w:val="none"/>
              </w:rPr>
              <w:t>投标文件递交网址：登录威海市公共资源交易网（乳山分中心）首页右侧“交易服务一网通办系统-（新版）一网通办系统”进行平台切换点击“国企采购”进入国有企业阳光采购电子化服务平台网上递交。</w:t>
            </w:r>
          </w:p>
        </w:tc>
      </w:tr>
      <w:tr w14:paraId="65BBAC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357EC262">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5AF3F52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响应文件开启（解密）时间：</w:t>
            </w:r>
            <w:r>
              <w:rPr>
                <w:rFonts w:hint="eastAsia" w:ascii="仿宋_GB2312" w:hAnsi="宋体" w:eastAsia="仿宋_GB2312"/>
                <w:color w:val="auto"/>
                <w:sz w:val="28"/>
                <w:szCs w:val="28"/>
                <w:highlight w:val="none"/>
                <w:lang w:eastAsia="zh-CN"/>
              </w:rPr>
              <w:t>2026年05月06日14时00分</w:t>
            </w:r>
          </w:p>
          <w:p w14:paraId="5C0FD06C">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开标地点：威海市乳山市深圳路108号市民服务中心三楼</w:t>
            </w:r>
          </w:p>
        </w:tc>
      </w:tr>
      <w:tr w14:paraId="474C357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6BD4BE14">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5B8CE579">
            <w:pPr>
              <w:spacing w:line="560" w:lineRule="exact"/>
              <w:rPr>
                <w:rFonts w:ascii="仿宋_GB2312" w:hAnsi="宋体" w:eastAsia="仿宋_GB2312"/>
                <w:color w:val="auto"/>
                <w:sz w:val="28"/>
                <w:szCs w:val="28"/>
                <w:highlight w:val="none"/>
              </w:rPr>
            </w:pPr>
            <w:r>
              <w:rPr>
                <w:rFonts w:hint="eastAsia" w:ascii="仿宋_GB2312" w:eastAsia="仿宋_GB2312"/>
                <w:color w:val="auto"/>
                <w:sz w:val="28"/>
                <w:szCs w:val="28"/>
                <w:highlight w:val="none"/>
              </w:rPr>
              <w:t>响应文件开启（解密）、竞争谈判方式：远程解密、竞争谈判，供应商无需到现场参与解密、竞争谈判，</w:t>
            </w:r>
            <w:r>
              <w:rPr>
                <w:rFonts w:hint="eastAsia" w:ascii="仿宋_GB2312" w:hAnsi="宋体" w:eastAsia="仿宋_GB2312"/>
                <w:color w:val="auto"/>
                <w:sz w:val="28"/>
                <w:szCs w:val="28"/>
                <w:highlight w:val="none"/>
              </w:rPr>
              <w:t>请提前熟悉电子交易系统操作流程，并实时关注电子交易系统相关通知，且联络方式应保持通讯畅通。</w:t>
            </w:r>
          </w:p>
        </w:tc>
      </w:tr>
      <w:tr w14:paraId="1BEC8C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1ACD0C7">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6DD2505C">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响应文件开启（解密）程序：</w:t>
            </w:r>
          </w:p>
          <w:p w14:paraId="3861D31B">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响应文件开启（解密）后</w:t>
            </w:r>
            <w:r>
              <w:rPr>
                <w:rFonts w:hint="eastAsia" w:ascii="仿宋_GB2312" w:hAnsi="宋体" w:eastAsia="仿宋_GB2312"/>
                <w:color w:val="auto"/>
                <w:sz w:val="28"/>
                <w:szCs w:val="28"/>
                <w:highlight w:val="none"/>
                <w:lang w:val="en-US" w:eastAsia="zh-CN"/>
              </w:rPr>
              <w:t>30</w:t>
            </w:r>
            <w:r>
              <w:rPr>
                <w:rFonts w:hint="eastAsia" w:ascii="仿宋_GB2312" w:hAnsi="宋体" w:eastAsia="仿宋_GB2312"/>
                <w:color w:val="auto"/>
                <w:sz w:val="28"/>
                <w:szCs w:val="28"/>
                <w:highlight w:val="none"/>
              </w:rPr>
              <w:t>分钟内完成解密</w:t>
            </w:r>
          </w:p>
        </w:tc>
      </w:tr>
      <w:tr w14:paraId="5BC3314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5CC58F02">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19</w:t>
            </w:r>
          </w:p>
        </w:tc>
        <w:tc>
          <w:tcPr>
            <w:tcW w:w="8291" w:type="dxa"/>
            <w:tcBorders>
              <w:top w:val="single" w:color="auto" w:sz="4" w:space="0"/>
              <w:left w:val="single" w:color="auto" w:sz="4" w:space="0"/>
              <w:bottom w:val="single" w:color="auto" w:sz="4" w:space="0"/>
            </w:tcBorders>
            <w:vAlign w:val="center"/>
          </w:tcPr>
          <w:p w14:paraId="220C3A16">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路沿石、人行道板采购</w:t>
            </w:r>
            <w:r>
              <w:rPr>
                <w:rFonts w:hint="eastAsia" w:ascii="仿宋_GB2312" w:hAnsi="宋体" w:eastAsia="仿宋_GB2312"/>
                <w:color w:val="auto"/>
                <w:sz w:val="28"/>
                <w:szCs w:val="28"/>
                <w:highlight w:val="none"/>
              </w:rPr>
              <w:t>(</w:t>
            </w:r>
            <w:r>
              <w:rPr>
                <w:rFonts w:hint="eastAsia" w:ascii="仿宋_GB2312" w:hAnsi="宋体" w:eastAsia="仿宋_GB2312"/>
                <w:color w:val="auto"/>
                <w:sz w:val="28"/>
                <w:szCs w:val="28"/>
                <w:highlight w:val="none"/>
                <w:lang w:val="en-US" w:eastAsia="zh-CN"/>
              </w:rPr>
              <w:t>A</w:t>
            </w:r>
            <w:r>
              <w:rPr>
                <w:rFonts w:hint="eastAsia" w:ascii="仿宋_GB2312" w:hAnsi="宋体" w:eastAsia="仿宋_GB2312"/>
                <w:color w:val="auto"/>
                <w:sz w:val="28"/>
                <w:szCs w:val="28"/>
                <w:highlight w:val="none"/>
              </w:rPr>
              <w:t>包)</w:t>
            </w:r>
          </w:p>
          <w:p w14:paraId="4A1D2938">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服务期：自合同签订之日起2年</w:t>
            </w:r>
          </w:p>
        </w:tc>
      </w:tr>
      <w:tr w14:paraId="22E52DE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6A45FB6E">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20</w:t>
            </w:r>
          </w:p>
        </w:tc>
        <w:tc>
          <w:tcPr>
            <w:tcW w:w="8291" w:type="dxa"/>
            <w:tcBorders>
              <w:top w:val="single" w:color="auto" w:sz="4" w:space="0"/>
              <w:left w:val="single" w:color="auto" w:sz="4" w:space="0"/>
              <w:bottom w:val="single" w:color="auto" w:sz="4" w:space="0"/>
            </w:tcBorders>
            <w:vAlign w:val="center"/>
          </w:tcPr>
          <w:p w14:paraId="19CBA339">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路沿石、人行道板采购</w:t>
            </w:r>
            <w:r>
              <w:rPr>
                <w:rFonts w:hint="eastAsia" w:ascii="仿宋_GB2312" w:hAnsi="宋体" w:eastAsia="仿宋_GB2312"/>
                <w:color w:val="auto"/>
                <w:sz w:val="28"/>
                <w:szCs w:val="28"/>
                <w:highlight w:val="none"/>
              </w:rPr>
              <w:t>(</w:t>
            </w:r>
            <w:r>
              <w:rPr>
                <w:rFonts w:hint="eastAsia" w:ascii="仿宋_GB2312" w:hAnsi="宋体" w:eastAsia="仿宋_GB2312"/>
                <w:color w:val="auto"/>
                <w:sz w:val="28"/>
                <w:szCs w:val="28"/>
                <w:highlight w:val="none"/>
                <w:lang w:val="en-US" w:eastAsia="zh-CN"/>
              </w:rPr>
              <w:t>A</w:t>
            </w:r>
            <w:r>
              <w:rPr>
                <w:rFonts w:hint="eastAsia" w:ascii="仿宋_GB2312" w:hAnsi="宋体" w:eastAsia="仿宋_GB2312"/>
                <w:color w:val="auto"/>
                <w:sz w:val="28"/>
                <w:szCs w:val="28"/>
                <w:highlight w:val="none"/>
                <w:lang w:eastAsia="zh-CN"/>
              </w:rPr>
              <w:t>包</w:t>
            </w:r>
            <w:r>
              <w:rPr>
                <w:rFonts w:hint="eastAsia" w:ascii="仿宋_GB2312" w:hAnsi="宋体" w:eastAsia="仿宋_GB2312"/>
                <w:color w:val="auto"/>
                <w:sz w:val="28"/>
                <w:szCs w:val="28"/>
                <w:highlight w:val="none"/>
              </w:rPr>
              <w:t>)</w:t>
            </w:r>
          </w:p>
          <w:p w14:paraId="29262B5B">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交付期：采购人指定时间</w:t>
            </w:r>
          </w:p>
          <w:p w14:paraId="6184C82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交付地点:采购人指定地点</w:t>
            </w:r>
          </w:p>
        </w:tc>
      </w:tr>
      <w:tr w14:paraId="1A034EF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4D1FC4DF">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56D08ECE">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评标办法：</w:t>
            </w:r>
            <w:r>
              <w:rPr>
                <w:rFonts w:hint="eastAsia" w:ascii="仿宋_GB2312" w:hAnsi="宋体" w:eastAsia="仿宋_GB2312"/>
                <w:color w:val="auto"/>
                <w:sz w:val="28"/>
                <w:szCs w:val="28"/>
                <w:highlight w:val="none"/>
                <w:lang w:eastAsia="zh-CN"/>
              </w:rPr>
              <w:t>路沿石、人行道板采购</w:t>
            </w:r>
            <w:r>
              <w:rPr>
                <w:rFonts w:hint="eastAsia" w:ascii="仿宋_GB2312" w:hAnsi="宋体" w:eastAsia="仿宋_GB2312"/>
                <w:color w:val="auto"/>
                <w:sz w:val="28"/>
                <w:szCs w:val="28"/>
                <w:highlight w:val="none"/>
              </w:rPr>
              <w:t>(</w:t>
            </w:r>
            <w:r>
              <w:rPr>
                <w:rFonts w:hint="eastAsia" w:ascii="仿宋_GB2312" w:hAnsi="宋体" w:eastAsia="仿宋_GB2312"/>
                <w:color w:val="auto"/>
                <w:sz w:val="28"/>
                <w:szCs w:val="28"/>
                <w:highlight w:val="none"/>
                <w:lang w:val="en-US" w:eastAsia="zh-CN"/>
              </w:rPr>
              <w:t>A</w:t>
            </w:r>
            <w:r>
              <w:rPr>
                <w:rFonts w:hint="eastAsia" w:ascii="仿宋_GB2312" w:hAnsi="宋体" w:eastAsia="仿宋_GB2312"/>
                <w:color w:val="auto"/>
                <w:sz w:val="28"/>
                <w:szCs w:val="28"/>
                <w:highlight w:val="none"/>
                <w:lang w:eastAsia="zh-CN"/>
              </w:rPr>
              <w:t>包</w:t>
            </w:r>
            <w:r>
              <w:rPr>
                <w:rFonts w:hint="eastAsia" w:ascii="仿宋_GB2312" w:hAnsi="宋体" w:eastAsia="仿宋_GB2312"/>
                <w:color w:val="auto"/>
                <w:sz w:val="28"/>
                <w:szCs w:val="28"/>
                <w:highlight w:val="none"/>
              </w:rPr>
              <w:t>),综合评分法</w:t>
            </w:r>
          </w:p>
        </w:tc>
      </w:tr>
      <w:tr w14:paraId="6F7D2DC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0BF99401">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00AFB346">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本项目不收取履约保证金。</w:t>
            </w:r>
          </w:p>
        </w:tc>
      </w:tr>
      <w:tr w14:paraId="1003D3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3052826A">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6861EE67">
            <w:pPr>
              <w:spacing w:line="600" w:lineRule="exac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是否兼投不兼中：</w:t>
            </w:r>
            <w:r>
              <w:rPr>
                <w:rFonts w:hint="eastAsia" w:ascii="仿宋_GB2312" w:hAnsi="宋体" w:eastAsia="仿宋_GB2312"/>
                <w:color w:val="auto"/>
                <w:sz w:val="28"/>
                <w:szCs w:val="28"/>
                <w:highlight w:val="none"/>
              </w:rPr>
              <w:t>否</w:t>
            </w:r>
          </w:p>
        </w:tc>
      </w:tr>
      <w:tr w14:paraId="00226D1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7DDDD557">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411614CA">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本项目付款方式如下：</w:t>
            </w:r>
          </w:p>
          <w:p w14:paraId="64116185">
            <w:pPr>
              <w:spacing w:line="560" w:lineRule="exact"/>
              <w:rPr>
                <w:rFonts w:hint="default" w:eastAsia="仿宋_GB2312"/>
                <w:color w:val="auto"/>
                <w:highlight w:val="none"/>
                <w:lang w:val="en-US" w:eastAsia="zh-CN"/>
              </w:rPr>
            </w:pPr>
            <w:r>
              <w:rPr>
                <w:rFonts w:hint="eastAsia" w:ascii="仿宋_GB2312" w:hAnsi="宋体" w:eastAsia="仿宋_GB2312"/>
                <w:color w:val="auto"/>
                <w:sz w:val="28"/>
                <w:szCs w:val="28"/>
                <w:highlight w:val="none"/>
                <w:lang w:val="en-US" w:eastAsia="zh-CN"/>
              </w:rPr>
              <w:t>A包：</w:t>
            </w:r>
            <w:r>
              <w:rPr>
                <w:rFonts w:hint="eastAsia" w:ascii="仿宋_GB2312" w:hAnsi="宋体" w:eastAsia="仿宋_GB2312"/>
                <w:color w:val="auto"/>
                <w:sz w:val="28"/>
                <w:szCs w:val="28"/>
                <w:highlight w:val="none"/>
                <w:lang w:eastAsia="zh-CN"/>
              </w:rPr>
              <w:t>本项目无预付款，付款时限依甲方内部财务状况而定，</w:t>
            </w:r>
            <w:r>
              <w:rPr>
                <w:rFonts w:hint="eastAsia" w:ascii="仿宋_GB2312" w:hAnsi="宋体" w:eastAsia="仿宋_GB2312"/>
                <w:color w:val="auto"/>
                <w:sz w:val="28"/>
                <w:szCs w:val="28"/>
                <w:highlight w:val="none"/>
                <w:lang w:val="en-US" w:eastAsia="zh-CN"/>
              </w:rPr>
              <w:t>乙方需按照甲方要求的规格型号进行加工并及时运送至甲方指定地点，不得以未结算货款为由终止材料供应，由此对甲方造成的损失，由乙方承担。</w:t>
            </w:r>
            <w:r>
              <w:rPr>
                <w:rFonts w:hint="eastAsia" w:ascii="仿宋_GB2312" w:hAnsi="宋体" w:eastAsia="仿宋_GB2312"/>
                <w:color w:val="auto"/>
                <w:sz w:val="28"/>
                <w:szCs w:val="28"/>
                <w:highlight w:val="none"/>
              </w:rPr>
              <w:t>结算货款前</w:t>
            </w:r>
            <w:r>
              <w:rPr>
                <w:rFonts w:hint="eastAsia" w:ascii="仿宋_GB2312" w:hAnsi="宋体" w:eastAsia="仿宋_GB2312"/>
                <w:color w:val="auto"/>
                <w:sz w:val="28"/>
                <w:szCs w:val="28"/>
                <w:highlight w:val="none"/>
                <w:lang w:val="en-US" w:eastAsia="zh-CN"/>
              </w:rPr>
              <w:t>乙方</w:t>
            </w:r>
            <w:r>
              <w:rPr>
                <w:rFonts w:hint="eastAsia" w:ascii="仿宋_GB2312" w:hAnsi="宋体" w:eastAsia="仿宋_GB2312"/>
                <w:color w:val="auto"/>
                <w:sz w:val="28"/>
                <w:szCs w:val="28"/>
                <w:highlight w:val="none"/>
              </w:rPr>
              <w:t>需提供合法有效增值税专用发票</w:t>
            </w:r>
            <w:r>
              <w:rPr>
                <w:rFonts w:hint="eastAsia" w:ascii="仿宋_GB2312" w:hAnsi="宋体" w:eastAsia="仿宋_GB2312"/>
                <w:color w:val="auto"/>
                <w:sz w:val="28"/>
                <w:szCs w:val="28"/>
                <w:highlight w:val="none"/>
                <w:lang w:eastAsia="zh-CN"/>
              </w:rPr>
              <w:t>。</w:t>
            </w:r>
          </w:p>
        </w:tc>
      </w:tr>
      <w:tr w14:paraId="1E3D60F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43BEAA59">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0499E045">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是否委托评审委员会确定成交供应商：是</w:t>
            </w:r>
          </w:p>
        </w:tc>
      </w:tr>
      <w:tr w14:paraId="54CA87F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3BD38B9">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7D35E101">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反腐倡廉监督联系方式：</w:t>
            </w:r>
          </w:p>
          <w:p w14:paraId="1705CE5D">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电话/邮箱：</w:t>
            </w:r>
            <w:r>
              <w:rPr>
                <w:rFonts w:ascii="仿宋_GB2312" w:hAnsi="宋体" w:eastAsia="仿宋_GB2312"/>
                <w:color w:val="auto"/>
                <w:sz w:val="28"/>
                <w:szCs w:val="28"/>
                <w:highlight w:val="none"/>
              </w:rPr>
              <w:t>0631-6662267/rushanjyzx@wh.shandong.cn</w:t>
            </w:r>
          </w:p>
        </w:tc>
      </w:tr>
      <w:tr w14:paraId="251BE9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78CE37A9">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27</w:t>
            </w:r>
          </w:p>
        </w:tc>
        <w:tc>
          <w:tcPr>
            <w:tcW w:w="8291" w:type="dxa"/>
            <w:tcBorders>
              <w:top w:val="single" w:color="auto" w:sz="4" w:space="0"/>
              <w:left w:val="single" w:color="auto" w:sz="4" w:space="0"/>
              <w:bottom w:val="single" w:color="auto" w:sz="4" w:space="0"/>
            </w:tcBorders>
            <w:vAlign w:val="center"/>
          </w:tcPr>
          <w:p w14:paraId="1A3A4C0D">
            <w:pPr>
              <w:spacing w:line="560" w:lineRule="exact"/>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质疑受理方式：</w:t>
            </w:r>
          </w:p>
          <w:p w14:paraId="498459BA">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（1）当面接收：接收地址详见本表采购人及代理机构地址。</w:t>
            </w:r>
          </w:p>
          <w:p w14:paraId="75730797">
            <w:pPr>
              <w:spacing w:line="560" w:lineRule="exact"/>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rPr>
              <w:t>（2）邮件接收：</w:t>
            </w:r>
            <w:r>
              <w:rPr>
                <w:rFonts w:hint="eastAsia" w:ascii="仿宋_GB2312" w:hAnsi="仿宋" w:eastAsia="仿宋_GB2312" w:cs="宋体"/>
                <w:color w:val="auto"/>
                <w:sz w:val="28"/>
                <w:szCs w:val="28"/>
                <w:highlight w:val="none"/>
                <w:lang w:eastAsia="zh-CN"/>
              </w:rPr>
              <w:t>whjxzbs@126.com</w:t>
            </w:r>
          </w:p>
          <w:p w14:paraId="58F70F95">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（3）采购电子交易系统上传：通过威海市国有企业阳光采购电子化服务平台中“公文管理-供”功能上传。</w:t>
            </w:r>
          </w:p>
          <w:p w14:paraId="191DBE58">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以上三种方式任选其一。</w:t>
            </w:r>
          </w:p>
        </w:tc>
      </w:tr>
      <w:tr w14:paraId="320BB3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AC92CBC">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28</w:t>
            </w:r>
          </w:p>
        </w:tc>
        <w:tc>
          <w:tcPr>
            <w:tcW w:w="8291" w:type="dxa"/>
            <w:tcBorders>
              <w:top w:val="single" w:color="auto" w:sz="4" w:space="0"/>
              <w:left w:val="single" w:color="auto" w:sz="4" w:space="0"/>
              <w:bottom w:val="single" w:color="auto" w:sz="4" w:space="0"/>
            </w:tcBorders>
            <w:vAlign w:val="center"/>
          </w:tcPr>
          <w:p w14:paraId="52C5EFED">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代理服务费：参照“发改价格[2011]534号”规定的收费标准收取代理服务费。</w:t>
            </w:r>
            <w:r>
              <w:rPr>
                <w:rFonts w:hint="eastAsia" w:ascii="仿宋_GB2312" w:hAnsi="宋体" w:eastAsia="仿宋_GB2312"/>
                <w:color w:val="auto"/>
                <w:sz w:val="28"/>
                <w:szCs w:val="28"/>
                <w:highlight w:val="none"/>
                <w:lang w:val="en-US" w:eastAsia="zh-CN"/>
              </w:rPr>
              <w:t>A包：</w:t>
            </w:r>
            <w:r>
              <w:rPr>
                <w:rFonts w:hint="eastAsia" w:ascii="仿宋_GB2312" w:hAnsi="宋体" w:eastAsia="仿宋_GB2312"/>
                <w:color w:val="auto"/>
                <w:sz w:val="28"/>
                <w:szCs w:val="28"/>
                <w:highlight w:val="none"/>
              </w:rPr>
              <w:t>人民币</w:t>
            </w:r>
            <w:r>
              <w:rPr>
                <w:rFonts w:hint="eastAsia" w:ascii="仿宋_GB2312" w:hAnsi="宋体" w:eastAsia="仿宋_GB2312"/>
                <w:color w:val="auto"/>
                <w:sz w:val="28"/>
                <w:szCs w:val="28"/>
                <w:highlight w:val="none"/>
                <w:lang w:val="en-US" w:eastAsia="zh-CN"/>
              </w:rPr>
              <w:t>400</w:t>
            </w:r>
            <w:r>
              <w:rPr>
                <w:rFonts w:ascii="仿宋_GB2312" w:hAnsi="宋体" w:eastAsia="仿宋_GB2312"/>
                <w:color w:val="auto"/>
                <w:sz w:val="28"/>
                <w:szCs w:val="28"/>
                <w:highlight w:val="none"/>
              </w:rPr>
              <w:t>0.00</w:t>
            </w:r>
            <w:r>
              <w:rPr>
                <w:rFonts w:hint="eastAsia" w:ascii="仿宋_GB2312" w:hAnsi="宋体" w:eastAsia="仿宋_GB2312"/>
                <w:color w:val="auto"/>
                <w:sz w:val="28"/>
                <w:szCs w:val="28"/>
                <w:highlight w:val="none"/>
              </w:rPr>
              <w:t>元，由成交单位在签订合同前向采购代理机构缴纳，包含在报价中。</w:t>
            </w:r>
          </w:p>
          <w:p w14:paraId="4AF822D6">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eastAsia="zh-CN"/>
              </w:rPr>
              <w:t>开</w:t>
            </w:r>
            <w:r>
              <w:rPr>
                <w:rFonts w:hint="eastAsia" w:ascii="仿宋_GB2312" w:hAnsi="宋体" w:eastAsia="仿宋_GB2312"/>
                <w:color w:val="auto"/>
                <w:sz w:val="28"/>
                <w:szCs w:val="28"/>
                <w:highlight w:val="none"/>
              </w:rPr>
              <w:t>户名称：威海市嘉鑫工程检测鉴定有限公司</w:t>
            </w:r>
          </w:p>
          <w:p w14:paraId="0CC065CD">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开户行：中国建设银行股份有限公司乳山支行</w:t>
            </w:r>
          </w:p>
          <w:p w14:paraId="37432C2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账号：37001708108050156089</w:t>
            </w:r>
          </w:p>
        </w:tc>
      </w:tr>
      <w:tr w14:paraId="2B7602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05F62125">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29</w:t>
            </w:r>
          </w:p>
        </w:tc>
        <w:tc>
          <w:tcPr>
            <w:tcW w:w="8291" w:type="dxa"/>
            <w:tcBorders>
              <w:top w:val="single" w:color="auto" w:sz="4" w:space="0"/>
              <w:left w:val="single" w:color="auto" w:sz="4" w:space="0"/>
              <w:bottom w:val="single" w:color="auto" w:sz="4" w:space="0"/>
            </w:tcBorders>
            <w:vAlign w:val="center"/>
          </w:tcPr>
          <w:p w14:paraId="4E624821">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本项目按</w:t>
            </w:r>
            <w:r>
              <w:rPr>
                <w:rFonts w:ascii="仿宋_GB2312" w:hAnsi="宋体" w:eastAsia="仿宋_GB2312"/>
                <w:color w:val="auto"/>
                <w:sz w:val="28"/>
                <w:szCs w:val="28"/>
                <w:highlight w:val="none"/>
              </w:rPr>
              <w:t>货物类</w:t>
            </w:r>
            <w:r>
              <w:rPr>
                <w:rFonts w:hint="eastAsia" w:ascii="仿宋_GB2312" w:hAnsi="宋体" w:eastAsia="仿宋_GB2312"/>
                <w:color w:val="auto"/>
                <w:sz w:val="28"/>
                <w:szCs w:val="28"/>
                <w:highlight w:val="none"/>
              </w:rPr>
              <w:t>以</w:t>
            </w:r>
            <w:r>
              <w:rPr>
                <w:rFonts w:ascii="仿宋_GB2312" w:hAnsi="宋体" w:eastAsia="仿宋_GB2312"/>
                <w:color w:val="auto"/>
                <w:sz w:val="28"/>
                <w:szCs w:val="28"/>
                <w:highlight w:val="none"/>
              </w:rPr>
              <w:t>竞争谈判</w:t>
            </w:r>
            <w:r>
              <w:rPr>
                <w:rFonts w:hint="eastAsia" w:ascii="仿宋_GB2312" w:hAnsi="宋体" w:eastAsia="仿宋_GB2312"/>
                <w:color w:val="auto"/>
                <w:sz w:val="28"/>
                <w:szCs w:val="28"/>
                <w:highlight w:val="none"/>
              </w:rPr>
              <w:t>方式实施采购</w:t>
            </w:r>
          </w:p>
        </w:tc>
      </w:tr>
      <w:tr w14:paraId="29D82C5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0A580B0A">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特别</w:t>
            </w:r>
          </w:p>
          <w:p w14:paraId="74330FFE">
            <w:pPr>
              <w:spacing w:line="560" w:lineRule="exact"/>
              <w:rPr>
                <w:rFonts w:ascii="仿宋_GB2312" w:hAnsi="宋体" w:eastAsia="仿宋_GB2312" w:cs="Times New Roman"/>
                <w:color w:val="auto"/>
                <w:kern w:val="2"/>
                <w:sz w:val="28"/>
                <w:szCs w:val="28"/>
                <w:highlight w:val="none"/>
                <w:lang w:val="en-US" w:eastAsia="zh-CN" w:bidi="ar-SA"/>
              </w:rPr>
            </w:pPr>
            <w:r>
              <w:rPr>
                <w:rFonts w:hint="eastAsia" w:ascii="仿宋_GB2312" w:hAnsi="宋体" w:eastAsia="仿宋_GB2312"/>
                <w:color w:val="auto"/>
                <w:sz w:val="28"/>
                <w:szCs w:val="28"/>
                <w:highlight w:val="none"/>
              </w:rPr>
              <w:t>提示</w:t>
            </w:r>
          </w:p>
        </w:tc>
        <w:tc>
          <w:tcPr>
            <w:tcW w:w="8291" w:type="dxa"/>
            <w:tcBorders>
              <w:top w:val="single" w:color="auto" w:sz="4" w:space="0"/>
              <w:left w:val="single" w:color="auto" w:sz="4" w:space="0"/>
              <w:bottom w:val="single" w:color="auto" w:sz="4" w:space="0"/>
            </w:tcBorders>
            <w:shd w:val="clear" w:color="auto" w:fill="auto"/>
            <w:vAlign w:val="center"/>
          </w:tcPr>
          <w:p w14:paraId="4024FF29">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1.本项目进行网上开标，不接受投标单位到现场参加开标活动;投标单位请提前熟悉交易系统(国企采购报价单位操作手册网址:</w:t>
            </w:r>
          </w:p>
          <w:p w14:paraId="45B787BB">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http://ggzyjy.weihai.cn/bszn/005005/20200820/ee51cd3e-144e-497c-9fde- deff112be090.html;)，通过交易系统线上参加开标活动，不熟悉系统操作产生的风险由投标单位承担。</w:t>
            </w:r>
          </w:p>
          <w:p w14:paraId="05D2D030">
            <w:pPr>
              <w:spacing w:line="560" w:lineRule="exact"/>
              <w:rPr>
                <w:rFonts w:hint="eastAsia" w:ascii="仿宋_GB2312" w:hAnsi="宋体" w:eastAsia="仿宋_GB2312" w:cs="Times New Roman"/>
                <w:color w:val="auto"/>
                <w:kern w:val="2"/>
                <w:sz w:val="28"/>
                <w:szCs w:val="28"/>
                <w:highlight w:val="none"/>
                <w:lang w:val="en-US" w:eastAsia="zh-CN" w:bidi="ar-SA"/>
              </w:rPr>
            </w:pPr>
            <w:r>
              <w:rPr>
                <w:rFonts w:hint="eastAsia" w:ascii="仿宋_GB2312" w:hAnsi="宋体" w:eastAsia="仿宋_GB2312"/>
                <w:color w:val="auto"/>
                <w:sz w:val="28"/>
                <w:szCs w:val="28"/>
                <w:highlight w:val="none"/>
              </w:rPr>
              <w:t>2.因首次采用新版一网通办系统，各单位在参与本项目报名及投标过程中遇到任何问题请及时联系:国企采购技术支持电话:17863029936，国企采购技术支持QQ群(报价单位):1046971257。</w:t>
            </w:r>
          </w:p>
        </w:tc>
      </w:tr>
    </w:tbl>
    <w:p w14:paraId="128D2AD3">
      <w:pPr>
        <w:pStyle w:val="30"/>
        <w:spacing w:line="432" w:lineRule="auto"/>
        <w:rPr>
          <w:rFonts w:ascii="仿宋_GB2312" w:eastAsia="仿宋_GB2312"/>
          <w:bCs/>
          <w:color w:val="auto"/>
          <w:sz w:val="28"/>
          <w:szCs w:val="28"/>
          <w:highlight w:val="none"/>
        </w:rPr>
      </w:pPr>
    </w:p>
    <w:p w14:paraId="1D30103E">
      <w:pPr>
        <w:pStyle w:val="30"/>
        <w:spacing w:line="432" w:lineRule="auto"/>
        <w:jc w:val="center"/>
        <w:rPr>
          <w:rFonts w:eastAsia="黑体"/>
          <w:color w:val="auto"/>
          <w:sz w:val="32"/>
          <w:szCs w:val="32"/>
          <w:highlight w:val="none"/>
        </w:rPr>
      </w:pPr>
      <w:r>
        <w:rPr>
          <w:rFonts w:ascii="仿宋_GB2312" w:eastAsia="仿宋_GB2312"/>
          <w:bCs/>
          <w:color w:val="auto"/>
          <w:sz w:val="28"/>
          <w:szCs w:val="28"/>
          <w:highlight w:val="none"/>
        </w:rPr>
        <w:br w:type="page"/>
      </w:r>
      <w:r>
        <w:rPr>
          <w:rFonts w:hint="eastAsia" w:eastAsia="黑体"/>
          <w:color w:val="auto"/>
          <w:sz w:val="32"/>
          <w:szCs w:val="32"/>
          <w:highlight w:val="none"/>
        </w:rPr>
        <w:t>《实质性条款一览表》</w:t>
      </w:r>
    </w:p>
    <w:p w14:paraId="57EBE7B3">
      <w:pPr>
        <w:snapToGrid w:val="0"/>
        <w:ind w:firstLine="560"/>
        <w:jc w:val="left"/>
        <w:rPr>
          <w:rFonts w:ascii="仿宋_GB2312" w:eastAsia="仿宋_GB2312"/>
          <w:color w:val="auto"/>
          <w:sz w:val="28"/>
          <w:szCs w:val="28"/>
          <w:highlight w:val="none"/>
        </w:rPr>
      </w:pPr>
      <w:r>
        <w:rPr>
          <w:rFonts w:hint="eastAsia" w:ascii="仿宋_GB2312" w:eastAsia="仿宋_GB2312"/>
          <w:color w:val="auto"/>
          <w:sz w:val="28"/>
          <w:szCs w:val="28"/>
          <w:highlight w:val="none"/>
        </w:rPr>
        <w:t>说明：本表系采购文件及修改性文件中涉及的所有实质性条款的汇总。不允许有任何负偏离，否则报价将被否决。</w:t>
      </w:r>
    </w:p>
    <w:tbl>
      <w:tblPr>
        <w:tblStyle w:val="34"/>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67672B5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10249B51">
            <w:pPr>
              <w:spacing w:line="560" w:lineRule="exact"/>
              <w:rPr>
                <w:rFonts w:ascii="仿宋_GB2312" w:hAnsi="宋体" w:eastAsia="仿宋_GB2312"/>
                <w:b/>
                <w:bCs/>
                <w:color w:val="auto"/>
                <w:sz w:val="28"/>
                <w:szCs w:val="28"/>
                <w:highlight w:val="none"/>
              </w:rPr>
            </w:pPr>
            <w:r>
              <w:rPr>
                <w:rFonts w:hint="eastAsia" w:ascii="仿宋_GB2312" w:hAnsi="宋体" w:eastAsia="仿宋_GB2312"/>
                <w:b/>
                <w:bCs/>
                <w:color w:val="auto"/>
                <w:sz w:val="28"/>
                <w:szCs w:val="28"/>
                <w:highlight w:val="none"/>
              </w:rPr>
              <w:t>资格性核查</w:t>
            </w:r>
          </w:p>
        </w:tc>
      </w:tr>
      <w:tr w14:paraId="42BCE2E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7BF7B725">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1、有效的营业执照副本扫描件或其他能证明具有独立承担民事责任能力的材料扫描件（分公司投标须提供总公司的授权）；(A)包</w:t>
            </w:r>
          </w:p>
          <w:p w14:paraId="693A0C43">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2、法定代表人授权委托书；被授权人身份证扫描件；</w:t>
            </w:r>
          </w:p>
          <w:p w14:paraId="72F55010">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若响应单位代表为企业法定代表人/单位负责人的，则只需提供企业法定代表人/单位负责人身份证扫描件；(A)包</w:t>
            </w:r>
          </w:p>
          <w:p w14:paraId="480D5AF7">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3、依法缴纳税收和社会保障资金的声明（格式自拟）；近期的完税凭证及缴纳社保资金凭证的扫描件（依法免税或不需要缴纳社会保障资金的供应商，应提供相关证明材料）；(A)包</w:t>
            </w:r>
          </w:p>
          <w:p w14:paraId="436797F6">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4、参加本项目报价前三年内无重大违法记录声明（格式自定）；(A)包</w:t>
            </w:r>
          </w:p>
          <w:p w14:paraId="783D9739">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5、报价供应商未被工商行政管理机关在全国企业信用信息公示系统中列入严重违法失信企业名单（附截图或企业信用信息公示报告，查询网址http://www.gsxt.gov.cn/index.html）；</w:t>
            </w:r>
          </w:p>
          <w:p w14:paraId="6DDF6442">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报价供应商及其法定代表人、授权委托人在“全国法院失信被执行人名单公布及查询（http://zxgk.court.gov.cn/shixin/）”网站截图；(A)包</w:t>
            </w:r>
          </w:p>
          <w:p w14:paraId="2E16303D">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6、财务状况报告等相关材料</w:t>
            </w:r>
          </w:p>
          <w:p w14:paraId="24455C2B">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A.供应商自行编制的近一年度公司财务报表或由中介机构出具的近一年度财务审计报告书扫描件（2024年度或2025年度，成立时间晚于规定年份的，应提供近一季度的财务会计报表）；</w:t>
            </w:r>
          </w:p>
          <w:p w14:paraId="13EDA674">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B.银行出具的有效期内的资信证明扫描件。</w:t>
            </w:r>
          </w:p>
          <w:p w14:paraId="1F1778E6">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注：A、B两项提供任意一项均可。(A)包</w:t>
            </w:r>
          </w:p>
          <w:p w14:paraId="6285D157">
            <w:pPr>
              <w:spacing w:line="560" w:lineRule="exact"/>
              <w:ind w:firstLine="341" w:firstLineChars="122"/>
              <w:rPr>
                <w:rFonts w:ascii="仿宋_GB2312" w:hAnsi="宋体" w:eastAsia="仿宋_GB2312"/>
                <w:color w:val="auto"/>
                <w:sz w:val="28"/>
                <w:szCs w:val="28"/>
                <w:highlight w:val="none"/>
              </w:rPr>
            </w:pPr>
            <w:r>
              <w:rPr>
                <w:rFonts w:ascii="仿宋_GB2312" w:hAnsi="宋体" w:eastAsia="仿宋_GB2312"/>
                <w:color w:val="auto"/>
                <w:sz w:val="28"/>
                <w:szCs w:val="28"/>
                <w:highlight w:val="none"/>
              </w:rPr>
              <w:t>7、具有履行合同所必需的设备和专业技术能力承诺函（格式自拟）；(A)包</w:t>
            </w:r>
          </w:p>
        </w:tc>
      </w:tr>
      <w:tr w14:paraId="58B0217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63589745">
            <w:pPr>
              <w:spacing w:line="560" w:lineRule="exact"/>
              <w:rPr>
                <w:rFonts w:ascii="仿宋_GB2312" w:hAnsi="宋体" w:eastAsia="仿宋_GB2312"/>
                <w:b/>
                <w:bCs/>
                <w:color w:val="auto"/>
                <w:sz w:val="28"/>
                <w:szCs w:val="28"/>
                <w:highlight w:val="none"/>
              </w:rPr>
            </w:pPr>
            <w:r>
              <w:rPr>
                <w:rFonts w:hint="eastAsia" w:ascii="仿宋_GB2312" w:hAnsi="宋体" w:eastAsia="仿宋_GB2312"/>
                <w:b/>
                <w:bCs/>
                <w:color w:val="auto"/>
                <w:sz w:val="28"/>
                <w:szCs w:val="28"/>
                <w:highlight w:val="none"/>
              </w:rPr>
              <w:t>符合性检查</w:t>
            </w:r>
          </w:p>
        </w:tc>
      </w:tr>
      <w:tr w14:paraId="0A0A45C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78016FB4">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1、响应文件未按规定签章的，作为无效报价；(A)包</w:t>
            </w:r>
          </w:p>
          <w:p w14:paraId="6A274E8A">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2、被授权人未在规定时间内答疑或澄清的，作为无效报价；(A)包</w:t>
            </w:r>
          </w:p>
          <w:p w14:paraId="00FCF19B">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3、响应文件含有采购人不能接受的附加条件的，作为无效报价；(A)包</w:t>
            </w:r>
          </w:p>
          <w:p w14:paraId="02CD8940">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4、响应报价、交付期（工期）、服务期（质保期）、付款方式、报价有效期等内容不满足采购文件要求的作为无效报价；(A)包</w:t>
            </w:r>
          </w:p>
          <w:p w14:paraId="221709BC">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5、参加同一项目的不同供应商的电子投标文件文件制作机器码（MAC地址、主硬盘序列号、CPU信息、计算机名称）一致导致串标率100%，将作为无效报价；(A)包</w:t>
            </w:r>
          </w:p>
          <w:p w14:paraId="68DD3A16">
            <w:pPr>
              <w:widowControl/>
              <w:adjustRightInd w:val="0"/>
              <w:spacing w:line="520" w:lineRule="exact"/>
              <w:ind w:firstLine="341" w:firstLineChars="122"/>
              <w:jc w:val="left"/>
              <w:rPr>
                <w:rFonts w:ascii="仿宋_GB2312" w:hAnsi="宋体" w:eastAsia="仿宋_GB2312"/>
                <w:color w:val="auto"/>
                <w:sz w:val="28"/>
                <w:szCs w:val="28"/>
                <w:highlight w:val="none"/>
              </w:rPr>
            </w:pPr>
            <w:r>
              <w:rPr>
                <w:rFonts w:ascii="仿宋_GB2312" w:hAnsi="宋体" w:eastAsia="仿宋_GB2312"/>
                <w:color w:val="auto"/>
                <w:sz w:val="28"/>
                <w:szCs w:val="28"/>
                <w:highlight w:val="none"/>
              </w:rPr>
              <w:t>6、评审小组认为不符合采购文件其他实质性要求或法律法规规定的其他情形；作为无效报价。(A)包</w:t>
            </w:r>
          </w:p>
        </w:tc>
      </w:tr>
    </w:tbl>
    <w:p w14:paraId="4724CFE5">
      <w:pPr>
        <w:rPr>
          <w:rFonts w:ascii="宋体" w:hAnsi="宋体"/>
          <w:color w:val="auto"/>
          <w:szCs w:val="28"/>
          <w:highlight w:val="none"/>
        </w:rPr>
      </w:pPr>
    </w:p>
    <w:p w14:paraId="6A4858C8">
      <w:pPr>
        <w:spacing w:line="560" w:lineRule="exact"/>
        <w:rPr>
          <w:rFonts w:ascii="宋体" w:hAnsi="宋体"/>
          <w:color w:val="auto"/>
          <w:sz w:val="44"/>
          <w:szCs w:val="44"/>
          <w:highlight w:val="none"/>
        </w:rPr>
      </w:pPr>
    </w:p>
    <w:p w14:paraId="7482F3A1">
      <w:pPr>
        <w:spacing w:line="560" w:lineRule="exact"/>
        <w:rPr>
          <w:rFonts w:ascii="宋体" w:hAnsi="宋体"/>
          <w:color w:val="auto"/>
          <w:sz w:val="44"/>
          <w:szCs w:val="44"/>
          <w:highlight w:val="none"/>
        </w:rPr>
        <w:sectPr>
          <w:headerReference r:id="rId10" w:type="default"/>
          <w:footerReference r:id="rId11" w:type="default"/>
          <w:pgSz w:w="11906" w:h="16838"/>
          <w:pgMar w:top="1440" w:right="1077" w:bottom="1440" w:left="1077" w:header="851" w:footer="992" w:gutter="0"/>
          <w:cols w:space="720" w:num="1"/>
          <w:docGrid w:type="lines" w:linePitch="312" w:charSpace="0"/>
        </w:sectPr>
      </w:pPr>
    </w:p>
    <w:p w14:paraId="5EC954CF">
      <w:pPr>
        <w:pStyle w:val="5"/>
        <w:ind w:firstLine="643"/>
        <w:rPr>
          <w:color w:val="auto"/>
          <w:highlight w:val="none"/>
        </w:rPr>
      </w:pPr>
      <w:r>
        <w:rPr>
          <w:rFonts w:hint="eastAsia"/>
          <w:color w:val="auto"/>
          <w:highlight w:val="none"/>
        </w:rPr>
        <w:t>一、说明</w:t>
      </w:r>
    </w:p>
    <w:p w14:paraId="6CC763A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供应商应接受本竞争谈判文件关于电子招投标各项规定。</w:t>
      </w:r>
    </w:p>
    <w:p w14:paraId="38464745">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1.适用范围</w:t>
      </w:r>
    </w:p>
    <w:p w14:paraId="7B2900F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1.1 本竞争谈判文件仅适用于本次采购公告中所涉及的项目和内容。</w:t>
      </w:r>
    </w:p>
    <w:p w14:paraId="6F183C2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1.2 本竞争谈判文件的解释权为</w:t>
      </w:r>
      <w:r>
        <w:rPr>
          <w:rFonts w:hint="eastAsia" w:ascii="仿宋_GB2312" w:hAnsi="宋体" w:eastAsia="仿宋_GB2312"/>
          <w:color w:val="auto"/>
          <w:sz w:val="28"/>
          <w:szCs w:val="28"/>
          <w:highlight w:val="none"/>
          <w:lang w:eastAsia="zh-CN"/>
        </w:rPr>
        <w:t>威海市嘉鑫工程检测鉴定有限公司</w:t>
      </w:r>
      <w:r>
        <w:rPr>
          <w:rFonts w:hint="eastAsia" w:ascii="仿宋_GB2312" w:hAnsi="仿宋" w:eastAsia="仿宋_GB2312" w:cs="宋体"/>
          <w:color w:val="auto"/>
          <w:sz w:val="28"/>
          <w:szCs w:val="28"/>
          <w:highlight w:val="none"/>
        </w:rPr>
        <w:t>，以书面解释为准。</w:t>
      </w:r>
    </w:p>
    <w:p w14:paraId="0FC8BEC0">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1.3本竞争谈判文件未做须知明示，而又有相关法律、法规规定的，从其规定。</w:t>
      </w:r>
    </w:p>
    <w:p w14:paraId="234A74BD">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2.采购人、采购代理机构及供应商</w:t>
      </w:r>
    </w:p>
    <w:p w14:paraId="7A6D37D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2.1采购人：本项目的采购人见</w:t>
      </w:r>
      <w:r>
        <w:rPr>
          <w:rFonts w:hint="eastAsia"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w:t>
      </w:r>
    </w:p>
    <w:p w14:paraId="4B045AB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2.2采购代理机构：是指采购代理机构或从事采购代理业务的社会中介机构。本项目的采购代理机构见</w:t>
      </w:r>
      <w:r>
        <w:rPr>
          <w:rFonts w:hint="eastAsia"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w:t>
      </w:r>
    </w:p>
    <w:p w14:paraId="01192B6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2.3供应商</w:t>
      </w:r>
      <w:r>
        <w:rPr>
          <w:rFonts w:ascii="仿宋_GB2312" w:hAnsi="仿宋" w:eastAsia="仿宋_GB2312" w:cs="宋体"/>
          <w:color w:val="auto"/>
          <w:sz w:val="28"/>
          <w:szCs w:val="28"/>
          <w:highlight w:val="none"/>
        </w:rPr>
        <w:t>：是指向采购人提供货物</w:t>
      </w:r>
      <w:r>
        <w:rPr>
          <w:rFonts w:hint="eastAsia" w:ascii="仿宋_GB2312" w:hAnsi="仿宋" w:eastAsia="仿宋_GB2312" w:cs="宋体"/>
          <w:color w:val="auto"/>
          <w:sz w:val="28"/>
          <w:szCs w:val="28"/>
          <w:highlight w:val="none"/>
        </w:rPr>
        <w:t>及伴随的</w:t>
      </w:r>
      <w:r>
        <w:rPr>
          <w:rFonts w:ascii="仿宋_GB2312" w:hAnsi="仿宋" w:eastAsia="仿宋_GB2312" w:cs="宋体"/>
          <w:color w:val="auto"/>
          <w:sz w:val="28"/>
          <w:szCs w:val="28"/>
          <w:highlight w:val="none"/>
        </w:rPr>
        <w:t>服务的法人、其他组织或者自然人。</w:t>
      </w:r>
      <w:r>
        <w:rPr>
          <w:rFonts w:hint="eastAsia" w:ascii="仿宋_GB2312" w:hAnsi="仿宋" w:eastAsia="仿宋_GB2312" w:cs="宋体"/>
          <w:color w:val="auto"/>
          <w:sz w:val="28"/>
          <w:szCs w:val="28"/>
          <w:highlight w:val="none"/>
        </w:rPr>
        <w:t>潜在</w:t>
      </w:r>
      <w:r>
        <w:rPr>
          <w:rFonts w:ascii="仿宋_GB2312" w:hAnsi="仿宋" w:eastAsia="仿宋_GB2312" w:cs="宋体"/>
          <w:color w:val="auto"/>
          <w:sz w:val="28"/>
          <w:szCs w:val="28"/>
          <w:highlight w:val="none"/>
        </w:rPr>
        <w:t>供应商：是指</w:t>
      </w:r>
      <w:r>
        <w:rPr>
          <w:rFonts w:hint="eastAsia" w:ascii="仿宋_GB2312" w:hAnsi="仿宋" w:eastAsia="仿宋_GB2312" w:cs="宋体"/>
          <w:color w:val="auto"/>
          <w:sz w:val="28"/>
          <w:szCs w:val="28"/>
          <w:highlight w:val="none"/>
        </w:rPr>
        <w:t>响应招标</w:t>
      </w:r>
      <w:r>
        <w:rPr>
          <w:rFonts w:ascii="仿宋_GB2312" w:hAnsi="仿宋" w:eastAsia="仿宋_GB2312" w:cs="宋体"/>
          <w:color w:val="auto"/>
          <w:sz w:val="28"/>
          <w:szCs w:val="28"/>
          <w:highlight w:val="none"/>
        </w:rPr>
        <w:t>、参加投标竞争的法人、其他组织或者自然人</w:t>
      </w:r>
      <w:r>
        <w:rPr>
          <w:rFonts w:hint="eastAsia" w:ascii="仿宋_GB2312" w:hAnsi="仿宋" w:eastAsia="仿宋_GB2312" w:cs="宋体"/>
          <w:color w:val="auto"/>
          <w:sz w:val="28"/>
          <w:szCs w:val="28"/>
          <w:highlight w:val="none"/>
        </w:rPr>
        <w:t>，以采购文件规定</w:t>
      </w:r>
      <w:r>
        <w:rPr>
          <w:rFonts w:ascii="仿宋_GB2312" w:hAnsi="仿宋" w:eastAsia="仿宋_GB2312" w:cs="宋体"/>
          <w:color w:val="auto"/>
          <w:sz w:val="28"/>
          <w:szCs w:val="28"/>
          <w:highlight w:val="none"/>
        </w:rPr>
        <w:t>的方式</w:t>
      </w:r>
      <w:r>
        <w:rPr>
          <w:rFonts w:hint="eastAsia" w:ascii="仿宋_GB2312" w:hAnsi="仿宋" w:eastAsia="仿宋_GB2312" w:cs="宋体"/>
          <w:color w:val="auto"/>
          <w:sz w:val="28"/>
          <w:szCs w:val="28"/>
          <w:highlight w:val="none"/>
        </w:rPr>
        <w:t>获取本项目</w:t>
      </w:r>
      <w:r>
        <w:rPr>
          <w:rFonts w:ascii="仿宋_GB2312" w:hAnsi="仿宋" w:eastAsia="仿宋_GB2312" w:cs="宋体"/>
          <w:color w:val="auto"/>
          <w:sz w:val="28"/>
          <w:szCs w:val="28"/>
          <w:highlight w:val="none"/>
        </w:rPr>
        <w:t>采购文件的法人、其他组织或者自然人。</w:t>
      </w:r>
    </w:p>
    <w:p w14:paraId="3DA39B4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2.4货物，是指供应商按采购文件要求，向采购人提供全新的、未使用过的各种形态和种类的物品，包括原材料、燃料、设备、产品等。</w:t>
      </w:r>
    </w:p>
    <w:p w14:paraId="488828B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2.5服务，是指供应商按采购文件要求，完成规定的货物供货过程中须承担的制造、运输、吊拉、安装、调试、技术协助、培训及其他各项义务。</w:t>
      </w:r>
    </w:p>
    <w:p w14:paraId="2A8DDA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2.6单位负责人为同一人或者存在直接控股、管理关系的不同供应商，不得参加同一合同项下的采购活动，否则其相关报价均将被认定为</w:t>
      </w:r>
      <w:r>
        <w:rPr>
          <w:rFonts w:hint="eastAsia" w:ascii="仿宋_GB2312" w:hAnsi="仿宋" w:eastAsia="仿宋_GB2312" w:cs="宋体"/>
          <w:b/>
          <w:bCs/>
          <w:color w:val="auto"/>
          <w:sz w:val="28"/>
          <w:szCs w:val="28"/>
          <w:highlight w:val="none"/>
        </w:rPr>
        <w:t>无效</w:t>
      </w:r>
      <w:r>
        <w:rPr>
          <w:rFonts w:hint="eastAsia" w:ascii="仿宋_GB2312" w:hAnsi="仿宋" w:eastAsia="仿宋_GB2312" w:cs="宋体"/>
          <w:color w:val="auto"/>
          <w:sz w:val="28"/>
          <w:szCs w:val="28"/>
          <w:highlight w:val="none"/>
        </w:rPr>
        <w:t>。</w:t>
      </w:r>
    </w:p>
    <w:p w14:paraId="1F15958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2.7供应商在响应过程中不得向采购人提供或给予影响其正常决策行为的任何有价值物品或服务。</w:t>
      </w:r>
    </w:p>
    <w:p w14:paraId="1A15986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2.8供应商须对本项目指定一个项目负责人，对本项目所有事宜全程负责。未经采购人同意中途不得更换项目负责人</w:t>
      </w:r>
    </w:p>
    <w:p w14:paraId="4983C09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3.资金来源</w:t>
      </w:r>
    </w:p>
    <w:p w14:paraId="5E813F2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w:t>
      </w: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本项目的采购人已获得足以支付本次采购后所签订的合同项下的资金。</w:t>
      </w:r>
    </w:p>
    <w:p w14:paraId="1F604EC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3.2项目预算金额和分项或分包最高限价见</w:t>
      </w:r>
      <w:r>
        <w:rPr>
          <w:rFonts w:hint="eastAsia"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w:t>
      </w:r>
    </w:p>
    <w:p w14:paraId="4CBBD89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3.3供应商报价超过采购文件规定的预算金额或者分项、分包最高限价的，其报价将被认定为</w:t>
      </w:r>
      <w:r>
        <w:rPr>
          <w:rFonts w:hint="eastAsia" w:ascii="仿宋_GB2312" w:hAnsi="仿宋" w:eastAsia="仿宋_GB2312" w:cs="宋体"/>
          <w:b/>
          <w:color w:val="auto"/>
          <w:sz w:val="28"/>
          <w:szCs w:val="28"/>
          <w:highlight w:val="none"/>
        </w:rPr>
        <w:t>无效</w:t>
      </w:r>
      <w:r>
        <w:rPr>
          <w:rFonts w:ascii="仿宋_GB2312" w:hAnsi="仿宋" w:eastAsia="仿宋_GB2312" w:cs="宋体"/>
          <w:color w:val="auto"/>
          <w:sz w:val="28"/>
          <w:szCs w:val="28"/>
          <w:highlight w:val="none"/>
        </w:rPr>
        <w:t>。</w:t>
      </w:r>
    </w:p>
    <w:p w14:paraId="5D7071E4">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4.相关要求</w:t>
      </w:r>
    </w:p>
    <w:p w14:paraId="3DCE26A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4.1 供应商应承担所有与准备和参加报价的全部费用。不论电子响应结果如何，采购人和采购代理机构均无义务和责任承担这些费用。</w:t>
      </w:r>
    </w:p>
    <w:p w14:paraId="28AD7A9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4.2 本项目若涉及采购货物，则合格的货物及相应服务应满足以下要求：</w:t>
      </w:r>
    </w:p>
    <w:p w14:paraId="22447C8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4.2.1 必须是全新、未使用过的原装合格正品（包括零部件），如安装或配置了软件的，须为正版软件。</w:t>
      </w:r>
    </w:p>
    <w:p w14:paraId="3869E4B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4.2.2 国产的货物及其有关服务必须符合中华人民共和国的设计和制造生产标准或行业标准。竞争谈判公告有其他要求的，亦应符合其要求。</w:t>
      </w:r>
    </w:p>
    <w:p w14:paraId="5178179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4.2.3进口货物及其有关服务必须符合原产地和/或中华人民共和国的设计和制造生产标准或行业标准。进口的货物必须具有合法的进口手续和途径，并通过中华人民共和国商检部门检验。竞争谈判公告有其他要求的，亦应符合其要求。</w:t>
      </w:r>
    </w:p>
    <w:p w14:paraId="072F121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4.2.4 供应商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供应商应承担全部责任。</w:t>
      </w:r>
    </w:p>
    <w:p w14:paraId="33D6DD32">
      <w:pPr>
        <w:snapToGrid w:val="0"/>
        <w:spacing w:line="560" w:lineRule="exact"/>
        <w:ind w:firstLine="565" w:firstLineChars="201"/>
        <w:rPr>
          <w:rFonts w:ascii="仿宋_GB2312" w:hAnsi="宋体" w:eastAsia="仿宋_GB2312"/>
          <w:color w:val="auto"/>
          <w:sz w:val="28"/>
          <w:szCs w:val="28"/>
          <w:highlight w:val="none"/>
        </w:rPr>
      </w:pPr>
      <w:r>
        <w:rPr>
          <w:rFonts w:hint="eastAsia" w:ascii="仿宋_GB2312" w:hAnsi="宋体" w:eastAsia="仿宋_GB2312"/>
          <w:b/>
          <w:color w:val="auto"/>
          <w:sz w:val="28"/>
          <w:szCs w:val="28"/>
          <w:highlight w:val="none"/>
        </w:rPr>
        <w:t>4.3供应商应通过威海市公共资源交易网（乳山分中心）登录威海市国有企业阳光采购电子化服务平台获取采购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54F087E7">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5.关于同一品牌</w:t>
      </w:r>
    </w:p>
    <w:p w14:paraId="2A9A805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5.1采用综合评分法的采购项目，通过资格审查、符合性审查的不同供应商参加同一合同项下报价的，按一家供应商计算，评审后得分最高的同品牌供应商获得成交推荐资格；评审得分相同的，技术部分得分高的供应商获得成交推荐资格；综合得分、技术部分得分都相同的，以报价低者获得成交推荐资格，其他同品牌供应商不作为成交候选人。</w:t>
      </w:r>
    </w:p>
    <w:p w14:paraId="043B224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5.2非单一产品采购的项目，多家供应商提供的核心产品品牌相同的，按前款规定处理。</w:t>
      </w:r>
    </w:p>
    <w:p w14:paraId="6B9F34B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6.电子报价特别提示</w:t>
      </w:r>
    </w:p>
    <w:p w14:paraId="55B552E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本项目供应商必须登录威海市公共资源交易网（乳山分中心）（</w:t>
      </w:r>
      <w:r>
        <w:rPr>
          <w:rFonts w:ascii="仿宋_GB2312" w:hAnsi="仿宋" w:eastAsia="仿宋_GB2312" w:cs="宋体"/>
          <w:color w:val="auto"/>
          <w:sz w:val="28"/>
          <w:szCs w:val="28"/>
          <w:highlight w:val="none"/>
        </w:rPr>
        <w:t>http://ggzyjy.weihai.cn/</w:t>
      </w:r>
      <w:r>
        <w:rPr>
          <w:rFonts w:hint="eastAsia" w:ascii="仿宋_GB2312" w:hAnsi="仿宋" w:eastAsia="仿宋_GB2312" w:cs="宋体"/>
          <w:color w:val="auto"/>
          <w:sz w:val="28"/>
          <w:szCs w:val="28"/>
          <w:highlight w:val="none"/>
        </w:rPr>
        <w:t>rushan</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点击右侧【交易服务一网通办】按钮，进入“威海市交易服务一网通办系统”进行注册，取得用户名和密码（已经完成注册的供应商无须重复注册）；首次注册供应商应及时在威海市公共资源交易网（乳山分中心）申请办理安全证书（CA锁）及电子签章。</w:t>
      </w:r>
    </w:p>
    <w:p w14:paraId="283A314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本项目必须</w:t>
      </w:r>
      <w:r>
        <w:rPr>
          <w:rFonts w:hint="eastAsia" w:ascii="仿宋_GB2312" w:hAnsi="仿宋" w:eastAsia="仿宋_GB2312" w:cs="宋体"/>
          <w:b/>
          <w:color w:val="auto"/>
          <w:sz w:val="28"/>
          <w:szCs w:val="28"/>
          <w:highlight w:val="none"/>
        </w:rPr>
        <w:t>网上递交响应文件</w:t>
      </w:r>
      <w:r>
        <w:rPr>
          <w:rFonts w:hint="eastAsia" w:ascii="仿宋_GB2312" w:hAnsi="仿宋" w:eastAsia="仿宋_GB2312" w:cs="宋体"/>
          <w:color w:val="auto"/>
          <w:sz w:val="28"/>
          <w:szCs w:val="28"/>
          <w:highlight w:val="none"/>
        </w:rPr>
        <w:t>，参与本项目报价的供应商应利用办理好的CA锁登录威海市国有企业阳光采购电子化服务平台获取采购文件、文件下载和网上报价，且安全证书（CA锁）在有效期内。</w:t>
      </w:r>
    </w:p>
    <w:p w14:paraId="5B811D9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 xml:space="preserve">网上报价时，登录交易平台的电脑须满足以下环境要求：（1）操作系统：Windows 7 </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 xml:space="preserve"> Windows </w:t>
      </w:r>
      <w:r>
        <w:rPr>
          <w:rFonts w:ascii="仿宋_GB2312" w:hAnsi="仿宋" w:eastAsia="仿宋_GB2312" w:cs="宋体"/>
          <w:color w:val="auto"/>
          <w:sz w:val="28"/>
          <w:szCs w:val="28"/>
          <w:highlight w:val="none"/>
        </w:rPr>
        <w:t>10</w:t>
      </w:r>
      <w:r>
        <w:rPr>
          <w:rFonts w:hint="eastAsia" w:ascii="仿宋_GB2312" w:hAnsi="仿宋" w:eastAsia="仿宋_GB2312" w:cs="宋体"/>
          <w:color w:val="auto"/>
          <w:sz w:val="28"/>
          <w:szCs w:val="28"/>
          <w:highlight w:val="none"/>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highlight w:val="none"/>
        </w:rPr>
        <w:t>威海市公共资源交易网）办事指南栏目-国企采购专区-《威海国企阳光采购电子化服务平台供应商操作视频教程》，网址:</w:t>
      </w:r>
      <w:r>
        <w:rPr>
          <w:rFonts w:ascii="仿宋_GB2312" w:hAnsi="宋体" w:eastAsia="仿宋_GB2312"/>
          <w:color w:val="auto"/>
          <w:sz w:val="28"/>
          <w:szCs w:val="28"/>
          <w:highlight w:val="none"/>
        </w:rPr>
        <w:t xml:space="preserve"> </w:t>
      </w:r>
      <w:r>
        <w:rPr>
          <w:rFonts w:hint="eastAsia" w:ascii="仿宋_GB2312" w:hAnsi="宋体" w:eastAsia="仿宋_GB2312"/>
          <w:color w:val="auto"/>
          <w:sz w:val="28"/>
          <w:szCs w:val="28"/>
          <w:highlight w:val="none"/>
        </w:rPr>
        <w:t>http://ggzyjy.weihai.cn/bszn/005005/20200902/98115c60-a132-4b41-b609-6b7c08ad502b.html、响应文件制作及系统使用咨询电话：18769124292；0631-5307028；平台QQ服务群：1146578397。</w:t>
      </w:r>
    </w:p>
    <w:p w14:paraId="03596841">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180127C9">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7F5FF6E6">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报价文件中的相关扫描件应保证清晰度，无法辨认的评审时受到影响的，由供应商承担相应责任。</w:t>
      </w:r>
    </w:p>
    <w:p w14:paraId="1F8FCE3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供应商应充分考虑到网上报价会发生的故障和风险。对发生的任何故障和风险造成供应商报价内容不一致或利益受损或报价失败的，采购人及采购代理机构不承担任何责任。</w:t>
      </w:r>
    </w:p>
    <w:p w14:paraId="6AE5F25C">
      <w:pPr>
        <w:pStyle w:val="5"/>
        <w:ind w:firstLine="643"/>
        <w:rPr>
          <w:color w:val="auto"/>
          <w:highlight w:val="none"/>
        </w:rPr>
      </w:pPr>
      <w:r>
        <w:rPr>
          <w:rFonts w:hint="eastAsia"/>
          <w:color w:val="auto"/>
          <w:highlight w:val="none"/>
        </w:rPr>
        <w:t>二、竞争谈判文件</w:t>
      </w:r>
    </w:p>
    <w:p w14:paraId="128F94F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7.竞争谈判文件的构成</w:t>
      </w:r>
    </w:p>
    <w:p w14:paraId="295327D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由各包段本文件（</w:t>
      </w:r>
      <w:r>
        <w:rPr>
          <w:rFonts w:ascii="仿宋_GB2312" w:hAnsi="宋体" w:eastAsia="仿宋_GB2312"/>
          <w:color w:val="auto"/>
          <w:sz w:val="28"/>
          <w:szCs w:val="28"/>
          <w:highlight w:val="none"/>
        </w:rPr>
        <w:t>WORD</w:t>
      </w:r>
      <w:r>
        <w:rPr>
          <w:rFonts w:hint="eastAsia" w:ascii="仿宋_GB2312" w:hAnsi="宋体" w:eastAsia="仿宋_GB2312"/>
          <w:color w:val="auto"/>
          <w:sz w:val="28"/>
          <w:szCs w:val="28"/>
          <w:highlight w:val="none"/>
        </w:rPr>
        <w:t>格式）和各包段的数据文件（</w:t>
      </w:r>
      <w:r>
        <w:rPr>
          <w:rFonts w:ascii="仿宋_GB2312" w:hAnsi="宋体" w:eastAsia="仿宋_GB2312"/>
          <w:color w:val="auto"/>
          <w:sz w:val="28"/>
          <w:szCs w:val="28"/>
          <w:highlight w:val="none"/>
        </w:rPr>
        <w:t>EXCEL</w:t>
      </w:r>
      <w:r>
        <w:rPr>
          <w:rFonts w:hint="eastAsia" w:ascii="仿宋_GB2312" w:hAnsi="宋体" w:eastAsia="仿宋_GB2312"/>
          <w:color w:val="auto"/>
          <w:sz w:val="28"/>
          <w:szCs w:val="28"/>
          <w:highlight w:val="none"/>
        </w:rPr>
        <w:t>格式）构成，采用压缩包电子版文件格式提供。</w:t>
      </w:r>
    </w:p>
    <w:p w14:paraId="762C47F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7.1 本文件（</w:t>
      </w:r>
      <w:r>
        <w:rPr>
          <w:rFonts w:ascii="仿宋_GB2312" w:hAnsi="宋体" w:eastAsia="仿宋_GB2312"/>
          <w:color w:val="auto"/>
          <w:sz w:val="28"/>
          <w:szCs w:val="28"/>
          <w:highlight w:val="none"/>
        </w:rPr>
        <w:t>WORD</w:t>
      </w:r>
      <w:r>
        <w:rPr>
          <w:rFonts w:hint="eastAsia" w:ascii="仿宋_GB2312" w:hAnsi="宋体" w:eastAsia="仿宋_GB2312"/>
          <w:color w:val="auto"/>
          <w:sz w:val="28"/>
          <w:szCs w:val="28"/>
          <w:highlight w:val="none"/>
        </w:rPr>
        <w:t>格式）由下列文件组成：</w:t>
      </w:r>
    </w:p>
    <w:p w14:paraId="1BD16E9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（1）采购公告</w:t>
      </w:r>
    </w:p>
    <w:p w14:paraId="4C8BDEE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（2）响应须知</w:t>
      </w:r>
    </w:p>
    <w:p w14:paraId="2CF26A0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（3）采购内容与要求</w:t>
      </w:r>
    </w:p>
    <w:p w14:paraId="6AD9836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（4）评审原则和方法</w:t>
      </w:r>
    </w:p>
    <w:p w14:paraId="3592D47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（5）投标（响应）文件格式</w:t>
      </w:r>
    </w:p>
    <w:p w14:paraId="5CEECA1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（6）采购合同（范本）</w:t>
      </w:r>
    </w:p>
    <w:p w14:paraId="4FCC299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（7）在采购过程中由采购人或采购代理机构发出的修正和补充文件等(如有）</w:t>
      </w:r>
    </w:p>
    <w:p w14:paraId="6664D0D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7.2 数据文件（</w:t>
      </w:r>
      <w:r>
        <w:rPr>
          <w:rFonts w:ascii="仿宋_GB2312" w:hAnsi="宋体" w:eastAsia="仿宋_GB2312"/>
          <w:color w:val="auto"/>
          <w:sz w:val="28"/>
          <w:szCs w:val="28"/>
          <w:highlight w:val="none"/>
        </w:rPr>
        <w:t>EXCEL</w:t>
      </w:r>
      <w:r>
        <w:rPr>
          <w:rFonts w:hint="eastAsia" w:ascii="仿宋_GB2312" w:hAnsi="宋体" w:eastAsia="仿宋_GB2312"/>
          <w:color w:val="auto"/>
          <w:sz w:val="28"/>
          <w:szCs w:val="28"/>
          <w:highlight w:val="none"/>
        </w:rPr>
        <w:t>格式）由下列文件组成：</w:t>
      </w:r>
    </w:p>
    <w:p w14:paraId="44AC7E0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（1）封面</w:t>
      </w:r>
    </w:p>
    <w:p w14:paraId="286CB08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（2）投标报价表</w:t>
      </w:r>
    </w:p>
    <w:p w14:paraId="6CBD3C4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（3）需求响应表（如有）</w:t>
      </w:r>
    </w:p>
    <w:p w14:paraId="32BD643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（4）评审对照表</w:t>
      </w:r>
    </w:p>
    <w:p w14:paraId="26B9E99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（5）评分对照表</w:t>
      </w:r>
    </w:p>
    <w:p w14:paraId="454349BB">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.3供应商应认真阅读采购文件中所有的事项、格式、条款和技术规范、参数及要求等，如果供应商没有按照采购文件要求提交全部资料，或者供应商没有对采购文件在各方面都做出实质性响应，</w:t>
      </w:r>
      <w:r>
        <w:rPr>
          <w:rFonts w:hint="eastAsia" w:ascii="仿宋_GB2312" w:hAnsi="仿宋" w:eastAsia="仿宋_GB2312" w:cs="宋体"/>
          <w:b/>
          <w:color w:val="auto"/>
          <w:sz w:val="28"/>
          <w:szCs w:val="28"/>
          <w:highlight w:val="none"/>
        </w:rPr>
        <w:t>其风险应由供应商自行承担并根据有关政策和条款规定</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其响应有可能被拒绝，或者被认定为</w:t>
      </w:r>
      <w:r>
        <w:rPr>
          <w:rFonts w:hint="eastAsia" w:ascii="仿宋_GB2312" w:hAnsi="宋体" w:eastAsia="仿宋_GB2312"/>
          <w:b/>
          <w:color w:val="auto"/>
          <w:sz w:val="28"/>
          <w:szCs w:val="28"/>
          <w:highlight w:val="none"/>
        </w:rPr>
        <w:t>无效</w:t>
      </w:r>
      <w:r>
        <w:rPr>
          <w:rFonts w:hint="eastAsia" w:ascii="仿宋_GB2312" w:hAnsi="仿宋" w:eastAsia="仿宋_GB2312" w:cs="宋体"/>
          <w:b/>
          <w:color w:val="auto"/>
          <w:sz w:val="28"/>
          <w:szCs w:val="28"/>
          <w:highlight w:val="none"/>
        </w:rPr>
        <w:t>投标（响应）</w:t>
      </w:r>
      <w:r>
        <w:rPr>
          <w:rFonts w:hint="eastAsia" w:ascii="仿宋_GB2312" w:hAnsi="宋体" w:eastAsia="仿宋_GB2312"/>
          <w:color w:val="auto"/>
          <w:sz w:val="28"/>
          <w:szCs w:val="28"/>
          <w:highlight w:val="none"/>
        </w:rPr>
        <w:t>。</w:t>
      </w:r>
    </w:p>
    <w:p w14:paraId="417058C9">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4采购文件</w:t>
      </w:r>
      <w:r>
        <w:rPr>
          <w:rFonts w:ascii="仿宋_GB2312" w:hAnsi="仿宋" w:eastAsia="仿宋_GB2312" w:cs="宋体"/>
          <w:color w:val="auto"/>
          <w:sz w:val="28"/>
          <w:szCs w:val="28"/>
          <w:highlight w:val="none"/>
        </w:rPr>
        <w:t>中有不一致的，有澄清的部分</w:t>
      </w:r>
      <w:r>
        <w:rPr>
          <w:rFonts w:hint="eastAsia"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rPr>
        <w:t>最终的澄清更正内容为准</w:t>
      </w:r>
      <w:r>
        <w:rPr>
          <w:rFonts w:hint="eastAsia" w:ascii="仿宋_GB2312" w:hAnsi="仿宋" w:eastAsia="仿宋_GB2312" w:cs="宋体"/>
          <w:color w:val="auto"/>
          <w:sz w:val="28"/>
          <w:szCs w:val="28"/>
          <w:highlight w:val="none"/>
        </w:rPr>
        <w:t>；未澄清的，</w:t>
      </w:r>
      <w:r>
        <w:rPr>
          <w:rFonts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u w:val="single"/>
        </w:rPr>
        <w:t>响应须知前附表</w:t>
      </w:r>
      <w:r>
        <w:rPr>
          <w:rFonts w:ascii="仿宋_GB2312" w:hAnsi="仿宋" w:eastAsia="仿宋_GB2312" w:cs="宋体"/>
          <w:color w:val="auto"/>
          <w:sz w:val="28"/>
          <w:szCs w:val="28"/>
          <w:highlight w:val="none"/>
        </w:rPr>
        <w:t>为准</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不涉及的内容，以编排在后的描述为准。</w:t>
      </w:r>
    </w:p>
    <w:p w14:paraId="0E0AE64C">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7.5采购文件以中文编印，且以中文为准。</w:t>
      </w:r>
    </w:p>
    <w:p w14:paraId="5331ABD4">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7.6除非有特殊要求，采购文件不单独提供采购货物使用地的自然环境、气候条件、公用设施等情况，供应商被视为熟悉上述与履行合同有关的一切情况。</w:t>
      </w:r>
    </w:p>
    <w:p w14:paraId="3399C307">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7.7除采购文件中另有规定外，采购文件所使用的时间单位“天”、“日”均指日历天，且所有时刻均为北京时间。</w:t>
      </w:r>
    </w:p>
    <w:p w14:paraId="2CDBA34F">
      <w:pPr>
        <w:snapToGrid w:val="0"/>
        <w:spacing w:line="560" w:lineRule="exact"/>
        <w:ind w:firstLine="562" w:firstLineChars="201"/>
        <w:rPr>
          <w:rFonts w:ascii="仿宋_GB2312" w:hAnsi="宋体" w:eastAsia="仿宋_GB2312"/>
          <w:color w:val="auto"/>
          <w:sz w:val="28"/>
          <w:szCs w:val="28"/>
          <w:highlight w:val="none"/>
        </w:rPr>
      </w:pPr>
      <w:r>
        <w:rPr>
          <w:rFonts w:ascii="仿宋_GB2312" w:hAnsi="仿宋" w:eastAsia="仿宋_GB2312" w:cs="宋体"/>
          <w:color w:val="auto"/>
          <w:sz w:val="28"/>
          <w:szCs w:val="28"/>
          <w:highlight w:val="none"/>
        </w:rPr>
        <w:t>7.8参与本次采购活动的各方应对采购文件和响应文件中的商业和技术等秘密保密，违者应对由此造成的后果承担法律责任。</w:t>
      </w:r>
    </w:p>
    <w:p w14:paraId="0114D748">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8.竞争谈判文件的澄清</w:t>
      </w:r>
    </w:p>
    <w:p w14:paraId="1793A6D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8.1供应商在收到竞争谈判文件后，对竞争谈判文件若有任何疑问或要求澄清竞争谈判文件的，应在有效期内按“</w:t>
      </w:r>
      <w:r>
        <w:rPr>
          <w:rFonts w:hint="eastAsia" w:ascii="仿宋_GB2312" w:hAnsi="宋体" w:eastAsia="仿宋_GB2312"/>
          <w:color w:val="auto"/>
          <w:sz w:val="28"/>
          <w:szCs w:val="28"/>
          <w:highlight w:val="none"/>
          <w:u w:val="single"/>
        </w:rPr>
        <w:t>响应须知前附表</w:t>
      </w:r>
      <w:r>
        <w:rPr>
          <w:rFonts w:hint="eastAsia" w:ascii="仿宋_GB2312" w:hAnsi="宋体" w:eastAsia="仿宋_GB2312"/>
          <w:color w:val="auto"/>
          <w:sz w:val="28"/>
          <w:szCs w:val="28"/>
          <w:highlight w:val="none"/>
        </w:rPr>
        <w:t>”第四项向采购代理机构提出，必要时采购代理机构将协助采购人组织所有获取采购文件的供应商举行答疑会，采购代理机构根据需要主动对竞争谈判文件进行必要的澄清或根据供应商的要求对竞争谈判文件做出澄清，都将以原网站公开发布形式（包括电子交易系统推送）答复或发送给所有供应商。澄清文件作为竞争谈判文件的组成部分，对供应商起约束作用。</w:t>
      </w:r>
    </w:p>
    <w:p w14:paraId="167577F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8.2供应商在规定的时间内未对竞争谈判文件澄清或提出疑问的，采购代理机构将视其为接受竞争谈判文件的所有条款，对竞争谈判文件没有异议，此后也不再受理对竞争谈判文件的相关质疑。</w:t>
      </w:r>
    </w:p>
    <w:p w14:paraId="3387A0CC">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9.竞争谈判文件的修改</w:t>
      </w:r>
    </w:p>
    <w:p w14:paraId="7530896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9.</w:t>
      </w:r>
      <w:r>
        <w:rPr>
          <w:rFonts w:ascii="仿宋_GB2312" w:hAnsi="宋体" w:eastAsia="仿宋_GB2312"/>
          <w:color w:val="auto"/>
          <w:sz w:val="28"/>
          <w:szCs w:val="28"/>
          <w:highlight w:val="none"/>
        </w:rPr>
        <w:t>1</w:t>
      </w:r>
      <w:r>
        <w:rPr>
          <w:rFonts w:hint="eastAsia" w:ascii="仿宋_GB2312" w:hAnsi="宋体" w:eastAsia="仿宋_GB2312"/>
          <w:color w:val="auto"/>
          <w:sz w:val="28"/>
          <w:szCs w:val="28"/>
          <w:highlight w:val="none"/>
        </w:rPr>
        <w:t xml:space="preserve"> 在响应截止时间5日以前，无论出于何种原因，采购人或采购代理机构可主动或在解答供应商提出的疑问时对竞争谈判文件进行修改。</w:t>
      </w:r>
    </w:p>
    <w:p w14:paraId="62156F4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9.2 修改后的内容是竞争谈判文件的组成部分，采购人、采购代理机构将会通过 “威海市公共资源交易网（乳山分中心）”，以更正公告形式（电子交易系统发送更正提醒通知）一并告知所有潜在供应商，并对潜在供应商具有约束力。潜在供应商在收到上述通知后，应立即以书面形式向采购代理机构或采购人确认，如在24小时内无书面回函则视为同意修改内容，并有义务履行相应的义务。</w:t>
      </w:r>
      <w:r>
        <w:rPr>
          <w:rFonts w:hint="eastAsia" w:ascii="仿宋_GB2312" w:hAnsi="仿宋" w:eastAsia="仿宋_GB2312" w:cs="宋体"/>
          <w:color w:val="auto"/>
          <w:sz w:val="28"/>
          <w:szCs w:val="28"/>
          <w:highlight w:val="none"/>
        </w:rPr>
        <w:t>因潜在供应商原因或通讯线路故障导致逾期送达或无法送达，采购代理机构不因此承担任何责任，有关的采购活动可以继续有效进行。</w:t>
      </w:r>
    </w:p>
    <w:p w14:paraId="6B5AFA7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9.3 澄清或者修改的内容可能影响响应文件编制的，采购人或采购代理机构将在响应截止时间5日前，通过原网站发布公告的形式（电子交易系统内发送更正提醒通知）通知所有获取竞争谈判文件的潜在供应商（采购文件变更的，供应商必须从电子交易系统中重新下载采购文件，并在新下载文件的基础上编制响应文件）；不足5日的，采购人或者采购代理机构将顺延提交响应文件的截止时间。</w:t>
      </w:r>
    </w:p>
    <w:p w14:paraId="1C46A05D">
      <w:pPr>
        <w:pStyle w:val="5"/>
        <w:ind w:firstLine="643"/>
        <w:rPr>
          <w:color w:val="auto"/>
          <w:highlight w:val="none"/>
        </w:rPr>
      </w:pPr>
      <w:r>
        <w:rPr>
          <w:rFonts w:hint="eastAsia"/>
          <w:color w:val="auto"/>
          <w:highlight w:val="none"/>
        </w:rPr>
        <w:t>三、响应文件的编制</w:t>
      </w:r>
    </w:p>
    <w:p w14:paraId="5C82C50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须提交两阶段响应文件，分别包括第一阶段响应文件、第二阶段响应文件（采购人实质性变动采购要求的情况下编制）。第一阶段提交首次响应文件，文件由资质、技术及商务和报价四部分组成。第二阶段按照竞争谈判文件的变动情况和评审小组的要求重新提交响应文件，并由其法定代表人（签章）或被授权人签字或者加盖公章。由被授权人签字的，应当附法定代表人授权书。供应商为自然人的，应当由本人签字并附身份证明。</w:t>
      </w:r>
    </w:p>
    <w:p w14:paraId="1FCEAFE9">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10.响应文件编制要求</w:t>
      </w:r>
    </w:p>
    <w:p w14:paraId="573F40D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10.1供应商编写的文件和往来信件应以简体中文书写。如果响应文件或与响应有关的其它文件、信件及来往函电以其它语言书写的，供应商应将其译成中文，如未翻译该文件为无效文件。</w:t>
      </w:r>
    </w:p>
    <w:p w14:paraId="30A7E8C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10.2响应文件中使用的计量单位应使用中华人民共和国法定计量单位。</w:t>
      </w:r>
    </w:p>
    <w:p w14:paraId="3499DE4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10.3供应商必须保证响应文件所提供的全部资料真实可靠，并接受采购人或采购代理机构对其中任何资料进一步核实的要求。如果因为响应文件填报的内容不详，或没有提供竞争谈判中所要求的全部资料及数据，或提供虚假文件，由此造成的后果由供应商自负。</w:t>
      </w:r>
    </w:p>
    <w:p w14:paraId="0DF033C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10.4供应商应按竞争谈判文件中提供的响应文件格式（详见第五章 投标（响应）文件格式）按包段编写响应文件，并使用A4规格编制。响应文件应编写目录，具有结构清晰的文档结构图（打开word视图中的“文档结构图”后能看到详细章节），页码连续。</w:t>
      </w:r>
    </w:p>
    <w:p w14:paraId="52FF8D7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10.5供应商按照竞争谈判要求所提供的各种证明文件必须真实且合法有效,经扫描后粘贴到响应文件的相关页上，确保清晰度可辨认，评审时由于无法辨认所产生的后果，由供应商自行承担。</w:t>
      </w:r>
    </w:p>
    <w:p w14:paraId="30E4150F">
      <w:pPr>
        <w:snapToGrid w:val="0"/>
        <w:spacing w:line="560" w:lineRule="exact"/>
        <w:ind w:firstLine="562" w:firstLineChars="201"/>
        <w:rPr>
          <w:rFonts w:ascii="仿宋_GB2312" w:hAnsi="宋体" w:eastAsia="仿宋_GB2312"/>
          <w:b/>
          <w:color w:val="auto"/>
          <w:sz w:val="28"/>
          <w:szCs w:val="28"/>
          <w:highlight w:val="none"/>
        </w:rPr>
      </w:pPr>
      <w:r>
        <w:rPr>
          <w:rFonts w:hint="eastAsia" w:ascii="仿宋_GB2312" w:hAnsi="宋体" w:eastAsia="仿宋_GB2312"/>
          <w:color w:val="auto"/>
          <w:sz w:val="28"/>
          <w:szCs w:val="28"/>
          <w:highlight w:val="none"/>
        </w:rPr>
        <w:t>10</w:t>
      </w:r>
      <w:r>
        <w:rPr>
          <w:rFonts w:hint="eastAsia" w:ascii="仿宋_GB2312" w:hAnsi="宋体" w:eastAsia="仿宋_GB2312"/>
          <w:b/>
          <w:color w:val="auto"/>
          <w:sz w:val="28"/>
          <w:szCs w:val="28"/>
          <w:highlight w:val="none"/>
        </w:rPr>
        <w:t>.6供应商应自行确保本文件的内容已充分覆盖了数据文件中《评审对照表》和《评分对照表(如有)》中的各项要求，并准确将对应的起止页码填写到数据文件《评审对照表》、《评分对照表(如有)》表格中每项后的起始页码和终止页码栏位上。对于不涉及或无法填写的评审项（评分项）（例如：报价），可在页码索引处填写1。</w:t>
      </w:r>
    </w:p>
    <w:p w14:paraId="3908A4B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10.7为了保证系统整体效率，系统对所投递的电子文件有大小的限制，因此，供应商应尽可能降低本文件的大小，小尺寸响应文件将使递交更快捷、减少差错发生几率，避免响应截止时间前未能完整上传文件。</w:t>
      </w:r>
    </w:p>
    <w:p w14:paraId="1BA39FC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10.8 响应文件具有法律效力，供应商与采购代理机构或采购人任何人的口头协议不影响响应文件的任何条款和内容。</w:t>
      </w:r>
    </w:p>
    <w:p w14:paraId="6F36527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10</w:t>
      </w:r>
      <w:r>
        <w:rPr>
          <w:rFonts w:hint="eastAsia" w:ascii="仿宋_GB2312" w:hAnsi="仿宋" w:eastAsia="仿宋_GB2312" w:cs="宋体"/>
          <w:color w:val="auto"/>
          <w:sz w:val="28"/>
          <w:szCs w:val="28"/>
          <w:highlight w:val="none"/>
        </w:rPr>
        <w:t>.9供应商应自行承担其准备和参加报价活动发生的所有费用。不论结果如何，采购人及采购代理机构在任何情况下无义务也无责任承担这些费用。</w:t>
      </w:r>
    </w:p>
    <w:p w14:paraId="120674A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10.10采购人或采购代理机构均无义务向供应商解释其成交或未成交的原因，且无论供应商是否成交，供应商所递交的响应文件均不予退还，不提供副本拷贝。</w:t>
      </w:r>
    </w:p>
    <w:p w14:paraId="1CB5E0D8">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11.数据文件编制要求</w:t>
      </w:r>
    </w:p>
    <w:p w14:paraId="087F7E7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11.1供应商须从所报项目的竞争谈判文件压缩包内对应包段目录下获取本文件（变更后的数据文件需要重新下载），必须在原文件上严格按照其中要求填写，其内部已约定好固定格式和相关内容，且带有特定的唯一性数字指纹，</w:t>
      </w:r>
      <w:r>
        <w:rPr>
          <w:rFonts w:ascii="仿宋_GB2312" w:hAnsi="仿宋" w:eastAsia="仿宋_GB2312" w:cs="宋体"/>
          <w:color w:val="auto"/>
          <w:sz w:val="28"/>
          <w:szCs w:val="28"/>
          <w:highlight w:val="none"/>
        </w:rPr>
        <w:t>必须在原表上填写，</w:t>
      </w:r>
      <w:r>
        <w:rPr>
          <w:rFonts w:hint="eastAsia" w:ascii="仿宋_GB2312" w:hAnsi="仿宋" w:eastAsia="仿宋_GB2312" w:cs="宋体"/>
          <w:color w:val="auto"/>
          <w:sz w:val="28"/>
          <w:szCs w:val="28"/>
          <w:highlight w:val="none"/>
        </w:rPr>
        <w:t>对采用非该文件基础上编制或对该文件进行任何工作表、表格行、表格列的增减</w:t>
      </w:r>
      <w:r>
        <w:rPr>
          <w:rFonts w:ascii="Calibri" w:hAnsi="Calibri" w:eastAsia="仿宋_GB2312" w:cs="宋体"/>
          <w:color w:val="auto"/>
          <w:sz w:val="28"/>
          <w:szCs w:val="28"/>
          <w:highlight w:val="none"/>
        </w:rPr>
        <w:t>、对工作表先后顺序的变动，</w:t>
      </w:r>
      <w:r>
        <w:rPr>
          <w:rFonts w:hint="eastAsia" w:ascii="仿宋_GB2312" w:hAnsi="仿宋" w:eastAsia="仿宋_GB2312" w:cs="宋体"/>
          <w:color w:val="auto"/>
          <w:sz w:val="28"/>
          <w:szCs w:val="28"/>
          <w:highlight w:val="none"/>
        </w:rPr>
        <w:t>以及对锁定区域内的数据进行更改、</w:t>
      </w:r>
      <w:r>
        <w:rPr>
          <w:rFonts w:hint="eastAsia" w:ascii="仿宋_GB2312" w:hAnsi="仿宋" w:eastAsia="仿宋_GB2312" w:cs="宋体"/>
          <w:b/>
          <w:color w:val="auto"/>
          <w:sz w:val="28"/>
          <w:szCs w:val="28"/>
          <w:highlight w:val="none"/>
        </w:rPr>
        <w:t>文件另存到其他文件</w:t>
      </w:r>
      <w:r>
        <w:rPr>
          <w:rFonts w:hint="eastAsia" w:ascii="仿宋_GB2312" w:hAnsi="仿宋" w:eastAsia="仿宋_GB2312" w:cs="宋体"/>
          <w:color w:val="auto"/>
          <w:sz w:val="28"/>
          <w:szCs w:val="28"/>
          <w:highlight w:val="none"/>
        </w:rPr>
        <w:t>等违规性操作</w:t>
      </w:r>
      <w:r>
        <w:rPr>
          <w:rFonts w:hint="eastAsia" w:ascii="仿宋_GB2312" w:hAnsi="宋体" w:eastAsia="仿宋_GB2312"/>
          <w:color w:val="auto"/>
          <w:sz w:val="28"/>
          <w:szCs w:val="28"/>
          <w:highlight w:val="none"/>
        </w:rPr>
        <w:t>，都会破坏本文件中的数字指纹，导致系统无法接收该文件使其响应失败。</w:t>
      </w:r>
    </w:p>
    <w:p w14:paraId="1E232CF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11.2供应商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宋体" w:eastAsia="仿宋_GB2312"/>
          <w:b/>
          <w:color w:val="auto"/>
          <w:sz w:val="28"/>
          <w:szCs w:val="28"/>
          <w:highlight w:val="none"/>
        </w:rPr>
        <w:t>响应失败</w:t>
      </w:r>
      <w:r>
        <w:rPr>
          <w:rFonts w:hint="eastAsia" w:ascii="仿宋_GB2312" w:hAnsi="宋体" w:eastAsia="仿宋_GB2312"/>
          <w:color w:val="auto"/>
          <w:sz w:val="28"/>
          <w:szCs w:val="28"/>
          <w:highlight w:val="none"/>
        </w:rPr>
        <w:t>。</w:t>
      </w:r>
    </w:p>
    <w:p w14:paraId="4681C1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11</w:t>
      </w:r>
      <w:r>
        <w:rPr>
          <w:rFonts w:hint="eastAsia" w:ascii="仿宋_GB2312" w:hAnsi="仿宋" w:eastAsia="仿宋_GB2312" w:cs="宋体"/>
          <w:color w:val="auto"/>
          <w:sz w:val="28"/>
          <w:szCs w:val="28"/>
          <w:highlight w:val="none"/>
        </w:rPr>
        <w:t>.3供应商在对数据文件电子签章前，应按照上述2项的要求进行认真检查、确认。因供应商自身原因所导致其报价失败的，须自行承担相关责任。</w:t>
      </w:r>
    </w:p>
    <w:p w14:paraId="7AEDD72F">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12.文件构成</w:t>
      </w:r>
    </w:p>
    <w:p w14:paraId="116531E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供应商应按不同包段分别编制响应文件，每个包段的响应文件必须包括：响应文件（pdf格式）（第一册）、数据文件（PDF格式）（第二册），以上内容缺一不可，否则为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7237CF9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12.1供应商编制的响应文件（pdf格式）（第一册）应包括但不少于下列内容：</w:t>
      </w:r>
    </w:p>
    <w:p w14:paraId="6222E26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（1）响应文件封面（格式见</w:t>
      </w:r>
      <w:r>
        <w:rPr>
          <w:rFonts w:hint="eastAsia" w:ascii="仿宋_GB2312" w:hAnsi="仿宋" w:eastAsia="仿宋_GB2312" w:cs="宋体"/>
          <w:color w:val="auto"/>
          <w:sz w:val="28"/>
          <w:szCs w:val="28"/>
          <w:highlight w:val="none"/>
        </w:rPr>
        <w:t>本文件第五章</w:t>
      </w:r>
      <w:r>
        <w:rPr>
          <w:rFonts w:hint="eastAsia" w:ascii="仿宋_GB2312" w:hAnsi="宋体" w:eastAsia="仿宋_GB2312"/>
          <w:color w:val="auto"/>
          <w:sz w:val="28"/>
          <w:szCs w:val="28"/>
          <w:highlight w:val="none"/>
        </w:rPr>
        <w:t>）</w:t>
      </w:r>
    </w:p>
    <w:p w14:paraId="6F54D65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（2）响应文件目录（格式见</w:t>
      </w:r>
      <w:r>
        <w:rPr>
          <w:rFonts w:hint="eastAsia" w:ascii="仿宋_GB2312" w:hAnsi="仿宋" w:eastAsia="仿宋_GB2312" w:cs="宋体"/>
          <w:color w:val="auto"/>
          <w:sz w:val="28"/>
          <w:szCs w:val="28"/>
          <w:highlight w:val="none"/>
        </w:rPr>
        <w:t>本文件第五章</w:t>
      </w:r>
      <w:r>
        <w:rPr>
          <w:rFonts w:hint="eastAsia" w:ascii="仿宋_GB2312" w:hAnsi="宋体" w:eastAsia="仿宋_GB2312"/>
          <w:color w:val="auto"/>
          <w:sz w:val="28"/>
          <w:szCs w:val="28"/>
          <w:highlight w:val="none"/>
        </w:rPr>
        <w:t>）</w:t>
      </w:r>
    </w:p>
    <w:p w14:paraId="24AFE60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（3）报价承诺函（格式见</w:t>
      </w:r>
      <w:r>
        <w:rPr>
          <w:rFonts w:hint="eastAsia" w:ascii="仿宋_GB2312" w:hAnsi="仿宋" w:eastAsia="仿宋_GB2312" w:cs="宋体"/>
          <w:color w:val="auto"/>
          <w:sz w:val="28"/>
          <w:szCs w:val="28"/>
          <w:highlight w:val="none"/>
        </w:rPr>
        <w:t>本文件第五章</w:t>
      </w:r>
      <w:r>
        <w:rPr>
          <w:rFonts w:hint="eastAsia" w:ascii="仿宋_GB2312" w:hAnsi="宋体" w:eastAsia="仿宋_GB2312"/>
          <w:color w:val="auto"/>
          <w:sz w:val="28"/>
          <w:szCs w:val="28"/>
          <w:highlight w:val="none"/>
        </w:rPr>
        <w:t>）</w:t>
      </w:r>
    </w:p>
    <w:p w14:paraId="0B178DE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（4）供应商资格证明文件</w:t>
      </w:r>
    </w:p>
    <w:p w14:paraId="21ABB315">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①有效的营业执照副本扫描件或其他能证明具有独立承担民事责任能力的材料扫描件（分公司投标须提供总公司的授权）；</w:t>
      </w:r>
    </w:p>
    <w:p w14:paraId="5301F023">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②法定代表人授权委托书；被授权人身份证扫描件；</w:t>
      </w:r>
    </w:p>
    <w:p w14:paraId="0C6661CF">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若响应单位代表为企业法定代表人/单位负责人的，则只需提供企业法定代表人/单位负责人身份证扫描件；</w:t>
      </w:r>
    </w:p>
    <w:p w14:paraId="4EC2F5AD">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③依法缴纳税收和社会保障资金的声明（格式自拟）；近期的完税凭证及缴纳社保资金凭证的扫描件（依法免税或不需要缴纳社会保障资金的供应商，应提供相关证明材料）；</w:t>
      </w:r>
    </w:p>
    <w:p w14:paraId="2857BF85">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④参加本项目报价前三年内无重大违法记录声明（格式自定）；</w:t>
      </w:r>
    </w:p>
    <w:p w14:paraId="495B2AB5">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⑤报价供应商未被工商行政管理机关在全国企业信用信息公示系统中列入严重违法失信企业名单（附截图或企业信用信息公示报告，查询网址http://www.gsxt.gov.cn/index.html）；</w:t>
      </w:r>
    </w:p>
    <w:p w14:paraId="49822FFB">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报价供应商及其法定代表人、授权委托人在“全国法院失信被执行人名单公布及查询（http://zxgk.court.gov.cn/shixin/）”网站截图；</w:t>
      </w:r>
    </w:p>
    <w:p w14:paraId="22777BF0">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⑥财务状况报告等相关材料</w:t>
      </w:r>
    </w:p>
    <w:p w14:paraId="5CDA722A">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A.供应商自行编制的近一年度公司财务报表或由中介机构出具的近一年度财务审计报告书扫描件（2024年度或2025年度，成立时间晚于规定年份的，应提供近一季度的财务会计报表）；</w:t>
      </w:r>
    </w:p>
    <w:p w14:paraId="435A9624">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B.银行出具的有效期内的资信证明扫描件。</w:t>
      </w:r>
    </w:p>
    <w:p w14:paraId="053EB79A">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注：A、B两项提供任意一项均可。</w:t>
      </w:r>
    </w:p>
    <w:p w14:paraId="52163E39">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⑦具有履行合同所必需的设备和专业技术能力承诺函（格式自拟）；</w:t>
      </w:r>
    </w:p>
    <w:p w14:paraId="3A5E0226">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⑧采购公告中要求的有关资质资格文件；</w:t>
      </w:r>
    </w:p>
    <w:p w14:paraId="438545CB">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⑨报价供应商认为需要提供的资质资格证明文件。</w:t>
      </w:r>
    </w:p>
    <w:p w14:paraId="6AD35C5A">
      <w:pPr>
        <w:snapToGrid w:val="0"/>
        <w:spacing w:line="560" w:lineRule="exact"/>
        <w:ind w:firstLine="565" w:firstLineChars="201"/>
        <w:rPr>
          <w:rFonts w:ascii="仿宋_GB2312" w:hAnsi="宋体" w:eastAsia="仿宋_GB2312"/>
          <w:color w:val="auto"/>
          <w:sz w:val="28"/>
          <w:szCs w:val="28"/>
          <w:highlight w:val="none"/>
        </w:rPr>
      </w:pPr>
      <w:r>
        <w:rPr>
          <w:rFonts w:hint="eastAsia" w:ascii="仿宋_GB2312" w:hAnsi="宋体" w:eastAsia="仿宋_GB2312"/>
          <w:b/>
          <w:color w:val="auto"/>
          <w:sz w:val="28"/>
          <w:szCs w:val="28"/>
          <w:highlight w:val="none"/>
        </w:rPr>
        <w:t>以上所有资质资格证明文件均需加盖供应商签章。</w:t>
      </w:r>
    </w:p>
    <w:p w14:paraId="498AE03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（5）供应商基本情况（格式见</w:t>
      </w:r>
      <w:r>
        <w:rPr>
          <w:rFonts w:hint="eastAsia" w:ascii="仿宋_GB2312" w:hAnsi="仿宋" w:eastAsia="仿宋_GB2312" w:cs="宋体"/>
          <w:color w:val="auto"/>
          <w:sz w:val="28"/>
          <w:szCs w:val="28"/>
          <w:highlight w:val="none"/>
        </w:rPr>
        <w:t>本文件第五章</w:t>
      </w:r>
      <w:r>
        <w:rPr>
          <w:rFonts w:hint="eastAsia" w:ascii="仿宋_GB2312" w:hAnsi="宋体" w:eastAsia="仿宋_GB2312"/>
          <w:color w:val="auto"/>
          <w:sz w:val="28"/>
          <w:szCs w:val="28"/>
          <w:highlight w:val="none"/>
        </w:rPr>
        <w:t>）</w:t>
      </w:r>
    </w:p>
    <w:p w14:paraId="6B8C1C0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供应商应提交证明文件，证明标的的合格性、技术文件符合采购文件的规定、报价内容符合采购文件规定。该证明文件是响应文件的一部分，可以是文字资料、图纸和数据，不包括对采购文件相关部分的文字、图标的复制。它包括：</w:t>
      </w:r>
    </w:p>
    <w:p w14:paraId="24A1E03E">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①产品选型</w:t>
      </w:r>
    </w:p>
    <w:p w14:paraId="35D30FD8">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②供货方案</w:t>
      </w:r>
    </w:p>
    <w:p w14:paraId="2517B7A8">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③质量保证措施</w:t>
      </w:r>
    </w:p>
    <w:p w14:paraId="11A300A7">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④售后服务承诺</w:t>
      </w:r>
    </w:p>
    <w:p w14:paraId="520D4065">
      <w:pPr>
        <w:snapToGrid w:val="0"/>
        <w:spacing w:line="560" w:lineRule="exact"/>
        <w:ind w:firstLine="562" w:firstLineChars="201"/>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⑤</w:t>
      </w:r>
      <w:r>
        <w:rPr>
          <w:rFonts w:hint="eastAsia" w:ascii="仿宋_GB2312" w:hAnsi="宋体" w:eastAsia="仿宋_GB2312"/>
          <w:color w:val="auto"/>
          <w:sz w:val="28"/>
          <w:szCs w:val="28"/>
          <w:highlight w:val="none"/>
        </w:rPr>
        <w:t>评审时需要的相关证明材料。</w:t>
      </w:r>
    </w:p>
    <w:p w14:paraId="109086E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7</w:t>
      </w:r>
      <w:r>
        <w:rPr>
          <w:rFonts w:hint="eastAsia" w:ascii="仿宋_GB2312" w:hAnsi="宋体" w:eastAsia="仿宋_GB2312"/>
          <w:color w:val="auto"/>
          <w:sz w:val="28"/>
          <w:szCs w:val="28"/>
          <w:highlight w:val="none"/>
        </w:rPr>
        <w:t>）国内同类项目业绩表（格式见</w:t>
      </w:r>
      <w:r>
        <w:rPr>
          <w:rFonts w:hint="eastAsia" w:ascii="仿宋_GB2312" w:hAnsi="仿宋" w:eastAsia="仿宋_GB2312" w:cs="宋体"/>
          <w:color w:val="auto"/>
          <w:sz w:val="28"/>
          <w:szCs w:val="28"/>
          <w:highlight w:val="none"/>
        </w:rPr>
        <w:t>本文件第五章</w:t>
      </w:r>
      <w:r>
        <w:rPr>
          <w:rFonts w:hint="eastAsia" w:ascii="仿宋_GB2312" w:hAnsi="宋体" w:eastAsia="仿宋_GB2312"/>
          <w:color w:val="auto"/>
          <w:sz w:val="28"/>
          <w:szCs w:val="28"/>
          <w:highlight w:val="none"/>
        </w:rPr>
        <w:t>）</w:t>
      </w:r>
    </w:p>
    <w:p w14:paraId="1394561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8</w:t>
      </w:r>
      <w:r>
        <w:rPr>
          <w:rFonts w:hint="eastAsia" w:ascii="仿宋_GB2312" w:hAnsi="宋体" w:eastAsia="仿宋_GB2312"/>
          <w:color w:val="auto"/>
          <w:sz w:val="28"/>
          <w:szCs w:val="28"/>
          <w:highlight w:val="none"/>
        </w:rPr>
        <w:t>）要求采购人提供的配合；</w:t>
      </w:r>
    </w:p>
    <w:p w14:paraId="3CB76F8F">
      <w:pPr>
        <w:spacing w:line="560" w:lineRule="exact"/>
        <w:ind w:firstLine="565" w:firstLineChars="201"/>
        <w:rPr>
          <w:rFonts w:ascii="仿宋_GB2312" w:hAnsi="宋体" w:eastAsia="仿宋_GB2312"/>
          <w:color w:val="auto"/>
          <w:sz w:val="28"/>
          <w:szCs w:val="28"/>
          <w:highlight w:val="none"/>
        </w:rPr>
      </w:pPr>
      <w:r>
        <w:rPr>
          <w:rFonts w:hint="eastAsia" w:ascii="仿宋_GB2312" w:hAnsi="仿宋" w:eastAsia="仿宋_GB2312" w:cs="宋体"/>
          <w:b/>
          <w:color w:val="auto"/>
          <w:sz w:val="28"/>
          <w:szCs w:val="28"/>
          <w:highlight w:val="none"/>
        </w:rPr>
        <w:t>注：成交公告将对成交供应商提交的第（7）项一并予以公示。</w:t>
      </w:r>
    </w:p>
    <w:p w14:paraId="643F8FC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12.2</w:t>
      </w:r>
      <w:r>
        <w:rPr>
          <w:rFonts w:hint="eastAsia" w:ascii="仿宋_GB2312" w:hAnsi="仿宋" w:eastAsia="仿宋_GB2312" w:cs="宋体"/>
          <w:color w:val="auto"/>
          <w:sz w:val="28"/>
          <w:szCs w:val="28"/>
          <w:highlight w:val="none"/>
        </w:rPr>
        <w:t>数据文件（PDF格式）（第二册）</w:t>
      </w:r>
    </w:p>
    <w:p w14:paraId="757CEC0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供应商须从本项目采购文件压缩包内获取对应包段的数据文件（EXCEL格式），并严格按照要求填写。填写完成后在威海市国有企业阳光采购电子化服务平台中上传该数据文件（EXCEL格式），系统将自动转换为PDF格式，再加盖供应商电子印章，未按要求填写或盖章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数据文件（PDF格式）包含下列内容：</w:t>
      </w:r>
    </w:p>
    <w:p w14:paraId="54780E6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（1）封面</w:t>
      </w:r>
    </w:p>
    <w:p w14:paraId="1CCE60D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（2）投标报价表（含明细）</w:t>
      </w:r>
    </w:p>
    <w:p w14:paraId="3466BC0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（3）需求响应表（如有）</w:t>
      </w:r>
    </w:p>
    <w:p w14:paraId="644825C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13.报价</w:t>
      </w:r>
    </w:p>
    <w:p w14:paraId="3EDEC10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13.1 供应商所提供的货物（服务）均以人民币报价，精确到小数点后两位。</w:t>
      </w:r>
    </w:p>
    <w:p w14:paraId="029EF83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13.2 供应商应按照竞争谈判文件的要求进行首次报价。并按数据文件中“投标（报价）一览表（含明细）”规定的格式报出分项价格和总价。响应总价中不得包含竞争谈判文件要求以外的内容，否则，在评审时不予核减。</w:t>
      </w:r>
    </w:p>
    <w:p w14:paraId="27A4257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13.3 供应商应按数据文件中“投标报价表”要求的统一格式填写，并加盖电子公章。</w:t>
      </w:r>
    </w:p>
    <w:p w14:paraId="5F3D88B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13.4 《投标报价表（含明细）》填写时应响应下列要求：</w:t>
      </w:r>
    </w:p>
    <w:p w14:paraId="56B2C073">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（1）本项目并非一次报价，供应商根据评审小组与供应商的沟通协商情况进行最终报价（分项报价按照总报价下浮比例同比例下浮）。</w:t>
      </w:r>
    </w:p>
    <w:p w14:paraId="228DF22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2</w:t>
      </w:r>
      <w:r>
        <w:rPr>
          <w:rFonts w:hint="eastAsia" w:ascii="仿宋_GB2312" w:hAnsi="仿宋" w:eastAsia="仿宋_GB2312" w:cs="宋体"/>
          <w:color w:val="auto"/>
          <w:sz w:val="28"/>
          <w:szCs w:val="28"/>
          <w:highlight w:val="none"/>
        </w:rPr>
        <w:t>）供应商须严格按照投标报价表（含明细）说明进行填写，报价明细表投标报价表（含明细）中“*”是必填项，任何必填项为空时都可能导致本次投标无效。</w:t>
      </w:r>
    </w:p>
    <w:p w14:paraId="3A900EC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3</w:t>
      </w:r>
      <w:r>
        <w:rPr>
          <w:rFonts w:hint="eastAsia" w:ascii="仿宋_GB2312" w:hAnsi="宋体" w:eastAsia="仿宋_GB2312"/>
          <w:color w:val="auto"/>
          <w:sz w:val="28"/>
          <w:szCs w:val="28"/>
          <w:highlight w:val="none"/>
        </w:rPr>
        <w:t>）供应商应对本次竞争谈判的全部内容进行报价，缺项报价响应无效。如因供应商自身的原因报价失误而造成的损失，由供应商自行承担。</w:t>
      </w:r>
    </w:p>
    <w:p w14:paraId="4394844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4</w:t>
      </w:r>
      <w:r>
        <w:rPr>
          <w:rFonts w:hint="eastAsia" w:ascii="仿宋_GB2312" w:hAnsi="宋体" w:eastAsia="仿宋_GB2312"/>
          <w:color w:val="auto"/>
          <w:sz w:val="28"/>
          <w:szCs w:val="28"/>
          <w:highlight w:val="none"/>
        </w:rPr>
        <w:t>）报价包括完成该项目的一切费用总和，包括设备费、运输费、装卸费、保险费、技术培训费、设备安装费、调试费、售后服务费、国家规定的各项税费等全部费用，以人民币为结算单位。报价中免费提供的项目，应注明免费。所有根据合同或其它原因应由供应商支付的税款和其它应交纳的费用都要包括在供应商提交的报价中；</w:t>
      </w:r>
    </w:p>
    <w:p w14:paraId="33A334F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5</w:t>
      </w:r>
      <w:r>
        <w:rPr>
          <w:rFonts w:hint="eastAsia" w:ascii="仿宋_GB2312" w:hAnsi="宋体" w:eastAsia="仿宋_GB2312"/>
          <w:color w:val="auto"/>
          <w:sz w:val="28"/>
          <w:szCs w:val="28"/>
          <w:highlight w:val="none"/>
        </w:rPr>
        <w:t>）</w:t>
      </w:r>
      <w:r>
        <w:rPr>
          <w:rFonts w:hint="eastAsia" w:ascii="仿宋_GB2312" w:hAnsi="仿宋" w:eastAsia="仿宋_GB2312" w:cs="宋体"/>
          <w:color w:val="auto"/>
          <w:sz w:val="28"/>
          <w:szCs w:val="28"/>
          <w:highlight w:val="none"/>
        </w:rPr>
        <w:t>《投标报价表</w:t>
      </w:r>
      <w:r>
        <w:rPr>
          <w:rFonts w:hint="eastAsia" w:ascii="仿宋_GB2312" w:hAnsi="宋体" w:eastAsia="仿宋_GB2312"/>
          <w:color w:val="auto"/>
          <w:sz w:val="28"/>
          <w:szCs w:val="28"/>
          <w:highlight w:val="none"/>
        </w:rPr>
        <w:t>（含明细）</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中合价将由单价*数量自动计算，无需手工录入。</w:t>
      </w:r>
    </w:p>
    <w:p w14:paraId="1732CE48">
      <w:pPr>
        <w:spacing w:line="560" w:lineRule="exact"/>
        <w:ind w:firstLine="565" w:firstLineChars="201"/>
        <w:rPr>
          <w:rFonts w:ascii="仿宋_GB2312" w:hAnsi="仿宋" w:eastAsia="仿宋_GB2312" w:cs="宋体"/>
          <w:color w:val="auto"/>
          <w:sz w:val="28"/>
          <w:szCs w:val="28"/>
          <w:highlight w:val="none"/>
        </w:rPr>
      </w:pPr>
      <w:r>
        <w:rPr>
          <w:rFonts w:hint="eastAsia" w:ascii="仿宋_GB2312" w:hAnsi="仿宋" w:eastAsia="仿宋_GB2312" w:cs="宋体"/>
          <w:b/>
          <w:color w:val="auto"/>
          <w:sz w:val="28"/>
          <w:szCs w:val="28"/>
          <w:highlight w:val="none"/>
        </w:rPr>
        <w:t>（</w:t>
      </w:r>
      <w:r>
        <w:rPr>
          <w:rFonts w:ascii="仿宋_GB2312" w:hAnsi="仿宋" w:eastAsia="仿宋_GB2312" w:cs="宋体"/>
          <w:b/>
          <w:color w:val="auto"/>
          <w:sz w:val="28"/>
          <w:szCs w:val="28"/>
          <w:highlight w:val="none"/>
        </w:rPr>
        <w:t>6</w:t>
      </w:r>
      <w:r>
        <w:rPr>
          <w:rFonts w:hint="eastAsia" w:ascii="仿宋_GB2312" w:hAnsi="仿宋" w:eastAsia="仿宋_GB2312" w:cs="宋体"/>
          <w:b/>
          <w:color w:val="auto"/>
          <w:sz w:val="28"/>
          <w:szCs w:val="28"/>
          <w:highlight w:val="none"/>
        </w:rPr>
        <w:t>）本次采购项目质保期见</w:t>
      </w:r>
      <w:r>
        <w:rPr>
          <w:rFonts w:hint="eastAsia" w:ascii="仿宋_GB2312" w:hAnsi="仿宋" w:eastAsia="仿宋_GB2312" w:cs="宋体"/>
          <w:b/>
          <w:color w:val="auto"/>
          <w:sz w:val="28"/>
          <w:szCs w:val="28"/>
          <w:highlight w:val="none"/>
          <w:u w:val="single"/>
        </w:rPr>
        <w:t>响应须知前附表</w:t>
      </w:r>
      <w:r>
        <w:rPr>
          <w:rFonts w:hint="eastAsia" w:ascii="仿宋_GB2312" w:hAnsi="仿宋" w:eastAsia="仿宋_GB2312" w:cs="宋体"/>
          <w:b/>
          <w:color w:val="auto"/>
          <w:sz w:val="28"/>
          <w:szCs w:val="28"/>
          <w:highlight w:val="none"/>
        </w:rPr>
        <w:t>或第3章。采购文件无特殊要求的，质保期大于采购文件要求的，供应商视报价需要提供制造商出具的质保函。</w:t>
      </w:r>
    </w:p>
    <w:p w14:paraId="132053A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供应商的报价在合同执行过程中是固定不变的，不得以任何理由改变。所有价格折扣、优惠条件必须在报价明细表中注明，否则评审时不予认可。</w:t>
      </w:r>
    </w:p>
    <w:p w14:paraId="5A353F86">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 xml:space="preserve">13.5 </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需求响应表</w:t>
      </w:r>
      <w:r>
        <w:rPr>
          <w:rFonts w:hint="eastAsia" w:ascii="仿宋_GB2312" w:hAnsi="仿宋" w:eastAsia="仿宋_GB2312" w:cs="宋体"/>
          <w:color w:val="auto"/>
          <w:sz w:val="28"/>
          <w:szCs w:val="28"/>
          <w:highlight w:val="none"/>
        </w:rPr>
        <w:t>（如有）》</w:t>
      </w:r>
      <w:r>
        <w:rPr>
          <w:rFonts w:ascii="仿宋_GB2312" w:hAnsi="宋体" w:eastAsia="仿宋_GB2312"/>
          <w:color w:val="auto"/>
          <w:sz w:val="28"/>
          <w:szCs w:val="28"/>
          <w:highlight w:val="none"/>
        </w:rPr>
        <w:t>填写时应响应下列要求：</w:t>
      </w:r>
    </w:p>
    <w:p w14:paraId="47D2D112">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（1）有底色标识的单元格须填写，有“*”的列是必输项，任何必输项为空都可能导致您的本次投标（响应）无效；</w:t>
      </w:r>
    </w:p>
    <w:p w14:paraId="7DAB6DC3">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（2）如想拷贝数据到某个待填写单元格，应采用选择性粘贴(只粘贴文本)，否则单元格填写无效或被锁死；</w:t>
      </w:r>
    </w:p>
    <w:p w14:paraId="349EC3F5">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（3）当招标需求列的内容显示不完整时，请点击编辑栏进行查看；</w:t>
      </w:r>
    </w:p>
    <w:p w14:paraId="49D05A0E">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（4）</w:t>
      </w:r>
      <w:r>
        <w:rPr>
          <w:rFonts w:hint="eastAsia" w:ascii="仿宋_GB2312" w:hAnsi="仿宋" w:eastAsia="仿宋_GB2312" w:cs="宋体"/>
          <w:b/>
          <w:color w:val="auto"/>
          <w:sz w:val="28"/>
          <w:szCs w:val="28"/>
          <w:highlight w:val="none"/>
        </w:rPr>
        <w:t>为合理节约采购评审成本，提倡诚实信用的报价行为，特别要求供应商应本着诚信精神，在本次数据文件的“需求响应表”中，均以审慎的态度明确、清楚地披露各项响应情况。供应商须对照采购文件技术规格、参数与要求，逐条说明货物与服务是否做出了实质性响应</w:t>
      </w:r>
      <w:r>
        <w:rPr>
          <w:rFonts w:ascii="仿宋_GB2312" w:hAnsi="仿宋" w:eastAsia="仿宋_GB2312" w:cs="宋体"/>
          <w:color w:val="auto"/>
          <w:sz w:val="28"/>
          <w:szCs w:val="28"/>
          <w:highlight w:val="none"/>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highlight w:val="none"/>
        </w:rPr>
        <w:t>无效投标（响应）处理</w:t>
      </w:r>
      <w:r>
        <w:rPr>
          <w:rFonts w:ascii="仿宋_GB2312" w:hAnsi="仿宋" w:eastAsia="仿宋_GB2312" w:cs="宋体"/>
          <w:color w:val="auto"/>
          <w:sz w:val="28"/>
          <w:szCs w:val="28"/>
          <w:highlight w:val="none"/>
        </w:rPr>
        <w:t>。</w:t>
      </w:r>
    </w:p>
    <w:p w14:paraId="591BB2EF">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响应程度分为“无偏离”、“正偏离”、“负偏离”。“正偏离”是指报价产品或方案的技术及功能相比采购文件的要求技术更先进、档次更高、更适合采购人使用。标注“正偏离”的，供应商必须注明认为“正偏离”的理由。“负偏离”是指报价产品或方案的技术及功能相比采购文件的要求存在瑕疵和不足。</w:t>
      </w:r>
    </w:p>
    <w:p w14:paraId="16AC7197">
      <w:pPr>
        <w:spacing w:line="560" w:lineRule="exact"/>
        <w:ind w:firstLine="562" w:firstLineChars="200"/>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（6）本次采购不允许供应商复制粘贴采购文件的技术要求作为其响应文件的响应情况。</w:t>
      </w:r>
    </w:p>
    <w:p w14:paraId="708E5D8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13.6 供应商的报价在合同执行过程中是固定不变的，不得以任何理由改变。所有价格折扣、优惠条件必须在报价明细表中注明，否则评审时不予认可。</w:t>
      </w:r>
    </w:p>
    <w:p w14:paraId="20A63226">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14.备选方案</w:t>
      </w:r>
    </w:p>
    <w:p w14:paraId="22DEA14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本采购项目不允许供应商有备选方案。</w:t>
      </w:r>
    </w:p>
    <w:p w14:paraId="51DD6FCA">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15.联合体报价</w:t>
      </w:r>
    </w:p>
    <w:p w14:paraId="37167A2A">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仿宋" w:eastAsia="仿宋_GB2312" w:cs="宋体"/>
          <w:b/>
          <w:color w:val="auto"/>
          <w:sz w:val="28"/>
          <w:szCs w:val="28"/>
          <w:highlight w:val="none"/>
        </w:rPr>
        <w:t>本项目不接受联合体响应。</w:t>
      </w:r>
    </w:p>
    <w:p w14:paraId="745978A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16.关于分包</w:t>
      </w:r>
    </w:p>
    <w:p w14:paraId="2777290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供应商拟将成交项目的非主体、非关键性工作分包的，应当在响应文件中载明分包承担主体，分包承担主体应当具备相应资质条件且不得再次分包。</w:t>
      </w:r>
    </w:p>
    <w:p w14:paraId="216E344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供应商应当就分包项目向采购人负责，分包承担主体就分包项目承担责任。</w:t>
      </w:r>
    </w:p>
    <w:p w14:paraId="1BD88B38">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17.现场踏勘</w:t>
      </w:r>
    </w:p>
    <w:p w14:paraId="5D61AD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17.1</w:t>
      </w:r>
      <w:r>
        <w:rPr>
          <w:rFonts w:hint="eastAsia" w:ascii="仿宋_GB2312" w:hAnsi="仿宋" w:eastAsia="仿宋_GB2312" w:cs="宋体"/>
          <w:color w:val="auto"/>
          <w:sz w:val="28"/>
          <w:szCs w:val="28"/>
          <w:highlight w:val="none"/>
          <w:u w:val="single"/>
        </w:rPr>
        <w:t>响应须知前附表中</w:t>
      </w:r>
      <w:r>
        <w:rPr>
          <w:rFonts w:hint="eastAsia" w:ascii="仿宋_GB2312" w:hAnsi="仿宋" w:eastAsia="仿宋_GB2312" w:cs="宋体"/>
          <w:color w:val="auto"/>
          <w:sz w:val="28"/>
          <w:szCs w:val="28"/>
          <w:highlight w:val="none"/>
        </w:rPr>
        <w:t>规定组织踏勘现场的，采购人按规定的时间、地点组织供应商踏勘项目现场，踏勘现场所发生的费用由供应商承担。</w:t>
      </w:r>
    </w:p>
    <w:p w14:paraId="075360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17.2采购人向供应商提供的有关现场的资料和数据，是采购人现有的能使供应商利用的资料，采购人对供应商由此而做出的推论、理解和结论概不负责。</w:t>
      </w:r>
    </w:p>
    <w:p w14:paraId="24A5944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17.3供应商及其人员经过采购人的允许，可以踏勘目的进入采购单位的项目现场，对供货（或施工）现场及其范围环境进行考察，以获取有关编制响应文件和签署实施合同所需的各项资料，若本项目采购文件要求供应商于统一时间地点踏勘现场的，供应商应当按时前往。</w:t>
      </w:r>
    </w:p>
    <w:p w14:paraId="7F371B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17.4除采购人的原因外，供应商及其人员不得因此使采购人及其人员承担有关的责任和蒙受损失。供应商应自行负责由此次踏勘现场而造成的死亡、人身伤害、财产损失、损害以及任何其它损失、损害和引起的费用和开支承担责任。</w:t>
      </w:r>
    </w:p>
    <w:p w14:paraId="00305D0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17.5未参与现场踏勘不作为否定供应商资格的理由。</w:t>
      </w:r>
    </w:p>
    <w:p w14:paraId="5A6EC6DD">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18.报价的有效期</w:t>
      </w:r>
    </w:p>
    <w:p w14:paraId="66CFF1E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18.1报价应在</w:t>
      </w:r>
      <w:r>
        <w:rPr>
          <w:rFonts w:hint="eastAsia" w:ascii="仿宋_GB2312" w:hAnsi="宋体" w:eastAsia="仿宋_GB2312"/>
          <w:color w:val="auto"/>
          <w:sz w:val="28"/>
          <w:szCs w:val="28"/>
          <w:highlight w:val="none"/>
          <w:u w:val="single"/>
        </w:rPr>
        <w:t>响应须知前附表</w:t>
      </w:r>
      <w:r>
        <w:rPr>
          <w:rFonts w:hint="eastAsia" w:ascii="仿宋_GB2312" w:hAnsi="宋体" w:eastAsia="仿宋_GB2312"/>
          <w:color w:val="auto"/>
          <w:sz w:val="28"/>
          <w:szCs w:val="28"/>
          <w:highlight w:val="none"/>
        </w:rPr>
        <w:t>中规定时间内保持有效。报价有效期不满足要求的报价，其报价将被认定为</w:t>
      </w:r>
      <w:r>
        <w:rPr>
          <w:rFonts w:hint="eastAsia" w:ascii="仿宋_GB2312" w:hAnsi="宋体" w:eastAsia="仿宋_GB2312"/>
          <w:b/>
          <w:color w:val="auto"/>
          <w:sz w:val="28"/>
          <w:szCs w:val="28"/>
          <w:highlight w:val="none"/>
        </w:rPr>
        <w:t>无效</w:t>
      </w:r>
      <w:r>
        <w:rPr>
          <w:rFonts w:hint="eastAsia" w:ascii="仿宋_GB2312" w:hAnsi="宋体" w:eastAsia="仿宋_GB2312"/>
          <w:color w:val="auto"/>
          <w:sz w:val="28"/>
          <w:szCs w:val="28"/>
          <w:highlight w:val="none"/>
        </w:rPr>
        <w:t>。</w:t>
      </w:r>
    </w:p>
    <w:p w14:paraId="527F856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18.2特殊情况下，在报价有效期满之前，采购代理机构可以要求供应商延长报价有效期，供应商可以书面形式拒绝或接受上述要求。同意延长报价有效期的供应商不得修改响应文件的实质性内容。</w:t>
      </w:r>
    </w:p>
    <w:p w14:paraId="012CB402">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1</w:t>
      </w:r>
      <w:r>
        <w:rPr>
          <w:rFonts w:hint="eastAsia" w:ascii="楷体_GB2312" w:hAnsi="仿宋" w:eastAsia="楷体_GB2312" w:cs="宋体"/>
          <w:b/>
          <w:color w:val="auto"/>
          <w:sz w:val="28"/>
          <w:szCs w:val="28"/>
          <w:highlight w:val="none"/>
        </w:rPr>
        <w:t>9.竞争谈判保证金</w:t>
      </w:r>
    </w:p>
    <w:p w14:paraId="2B02551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本项目不收取竞争谈判保证金</w:t>
      </w:r>
      <w:r>
        <w:rPr>
          <w:rFonts w:ascii="仿宋_GB2312" w:hAnsi="仿宋" w:eastAsia="仿宋_GB2312" w:cs="宋体"/>
          <w:color w:val="auto"/>
          <w:sz w:val="28"/>
          <w:szCs w:val="28"/>
          <w:highlight w:val="none"/>
        </w:rPr>
        <w:t>。</w:t>
      </w:r>
    </w:p>
    <w:p w14:paraId="13864AB1">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20.响应文件的数量和签署</w:t>
      </w:r>
    </w:p>
    <w:p w14:paraId="21EC1B4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 响应文件（pdf格式）1份（第一册）：</w:t>
      </w:r>
    </w:p>
    <w:p w14:paraId="79DFC3C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20.1.1供应商应使用带电子签章功能的CA锁对响应文件须盖章或签名的部位加盖电子印章（单位电子公章、法定代表人电子人名章），电子印章与实物印章具有同等法律效力。</w:t>
      </w:r>
    </w:p>
    <w:p w14:paraId="186796D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20.1.2 供应商应首先编制word格式响应文件，最后通过威海市国有企业阳光采购电子化服务平台的文件签章菜单的响应文件签章功能转换为pdf格式（或者其他pdf转换工具），之后通过签章功能在pdf文件上加盖电子印章并保存到本地计算机，加盖了电子印章的pdf文件即为最终的响应文件。</w:t>
      </w:r>
    </w:p>
    <w:p w14:paraId="5912354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20.1.3文件中要求法定代表人签字或签章的须加盖法定代表人电子人名章。</w:t>
      </w:r>
    </w:p>
    <w:p w14:paraId="2A92E51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20.1.4须被授权人签字的，被授权人又无电子章的，在word编制时可将被授权人手写签字扫描后的图片粘贴到响应文件中对应位置，并加盖单位电子公章。</w:t>
      </w:r>
    </w:p>
    <w:p w14:paraId="606ABC2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20.1.5可使用平台的批量盖章功能快速签章。但须浏览检查并注意印章重叠及完整性。</w:t>
      </w:r>
    </w:p>
    <w:p w14:paraId="79C205F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20.1.6 采用扫描粘贴供应商公章或扫描法定代表人电子章而不加盖单位电子公章的为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236C3CC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20.2数据文件（PDF格式）（第二册）1份：</w:t>
      </w:r>
    </w:p>
    <w:p w14:paraId="0A64B35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20.2.1供应商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报价。</w:t>
      </w:r>
    </w:p>
    <w:p w14:paraId="54405BD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20.2.2文件中要求法定代表人签字或签章的须加盖法定代表人电子人名章。</w:t>
      </w:r>
    </w:p>
    <w:p w14:paraId="4410BF3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20.2.3采用扫描粘贴供应商公章或法定代表人人名章的为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5183A473">
      <w:pPr>
        <w:pStyle w:val="5"/>
        <w:ind w:firstLine="643"/>
        <w:rPr>
          <w:color w:val="auto"/>
          <w:highlight w:val="none"/>
        </w:rPr>
      </w:pPr>
      <w:r>
        <w:rPr>
          <w:rFonts w:hint="eastAsia"/>
          <w:color w:val="auto"/>
          <w:highlight w:val="none"/>
        </w:rPr>
        <w:t>四、响应文件的递交</w:t>
      </w:r>
    </w:p>
    <w:p w14:paraId="4248ADF6">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21.响应文件的密封和标记</w:t>
      </w:r>
    </w:p>
    <w:p w14:paraId="79469C9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21.1 第一阶段电子响应文件的密封和标记</w:t>
      </w:r>
    </w:p>
    <w:p w14:paraId="24F15D9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21.1.1加盖了电子印章的</w:t>
      </w:r>
      <w:r>
        <w:rPr>
          <w:rFonts w:hint="eastAsia" w:ascii="仿宋_GB2312" w:hAnsi="仿宋" w:eastAsia="仿宋_GB2312" w:cs="宋体"/>
          <w:color w:val="auto"/>
          <w:sz w:val="28"/>
          <w:szCs w:val="28"/>
          <w:highlight w:val="none"/>
        </w:rPr>
        <w:t>电子响应文件（PDF格式）和数据文件（PDF格式）</w:t>
      </w:r>
      <w:r>
        <w:rPr>
          <w:rFonts w:hint="eastAsia" w:ascii="仿宋_GB2312" w:hAnsi="宋体" w:eastAsia="仿宋_GB2312"/>
          <w:color w:val="auto"/>
          <w:sz w:val="28"/>
          <w:szCs w:val="28"/>
          <w:highlight w:val="none"/>
        </w:rPr>
        <w:t>须在</w:t>
      </w:r>
      <w:r>
        <w:rPr>
          <w:rFonts w:hint="eastAsia" w:ascii="仿宋_GB2312" w:hAnsi="仿宋" w:eastAsia="仿宋_GB2312" w:cs="宋体"/>
          <w:color w:val="auto"/>
          <w:sz w:val="28"/>
          <w:szCs w:val="28"/>
          <w:highlight w:val="none"/>
        </w:rPr>
        <w:t>威海市国有企业阳光采购电子化服务平台</w:t>
      </w:r>
      <w:r>
        <w:rPr>
          <w:rFonts w:hint="eastAsia" w:ascii="仿宋_GB2312" w:hAnsi="宋体" w:eastAsia="仿宋_GB2312"/>
          <w:color w:val="auto"/>
          <w:sz w:val="28"/>
          <w:szCs w:val="28"/>
          <w:highlight w:val="none"/>
        </w:rPr>
        <w:t>的“我的投标”界面进行提交，提交前系统会自动在本地进行加密和电子签章，加密和数字签名后的文件除了会上传到系统中之外还会同步保存到本地计算机。</w:t>
      </w:r>
    </w:p>
    <w:p w14:paraId="5AA02785">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21.2资质证明文件原件的密封和标记</w:t>
      </w:r>
    </w:p>
    <w:p w14:paraId="4D1905F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本项目不收取资质证明文件原件。</w:t>
      </w:r>
    </w:p>
    <w:p w14:paraId="540696B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21.3 文件递交</w:t>
      </w:r>
    </w:p>
    <w:p w14:paraId="1BD1D1D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21.3.1供应商应在</w:t>
      </w:r>
      <w:r>
        <w:rPr>
          <w:rFonts w:hint="eastAsia"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规定的时间前在威海市国有企业阳光采购电子化服务平台网上递交电子响应文件和数据文件。供应商应充分评估集中报价带来的网络影响，</w:t>
      </w:r>
      <w:r>
        <w:rPr>
          <w:rFonts w:hint="eastAsia" w:ascii="仿宋_GB2312" w:hAnsi="宋体" w:eastAsia="仿宋_GB2312"/>
          <w:color w:val="auto"/>
          <w:sz w:val="28"/>
          <w:szCs w:val="28"/>
          <w:highlight w:val="none"/>
        </w:rPr>
        <w:t>尽量避开响应高峰时间，</w:t>
      </w:r>
      <w:r>
        <w:rPr>
          <w:rFonts w:hint="eastAsia" w:ascii="仿宋_GB2312" w:hAnsi="仿宋" w:eastAsia="仿宋_GB2312" w:cs="宋体"/>
          <w:color w:val="auto"/>
          <w:sz w:val="28"/>
          <w:szCs w:val="28"/>
          <w:highlight w:val="none"/>
        </w:rPr>
        <w:t>错峰进行响应，</w:t>
      </w:r>
      <w:r>
        <w:rPr>
          <w:rFonts w:hint="eastAsia" w:ascii="仿宋_GB2312" w:hAnsi="宋体" w:eastAsia="仿宋_GB2312"/>
          <w:color w:val="auto"/>
          <w:sz w:val="28"/>
          <w:szCs w:val="28"/>
          <w:highlight w:val="none"/>
        </w:rPr>
        <w:t>系统以收到供应商发出的递交指令的时间作为其响应时间，如该时间超过响应截止时间，其响应将会被判定为</w:t>
      </w:r>
      <w:r>
        <w:rPr>
          <w:rFonts w:hint="eastAsia" w:ascii="仿宋_GB2312" w:hAnsi="宋体" w:eastAsia="仿宋_GB2312"/>
          <w:b/>
          <w:color w:val="auto"/>
          <w:sz w:val="28"/>
          <w:szCs w:val="28"/>
          <w:highlight w:val="none"/>
        </w:rPr>
        <w:t>无效</w:t>
      </w:r>
      <w:r>
        <w:rPr>
          <w:rFonts w:hint="eastAsia" w:ascii="仿宋_GB2312" w:hAnsi="宋体" w:eastAsia="仿宋_GB2312"/>
          <w:color w:val="auto"/>
          <w:sz w:val="28"/>
          <w:szCs w:val="28"/>
          <w:highlight w:val="none"/>
        </w:rPr>
        <w:t>。</w:t>
      </w:r>
    </w:p>
    <w:p w14:paraId="5B6BDE46">
      <w:pPr>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21.3.2供应商须牢记响应加密密码，该密码将用于报价时解密其响应文件，如忘记密码或输入错误密码超过5次，其递交的响应文件将无法解密，导致无法提取数据和供他人阅读文件，致使其响应</w:t>
      </w:r>
      <w:r>
        <w:rPr>
          <w:rFonts w:hint="eastAsia" w:ascii="仿宋_GB2312" w:hAnsi="宋体" w:eastAsia="仿宋_GB2312"/>
          <w:b/>
          <w:color w:val="auto"/>
          <w:sz w:val="28"/>
          <w:szCs w:val="28"/>
          <w:highlight w:val="none"/>
        </w:rPr>
        <w:t>失败</w:t>
      </w:r>
      <w:r>
        <w:rPr>
          <w:rFonts w:hint="eastAsia" w:ascii="仿宋_GB2312" w:hAnsi="宋体" w:eastAsia="仿宋_GB2312"/>
          <w:color w:val="auto"/>
          <w:sz w:val="28"/>
          <w:szCs w:val="28"/>
          <w:highlight w:val="none"/>
        </w:rPr>
        <w:t>。</w:t>
      </w:r>
    </w:p>
    <w:p w14:paraId="543B13F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21.3.3除</w:t>
      </w:r>
      <w:r>
        <w:rPr>
          <w:rFonts w:hint="eastAsia" w:ascii="仿宋_GB2312" w:hAnsi="仿宋" w:eastAsia="仿宋_GB2312" w:cs="宋体"/>
          <w:color w:val="auto"/>
          <w:sz w:val="28"/>
          <w:szCs w:val="28"/>
          <w:highlight w:val="none"/>
          <w:u w:val="single"/>
        </w:rPr>
        <w:t>响应须知前附表</w:t>
      </w:r>
      <w:r>
        <w:rPr>
          <w:rFonts w:hint="eastAsia" w:ascii="仿宋_GB2312" w:hAnsi="仿宋" w:eastAsia="仿宋_GB2312" w:cs="宋体"/>
          <w:color w:val="auto"/>
          <w:sz w:val="28"/>
          <w:szCs w:val="28"/>
          <w:highlight w:val="none"/>
        </w:rPr>
        <w:t>另有规定，</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拒绝接收纸质响应文件。</w:t>
      </w:r>
    </w:p>
    <w:p w14:paraId="797A0A8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21.3.4供应商应将网上递交的已盖章未加密的数据文件和响应文件谨慎保存备份，以便启动应急开标程序时备案使用。</w:t>
      </w:r>
    </w:p>
    <w:p w14:paraId="59F3ADE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22.</w:t>
      </w:r>
      <w:r>
        <w:rPr>
          <w:rFonts w:hint="eastAsia"/>
          <w:color w:val="auto"/>
          <w:highlight w:val="none"/>
        </w:rPr>
        <w:t xml:space="preserve"> </w:t>
      </w:r>
      <w:r>
        <w:rPr>
          <w:rFonts w:hint="eastAsia" w:ascii="楷体_GB2312" w:hAnsi="宋体" w:eastAsia="楷体_GB2312"/>
          <w:b/>
          <w:color w:val="auto"/>
          <w:sz w:val="28"/>
          <w:szCs w:val="28"/>
          <w:highlight w:val="none"/>
        </w:rPr>
        <w:t>提交响应文件截止期</w:t>
      </w:r>
    </w:p>
    <w:p w14:paraId="74640362">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本次竞争谈判第一阶段响应文件的递交截止期见</w:t>
      </w:r>
      <w:r>
        <w:rPr>
          <w:rFonts w:hint="eastAsia" w:ascii="仿宋_GB2312" w:hAnsi="宋体" w:eastAsia="仿宋_GB2312"/>
          <w:b/>
          <w:color w:val="auto"/>
          <w:sz w:val="28"/>
          <w:szCs w:val="28"/>
          <w:highlight w:val="none"/>
          <w:u w:val="single"/>
        </w:rPr>
        <w:t>响应须知前附表</w:t>
      </w:r>
      <w:r>
        <w:rPr>
          <w:rFonts w:hint="eastAsia" w:ascii="仿宋_GB2312" w:hAnsi="宋体" w:eastAsia="仿宋_GB2312"/>
          <w:b/>
          <w:color w:val="auto"/>
          <w:sz w:val="28"/>
          <w:szCs w:val="28"/>
          <w:highlight w:val="none"/>
        </w:rPr>
        <w:t>。</w:t>
      </w:r>
    </w:p>
    <w:p w14:paraId="3BE2BFD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val="zh-CN"/>
        </w:rPr>
        <w:t>采购人和</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有权按本须知的规定，延迟报价截止时间。在此情况下，采购人、</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和供应商受报价截止时间制约的所有权利和义务均应延长至新的截止时间。</w:t>
      </w:r>
    </w:p>
    <w:p w14:paraId="04E64AB0">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23.迟交的响应文件</w:t>
      </w:r>
    </w:p>
    <w:p w14:paraId="11CC028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威海市国有企业阳光采购电子化服务平台无法接收响应截止期后递交的响应文件。</w:t>
      </w:r>
    </w:p>
    <w:p w14:paraId="5A89BE8C">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24.样品递交</w:t>
      </w:r>
      <w:r>
        <w:rPr>
          <w:rFonts w:ascii="楷体_GB2312" w:hAnsi="宋体" w:eastAsia="楷体_GB2312"/>
          <w:b/>
          <w:color w:val="auto"/>
          <w:sz w:val="28"/>
          <w:szCs w:val="28"/>
          <w:highlight w:val="none"/>
        </w:rPr>
        <w:t>/</w:t>
      </w:r>
      <w:r>
        <w:rPr>
          <w:rFonts w:hint="eastAsia" w:ascii="楷体_GB2312" w:hAnsi="宋体" w:eastAsia="楷体_GB2312"/>
          <w:b/>
          <w:color w:val="auto"/>
          <w:sz w:val="28"/>
          <w:szCs w:val="28"/>
          <w:highlight w:val="none"/>
        </w:rPr>
        <w:t>演示</w:t>
      </w:r>
    </w:p>
    <w:p w14:paraId="715FE1F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24.1采购人可以要求供应商对其提供的信息化、自动化等相关类别服务进行演示。</w:t>
      </w:r>
      <w:r>
        <w:rPr>
          <w:rFonts w:hint="eastAsia" w:ascii="仿宋_GB2312" w:hAnsi="仿宋" w:eastAsia="仿宋_GB2312" w:cs="宋体"/>
          <w:color w:val="auto"/>
          <w:sz w:val="28"/>
          <w:szCs w:val="28"/>
          <w:highlight w:val="none"/>
        </w:rPr>
        <w:t>供应商可以到现场演示，也可以使用系统“网上评标”中的“谈判”功能与评审专家进行远程演示。</w:t>
      </w:r>
    </w:p>
    <w:p w14:paraId="066CAA2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24.2若服务项目涉及货物时，采购人可以要求供应商提供样品，样品作为响应文件的一部分。未成交供应商提供的样品将于评审结束后退还。成交供应商的样品由采购人保留，作为验收的依据。</w:t>
      </w:r>
    </w:p>
    <w:p w14:paraId="11C889E4">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是否要求供应商提供演示/提交样品，详见竞争谈判文件</w:t>
      </w:r>
      <w:r>
        <w:rPr>
          <w:rFonts w:hint="eastAsia" w:ascii="仿宋_GB2312" w:hAnsi="宋体" w:eastAsia="仿宋_GB2312"/>
          <w:b/>
          <w:color w:val="auto"/>
          <w:sz w:val="28"/>
          <w:szCs w:val="28"/>
          <w:highlight w:val="none"/>
          <w:u w:val="single"/>
        </w:rPr>
        <w:t>响应须知前附表</w:t>
      </w:r>
      <w:r>
        <w:rPr>
          <w:rFonts w:hint="eastAsia" w:ascii="仿宋_GB2312" w:hAnsi="宋体" w:eastAsia="仿宋_GB2312"/>
          <w:b/>
          <w:color w:val="auto"/>
          <w:sz w:val="28"/>
          <w:szCs w:val="28"/>
          <w:highlight w:val="none"/>
        </w:rPr>
        <w:t>规定。</w:t>
      </w:r>
    </w:p>
    <w:p w14:paraId="555E9CA2">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25.响应文件的修改和撤回</w:t>
      </w:r>
    </w:p>
    <w:p w14:paraId="29ABE48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25.1供应商必须在规定的提交响应文件截止期之前将修改的响应文件上传到威海市国有企业阳光采购电子化服务平台,在提交响应文件截止期之后，供应商不得对其响应文件做任何修改。</w:t>
      </w:r>
    </w:p>
    <w:p w14:paraId="426A8AD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25.2供应商在递交响应文件后，可以在提交响应文件截止期之前撤回其响应。</w:t>
      </w:r>
    </w:p>
    <w:p w14:paraId="0C5D7A1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25.3从提交响应文件截止期至竞争谈判有效期这段时间内，供应商不得撤回其响应文件。</w:t>
      </w:r>
    </w:p>
    <w:p w14:paraId="79212389">
      <w:pPr>
        <w:pStyle w:val="5"/>
        <w:ind w:firstLine="643"/>
        <w:rPr>
          <w:color w:val="auto"/>
          <w:highlight w:val="none"/>
        </w:rPr>
      </w:pPr>
      <w:r>
        <w:rPr>
          <w:rFonts w:hint="eastAsia"/>
          <w:color w:val="auto"/>
          <w:highlight w:val="none"/>
        </w:rPr>
        <w:t>五、公开报价与沟通协商</w:t>
      </w:r>
    </w:p>
    <w:p w14:paraId="075D298C">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26.公开报价</w:t>
      </w:r>
    </w:p>
    <w:p w14:paraId="1C0F8D3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26.1响应文件递交截止时间后，提交响应文件的供应商不足</w:t>
      </w:r>
      <w:r>
        <w:rPr>
          <w:rFonts w:ascii="仿宋_GB2312" w:hAnsi="宋体" w:eastAsia="仿宋_GB2312"/>
          <w:color w:val="auto"/>
          <w:sz w:val="28"/>
          <w:szCs w:val="28"/>
          <w:highlight w:val="none"/>
        </w:rPr>
        <w:t>3家</w:t>
      </w:r>
      <w:r>
        <w:rPr>
          <w:rFonts w:hint="eastAsia" w:ascii="仿宋_GB2312" w:hAnsi="宋体" w:eastAsia="仿宋_GB2312"/>
          <w:color w:val="auto"/>
          <w:sz w:val="28"/>
          <w:szCs w:val="28"/>
          <w:highlight w:val="none"/>
        </w:rPr>
        <w:t>的不得开标。</w:t>
      </w:r>
    </w:p>
    <w:p w14:paraId="1BA8668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26.2</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在响应须知前附表规定的时间和地点组织解密。拟到现场参与解密、竞争谈判等环节的供应商须携带CA锁和笔记本电脑，以便进行解密、竞争谈判等操作。拟不到现场参与解密、竞争谈判等环节的供应商需提前准备已配置好环境的电脑,在规定的时间进行远程解密、竞争谈判等各项操作。</w:t>
      </w:r>
    </w:p>
    <w:p w14:paraId="2671CE5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26.3供应商代表应于响应文件递交截止时间前，完成签到以证明其出席，除因应急情况外，未在采购文件规定的解密时间内解密的视为放弃响应。</w:t>
      </w:r>
    </w:p>
    <w:p w14:paraId="77069BA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26.4</w:t>
      </w:r>
      <w:r>
        <w:rPr>
          <w:rFonts w:hint="eastAsia" w:ascii="仿宋_GB2312" w:hAnsi="宋体" w:eastAsia="仿宋_GB2312"/>
          <w:color w:val="auto"/>
          <w:sz w:val="28"/>
          <w:szCs w:val="28"/>
          <w:highlight w:val="none"/>
          <w:u w:val="single"/>
        </w:rPr>
        <w:t>响应须知前附表</w:t>
      </w:r>
      <w:r>
        <w:rPr>
          <w:rFonts w:hint="eastAsia" w:ascii="仿宋_GB2312" w:hAnsi="宋体" w:eastAsia="仿宋_GB2312"/>
          <w:color w:val="auto"/>
          <w:sz w:val="28"/>
          <w:szCs w:val="28"/>
          <w:highlight w:val="none"/>
        </w:rPr>
        <w:t>规定了文件解密时间，供应商输入密码错误（5次输入机会）、未能按时完成解密、其《数据文件》填写、盖章不规范等导致系统无法解析的，将会被视为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538E35A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26.5供应商代表认为采购人、采购代理机构相关工作人员有需要回避的情形的，应当场提出询问或者回避申请。采购人、采购代理机构对供应商代表提出的询问或者回避申请应当及时处理。</w:t>
      </w:r>
    </w:p>
    <w:p w14:paraId="11AD155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26.6录音、录像：威海市公共资源交易中心乳山分中心负责从递交响应文件开始到确定成交结果全过程的录音、录像工作，确保声音清楚、图像清晰、内容无遗漏。</w:t>
      </w:r>
    </w:p>
    <w:p w14:paraId="38199ED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26.7报价过程中，如遇特殊情况，服从威海市公共资源交易中心乳山分中心场地调配，并遵守相关规章制度。</w:t>
      </w:r>
    </w:p>
    <w:p w14:paraId="49EFD3A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26.8对响应文件报价出现前后不一致的，按以下规定修正：</w:t>
      </w:r>
    </w:p>
    <w:p w14:paraId="1097B24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（1）“投标（报价）一览表”的报价与“报价明细表”的报价不一致的，以“投标（报价）一览表”的报价为准；</w:t>
      </w:r>
    </w:p>
    <w:p w14:paraId="269FAE0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（2）大写金额和小写金额不一致的，以大写金额为准；</w:t>
      </w:r>
    </w:p>
    <w:p w14:paraId="56E51B8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（3）单价金额小数点或者百分比有明显错位的，以投标（报价）一览表的总价为准，并修改单价。</w:t>
      </w:r>
    </w:p>
    <w:p w14:paraId="2E5D54E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（4）总价金额与按单价汇总金额不一致的，以单价金额计算结果为准。</w:t>
      </w:r>
    </w:p>
    <w:p w14:paraId="4D8F9D8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（5）同时出现两种以上不一致的，按照前款规定的顺序修正。修正后的报价经供应商确认后产生约束力，供应商不确认的，其响应无效。</w:t>
      </w:r>
    </w:p>
    <w:p w14:paraId="199B1BF0">
      <w:pPr>
        <w:snapToGrid w:val="0"/>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若供应商实名认证证书即将到期或已过期，请确保在公开报价时实名认证证书在有效期内，供应商实名认证证书在续期后务必在公开报价前重新制作和上传电子投标（响应）文件，否则将造成电子投标（响应）文件无法进行解密。</w:t>
      </w:r>
    </w:p>
    <w:p w14:paraId="6E8B7C2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26.9唱价：停止解密后现场工作人员将根据电子交易系统将自动提取的各供应商数据文件中的相关数据进行公开唱价，唱价结束系统将自动生成投标（报价）一览表。参加现场报价的供应商应在工作人员的计算机上进行签字确认，携带笔记本电脑和远程报价的供应商应及时关注报价过程，查看报价结果并在投标（报价）一览表上进行电子签署。若供应商不进行相关签署，将被视为其对投标（报价）一览表中所载内容无疑议。</w:t>
      </w:r>
    </w:p>
    <w:p w14:paraId="78261C2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供应商可使用电子交易系统“网上开标”中的“看直播”功能参与开标（报价）程序。</w:t>
      </w:r>
    </w:p>
    <w:p w14:paraId="69133BD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w:t>
      </w:r>
      <w:r>
        <w:rPr>
          <w:rFonts w:ascii="仿宋_GB2312" w:hAnsi="宋体" w:eastAsia="仿宋_GB2312"/>
          <w:color w:val="auto"/>
          <w:sz w:val="28"/>
          <w:szCs w:val="28"/>
          <w:highlight w:val="none"/>
        </w:rPr>
        <w:t>10</w:t>
      </w:r>
      <w:r>
        <w:rPr>
          <w:rFonts w:hint="eastAsia" w:ascii="仿宋_GB2312" w:hAnsi="宋体" w:eastAsia="仿宋_GB2312"/>
          <w:color w:val="auto"/>
          <w:sz w:val="28"/>
          <w:szCs w:val="28"/>
          <w:highlight w:val="none"/>
        </w:rPr>
        <w:t>应急报价程序</w:t>
      </w:r>
    </w:p>
    <w:p w14:paraId="21EAA28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电子报价过程中如出现下列情况，导致系统无法正常运行，或者无法保证报价过程的公平、公正和信息安全时，经与行政监督部门沟通后可启动应急报价程序。</w:t>
      </w:r>
    </w:p>
    <w:p w14:paraId="416B156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（1）系统服务器发生故障，无法访问或无法使用系统；</w:t>
      </w:r>
    </w:p>
    <w:p w14:paraId="4421C96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（2）系统的软件或数据库出现错误，不能进行正常操作；</w:t>
      </w:r>
    </w:p>
    <w:p w14:paraId="5F37F68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（3）系统发现有安全漏洞，有潜在的泄密危险；</w:t>
      </w:r>
    </w:p>
    <w:p w14:paraId="00F9031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（4）病毒发作或受到外来病毒的攻击；</w:t>
      </w:r>
    </w:p>
    <w:p w14:paraId="6BF85AB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（5）其他无法保证报价过程公平、公正和信息安全的情形。</w:t>
      </w:r>
    </w:p>
    <w:p w14:paraId="31BD757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应急报价程序包括：</w:t>
      </w:r>
    </w:p>
    <w:p w14:paraId="4C4FA71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（1）对</w:t>
      </w:r>
      <w:r>
        <w:rPr>
          <w:rFonts w:ascii="仿宋_GB2312" w:hAnsi="宋体" w:eastAsia="仿宋_GB2312"/>
          <w:color w:val="auto"/>
          <w:sz w:val="28"/>
          <w:szCs w:val="28"/>
          <w:highlight w:val="none"/>
        </w:rPr>
        <w:t>未在系统中</w:t>
      </w:r>
      <w:r>
        <w:rPr>
          <w:rFonts w:hint="eastAsia" w:ascii="仿宋_GB2312" w:hAnsi="宋体" w:eastAsia="仿宋_GB2312"/>
          <w:color w:val="auto"/>
          <w:sz w:val="28"/>
          <w:szCs w:val="28"/>
          <w:highlight w:val="none"/>
        </w:rPr>
        <w:t>报价</w:t>
      </w:r>
      <w:r>
        <w:rPr>
          <w:rFonts w:ascii="仿宋_GB2312" w:hAnsi="宋体" w:eastAsia="仿宋_GB2312"/>
          <w:color w:val="auto"/>
          <w:sz w:val="28"/>
          <w:szCs w:val="28"/>
          <w:highlight w:val="none"/>
        </w:rPr>
        <w:t>的可暂停</w:t>
      </w:r>
      <w:r>
        <w:rPr>
          <w:rFonts w:hint="eastAsia" w:ascii="仿宋_GB2312" w:hAnsi="宋体" w:eastAsia="仿宋_GB2312"/>
          <w:color w:val="auto"/>
          <w:sz w:val="28"/>
          <w:szCs w:val="28"/>
          <w:highlight w:val="none"/>
        </w:rPr>
        <w:t>报价；</w:t>
      </w:r>
    </w:p>
    <w:p w14:paraId="26CA609F">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（2）对已在系统中报价的应停止，等待系统恢复正常后再组织进行报价。</w:t>
      </w:r>
    </w:p>
    <w:p w14:paraId="3CE974E0">
      <w:pPr>
        <w:snapToGrid w:val="0"/>
        <w:spacing w:line="560" w:lineRule="exact"/>
        <w:ind w:firstLine="562" w:firstLineChars="201"/>
        <w:rPr>
          <w:rFonts w:ascii="仿宋_GB2312" w:hAnsi="宋体" w:eastAsia="仿宋_GB2312"/>
          <w:b/>
          <w:color w:val="auto"/>
          <w:sz w:val="28"/>
          <w:szCs w:val="28"/>
          <w:highlight w:val="none"/>
        </w:rPr>
      </w:pPr>
      <w:r>
        <w:rPr>
          <w:rFonts w:hint="eastAsia" w:ascii="仿宋_GB2312" w:hAnsi="宋体" w:eastAsia="仿宋_GB2312"/>
          <w:color w:val="auto"/>
          <w:sz w:val="28"/>
          <w:szCs w:val="28"/>
          <w:highlight w:val="none"/>
        </w:rPr>
        <w:t>（3）对解密环节出错（因系统故障原因导致）的供应商，通过系统的备案功能进行文件上传备案，对备案文件与网上递交的文件不一致（系统通过数字签名进行验证）或备案文件未按照本文件的要求进行编制、签署导致系统无法备案的供应商作</w:t>
      </w:r>
      <w:r>
        <w:rPr>
          <w:rFonts w:hint="eastAsia" w:ascii="仿宋_GB2312" w:hAnsi="宋体" w:eastAsia="仿宋_GB2312"/>
          <w:b/>
          <w:color w:val="auto"/>
          <w:sz w:val="28"/>
          <w:szCs w:val="28"/>
          <w:highlight w:val="none"/>
        </w:rPr>
        <w:t>无效投标（响应）处理。</w:t>
      </w:r>
    </w:p>
    <w:p w14:paraId="6335894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备案功能故障且系统长时间无法恢复正常的，在采购人或代理机构的监督下可针对所有在平台中已报价的供应商，启用其电子邮件递交的响应文件进行报价，同时报价由线上转为线下，开标、评审均以电子邮件递交的响应文件为准，供应商必须在获取采购文件时留有本单位详细的邮箱和电话，否则由此产生的不利后果由供应商自行承担。对未按规定递交或递交的文件未按要求进行编制、签署的供应商作无效投标（响应）处理。</w:t>
      </w:r>
    </w:p>
    <w:p w14:paraId="17E0ECD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26.1</w:t>
      </w:r>
      <w:r>
        <w:rPr>
          <w:rFonts w:ascii="仿宋_GB2312" w:hAnsi="宋体" w:eastAsia="仿宋_GB2312"/>
          <w:color w:val="auto"/>
          <w:sz w:val="28"/>
          <w:szCs w:val="28"/>
          <w:highlight w:val="none"/>
        </w:rPr>
        <w:t>1</w:t>
      </w:r>
      <w:r>
        <w:rPr>
          <w:rFonts w:hint="eastAsia" w:ascii="仿宋_GB2312" w:hAnsi="宋体" w:eastAsia="仿宋_GB2312"/>
          <w:color w:val="auto"/>
          <w:sz w:val="28"/>
          <w:szCs w:val="28"/>
          <w:highlight w:val="none"/>
        </w:rPr>
        <w:t>应急报价电子邮件递交规定</w:t>
      </w:r>
    </w:p>
    <w:p w14:paraId="2AEBECB2">
      <w:pPr>
        <w:snapToGrid w:val="0"/>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接收电子邮箱：</w:t>
      </w:r>
      <w:r>
        <w:rPr>
          <w:rFonts w:hint="eastAsia" w:ascii="仿宋_GB2312" w:hAnsi="宋体" w:eastAsia="仿宋_GB2312"/>
          <w:color w:val="auto"/>
          <w:sz w:val="28"/>
          <w:szCs w:val="28"/>
          <w:highlight w:val="none"/>
          <w:lang w:eastAsia="zh-CN"/>
        </w:rPr>
        <w:t>whjxzbs@126.com</w:t>
      </w:r>
    </w:p>
    <w:p w14:paraId="37E43FA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递交时间：以电子邮件或电话通知的时间为准；</w:t>
      </w:r>
    </w:p>
    <w:p w14:paraId="4A6AE57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邮件数量：一封；</w:t>
      </w:r>
    </w:p>
    <w:p w14:paraId="01F1495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邮件主题：项目编号、供应商名称；</w:t>
      </w:r>
    </w:p>
    <w:p w14:paraId="2096686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邮件内容：附件含项目所有的已投包段，每个包段含已盖章且未加密的数据文件、响应文件各一份。数据文件、响应文件与网上最终递交的必须为同一文件（可将所投包段的所有文件打包压缩），如果不一致，系统后台会判定为无效投标（响应）文件，导致报价无效。</w:t>
      </w:r>
    </w:p>
    <w:p w14:paraId="453088F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26.1</w:t>
      </w: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rPr>
        <w:t>启动电子邮件报价流程</w:t>
      </w:r>
    </w:p>
    <w:p w14:paraId="72046AF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工作人员电话通知所有供应商启动应急报价程序；</w:t>
      </w:r>
    </w:p>
    <w:p w14:paraId="2E89494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供应商收到通知后在规定时间内通过电子邮件递交响应文件（在非应急报价期间采购代理机构不接受、不处理任何通过电子邮件提交的响应文件）；</w:t>
      </w:r>
    </w:p>
    <w:p w14:paraId="63CCC27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递交截止时间到，工作人员开始下载响应文件，并邮件回复各供应商。</w:t>
      </w:r>
    </w:p>
    <w:p w14:paraId="414E413A">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27.评审小组的组成和评审方法</w:t>
      </w:r>
    </w:p>
    <w:p w14:paraId="722925A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27.1评审工作由采购代理机构组织，具体评审事务由依法组建的评审小组负责。评审小组成员由评审专家（技术、法律等方面）</w:t>
      </w:r>
      <w:r>
        <w:rPr>
          <w:rFonts w:ascii="仿宋_GB2312" w:hAnsi="宋体" w:eastAsia="仿宋_GB2312"/>
          <w:color w:val="auto"/>
          <w:sz w:val="28"/>
          <w:szCs w:val="28"/>
          <w:highlight w:val="none"/>
        </w:rPr>
        <w:t>3</w:t>
      </w:r>
      <w:r>
        <w:rPr>
          <w:rFonts w:hint="eastAsia" w:ascii="仿宋_GB2312" w:hAnsi="宋体" w:eastAsia="仿宋_GB2312"/>
          <w:color w:val="auto"/>
          <w:sz w:val="28"/>
          <w:szCs w:val="28"/>
          <w:highlight w:val="none"/>
        </w:rPr>
        <w:t>人以上单人组成，其中评审小组的专家人数不得少于评审小组成员总数的2/3。评审小组的专家应当依法从</w:t>
      </w:r>
      <w:r>
        <w:rPr>
          <w:rFonts w:hint="eastAsia" w:ascii="仿宋_GB2312" w:hAnsi="仿宋" w:eastAsia="仿宋_GB2312" w:cs="宋体"/>
          <w:color w:val="auto"/>
          <w:sz w:val="28"/>
          <w:szCs w:val="28"/>
          <w:highlight w:val="none"/>
        </w:rPr>
        <w:t>阳光国企采购主管部门组建的专家库</w:t>
      </w:r>
      <w:r>
        <w:rPr>
          <w:rFonts w:hint="eastAsia" w:ascii="仿宋_GB2312" w:hAnsi="宋体" w:eastAsia="仿宋_GB2312"/>
          <w:color w:val="auto"/>
          <w:sz w:val="28"/>
          <w:szCs w:val="28"/>
          <w:highlight w:val="none"/>
        </w:rPr>
        <w:t>中随机抽取产生。抽取的专家数量无法满足评审要求的，经同级人民政府主管部门核准可以采取选择性确定方式补足。情况特殊，通过随机方式难以确定合适的评审专家的项目，经主管部门同意，可以自行选定评审专家。</w:t>
      </w:r>
    </w:p>
    <w:p w14:paraId="2F96AB3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27.2采购人员及相关人员与供应商有利害关系的应当回避。曾参与竞争谈判项目征询意见或论证的专家，不得再作为评审专家参加评审。采购人不得以专家身份参与本项目的评审。采购人和采购代理机构工作人员离职或退休不满三年的，不能作为专家参加评审工作。</w:t>
      </w:r>
    </w:p>
    <w:p w14:paraId="42327F1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27.3评审小组成员职责：</w:t>
      </w:r>
    </w:p>
    <w:p w14:paraId="2642A51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（1）评审前，评审小组成员应当主动确认与供应商及其供应商是否有利害关系。如有利害关系应当主动回避，如无利害关系，应当在含有相关内容的《无利害关系声明》上签字；</w:t>
      </w:r>
    </w:p>
    <w:p w14:paraId="65C365D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（2）按照竞争谈判文件中的评审办法，对响应文件进行评审，并对评审结果承担责任；</w:t>
      </w:r>
    </w:p>
    <w:p w14:paraId="14272C8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（3）对评审过程和结果，以及供应商的商业秘密进行保密；</w:t>
      </w:r>
    </w:p>
    <w:p w14:paraId="3DE3B95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（4）在评审小组集体起草的评审报告上签字；</w:t>
      </w:r>
    </w:p>
    <w:p w14:paraId="644B16D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（5）配合采购代理机构答复供应商质疑；</w:t>
      </w:r>
    </w:p>
    <w:p w14:paraId="2FB7880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（6）配合主管部门处理供应商投诉；</w:t>
      </w:r>
    </w:p>
    <w:p w14:paraId="2EEA332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（7）向主管部门反映评审工作中的问题，提出意见和建议。</w:t>
      </w:r>
    </w:p>
    <w:p w14:paraId="69BA663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27.4评审小组集体职责：</w:t>
      </w:r>
    </w:p>
    <w:p w14:paraId="2EF04B8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按照各成员评审意见推荐成交候选人，起草评审报告。对评审结论持有异议的评审小组成员可以书面方式阐述其不同意见和理由。评审小组成员拒绝在评审报告上签字且不陈述其不同意见和理由的，视为同意评审结论。评审小组应当对此做出书面说明并记录在案；</w:t>
      </w:r>
    </w:p>
    <w:p w14:paraId="538D99E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（2）配合采购人和采购代理机构答复供应商的质疑；</w:t>
      </w:r>
    </w:p>
    <w:p w14:paraId="7A5657C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（3）配合主管部门做好投诉处理工作；</w:t>
      </w:r>
    </w:p>
    <w:p w14:paraId="5D719EB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（4）必要时，向供应商解释评审结果；</w:t>
      </w:r>
    </w:p>
    <w:p w14:paraId="6AE1D7D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（5）向主管部门或者有关部门报告非法干预评审工作的行为。</w:t>
      </w:r>
    </w:p>
    <w:p w14:paraId="7521863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27.5采购代理机构或采购人的职责：</w:t>
      </w:r>
    </w:p>
    <w:p w14:paraId="2227517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（1）核对评审小组专家身份和采购人代表授权函，对评审小组专家在采购活动中的职责履行情况予以记录，并及时将有关违法违规行为向主管部门报告；</w:t>
      </w:r>
    </w:p>
    <w:p w14:paraId="596DE9F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（2）宣布评审纪律；</w:t>
      </w:r>
    </w:p>
    <w:p w14:paraId="68B5CCD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（3）公布供应商名单，告知评审小组专家应当回避的情形；</w:t>
      </w:r>
    </w:p>
    <w:p w14:paraId="217F8C8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（4）在评审期间采取必要的通讯管理措施，保证评审活动不受外界干扰；</w:t>
      </w:r>
    </w:p>
    <w:p w14:paraId="353FC52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（5）根据评审小组的要求介绍采购相关政策法规、竞争谈判文件；</w:t>
      </w:r>
    </w:p>
    <w:p w14:paraId="6A7B516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（6）维护评审秩序，监督评审小组依照竞争谈判文件规定的竞争谈判程序、方法和标准进行独立评审，及时制止和纠正采购人代表、评审专家的倾向性言论或者违法违规行为；</w:t>
      </w:r>
    </w:p>
    <w:p w14:paraId="17EE5C9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（7）核对评审结果，要求评审小组复核或者书面说明理由，评审小组拒绝的，应予记录并向主管部门报告；</w:t>
      </w:r>
    </w:p>
    <w:p w14:paraId="2E620E7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（8）评审工作完成后，按照规定向评审专家支付劳务报酬和异地评审差旅费，不得向评审专家以外的其他人员支付评审劳务报酬；</w:t>
      </w:r>
    </w:p>
    <w:p w14:paraId="02D14193">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（9）处理与评审有关的其他事项。</w:t>
      </w:r>
    </w:p>
    <w:p w14:paraId="30CD582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采购人可以在评审前说明项目背景和采购需求，说明内容不得含有歧视性、倾向性意见，不得超出竞争谈判文件所述范围。说明应当提交书面材料，并随采购文件一并存档。</w:t>
      </w:r>
    </w:p>
    <w:p w14:paraId="50BCA3E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27.6评审小组采用集中办公、封闭方式进行评审。竞争谈判前，采购代理机构工作人员向评审小组成员宣布评审纪律和工作规则。评审小组成员签署《无利害关系声明表》，并遵照执行。</w:t>
      </w:r>
    </w:p>
    <w:p w14:paraId="6FE8681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27.7评审小组成员对与自己有利害关系的评审项目应当主动提出回避。</w:t>
      </w:r>
    </w:p>
    <w:p w14:paraId="41EE741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27.8评审小组将按照竞争谈判文件确定的评审方法进行评审。评审小组对响应文件的评审内容分为资格性审查、符合性审查、商务评议、技术评议和价格评议。</w:t>
      </w:r>
    </w:p>
    <w:p w14:paraId="73E8EE5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27.9评审小组独立履行下列职责：</w:t>
      </w:r>
    </w:p>
    <w:p w14:paraId="4A0DA60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（1）审查、评价响应文件是否符合竞争谈判文件的商务、技术等实质性要求；</w:t>
      </w:r>
    </w:p>
    <w:p w14:paraId="08A81E2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（2）要求供应商对响应文件有关事项做出澄清或者说明；</w:t>
      </w:r>
    </w:p>
    <w:p w14:paraId="3499D1C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（3）对响应文件进行比较和评价；</w:t>
      </w:r>
    </w:p>
    <w:p w14:paraId="0C1192B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（4）确定成交候选人名单，以及根据采购人委托直接确定成交供应商；</w:t>
      </w:r>
    </w:p>
    <w:p w14:paraId="19354A2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（5）向采购人、采购代理机构或者有关部门报告评审中发现的违法行为。</w:t>
      </w:r>
    </w:p>
    <w:p w14:paraId="2C6A4FF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27.10评审中因评审小组成员缺席、回避或者健康等特殊原因导致评审小组组成不符合本办法规定的，采购代理机构应当依法补足后继续评审。被更换的评审小组成员所做出的评审意见无效。</w:t>
      </w:r>
    </w:p>
    <w:p w14:paraId="058AD7D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无法及时补足评审小组成员的，采购代理机构应当停止评审活动，封存所有响应文件和报价、评审资料，依法重新组建评审小组进行评审。原评审小组做出的评审意见无效。</w:t>
      </w:r>
    </w:p>
    <w:p w14:paraId="3A86A7B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采购代理机构应当将变更、重新组建评审小组的情况予以记录，并随采购文件一并存档。</w:t>
      </w:r>
    </w:p>
    <w:p w14:paraId="5ADD3787">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28.竞争谈判步骤</w:t>
      </w:r>
    </w:p>
    <w:p w14:paraId="73A80F4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28.1</w:t>
      </w:r>
      <w:r>
        <w:rPr>
          <w:rFonts w:hint="eastAsia" w:ascii="仿宋_GB2312" w:hAnsi="仿宋" w:eastAsia="仿宋_GB2312" w:cs="宋体"/>
          <w:color w:val="auto"/>
          <w:sz w:val="28"/>
          <w:szCs w:val="28"/>
          <w:highlight w:val="none"/>
        </w:rPr>
        <w:t>资格性审查。</w:t>
      </w:r>
      <w:r>
        <w:rPr>
          <w:rFonts w:hint="eastAsia" w:ascii="仿宋_GB2312" w:hAnsi="宋体" w:eastAsia="仿宋_GB2312"/>
          <w:color w:val="auto"/>
          <w:sz w:val="28"/>
          <w:szCs w:val="28"/>
          <w:highlight w:val="none"/>
        </w:rPr>
        <w:t>依据竞争谈判文件规定在采购项目报价结束后, 评审小组应当依照有关法律和竞争谈判文件的规定对供应商的资格性审查。</w:t>
      </w:r>
      <w:r>
        <w:rPr>
          <w:rFonts w:hint="eastAsia" w:ascii="仿宋_GB2312" w:hAnsi="仿宋" w:eastAsia="仿宋_GB2312" w:cs="宋体"/>
          <w:b/>
          <w:color w:val="auto"/>
          <w:sz w:val="28"/>
          <w:szCs w:val="28"/>
          <w:highlight w:val="none"/>
        </w:rPr>
        <w:t>具体内容详见《响应须知》-《实质性条款一览表》中资格性审查条件。</w:t>
      </w:r>
      <w:r>
        <w:rPr>
          <w:rFonts w:hint="eastAsia" w:ascii="仿宋_GB2312" w:hAnsi="宋体" w:eastAsia="仿宋_GB2312"/>
          <w:color w:val="auto"/>
          <w:sz w:val="28"/>
          <w:szCs w:val="28"/>
          <w:highlight w:val="none"/>
        </w:rPr>
        <w:t>合格供应商不足3家的，不得评审。在资格性检查时,如有下列情况之一的，经评审小组认定，视为非实质性响应，为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115F23D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（1）单位负责人为同一人或者存在直接控股、管理关系的不同供应商的；</w:t>
      </w:r>
    </w:p>
    <w:p w14:paraId="09ED905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（2）为采购项目提供整体设计、规范编制或者项目管理、监理、检测等服务的；</w:t>
      </w:r>
    </w:p>
    <w:p w14:paraId="79C7592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（3）供应商和响应货物资格证明文件不满足竞争谈判文件要求和过期失效的。</w:t>
      </w:r>
    </w:p>
    <w:p w14:paraId="6FB34D0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28.2符合性审查。依据竞争谈判文件规定，从响应文件的有效性、完整性和对竞争谈判文件的响应程度进行符合性审查，以确定是否对竞争谈判文件的实质性要求做出响应。评审小组决定其响应性只根据响应文件本身的内容，而不依据外部的证据。在符合性检查时,如有不满足</w:t>
      </w:r>
      <w:r>
        <w:rPr>
          <w:rFonts w:hint="eastAsia" w:ascii="仿宋_GB2312" w:hAnsi="宋体" w:eastAsia="仿宋_GB2312"/>
          <w:b/>
          <w:color w:val="auto"/>
          <w:sz w:val="28"/>
          <w:szCs w:val="28"/>
          <w:highlight w:val="none"/>
        </w:rPr>
        <w:t>《响应须知》-《实质性条款一览表》中符合性审查条件</w:t>
      </w:r>
      <w:r>
        <w:rPr>
          <w:rFonts w:hint="eastAsia" w:ascii="仿宋_GB2312" w:hAnsi="宋体" w:eastAsia="仿宋_GB2312"/>
          <w:color w:val="auto"/>
          <w:sz w:val="28"/>
          <w:szCs w:val="28"/>
          <w:highlight w:val="none"/>
        </w:rPr>
        <w:t>情况之一的，经评审小组认定，视为非实质性响应，为</w:t>
      </w:r>
      <w:r>
        <w:rPr>
          <w:rFonts w:hint="eastAsia" w:ascii="仿宋_GB2312" w:hAnsi="宋体" w:eastAsia="仿宋_GB2312"/>
          <w:b/>
          <w:color w:val="auto"/>
          <w:sz w:val="28"/>
          <w:szCs w:val="28"/>
          <w:highlight w:val="none"/>
        </w:rPr>
        <w:t>无效投标（响应）</w:t>
      </w:r>
      <w:r>
        <w:rPr>
          <w:rFonts w:hint="eastAsia" w:ascii="仿宋_GB2312" w:hAnsi="宋体" w:eastAsia="仿宋_GB2312"/>
          <w:color w:val="auto"/>
          <w:sz w:val="28"/>
          <w:szCs w:val="28"/>
          <w:highlight w:val="none"/>
        </w:rPr>
        <w:t>。</w:t>
      </w:r>
    </w:p>
    <w:p w14:paraId="4C9F2A7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28.3评审小组所有成员集中与单一供应商分别进行竞争谈判。不到现场的</w:t>
      </w:r>
      <w:r>
        <w:rPr>
          <w:rFonts w:hint="eastAsia" w:ascii="仿宋_GB2312" w:hAnsi="仿宋" w:eastAsia="仿宋_GB2312" w:cs="宋体"/>
          <w:color w:val="auto"/>
          <w:sz w:val="28"/>
          <w:szCs w:val="28"/>
          <w:highlight w:val="none"/>
        </w:rPr>
        <w:t>供应商可以使用系统“网上评标”中的“谈判”功能与评审专家进行远程谈判。</w:t>
      </w:r>
      <w:r>
        <w:rPr>
          <w:rFonts w:hint="eastAsia" w:ascii="仿宋_GB2312" w:hAnsi="宋体" w:eastAsia="仿宋_GB2312"/>
          <w:color w:val="auto"/>
          <w:sz w:val="28"/>
          <w:szCs w:val="28"/>
          <w:highlight w:val="none"/>
        </w:rPr>
        <w:t>在竞争谈判过程中，评审小组可以根据响应文件和响应情况实质性变动采购需求中的技术、服务要求以及合同草案条款，但不得变动响应文件中的其他内容。实质性变动的内容，须经采购人代表确认。</w:t>
      </w:r>
    </w:p>
    <w:p w14:paraId="112CC2C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对响应文件做出的实质性变动是响应文件的有效组成部分，评审小组应当及时以书面形式同时通知所有参加竞争谈判的供应商。</w:t>
      </w:r>
    </w:p>
    <w:p w14:paraId="7D38A12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应当按照响应文件的变动情况和评审小组的要求重新提交响应文件，并由其法定代表人或其被授权人签字或者加盖公章。由被授权人签字的，应当附法定代表人授权书。供应商为自然人的，应当由本人签字并附身份证明。</w:t>
      </w:r>
    </w:p>
    <w:p w14:paraId="008A7D95">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经评审小组集体审核通过，未实质性响应竞争谈判文件的响应文件按无效</w:t>
      </w:r>
      <w:r>
        <w:rPr>
          <w:rFonts w:hint="eastAsia" w:ascii="仿宋_GB2312" w:hAnsi="仿宋" w:eastAsia="仿宋_GB2312" w:cs="宋体"/>
          <w:color w:val="auto"/>
          <w:sz w:val="28"/>
          <w:szCs w:val="28"/>
          <w:highlight w:val="none"/>
        </w:rPr>
        <w:t>投标（响应）</w:t>
      </w:r>
      <w:r>
        <w:rPr>
          <w:rFonts w:hint="eastAsia" w:ascii="仿宋_GB2312" w:hAnsi="宋体" w:eastAsia="仿宋_GB2312"/>
          <w:color w:val="auto"/>
          <w:sz w:val="28"/>
          <w:szCs w:val="28"/>
          <w:highlight w:val="none"/>
        </w:rPr>
        <w:t>处理，评审小组应当告知提交响应文件的供应商，</w:t>
      </w:r>
      <w:r>
        <w:rPr>
          <w:rFonts w:ascii="仿宋_GB2312" w:hAnsi="宋体" w:eastAsia="仿宋_GB2312"/>
          <w:color w:val="auto"/>
          <w:sz w:val="28"/>
          <w:szCs w:val="28"/>
          <w:highlight w:val="none"/>
        </w:rPr>
        <w:t>说明其不符合要求的原因，由其法定代表人或授权代表签字确认，供应商代表拒不签字的，并不影响评审小组所做出的结论。</w:t>
      </w:r>
    </w:p>
    <w:p w14:paraId="5C0063B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28.4经评审小组经确定最终采购需求和实质性响应的供应商后，评审小组应当要求所有实质性响应的供应商在规定时间内提交最后报价，由评审小组采用综合评分法对提交最后报价的所有供应商的进行综合评分。</w:t>
      </w:r>
    </w:p>
    <w:p w14:paraId="15FE523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29.响应文件的澄清</w:t>
      </w:r>
    </w:p>
    <w:p w14:paraId="58A54BD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29.1评审小组有权向供应商询标，对于响应文件中含义不明确、同类问题表述不一致或者有明显文字和计算错误的内容，评审小组应当以书面形式要求供应商做出必要的澄清、说明或者补正。请供应商澄清其响应内容，供应商法定代表人或其授权人必须接受评审小组的询标，未在评审小组规定的时间内，对重大关键问题进行答疑和澄清的供应商，经评审小组确认可视为供应商放弃响应。</w:t>
      </w:r>
    </w:p>
    <w:p w14:paraId="585B6FF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29.2供应商的澄清、说明或者补正应当采用书面形式，由法定代表人或其被授权人签字或者加盖公章，或者由法定代表人或其授权的代表签字。供应商为自然人的，应当由本人签字并附身份证明。供应商的澄清、说明或者更正不得超出响应文件的范围或者改变对响应文件的实质性内容。此书面文件是响应文件的组成部分。</w:t>
      </w:r>
    </w:p>
    <w:p w14:paraId="46E3300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30.响应文件的评价</w:t>
      </w:r>
    </w:p>
    <w:p w14:paraId="14B7039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30.1 评审采用百分制。评审小组各成员分别独立对实质上响应响应文件的供应商进行逐项评价打分，对评审小组各成员每一因素的打分汇总后的得分为供应商的得分。</w:t>
      </w:r>
    </w:p>
    <w:p w14:paraId="4C12944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30.2 响应文件内容违反国家有关强制性规定的，评审小组应当停止评审并向采购人或者采购代理机构说明情况。</w:t>
      </w:r>
    </w:p>
    <w:p w14:paraId="7FCF0D0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30.3评审小组成员要依法独立评审，并对评审意见承担个人责任。评审小组成员对需要共同认定的事项存在争议的，按照少数服从多数的原则做出结论。持不同意见的评审小组成员应当在评审报告上签署不同意见并说明理由，否则视为同意。</w:t>
      </w:r>
    </w:p>
    <w:p w14:paraId="4533D04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30.4供应商有下列情形之一的，视为供应商串通响应，其</w:t>
      </w:r>
      <w:r>
        <w:rPr>
          <w:rFonts w:hint="eastAsia" w:ascii="仿宋_GB2312" w:hAnsi="宋体" w:eastAsia="仿宋_GB2312"/>
          <w:b/>
          <w:color w:val="auto"/>
          <w:sz w:val="28"/>
          <w:szCs w:val="28"/>
          <w:highlight w:val="none"/>
        </w:rPr>
        <w:t>响应无效</w:t>
      </w:r>
      <w:r>
        <w:rPr>
          <w:rFonts w:hint="eastAsia" w:ascii="仿宋_GB2312" w:hAnsi="宋体" w:eastAsia="仿宋_GB2312"/>
          <w:color w:val="auto"/>
          <w:sz w:val="28"/>
          <w:szCs w:val="28"/>
          <w:highlight w:val="none"/>
        </w:rPr>
        <w:t>：</w:t>
      </w:r>
    </w:p>
    <w:p w14:paraId="6FCB4FD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（1）不同供应商的响应文件由同一单位或者个人编制；</w:t>
      </w:r>
    </w:p>
    <w:p w14:paraId="65C2256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（2）不同供应商委托同一单位或者个人办理响应事宜；</w:t>
      </w:r>
    </w:p>
    <w:p w14:paraId="64227D1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（3）不同供应商的响应文件载明的项目管理成员或者联系人员为同一人；</w:t>
      </w:r>
    </w:p>
    <w:p w14:paraId="1A24F76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（4）不同供应商的响应文件异常一致或者响应报价呈规律性差异；</w:t>
      </w:r>
    </w:p>
    <w:p w14:paraId="1733F86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（5）不同供应商的响应文件相互混装；</w:t>
      </w:r>
    </w:p>
    <w:p w14:paraId="3FCDFE15">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（6）不同供应商的竞争谈判保证金从同一单位或者个人的账户转出；</w:t>
      </w:r>
    </w:p>
    <w:p w14:paraId="5C9943F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w:t>
      </w:r>
      <w:r>
        <w:rPr>
          <w:rFonts w:ascii="仿宋_GB2312" w:hAnsi="宋体" w:eastAsia="仿宋_GB2312"/>
          <w:color w:val="auto"/>
          <w:sz w:val="28"/>
          <w:szCs w:val="28"/>
          <w:highlight w:val="none"/>
        </w:rPr>
        <w:t>7</w:t>
      </w:r>
      <w:r>
        <w:rPr>
          <w:rFonts w:hint="eastAsia" w:ascii="仿宋_GB2312" w:hAnsi="宋体" w:eastAsia="仿宋_GB2312"/>
          <w:color w:val="auto"/>
          <w:sz w:val="28"/>
          <w:szCs w:val="28"/>
          <w:highlight w:val="none"/>
        </w:rPr>
        <w:t>）不同供应商制作的电子响应文件经系统审查存在cpu编码、硬盘编码及MAC地址三项编码均相同的。</w:t>
      </w:r>
    </w:p>
    <w:p w14:paraId="7ED160D9">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31.废标条款</w:t>
      </w:r>
    </w:p>
    <w:p w14:paraId="417D6A4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在竞争谈判中，出现下列情形之一的，应予废标：</w:t>
      </w:r>
    </w:p>
    <w:p w14:paraId="036312F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（1）因情况变化，不再适合竞争谈判方式适用情形的；</w:t>
      </w:r>
    </w:p>
    <w:p w14:paraId="0ADB5A2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（2）出现影响采购公正的违法、违规行为的；</w:t>
      </w:r>
    </w:p>
    <w:p w14:paraId="1C1E94D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（3）在采购过程中符合要求的供应商不足</w:t>
      </w:r>
      <w:r>
        <w:rPr>
          <w:rFonts w:ascii="仿宋_GB2312" w:hAnsi="宋体" w:eastAsia="仿宋_GB2312"/>
          <w:color w:val="auto"/>
          <w:sz w:val="28"/>
          <w:szCs w:val="28"/>
          <w:highlight w:val="none"/>
        </w:rPr>
        <w:t>3家</w:t>
      </w:r>
      <w:r>
        <w:rPr>
          <w:rFonts w:hint="eastAsia" w:ascii="仿宋_GB2312" w:hAnsi="宋体" w:eastAsia="仿宋_GB2312"/>
          <w:color w:val="auto"/>
          <w:sz w:val="28"/>
          <w:szCs w:val="28"/>
          <w:highlight w:val="none"/>
        </w:rPr>
        <w:t>的。</w:t>
      </w:r>
    </w:p>
    <w:p w14:paraId="5C419E14">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32.保密要求</w:t>
      </w:r>
    </w:p>
    <w:p w14:paraId="5C5A3D2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评审将在严格保密的情况下进行。有关人员</w:t>
      </w:r>
      <w:r>
        <w:rPr>
          <w:rFonts w:ascii="仿宋_GB2312" w:hAnsi="仿宋" w:eastAsia="仿宋_GB2312" w:cs="宋体"/>
          <w:color w:val="auto"/>
          <w:sz w:val="28"/>
          <w:szCs w:val="28"/>
          <w:highlight w:val="none"/>
        </w:rPr>
        <w:t>应当</w:t>
      </w:r>
      <w:r>
        <w:rPr>
          <w:rFonts w:hint="eastAsia" w:ascii="仿宋_GB2312" w:hAnsi="仿宋" w:eastAsia="仿宋_GB2312" w:cs="宋体"/>
          <w:color w:val="auto"/>
          <w:sz w:val="28"/>
          <w:szCs w:val="28"/>
          <w:highlight w:val="none"/>
        </w:rPr>
        <w:t>遵</w:t>
      </w:r>
      <w:r>
        <w:rPr>
          <w:rFonts w:ascii="仿宋_GB2312" w:hAnsi="仿宋" w:eastAsia="仿宋_GB2312" w:cs="宋体"/>
          <w:color w:val="auto"/>
          <w:sz w:val="28"/>
          <w:szCs w:val="28"/>
          <w:highlight w:val="none"/>
        </w:rPr>
        <w:t>守评审工作纪律，</w:t>
      </w:r>
      <w:r>
        <w:rPr>
          <w:rFonts w:hint="eastAsia" w:ascii="仿宋_GB2312" w:hAnsi="仿宋" w:eastAsia="仿宋_GB2312" w:cs="宋体"/>
          <w:b/>
          <w:color w:val="auto"/>
          <w:sz w:val="28"/>
          <w:szCs w:val="28"/>
          <w:highlight w:val="none"/>
        </w:rPr>
        <w:t>不得记录、复制或者带走任何评审资料</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不得</w:t>
      </w:r>
      <w:r>
        <w:rPr>
          <w:rFonts w:hint="eastAsia" w:ascii="仿宋_GB2312" w:hAnsi="仿宋" w:eastAsia="仿宋_GB2312" w:cs="宋体"/>
          <w:color w:val="auto"/>
          <w:sz w:val="28"/>
          <w:szCs w:val="28"/>
          <w:highlight w:val="none"/>
        </w:rPr>
        <w:t>泄露</w:t>
      </w:r>
      <w:r>
        <w:rPr>
          <w:rFonts w:ascii="仿宋_GB2312" w:hAnsi="仿宋" w:eastAsia="仿宋_GB2312" w:cs="宋体"/>
          <w:color w:val="auto"/>
          <w:sz w:val="28"/>
          <w:szCs w:val="28"/>
          <w:highlight w:val="none"/>
        </w:rPr>
        <w:t>评审</w:t>
      </w:r>
      <w:r>
        <w:rPr>
          <w:rFonts w:hint="eastAsia" w:ascii="仿宋_GB2312" w:hAnsi="仿宋" w:eastAsia="仿宋_GB2312" w:cs="宋体"/>
          <w:color w:val="auto"/>
          <w:sz w:val="28"/>
          <w:szCs w:val="28"/>
          <w:highlight w:val="none"/>
        </w:rPr>
        <w:t>文件</w:t>
      </w:r>
      <w:r>
        <w:rPr>
          <w:rFonts w:ascii="仿宋_GB2312" w:hAnsi="仿宋" w:eastAsia="仿宋_GB2312" w:cs="宋体"/>
          <w:color w:val="auto"/>
          <w:sz w:val="28"/>
          <w:szCs w:val="28"/>
          <w:highlight w:val="none"/>
        </w:rPr>
        <w:t>、评审情况和评审中获悉的商业秘密。</w:t>
      </w:r>
    </w:p>
    <w:p w14:paraId="0CE903D9">
      <w:pPr>
        <w:pStyle w:val="5"/>
        <w:ind w:firstLine="643"/>
        <w:rPr>
          <w:color w:val="auto"/>
          <w:highlight w:val="none"/>
        </w:rPr>
      </w:pPr>
      <w:r>
        <w:rPr>
          <w:rFonts w:hint="eastAsia"/>
          <w:color w:val="auto"/>
          <w:highlight w:val="none"/>
        </w:rPr>
        <w:t>六、成交</w:t>
      </w:r>
    </w:p>
    <w:p w14:paraId="624546E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评审小组应当根据综合评分情况，按照评审得分由高到低顺序推荐成交候选供应商，并编写评审报告。评审得分相同的，按照最后报价由低到高的顺序推荐。评审得分相同且最后报价相同的，按照技术指标优劣顺序推荐（即按技术因素得分由高到低的顺序推荐）。</w:t>
      </w:r>
    </w:p>
    <w:p w14:paraId="16BE69DC">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评审报告应当由评审小组全体人员签字认可。评审小组成员对评审报告有异议的，评审小组按照少数服从多数的原则推荐成交候选供应商，采购程序继续进行。对评审报告有异议的评审小组成员，应当在报告上签署不同意见并说明理由，由评审小组书面记录相关情况。评审小组成员拒绝在报告上签字又不书面说明其不同意见和理由的，视为同意评审报告。</w:t>
      </w:r>
    </w:p>
    <w:p w14:paraId="21EFD12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应当在评审结束后2个工作日内将评审报告送采购人确认。采购人应当在收到评审报告后5个工作日内，从评审报告提出的成交候选供应商中，按照排序由高到低的原则确定成交供应商，也可以授权评审小组直接确定成交供应商。采购人逾期未确定成交供应商且不提出异议的，视为确定评审报告提出的排序第一的供应商为成交供应商。</w:t>
      </w:r>
    </w:p>
    <w:p w14:paraId="08376970">
      <w:pPr>
        <w:pStyle w:val="5"/>
        <w:ind w:firstLine="643"/>
        <w:rPr>
          <w:color w:val="auto"/>
          <w:highlight w:val="none"/>
        </w:rPr>
      </w:pPr>
      <w:r>
        <w:rPr>
          <w:rFonts w:hint="eastAsia"/>
          <w:color w:val="auto"/>
          <w:highlight w:val="none"/>
        </w:rPr>
        <w:t>七、公告</w:t>
      </w:r>
    </w:p>
    <w:p w14:paraId="50D49DD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采购代理机构自成交供应商确定之日起2个工作日内，在原竞争谈判公告发布媒体上公告成交结果。代理机构的名称、地址和联系方式；</w:t>
      </w:r>
    </w:p>
    <w:p w14:paraId="07B91FA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（2）项目名称和项目编号；</w:t>
      </w:r>
    </w:p>
    <w:p w14:paraId="63FEE5A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（3）成交供应商名称、地址和成交金额；</w:t>
      </w:r>
    </w:p>
    <w:p w14:paraId="44BD688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（4）主要成交标的名称、规格型号、数量、单价、服务要求；</w:t>
      </w:r>
    </w:p>
    <w:p w14:paraId="315EC3C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（5）成交公告期限；</w:t>
      </w:r>
    </w:p>
    <w:p w14:paraId="1B88810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（6）评审专家名单；</w:t>
      </w:r>
    </w:p>
    <w:p w14:paraId="5EC9DE8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（7）供应商未中标的原因；</w:t>
      </w:r>
    </w:p>
    <w:p w14:paraId="016BA33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（8）采用综合评分法评审的，还将告知未中标人本人的评审得分和排序。</w:t>
      </w:r>
    </w:p>
    <w:p w14:paraId="196210B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采购代理机构应当在成交公告公示期满，</w:t>
      </w:r>
      <w:r>
        <w:rPr>
          <w:rFonts w:hint="eastAsia" w:ascii="仿宋_GB2312" w:hAnsi="仿宋" w:eastAsia="仿宋_GB2312"/>
          <w:color w:val="auto"/>
          <w:sz w:val="28"/>
          <w:szCs w:val="28"/>
          <w:highlight w:val="none"/>
        </w:rPr>
        <w:t>且无尚未处理的异议后，</w:t>
      </w:r>
      <w:r>
        <w:rPr>
          <w:rFonts w:hint="eastAsia" w:ascii="仿宋_GB2312" w:hAnsi="宋体" w:eastAsia="仿宋_GB2312"/>
          <w:color w:val="auto"/>
          <w:sz w:val="28"/>
          <w:szCs w:val="28"/>
          <w:highlight w:val="none"/>
        </w:rPr>
        <w:t>向成交供应商发出《成交通知书》；对未通过资格审查的供应商，应当告知其未通过的原因；《成交通知书》是合同的组成部分,对成交供应商和采购人具有同等法律效力。《成交通知书》发出后，采购人不得违法改变成交结果，成交供应商无正当理由不得放弃成交。</w:t>
      </w:r>
    </w:p>
    <w:p w14:paraId="6228D144">
      <w:pPr>
        <w:pStyle w:val="5"/>
        <w:ind w:firstLine="643"/>
        <w:rPr>
          <w:color w:val="auto"/>
          <w:highlight w:val="none"/>
        </w:rPr>
      </w:pPr>
      <w:r>
        <w:rPr>
          <w:rFonts w:hint="eastAsia"/>
          <w:color w:val="auto"/>
          <w:highlight w:val="none"/>
        </w:rPr>
        <w:t>八、质疑</w:t>
      </w:r>
    </w:p>
    <w:p w14:paraId="52F1024B">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33.质疑</w:t>
      </w:r>
    </w:p>
    <w:p w14:paraId="02F1DEA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33.1 供应商对采购活动事项有疑问的，可以向采购人和采购代理机构提出询问，采购人和采购代理机构应当在3个工作日内做出答复，但答复的内容不得涉及商业秘密。供应商提出的询问或者质疑超出采购人对采购代理机构委托授权范围的，采购代理机构应当告知供应商向采购人提出。</w:t>
      </w:r>
    </w:p>
    <w:p w14:paraId="13F7534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33.2 供应商对采购需求有疑问的，应在采购需求公示期内向采购人提出询问，采购人应当在收到询问后3个工作日内做出答复。</w:t>
      </w:r>
    </w:p>
    <w:p w14:paraId="1241D35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33.3 供应商认为采购文件、采购过程、成交结果使自己的权益受到损害的，可以在知道或者应知其权益受到损害之日起7个工作日内，以书面形式向采购人或采购代理机构提出质疑，采购人和采购代理机构应当在收到供应商的书面质疑后7个工作日内做出书面答复。</w:t>
      </w:r>
    </w:p>
    <w:p w14:paraId="02564CB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33.4提出质疑的供应商应当是参与本项目采购活动的供应商。</w:t>
      </w:r>
    </w:p>
    <w:p w14:paraId="43CA99B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33.5 潜在供应商已依法获取其可质疑的采购文件的，可以对该文件提出质疑。对采购文件提出质疑的，应当在获取采购文件或者采购文件公告期限届满之日起7个工作日内提出。</w:t>
      </w:r>
    </w:p>
    <w:p w14:paraId="4E78F8D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33.6供应商应在法定质疑期内一次性提出针对同一采购程序环节的质疑。</w:t>
      </w:r>
    </w:p>
    <w:p w14:paraId="11F0749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33.7 质疑采用实名制，为了使提出的质疑事项在规定时间内得到有效答复、处理，提交的质疑函务必提供以下内容。</w:t>
      </w:r>
    </w:p>
    <w:p w14:paraId="50B61FD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（1）供应商的姓名或名称、地址（邮箱）、邮编、联系人及联系电话；</w:t>
      </w:r>
    </w:p>
    <w:p w14:paraId="75F18560">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（2）质疑项目的名称、编号；</w:t>
      </w:r>
    </w:p>
    <w:p w14:paraId="4D96AC2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（3）具体、明确的质疑事项和与质疑事项相关的请求；</w:t>
      </w:r>
    </w:p>
    <w:p w14:paraId="285682B9">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（4）事实依据；</w:t>
      </w:r>
    </w:p>
    <w:p w14:paraId="19E1BC0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（5）必要的法律依据；</w:t>
      </w:r>
    </w:p>
    <w:p w14:paraId="03F7946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（6）提出质疑的日期。</w:t>
      </w:r>
    </w:p>
    <w:p w14:paraId="4C04821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供应商为自然人的，应当由本人签字；供应商为法人或者其他组织的，应当由法定代表人、主要负责人，或者其被授权人签字或者盖章，并加盖公章。</w:t>
      </w:r>
    </w:p>
    <w:p w14:paraId="64007EC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33.8质疑函应当由法定代表人或被授权人递交到采购人或采购代理机构，受理方式</w:t>
      </w:r>
      <w:r>
        <w:rPr>
          <w:rFonts w:hint="eastAsia" w:ascii="仿宋_GB2312" w:hAnsi="仿宋" w:eastAsia="仿宋_GB2312" w:cs="宋体"/>
          <w:color w:val="auto"/>
          <w:sz w:val="28"/>
          <w:szCs w:val="28"/>
          <w:highlight w:val="none"/>
        </w:rPr>
        <w:t>见</w:t>
      </w:r>
      <w:r>
        <w:rPr>
          <w:rFonts w:hint="eastAsia" w:ascii="仿宋_GB2312" w:hAnsi="仿宋" w:eastAsia="仿宋_GB2312" w:cs="宋体"/>
          <w:color w:val="auto"/>
          <w:sz w:val="28"/>
          <w:szCs w:val="28"/>
          <w:highlight w:val="none"/>
          <w:u w:val="single"/>
        </w:rPr>
        <w:t>响应须知前附表</w:t>
      </w:r>
      <w:r>
        <w:rPr>
          <w:rFonts w:hint="eastAsia" w:ascii="仿宋_GB2312" w:hAnsi="宋体" w:eastAsia="仿宋_GB2312"/>
          <w:color w:val="auto"/>
          <w:sz w:val="28"/>
          <w:szCs w:val="28"/>
          <w:highlight w:val="none"/>
        </w:rPr>
        <w:t>。采购人或采购代理机构正式受理后方可生效。否则，为无效质疑。</w:t>
      </w:r>
    </w:p>
    <w:p w14:paraId="020D90B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33.9  有下列情况之一的质疑不予受理：</w:t>
      </w:r>
    </w:p>
    <w:p w14:paraId="5D76455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（1）无质疑函件或质疑函件缺少供应商法人印章、供应商法定代表人签字、有效授权书和联系方式之一的质疑；</w:t>
      </w:r>
    </w:p>
    <w:p w14:paraId="1D4F6B5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（2）质疑函件无实质性内容或佐证文件资料，主观臆断及推理得出结论的质疑；</w:t>
      </w:r>
    </w:p>
    <w:p w14:paraId="0AD674D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（3）相应证明材料不真实或来源不合法的质疑；</w:t>
      </w:r>
    </w:p>
    <w:p w14:paraId="604D8D2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（4）未按规定时间或超过公示期提出的质疑；</w:t>
      </w:r>
    </w:p>
    <w:p w14:paraId="1A2D400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33.10 对捏造事实，提供虚假材料或者以非法手段取得证明材料进行恶意质疑的，一经查实，将上报主管部门列入黑名单，并给以相应处罚。</w:t>
      </w:r>
    </w:p>
    <w:p w14:paraId="54FF0A9D">
      <w:pPr>
        <w:pStyle w:val="5"/>
        <w:ind w:firstLine="643"/>
        <w:rPr>
          <w:color w:val="auto"/>
          <w:highlight w:val="none"/>
        </w:rPr>
      </w:pPr>
      <w:r>
        <w:rPr>
          <w:rFonts w:hint="eastAsia"/>
          <w:color w:val="auto"/>
          <w:highlight w:val="none"/>
        </w:rPr>
        <w:t>九、投诉</w:t>
      </w:r>
    </w:p>
    <w:p w14:paraId="57470559">
      <w:pPr>
        <w:snapToGrid w:val="0"/>
        <w:spacing w:line="560" w:lineRule="exact"/>
        <w:ind w:firstLine="565" w:firstLineChars="201"/>
        <w:rPr>
          <w:rFonts w:ascii="楷体_GB2312" w:hAnsi="宋体" w:eastAsia="楷体_GB2312"/>
          <w:b/>
          <w:color w:val="auto"/>
          <w:sz w:val="28"/>
          <w:szCs w:val="28"/>
          <w:highlight w:val="none"/>
        </w:rPr>
      </w:pPr>
      <w:r>
        <w:rPr>
          <w:rFonts w:hint="eastAsia" w:ascii="楷体_GB2312" w:hAnsi="宋体" w:eastAsia="楷体_GB2312"/>
          <w:b/>
          <w:color w:val="auto"/>
          <w:sz w:val="28"/>
          <w:szCs w:val="28"/>
          <w:highlight w:val="none"/>
        </w:rPr>
        <w:t>34.投诉</w:t>
      </w:r>
    </w:p>
    <w:p w14:paraId="5AA4F8C7">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质疑供应商对答复不满意，或者采购人、代理机构未在规定的时间内做出书面答复的，可以在答复期满后15个工作日内向主管理部门投诉。</w:t>
      </w:r>
    </w:p>
    <w:p w14:paraId="05E8D525">
      <w:pPr>
        <w:pStyle w:val="5"/>
        <w:ind w:firstLine="643"/>
        <w:rPr>
          <w:color w:val="auto"/>
          <w:highlight w:val="none"/>
        </w:rPr>
      </w:pPr>
      <w:r>
        <w:rPr>
          <w:rFonts w:hint="eastAsia"/>
          <w:color w:val="auto"/>
          <w:highlight w:val="none"/>
        </w:rPr>
        <w:t>十、签订合同</w:t>
      </w:r>
    </w:p>
    <w:p w14:paraId="5045A0AA">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35.合同的签订</w:t>
      </w:r>
    </w:p>
    <w:p w14:paraId="1A318AC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r>
        <w:rPr>
          <w:rFonts w:ascii="仿宋_GB2312" w:hAnsi="宋体" w:eastAsia="仿宋_GB2312"/>
          <w:color w:val="auto"/>
          <w:sz w:val="28"/>
          <w:szCs w:val="28"/>
          <w:highlight w:val="none"/>
        </w:rPr>
        <w:t>5</w:t>
      </w:r>
      <w:r>
        <w:rPr>
          <w:rFonts w:hint="eastAsia" w:ascii="仿宋_GB2312" w:hAnsi="宋体" w:eastAsia="仿宋_GB2312"/>
          <w:color w:val="auto"/>
          <w:sz w:val="28"/>
          <w:szCs w:val="28"/>
          <w:highlight w:val="none"/>
        </w:rPr>
        <w:t>.1采购人应当自成交通知书发出之日起30日内，按照竞争谈判文件和成交供应商响应文件的规定，与成交供应商签订书面合同。采购人应当自采购合同签订之日起5个工作日内，将采购合同上传至威海市国有企业阳光采购电子化服务平台同时在指定的媒体上公告，但采购合同中涉及国家秘密、商业秘密的内容除外。</w:t>
      </w:r>
    </w:p>
    <w:p w14:paraId="79A4BE4A">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r>
        <w:rPr>
          <w:rFonts w:ascii="仿宋_GB2312" w:hAnsi="宋体" w:eastAsia="仿宋_GB2312"/>
          <w:color w:val="auto"/>
          <w:sz w:val="28"/>
          <w:szCs w:val="28"/>
          <w:highlight w:val="none"/>
        </w:rPr>
        <w:t>5</w:t>
      </w:r>
      <w:r>
        <w:rPr>
          <w:rFonts w:hint="eastAsia" w:ascii="仿宋_GB2312" w:hAnsi="宋体" w:eastAsia="仿宋_GB2312"/>
          <w:color w:val="auto"/>
          <w:sz w:val="28"/>
          <w:szCs w:val="28"/>
          <w:highlight w:val="none"/>
        </w:rPr>
        <w:t>.2采购人与成交供应商所签订的合同不得对竞争谈判文件和成交供应商的响应文件作实质性修改。采购人不得向成交供应商提出任何不合理的要求，作为签订合同的条件，不得与成交供应商私下订立背离合同实质性内容的协议。合同原则以第六章合同书格式为基础，并根据响应、答疑情况进行修改补充，自签订之日起生效。</w:t>
      </w:r>
    </w:p>
    <w:p w14:paraId="40251538">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r>
        <w:rPr>
          <w:rFonts w:ascii="仿宋_GB2312" w:hAnsi="宋体" w:eastAsia="仿宋_GB2312"/>
          <w:color w:val="auto"/>
          <w:sz w:val="28"/>
          <w:szCs w:val="28"/>
          <w:highlight w:val="none"/>
        </w:rPr>
        <w:t>5</w:t>
      </w:r>
      <w:r>
        <w:rPr>
          <w:rFonts w:hint="eastAsia" w:ascii="仿宋_GB2312" w:hAnsi="宋体" w:eastAsia="仿宋_GB2312"/>
          <w:color w:val="auto"/>
          <w:sz w:val="28"/>
          <w:szCs w:val="28"/>
          <w:highlight w:val="none"/>
        </w:rPr>
        <w:t>.3成交供应商在规定时间内无正当理由拒绝与采购人签订合同的，响应供应商符合法定数量的，采购人可以按照评审报告推荐的成交候选人名单排序，确定下一候选人为成交供应商，也可以重新开展采购活动。</w:t>
      </w:r>
    </w:p>
    <w:p w14:paraId="69ABD464">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36.履约保证金</w:t>
      </w:r>
    </w:p>
    <w:p w14:paraId="7FFFF25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本项目不收取履约保证金。如中标单位中标后不按采购文件相关规定执行的，按诚信体系建设要求列入信用黑名单，1-3年内禁止参加采购活动。</w:t>
      </w:r>
    </w:p>
    <w:p w14:paraId="1901EB86">
      <w:pPr>
        <w:snapToGrid w:val="0"/>
        <w:spacing w:line="560" w:lineRule="exact"/>
        <w:ind w:firstLine="565" w:firstLineChars="201"/>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3</w:t>
      </w:r>
      <w:r>
        <w:rPr>
          <w:rFonts w:ascii="仿宋_GB2312" w:hAnsi="宋体" w:eastAsia="仿宋_GB2312"/>
          <w:b/>
          <w:color w:val="auto"/>
          <w:sz w:val="28"/>
          <w:szCs w:val="28"/>
          <w:highlight w:val="none"/>
        </w:rPr>
        <w:t>7.</w:t>
      </w:r>
      <w:r>
        <w:rPr>
          <w:rFonts w:hint="eastAsia" w:ascii="仿宋_GB2312" w:hAnsi="宋体" w:eastAsia="仿宋_GB2312"/>
          <w:b/>
          <w:color w:val="auto"/>
          <w:sz w:val="28"/>
          <w:szCs w:val="28"/>
          <w:highlight w:val="none"/>
        </w:rPr>
        <w:t>廉洁自律</w:t>
      </w:r>
      <w:r>
        <w:rPr>
          <w:rFonts w:ascii="仿宋_GB2312" w:hAnsi="宋体" w:eastAsia="仿宋_GB2312"/>
          <w:b/>
          <w:color w:val="auto"/>
          <w:sz w:val="28"/>
          <w:szCs w:val="28"/>
          <w:highlight w:val="none"/>
        </w:rPr>
        <w:t>规定</w:t>
      </w:r>
    </w:p>
    <w:p w14:paraId="79B53264">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w:t>
      </w:r>
      <w:r>
        <w:rPr>
          <w:rFonts w:ascii="仿宋_GB2312" w:hAnsi="宋体" w:eastAsia="仿宋_GB2312"/>
          <w:color w:val="auto"/>
          <w:sz w:val="28"/>
          <w:szCs w:val="28"/>
          <w:highlight w:val="none"/>
        </w:rPr>
        <w:t>工作人员</w:t>
      </w:r>
      <w:r>
        <w:rPr>
          <w:rFonts w:hint="eastAsia" w:ascii="仿宋_GB2312" w:hAnsi="宋体" w:eastAsia="仿宋_GB2312"/>
          <w:color w:val="auto"/>
          <w:sz w:val="28"/>
          <w:szCs w:val="28"/>
          <w:highlight w:val="none"/>
        </w:rPr>
        <w:t>不得与采购人、供应商恶意串通操纵采购活动。</w:t>
      </w:r>
    </w:p>
    <w:p w14:paraId="375B27CE">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采购代理机构工作人员不得接受采购人或者供应商组织的宴请、旅游、娱乐，不得收受礼品、现金、有价证券等，不得向采购人或者供应商报销应当由个人承担的费用。</w:t>
      </w:r>
    </w:p>
    <w:p w14:paraId="3F12DEE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为强化采购</w:t>
      </w:r>
      <w:r>
        <w:rPr>
          <w:rFonts w:ascii="仿宋_GB2312" w:hAnsi="宋体" w:eastAsia="仿宋_GB2312"/>
          <w:color w:val="auto"/>
          <w:sz w:val="28"/>
          <w:szCs w:val="28"/>
          <w:highlight w:val="none"/>
        </w:rPr>
        <w:t>代理机构内部监督机制</w:t>
      </w:r>
      <w:r>
        <w:rPr>
          <w:rFonts w:hint="eastAsia" w:ascii="仿宋_GB2312" w:hAnsi="宋体" w:eastAsia="仿宋_GB2312"/>
          <w:color w:val="auto"/>
          <w:sz w:val="28"/>
          <w:szCs w:val="28"/>
          <w:highlight w:val="none"/>
        </w:rPr>
        <w:t>，供应商可按</w:t>
      </w:r>
      <w:r>
        <w:rPr>
          <w:rFonts w:hint="eastAsia" w:ascii="仿宋_GB2312" w:hAnsi="宋体" w:eastAsia="仿宋_GB2312"/>
          <w:color w:val="auto"/>
          <w:sz w:val="28"/>
          <w:szCs w:val="28"/>
          <w:highlight w:val="none"/>
          <w:u w:val="single"/>
        </w:rPr>
        <w:t>响应须知前附表</w:t>
      </w:r>
      <w:r>
        <w:rPr>
          <w:rFonts w:hint="eastAsia" w:ascii="仿宋_GB2312" w:hAnsi="宋体" w:eastAsia="仿宋_GB2312"/>
          <w:color w:val="auto"/>
          <w:sz w:val="28"/>
          <w:szCs w:val="28"/>
          <w:highlight w:val="none"/>
        </w:rPr>
        <w:t>中</w:t>
      </w:r>
      <w:r>
        <w:rPr>
          <w:rFonts w:ascii="仿宋_GB2312" w:hAnsi="宋体" w:eastAsia="仿宋_GB2312"/>
          <w:color w:val="auto"/>
          <w:sz w:val="28"/>
          <w:szCs w:val="28"/>
          <w:highlight w:val="none"/>
        </w:rPr>
        <w:t>的</w:t>
      </w:r>
      <w:r>
        <w:rPr>
          <w:rFonts w:hint="eastAsia" w:ascii="仿宋_GB2312" w:hAnsi="宋体" w:eastAsia="仿宋_GB2312"/>
          <w:color w:val="auto"/>
          <w:sz w:val="28"/>
          <w:szCs w:val="28"/>
          <w:highlight w:val="none"/>
        </w:rPr>
        <w:t>监督电话</w:t>
      </w:r>
      <w:r>
        <w:rPr>
          <w:rFonts w:ascii="仿宋_GB2312" w:hAnsi="宋体" w:eastAsia="仿宋_GB2312"/>
          <w:color w:val="auto"/>
          <w:sz w:val="28"/>
          <w:szCs w:val="28"/>
          <w:highlight w:val="none"/>
        </w:rPr>
        <w:t>和</w:t>
      </w:r>
      <w:r>
        <w:rPr>
          <w:rFonts w:hint="eastAsia" w:ascii="仿宋_GB2312" w:hAnsi="宋体" w:eastAsia="仿宋_GB2312"/>
          <w:color w:val="auto"/>
          <w:sz w:val="28"/>
          <w:szCs w:val="28"/>
          <w:highlight w:val="none"/>
        </w:rPr>
        <w:t>邮箱，反映采购代理机构的廉洁自律</w:t>
      </w:r>
      <w:r>
        <w:rPr>
          <w:rFonts w:ascii="仿宋_GB2312" w:hAnsi="宋体" w:eastAsia="仿宋_GB2312"/>
          <w:color w:val="auto"/>
          <w:sz w:val="28"/>
          <w:szCs w:val="28"/>
          <w:highlight w:val="none"/>
        </w:rPr>
        <w:t>等</w:t>
      </w:r>
      <w:r>
        <w:rPr>
          <w:rFonts w:hint="eastAsia" w:ascii="仿宋_GB2312" w:hAnsi="宋体" w:eastAsia="仿宋_GB2312"/>
          <w:color w:val="auto"/>
          <w:sz w:val="28"/>
          <w:szCs w:val="28"/>
          <w:highlight w:val="none"/>
        </w:rPr>
        <w:t>问题。</w:t>
      </w:r>
    </w:p>
    <w:p w14:paraId="51FD3DCC">
      <w:pPr>
        <w:snapToGrid w:val="0"/>
        <w:spacing w:line="560" w:lineRule="exact"/>
        <w:ind w:firstLine="565" w:firstLineChars="201"/>
        <w:rPr>
          <w:rFonts w:ascii="仿宋_GB2312" w:hAnsi="宋体" w:eastAsia="仿宋_GB2312"/>
          <w:b/>
          <w:color w:val="auto"/>
          <w:sz w:val="28"/>
          <w:szCs w:val="28"/>
          <w:highlight w:val="none"/>
        </w:rPr>
      </w:pPr>
      <w:r>
        <w:rPr>
          <w:rFonts w:ascii="仿宋_GB2312" w:hAnsi="宋体" w:eastAsia="仿宋_GB2312"/>
          <w:b/>
          <w:color w:val="auto"/>
          <w:sz w:val="28"/>
          <w:szCs w:val="28"/>
          <w:highlight w:val="none"/>
        </w:rPr>
        <w:t>38</w:t>
      </w:r>
      <w:r>
        <w:rPr>
          <w:rFonts w:hint="eastAsia" w:ascii="仿宋_GB2312" w:hAnsi="宋体" w:eastAsia="仿宋_GB2312"/>
          <w:b/>
          <w:color w:val="auto"/>
          <w:sz w:val="28"/>
          <w:szCs w:val="28"/>
          <w:highlight w:val="none"/>
        </w:rPr>
        <w:t>.项目其他相关费用</w:t>
      </w:r>
    </w:p>
    <w:p w14:paraId="7B388FB3">
      <w:pPr>
        <w:snapToGrid w:val="0"/>
        <w:spacing w:line="560" w:lineRule="exact"/>
        <w:ind w:firstLine="562" w:firstLineChars="201"/>
        <w:rPr>
          <w:rFonts w:ascii="仿宋_GB2312" w:hAnsi="宋体" w:eastAsia="仿宋_GB2312"/>
          <w:color w:val="auto"/>
          <w:sz w:val="28"/>
          <w:szCs w:val="28"/>
          <w:highlight w:val="none"/>
        </w:rPr>
      </w:pPr>
      <w:r>
        <w:rPr>
          <w:rFonts w:ascii="仿宋_GB2312" w:hAnsi="宋体" w:eastAsia="仿宋_GB2312"/>
          <w:color w:val="auto"/>
          <w:sz w:val="28"/>
          <w:szCs w:val="28"/>
          <w:highlight w:val="none"/>
        </w:rPr>
        <w:t>38</w:t>
      </w:r>
      <w:r>
        <w:rPr>
          <w:rFonts w:hint="eastAsia" w:ascii="仿宋_GB2312" w:hAnsi="宋体" w:eastAsia="仿宋_GB2312"/>
          <w:color w:val="auto"/>
          <w:sz w:val="28"/>
          <w:szCs w:val="28"/>
          <w:highlight w:val="none"/>
        </w:rPr>
        <w:t>.1代理服务费</w:t>
      </w:r>
    </w:p>
    <w:p w14:paraId="43EDC901">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代理服务费收取标准：</w:t>
      </w:r>
      <w:r>
        <w:rPr>
          <w:rFonts w:hint="eastAsia" w:ascii="仿宋_GB2312" w:hAnsi="宋体" w:eastAsia="仿宋_GB2312"/>
          <w:color w:val="auto"/>
          <w:sz w:val="28"/>
          <w:szCs w:val="28"/>
          <w:highlight w:val="none"/>
          <w:u w:val="single"/>
        </w:rPr>
        <w:t>见响应须知前附表</w:t>
      </w:r>
      <w:r>
        <w:rPr>
          <w:rFonts w:hint="eastAsia" w:ascii="仿宋_GB2312" w:hAnsi="宋体" w:eastAsia="仿宋_GB2312"/>
          <w:color w:val="auto"/>
          <w:sz w:val="28"/>
          <w:szCs w:val="28"/>
          <w:highlight w:val="none"/>
        </w:rPr>
        <w:t>。</w:t>
      </w:r>
    </w:p>
    <w:p w14:paraId="1444F253">
      <w:pPr>
        <w:snapToGrid w:val="0"/>
        <w:spacing w:line="560" w:lineRule="exact"/>
        <w:ind w:firstLine="562" w:firstLineChars="201"/>
        <w:rPr>
          <w:rFonts w:ascii="仿宋_GB2312" w:hAnsi="宋体" w:eastAsia="仿宋_GB2312"/>
          <w:color w:val="auto"/>
          <w:sz w:val="28"/>
          <w:szCs w:val="28"/>
          <w:highlight w:val="none"/>
        </w:rPr>
      </w:pPr>
    </w:p>
    <w:p w14:paraId="34110E27">
      <w:pPr>
        <w:rPr>
          <w:color w:val="auto"/>
          <w:highlight w:val="none"/>
        </w:rPr>
        <w:sectPr>
          <w:pgSz w:w="11906" w:h="16838"/>
          <w:pgMar w:top="1440" w:right="1080" w:bottom="1440" w:left="1080" w:header="851" w:footer="992" w:gutter="0"/>
          <w:cols w:space="720" w:num="1"/>
          <w:docGrid w:type="lines" w:linePitch="312" w:charSpace="0"/>
        </w:sectPr>
      </w:pPr>
    </w:p>
    <w:p w14:paraId="0D58CA42">
      <w:pPr>
        <w:pStyle w:val="32"/>
        <w:spacing w:before="100" w:beforeAutospacing="1" w:after="100" w:afterAutospacing="1" w:line="415" w:lineRule="auto"/>
        <w:ind w:left="1440"/>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第三章 采购内容与要求</w:t>
      </w:r>
    </w:p>
    <w:p w14:paraId="22540285">
      <w:pPr>
        <w:rPr>
          <w:color w:val="auto"/>
          <w:highlight w:val="none"/>
        </w:rPr>
      </w:pPr>
    </w:p>
    <w:p w14:paraId="0BF1792B">
      <w:pPr>
        <w:rPr>
          <w:color w:val="auto"/>
          <w:highlight w:val="none"/>
        </w:rPr>
        <w:sectPr>
          <w:headerReference r:id="rId13" w:type="first"/>
          <w:footerReference r:id="rId14" w:type="default"/>
          <w:headerReference r:id="rId12" w:type="even"/>
          <w:pgSz w:w="11906" w:h="16838"/>
          <w:pgMar w:top="1440" w:right="1077" w:bottom="1440" w:left="1077" w:header="851" w:footer="992" w:gutter="0"/>
          <w:cols w:space="720" w:num="1"/>
          <w:docGrid w:type="lines" w:linePitch="312" w:charSpace="0"/>
        </w:sectPr>
      </w:pPr>
    </w:p>
    <w:p w14:paraId="49C219B9">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第一部分 项目背景</w:t>
      </w:r>
    </w:p>
    <w:p w14:paraId="3661A367">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一、项目概况</w:t>
      </w:r>
    </w:p>
    <w:p w14:paraId="5AC66E0C">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项目名称：</w:t>
      </w:r>
      <w:r>
        <w:rPr>
          <w:rFonts w:hint="eastAsia" w:ascii="仿宋_GB2312" w:hAnsi="宋体" w:eastAsia="仿宋_GB2312"/>
          <w:color w:val="auto"/>
          <w:sz w:val="28"/>
          <w:szCs w:val="21"/>
          <w:highlight w:val="none"/>
          <w:lang w:eastAsia="zh-CN"/>
        </w:rPr>
        <w:t>路沿石、人行道板采购</w:t>
      </w:r>
    </w:p>
    <w:p w14:paraId="0978B514">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项目编号：</w:t>
      </w:r>
      <w:r>
        <w:rPr>
          <w:rFonts w:hint="eastAsia" w:ascii="仿宋_GB2312" w:hAnsi="宋体" w:eastAsia="仿宋_GB2312"/>
          <w:color w:val="auto"/>
          <w:sz w:val="28"/>
          <w:szCs w:val="21"/>
          <w:highlight w:val="none"/>
          <w:lang w:eastAsia="zh-CN"/>
        </w:rPr>
        <w:t>WHJX-ZB-2026-030</w:t>
      </w:r>
    </w:p>
    <w:p w14:paraId="76C77743">
      <w:pPr>
        <w:spacing w:line="560" w:lineRule="exact"/>
        <w:ind w:firstLine="560" w:firstLineChars="200"/>
        <w:rPr>
          <w:rFonts w:hint="default" w:ascii="仿宋_GB2312" w:hAnsi="宋体" w:eastAsia="仿宋_GB2312"/>
          <w:color w:val="auto"/>
          <w:sz w:val="28"/>
          <w:szCs w:val="21"/>
          <w:highlight w:val="none"/>
          <w:lang w:val="en-US" w:eastAsia="zh-CN"/>
        </w:rPr>
      </w:pPr>
      <w:r>
        <w:rPr>
          <w:rFonts w:hint="eastAsia" w:ascii="仿宋_GB2312" w:hAnsi="宋体" w:eastAsia="仿宋_GB2312"/>
          <w:color w:val="auto"/>
          <w:sz w:val="28"/>
          <w:szCs w:val="21"/>
          <w:highlight w:val="none"/>
        </w:rPr>
        <w:t>项目概况说明：</w:t>
      </w:r>
      <w:r>
        <w:rPr>
          <w:rFonts w:hint="eastAsia" w:ascii="仿宋_GB2312" w:hAnsi="宋体" w:eastAsia="仿宋_GB2312"/>
          <w:color w:val="auto"/>
          <w:sz w:val="28"/>
          <w:szCs w:val="21"/>
          <w:highlight w:val="none"/>
          <w:lang w:val="en-US" w:eastAsia="zh-CN"/>
        </w:rPr>
        <w:t>2026年市政工程路沿石、人行道板采购，人行道板为10*20*6cm透水砖。</w:t>
      </w:r>
    </w:p>
    <w:p w14:paraId="5D372B9E">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二、采购目标</w:t>
      </w:r>
    </w:p>
    <w:p w14:paraId="631E87B6">
      <w:pPr>
        <w:pStyle w:val="67"/>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采购标的需实现的功能或者目标：完成</w:t>
      </w:r>
      <w:r>
        <w:rPr>
          <w:rFonts w:hint="eastAsia" w:ascii="仿宋_GB2312" w:hAnsi="宋体" w:eastAsia="仿宋_GB2312"/>
          <w:color w:val="auto"/>
          <w:szCs w:val="21"/>
          <w:highlight w:val="none"/>
          <w:lang w:eastAsia="zh-CN"/>
        </w:rPr>
        <w:t>路沿石、人行道板采购</w:t>
      </w:r>
      <w:r>
        <w:rPr>
          <w:rFonts w:hint="eastAsia" w:ascii="仿宋_GB2312" w:hAnsi="宋体" w:eastAsia="仿宋_GB2312"/>
          <w:color w:val="auto"/>
          <w:szCs w:val="21"/>
          <w:highlight w:val="none"/>
        </w:rPr>
        <w:t>。</w:t>
      </w:r>
    </w:p>
    <w:p w14:paraId="2549330D">
      <w:pPr>
        <w:spacing w:line="560" w:lineRule="exact"/>
        <w:ind w:firstLine="562" w:firstLineChars="200"/>
        <w:rPr>
          <w:rFonts w:ascii="仿宋_GB2312" w:hAnsi="宋体" w:eastAsia="仿宋_GB2312"/>
          <w:b/>
          <w:color w:val="auto"/>
          <w:sz w:val="28"/>
          <w:szCs w:val="21"/>
          <w:highlight w:val="none"/>
        </w:rPr>
      </w:pPr>
      <w:r>
        <w:rPr>
          <w:rFonts w:hint="eastAsia" w:ascii="黑体" w:hAnsi="黑体" w:eastAsia="黑体"/>
          <w:b/>
          <w:color w:val="auto"/>
          <w:sz w:val="28"/>
          <w:szCs w:val="21"/>
          <w:highlight w:val="none"/>
        </w:rPr>
        <w:t>三、采购预算</w:t>
      </w:r>
    </w:p>
    <w:p w14:paraId="04383CB6">
      <w:pPr>
        <w:pStyle w:val="67"/>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本项目包段的采购预算金额为</w:t>
      </w:r>
      <w:r>
        <w:rPr>
          <w:rFonts w:hint="eastAsia" w:ascii="仿宋_GB2312" w:hAnsi="宋体" w:eastAsia="仿宋_GB2312"/>
          <w:color w:val="auto"/>
          <w:highlight w:val="none"/>
          <w:lang w:eastAsia="zh-CN"/>
        </w:rPr>
        <w:t>A包：路沿石</w:t>
      </w:r>
      <w:r>
        <w:rPr>
          <w:rFonts w:hint="eastAsia" w:ascii="仿宋_GB2312" w:hAnsi="宋体" w:eastAsia="仿宋_GB2312"/>
          <w:color w:val="auto"/>
          <w:highlight w:val="none"/>
          <w:lang w:val="en-US" w:eastAsia="zh-CN"/>
        </w:rPr>
        <w:t>含税价</w:t>
      </w:r>
      <w:r>
        <w:rPr>
          <w:rFonts w:hint="eastAsia" w:ascii="仿宋_GB2312" w:hAnsi="宋体" w:eastAsia="仿宋_GB2312"/>
          <w:color w:val="auto"/>
          <w:highlight w:val="none"/>
          <w:lang w:eastAsia="zh-CN"/>
        </w:rPr>
        <w:t>：15</w:t>
      </w:r>
      <w:r>
        <w:rPr>
          <w:rFonts w:hint="eastAsia" w:ascii="仿宋_GB2312" w:hAnsi="宋体" w:eastAsia="仿宋_GB2312"/>
          <w:color w:val="auto"/>
          <w:highlight w:val="none"/>
          <w:lang w:val="en-US" w:eastAsia="zh-CN"/>
        </w:rPr>
        <w:t>3</w:t>
      </w:r>
      <w:r>
        <w:rPr>
          <w:rFonts w:hint="eastAsia" w:ascii="仿宋_GB2312" w:hAnsi="宋体" w:eastAsia="仿宋_GB2312"/>
          <w:color w:val="auto"/>
          <w:highlight w:val="none"/>
          <w:lang w:eastAsia="zh-CN"/>
        </w:rPr>
        <w:t>0元/m³；B包：人行道板</w:t>
      </w:r>
      <w:r>
        <w:rPr>
          <w:rFonts w:hint="eastAsia" w:ascii="仿宋_GB2312" w:hAnsi="宋体" w:eastAsia="仿宋_GB2312"/>
          <w:color w:val="auto"/>
          <w:highlight w:val="none"/>
          <w:lang w:val="en-US" w:eastAsia="zh-CN"/>
        </w:rPr>
        <w:t>含税价</w:t>
      </w:r>
      <w:r>
        <w:rPr>
          <w:rFonts w:hint="eastAsia" w:ascii="仿宋_GB2312" w:hAnsi="宋体" w:eastAsia="仿宋_GB2312"/>
          <w:color w:val="auto"/>
          <w:highlight w:val="none"/>
          <w:lang w:eastAsia="zh-CN"/>
        </w:rPr>
        <w:t>：</w:t>
      </w:r>
      <w:r>
        <w:rPr>
          <w:rFonts w:hint="eastAsia" w:ascii="仿宋_GB2312" w:hAnsi="宋体" w:eastAsia="仿宋_GB2312"/>
          <w:color w:val="auto"/>
          <w:highlight w:val="none"/>
          <w:lang w:val="en-US" w:eastAsia="zh-CN"/>
        </w:rPr>
        <w:t>57</w:t>
      </w:r>
      <w:r>
        <w:rPr>
          <w:rFonts w:hint="eastAsia" w:ascii="仿宋_GB2312" w:hAnsi="宋体" w:eastAsia="仿宋_GB2312"/>
          <w:color w:val="auto"/>
          <w:highlight w:val="none"/>
          <w:lang w:eastAsia="zh-CN"/>
        </w:rPr>
        <w:t>元/㎡</w:t>
      </w:r>
      <w:r>
        <w:rPr>
          <w:rFonts w:hint="eastAsia" w:ascii="仿宋_GB2312" w:hAnsi="宋体" w:eastAsia="仿宋_GB2312"/>
          <w:color w:val="auto"/>
          <w:highlight w:val="none"/>
        </w:rPr>
        <w:t>。</w:t>
      </w:r>
    </w:p>
    <w:p w14:paraId="7C7DD46D">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四、采购方式</w:t>
      </w:r>
    </w:p>
    <w:p w14:paraId="024B504A">
      <w:pPr>
        <w:pStyle w:val="67"/>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本项目包段采用竞争谈判方式进行采购。</w:t>
      </w:r>
    </w:p>
    <w:p w14:paraId="1E53CF92">
      <w:pPr>
        <w:widowControl/>
        <w:spacing w:line="560" w:lineRule="exact"/>
        <w:ind w:firstLine="643" w:firstLineChars="200"/>
        <w:jc w:val="center"/>
        <w:rPr>
          <w:rFonts w:ascii="楷体_GB2312" w:hAnsi="宋体" w:eastAsia="楷体_GB2312"/>
          <w:b/>
          <w:bCs/>
          <w:color w:val="auto"/>
          <w:kern w:val="44"/>
          <w:sz w:val="32"/>
          <w:szCs w:val="30"/>
          <w:highlight w:val="none"/>
        </w:rPr>
        <w:sectPr>
          <w:headerReference r:id="rId15" w:type="default"/>
          <w:footerReference r:id="rId16" w:type="default"/>
          <w:pgSz w:w="11906" w:h="16838"/>
          <w:pgMar w:top="1440" w:right="1077" w:bottom="1440" w:left="1077" w:header="851" w:footer="992" w:gutter="0"/>
          <w:cols w:space="720" w:num="1"/>
          <w:docGrid w:type="lines" w:linePitch="312" w:charSpace="0"/>
        </w:sectPr>
      </w:pPr>
    </w:p>
    <w:p w14:paraId="104EDFB9">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第二部分 采购清单及技术参数</w:t>
      </w:r>
    </w:p>
    <w:p w14:paraId="3CE971DB">
      <w:pPr>
        <w:pStyle w:val="16"/>
        <w:spacing w:line="560" w:lineRule="exact"/>
        <w:ind w:firstLine="560" w:firstLineChars="200"/>
        <w:rPr>
          <w:rFonts w:ascii="仿宋_GB2312" w:hAnsi="宋体" w:eastAsia="仿宋_GB2312"/>
          <w:color w:val="auto"/>
          <w:szCs w:val="21"/>
          <w:highlight w:val="none"/>
        </w:rPr>
      </w:pPr>
      <w:r>
        <w:rPr>
          <w:rFonts w:hint="eastAsia" w:ascii="仿宋_GB2312" w:hAnsi="宋体" w:eastAsia="仿宋_GB2312"/>
          <w:color w:val="auto"/>
          <w:szCs w:val="21"/>
          <w:highlight w:val="none"/>
        </w:rPr>
        <w:t xml:space="preserve">本项目包段的采购标的物如下，供应商需逐项进行报价： </w:t>
      </w:r>
    </w:p>
    <w:tbl>
      <w:tblPr>
        <w:tblStyle w:val="34"/>
        <w:tblpPr w:leftFromText="180" w:rightFromText="180" w:vertAnchor="text" w:horzAnchor="page" w:tblpX="1634" w:tblpY="1021"/>
        <w:tblOverlap w:val="never"/>
        <w:tblW w:w="136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32"/>
        <w:gridCol w:w="1031"/>
        <w:gridCol w:w="1030"/>
        <w:gridCol w:w="2061"/>
        <w:gridCol w:w="736"/>
        <w:gridCol w:w="737"/>
        <w:gridCol w:w="7287"/>
      </w:tblGrid>
      <w:tr w14:paraId="1D14E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2" w:hRule="atLeast"/>
        </w:trPr>
        <w:tc>
          <w:tcPr>
            <w:tcW w:w="732" w:type="dxa"/>
            <w:shd w:val="clear" w:color="auto" w:fill="D9D9D9"/>
            <w:vAlign w:val="center"/>
          </w:tcPr>
          <w:p w14:paraId="62C1BA7E">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序号</w:t>
            </w:r>
          </w:p>
        </w:tc>
        <w:tc>
          <w:tcPr>
            <w:tcW w:w="1031" w:type="dxa"/>
            <w:shd w:val="clear" w:color="auto" w:fill="D9D9D9"/>
            <w:vAlign w:val="center"/>
          </w:tcPr>
          <w:p w14:paraId="3D1C6F1B">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分类</w:t>
            </w:r>
          </w:p>
        </w:tc>
        <w:tc>
          <w:tcPr>
            <w:tcW w:w="1030" w:type="dxa"/>
            <w:shd w:val="clear" w:color="auto" w:fill="D9D9D9"/>
            <w:vAlign w:val="center"/>
          </w:tcPr>
          <w:p w14:paraId="06DF37E7">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清单</w:t>
            </w:r>
          </w:p>
          <w:p w14:paraId="3C704B45">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分组</w:t>
            </w:r>
          </w:p>
        </w:tc>
        <w:tc>
          <w:tcPr>
            <w:tcW w:w="2061" w:type="dxa"/>
            <w:shd w:val="clear" w:color="auto" w:fill="D9D9D9"/>
            <w:vAlign w:val="center"/>
          </w:tcPr>
          <w:p w14:paraId="3B04724E">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清单名称</w:t>
            </w:r>
          </w:p>
        </w:tc>
        <w:tc>
          <w:tcPr>
            <w:tcW w:w="736" w:type="dxa"/>
            <w:shd w:val="clear" w:color="auto" w:fill="D9D9D9"/>
            <w:vAlign w:val="center"/>
          </w:tcPr>
          <w:p w14:paraId="34A1E4D1">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数量</w:t>
            </w:r>
          </w:p>
        </w:tc>
        <w:tc>
          <w:tcPr>
            <w:tcW w:w="737" w:type="dxa"/>
            <w:shd w:val="clear" w:color="auto" w:fill="D9D9D9"/>
            <w:vAlign w:val="center"/>
          </w:tcPr>
          <w:p w14:paraId="41D3EE88">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单位</w:t>
            </w:r>
          </w:p>
        </w:tc>
        <w:tc>
          <w:tcPr>
            <w:tcW w:w="7287" w:type="dxa"/>
            <w:shd w:val="clear" w:color="auto" w:fill="D9D9D9"/>
            <w:vAlign w:val="center"/>
          </w:tcPr>
          <w:p w14:paraId="7A72B19E">
            <w:pPr>
              <w:jc w:val="center"/>
              <w:rPr>
                <w:rFonts w:ascii="仿宋_GB2312" w:hAnsi="宋体" w:eastAsia="仿宋_GB2312"/>
                <w:b/>
                <w:color w:val="auto"/>
                <w:sz w:val="24"/>
                <w:highlight w:val="none"/>
              </w:rPr>
            </w:pPr>
            <w:r>
              <w:rPr>
                <w:rFonts w:hint="eastAsia" w:ascii="仿宋_GB2312" w:hAnsi="宋体" w:eastAsia="仿宋_GB2312"/>
                <w:b/>
                <w:color w:val="auto"/>
                <w:sz w:val="24"/>
                <w:highlight w:val="none"/>
              </w:rPr>
              <w:t>功能与技术参数</w:t>
            </w:r>
          </w:p>
        </w:tc>
      </w:tr>
      <w:tr w14:paraId="2D991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34" w:hRule="atLeast"/>
        </w:trPr>
        <w:tc>
          <w:tcPr>
            <w:tcW w:w="732" w:type="dxa"/>
            <w:vAlign w:val="center"/>
          </w:tcPr>
          <w:p w14:paraId="471E4BDE">
            <w:pPr>
              <w:jc w:val="center"/>
              <w:rPr>
                <w:rFonts w:ascii="仿宋_GB2312" w:hAnsi="宋体" w:eastAsia="仿宋_GB2312"/>
                <w:color w:val="auto"/>
                <w:sz w:val="24"/>
                <w:highlight w:val="none"/>
              </w:rPr>
            </w:pPr>
            <w:r>
              <w:rPr>
                <w:rFonts w:hint="eastAsia" w:ascii="仿宋_GB2312" w:hAnsi="宋体" w:eastAsia="仿宋_GB2312"/>
                <w:color w:val="auto"/>
                <w:sz w:val="24"/>
                <w:highlight w:val="none"/>
              </w:rPr>
              <w:t>1</w:t>
            </w:r>
          </w:p>
        </w:tc>
        <w:tc>
          <w:tcPr>
            <w:tcW w:w="1031" w:type="dxa"/>
            <w:vAlign w:val="center"/>
          </w:tcPr>
          <w:p w14:paraId="70515AB6">
            <w:pPr>
              <w:jc w:val="center"/>
              <w:rPr>
                <w:rFonts w:ascii="仿宋_GB2312" w:hAnsi="宋体" w:eastAsia="仿宋_GB2312"/>
                <w:color w:val="auto"/>
                <w:sz w:val="24"/>
                <w:highlight w:val="none"/>
              </w:rPr>
            </w:pPr>
            <w:r>
              <w:rPr>
                <w:rFonts w:hint="eastAsia" w:ascii="仿宋_GB2312" w:hAnsi="宋体" w:eastAsia="仿宋_GB2312"/>
                <w:color w:val="auto"/>
                <w:sz w:val="24"/>
                <w:highlight w:val="none"/>
              </w:rPr>
              <w:t>货物</w:t>
            </w:r>
          </w:p>
        </w:tc>
        <w:tc>
          <w:tcPr>
            <w:tcW w:w="1030" w:type="dxa"/>
            <w:vAlign w:val="center"/>
          </w:tcPr>
          <w:p w14:paraId="7C11FADD">
            <w:pPr>
              <w:jc w:val="center"/>
              <w:rPr>
                <w:rFonts w:ascii="仿宋_GB2312" w:hAnsi="宋体" w:eastAsia="仿宋_GB2312"/>
                <w:color w:val="auto"/>
                <w:sz w:val="24"/>
                <w:highlight w:val="none"/>
              </w:rPr>
            </w:pPr>
          </w:p>
        </w:tc>
        <w:tc>
          <w:tcPr>
            <w:tcW w:w="2061" w:type="dxa"/>
            <w:vAlign w:val="center"/>
          </w:tcPr>
          <w:p w14:paraId="58D1EF23">
            <w:pPr>
              <w:jc w:val="center"/>
              <w:rPr>
                <w:rFonts w:ascii="仿宋_GB2312" w:hAnsi="宋体" w:eastAsia="仿宋_GB2312"/>
                <w:color w:val="auto"/>
                <w:sz w:val="24"/>
                <w:highlight w:val="none"/>
              </w:rPr>
            </w:pPr>
            <w:r>
              <w:rPr>
                <w:rFonts w:hint="eastAsia" w:ascii="仿宋_GB2312" w:hAnsi="宋体" w:eastAsia="仿宋_GB2312"/>
                <w:color w:val="auto"/>
                <w:sz w:val="24"/>
                <w:highlight w:val="none"/>
                <w:lang w:eastAsia="zh-CN"/>
              </w:rPr>
              <w:t>路沿石</w:t>
            </w:r>
          </w:p>
        </w:tc>
        <w:tc>
          <w:tcPr>
            <w:tcW w:w="736" w:type="dxa"/>
            <w:vAlign w:val="center"/>
          </w:tcPr>
          <w:p w14:paraId="08CFFF7D">
            <w:pPr>
              <w:jc w:val="center"/>
              <w:rPr>
                <w:rFonts w:hint="eastAsia" w:ascii="仿宋_GB2312" w:hAnsi="宋体" w:eastAsia="仿宋_GB2312"/>
                <w:color w:val="auto"/>
                <w:sz w:val="24"/>
                <w:highlight w:val="none"/>
                <w:lang w:eastAsia="zh-CN"/>
              </w:rPr>
            </w:pPr>
            <w:r>
              <w:rPr>
                <w:rFonts w:hint="eastAsia" w:ascii="仿宋_GB2312" w:hAnsi="宋体" w:eastAsia="仿宋_GB2312"/>
                <w:color w:val="auto"/>
                <w:sz w:val="24"/>
                <w:highlight w:val="none"/>
                <w:lang w:val="en-US" w:eastAsia="zh-CN"/>
              </w:rPr>
              <w:t>1</w:t>
            </w:r>
          </w:p>
        </w:tc>
        <w:tc>
          <w:tcPr>
            <w:tcW w:w="737" w:type="dxa"/>
            <w:vAlign w:val="center"/>
          </w:tcPr>
          <w:p w14:paraId="2E8915DC">
            <w:pPr>
              <w:jc w:val="center"/>
              <w:rPr>
                <w:rFonts w:ascii="仿宋_GB2312" w:hAnsi="宋体" w:eastAsia="仿宋_GB2312"/>
                <w:color w:val="auto"/>
                <w:sz w:val="24"/>
                <w:highlight w:val="none"/>
              </w:rPr>
            </w:pPr>
            <w:r>
              <w:rPr>
                <w:rFonts w:hint="eastAsia" w:ascii="仿宋_GB2312" w:hAnsi="宋体" w:eastAsia="仿宋_GB2312"/>
                <w:color w:val="auto"/>
                <w:sz w:val="24"/>
                <w:highlight w:val="none"/>
                <w:lang w:eastAsia="zh-CN"/>
              </w:rPr>
              <w:t>m³</w:t>
            </w:r>
          </w:p>
        </w:tc>
        <w:tc>
          <w:tcPr>
            <w:tcW w:w="7287" w:type="dxa"/>
            <w:vAlign w:val="center"/>
          </w:tcPr>
          <w:p w14:paraId="5C185C48">
            <w:pPr>
              <w:rPr>
                <w:rFonts w:hint="default" w:ascii="仿宋_GB2312" w:hAnsi="宋体" w:eastAsia="仿宋_GB2312"/>
                <w:color w:val="auto"/>
                <w:sz w:val="24"/>
                <w:highlight w:val="none"/>
                <w:lang w:val="en-US" w:eastAsia="zh-CN"/>
              </w:rPr>
            </w:pPr>
            <w:r>
              <w:rPr>
                <w:rFonts w:hint="eastAsia" w:ascii="仿宋_GB2312" w:hAnsi="宋体" w:eastAsia="仿宋_GB2312"/>
                <w:color w:val="auto"/>
                <w:sz w:val="24"/>
                <w:highlight w:val="none"/>
                <w:lang w:val="en-US" w:eastAsia="zh-CN"/>
              </w:rPr>
              <w:t>详见技术要求</w:t>
            </w:r>
          </w:p>
        </w:tc>
      </w:tr>
    </w:tbl>
    <w:p w14:paraId="0E0D14E2">
      <w:pPr>
        <w:widowControl/>
        <w:spacing w:line="200" w:lineRule="exact"/>
        <w:ind w:firstLine="200" w:firstLineChars="200"/>
        <w:jc w:val="center"/>
        <w:rPr>
          <w:rFonts w:ascii="仿宋_GB2312" w:hAnsi="宋体" w:eastAsia="仿宋_GB2312"/>
          <w:color w:val="auto"/>
          <w:sz w:val="10"/>
          <w:szCs w:val="10"/>
          <w:highlight w:val="none"/>
        </w:rPr>
      </w:pPr>
    </w:p>
    <w:tbl>
      <w:tblPr>
        <w:tblStyle w:val="34"/>
        <w:tblpPr w:leftFromText="180" w:rightFromText="180" w:vertAnchor="text" w:horzAnchor="page" w:tblpX="1551" w:tblpY="3877"/>
        <w:tblOverlap w:val="never"/>
        <w:tblW w:w="136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32"/>
        <w:gridCol w:w="1031"/>
        <w:gridCol w:w="1030"/>
        <w:gridCol w:w="2061"/>
        <w:gridCol w:w="736"/>
        <w:gridCol w:w="737"/>
        <w:gridCol w:w="7287"/>
      </w:tblGrid>
      <w:tr w14:paraId="273DD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2" w:hRule="atLeast"/>
        </w:trPr>
        <w:tc>
          <w:tcPr>
            <w:tcW w:w="732" w:type="dxa"/>
            <w:shd w:val="clear" w:color="auto" w:fill="D9D9D9"/>
            <w:vAlign w:val="center"/>
          </w:tcPr>
          <w:p w14:paraId="0D0AF38B">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序号</w:t>
            </w:r>
          </w:p>
        </w:tc>
        <w:tc>
          <w:tcPr>
            <w:tcW w:w="1031" w:type="dxa"/>
            <w:shd w:val="clear" w:color="auto" w:fill="D9D9D9"/>
            <w:vAlign w:val="center"/>
          </w:tcPr>
          <w:p w14:paraId="0B3AF938">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分类</w:t>
            </w:r>
          </w:p>
        </w:tc>
        <w:tc>
          <w:tcPr>
            <w:tcW w:w="1030" w:type="dxa"/>
            <w:shd w:val="clear" w:color="auto" w:fill="D9D9D9"/>
            <w:vAlign w:val="center"/>
          </w:tcPr>
          <w:p w14:paraId="2A3466E7">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清单</w:t>
            </w:r>
          </w:p>
          <w:p w14:paraId="3181D62E">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分组</w:t>
            </w:r>
          </w:p>
        </w:tc>
        <w:tc>
          <w:tcPr>
            <w:tcW w:w="2061" w:type="dxa"/>
            <w:shd w:val="clear" w:color="auto" w:fill="D9D9D9"/>
            <w:vAlign w:val="center"/>
          </w:tcPr>
          <w:p w14:paraId="0D3CE8BD">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清单名称</w:t>
            </w:r>
          </w:p>
        </w:tc>
        <w:tc>
          <w:tcPr>
            <w:tcW w:w="736" w:type="dxa"/>
            <w:shd w:val="clear" w:color="auto" w:fill="D9D9D9"/>
            <w:vAlign w:val="center"/>
          </w:tcPr>
          <w:p w14:paraId="09CF083A">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数量</w:t>
            </w:r>
          </w:p>
        </w:tc>
        <w:tc>
          <w:tcPr>
            <w:tcW w:w="737" w:type="dxa"/>
            <w:shd w:val="clear" w:color="auto" w:fill="D9D9D9"/>
            <w:vAlign w:val="center"/>
          </w:tcPr>
          <w:p w14:paraId="3D8FEA29">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单位</w:t>
            </w:r>
          </w:p>
        </w:tc>
        <w:tc>
          <w:tcPr>
            <w:tcW w:w="7287" w:type="dxa"/>
            <w:shd w:val="clear" w:color="auto" w:fill="D9D9D9"/>
            <w:vAlign w:val="center"/>
          </w:tcPr>
          <w:p w14:paraId="66FAAA18">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功能与技术参数</w:t>
            </w:r>
          </w:p>
        </w:tc>
      </w:tr>
      <w:tr w14:paraId="6DC5E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34" w:hRule="atLeast"/>
        </w:trPr>
        <w:tc>
          <w:tcPr>
            <w:tcW w:w="732" w:type="dxa"/>
            <w:vAlign w:val="center"/>
          </w:tcPr>
          <w:p w14:paraId="00D5877A">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rPr>
              <w:t>1</w:t>
            </w:r>
          </w:p>
        </w:tc>
        <w:tc>
          <w:tcPr>
            <w:tcW w:w="1031" w:type="dxa"/>
            <w:vAlign w:val="center"/>
          </w:tcPr>
          <w:p w14:paraId="5B5300C9">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rPr>
              <w:t>货物</w:t>
            </w:r>
          </w:p>
        </w:tc>
        <w:tc>
          <w:tcPr>
            <w:tcW w:w="1030" w:type="dxa"/>
            <w:vAlign w:val="center"/>
          </w:tcPr>
          <w:p w14:paraId="40B6D132">
            <w:pPr>
              <w:jc w:val="center"/>
              <w:rPr>
                <w:rFonts w:ascii="仿宋_GB2312" w:hAnsi="宋体" w:eastAsia="仿宋_GB2312" w:cs="Times New Roman"/>
                <w:color w:val="auto"/>
                <w:sz w:val="24"/>
                <w:highlight w:val="none"/>
              </w:rPr>
            </w:pPr>
          </w:p>
        </w:tc>
        <w:tc>
          <w:tcPr>
            <w:tcW w:w="2061" w:type="dxa"/>
            <w:vAlign w:val="center"/>
          </w:tcPr>
          <w:p w14:paraId="75FDEFFD">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lang w:eastAsia="zh-CN"/>
              </w:rPr>
              <w:t>人行道板</w:t>
            </w:r>
          </w:p>
        </w:tc>
        <w:tc>
          <w:tcPr>
            <w:tcW w:w="736" w:type="dxa"/>
            <w:vAlign w:val="center"/>
          </w:tcPr>
          <w:p w14:paraId="4CC6ACC7">
            <w:pPr>
              <w:jc w:val="center"/>
              <w:rPr>
                <w:rFonts w:hint="eastAsia" w:ascii="仿宋_GB2312" w:hAnsi="宋体" w:eastAsia="仿宋_GB2312" w:cs="Times New Roman"/>
                <w:color w:val="auto"/>
                <w:sz w:val="24"/>
                <w:highlight w:val="none"/>
                <w:lang w:eastAsia="zh-CN"/>
              </w:rPr>
            </w:pPr>
            <w:r>
              <w:rPr>
                <w:rFonts w:hint="eastAsia" w:ascii="仿宋_GB2312" w:hAnsi="宋体" w:eastAsia="仿宋_GB2312" w:cs="Times New Roman"/>
                <w:color w:val="auto"/>
                <w:sz w:val="24"/>
                <w:highlight w:val="none"/>
                <w:lang w:val="en-US" w:eastAsia="zh-CN"/>
              </w:rPr>
              <w:t>1</w:t>
            </w:r>
          </w:p>
        </w:tc>
        <w:tc>
          <w:tcPr>
            <w:tcW w:w="737" w:type="dxa"/>
            <w:vAlign w:val="center"/>
          </w:tcPr>
          <w:p w14:paraId="44C14EF2">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lang w:eastAsia="zh-CN"/>
              </w:rPr>
              <w:t>㎡</w:t>
            </w:r>
          </w:p>
        </w:tc>
        <w:tc>
          <w:tcPr>
            <w:tcW w:w="7287" w:type="dxa"/>
            <w:vAlign w:val="center"/>
          </w:tcPr>
          <w:p w14:paraId="74BDBA67">
            <w:pP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lang w:val="en-US" w:eastAsia="zh-CN"/>
              </w:rPr>
              <w:t>详见技术要求</w:t>
            </w:r>
          </w:p>
        </w:tc>
      </w:tr>
    </w:tbl>
    <w:p w14:paraId="2284E651">
      <w:pPr>
        <w:widowControl/>
        <w:spacing w:line="560" w:lineRule="exact"/>
        <w:ind w:firstLine="560" w:firstLineChars="200"/>
        <w:jc w:val="left"/>
        <w:rPr>
          <w:rFonts w:hint="eastAsia" w:ascii="仿宋_GB2312" w:hAnsi="宋体" w:eastAsia="仿宋_GB2312"/>
          <w:color w:val="auto"/>
          <w:sz w:val="28"/>
          <w:szCs w:val="21"/>
          <w:highlight w:val="none"/>
          <w:lang w:val="en-US" w:eastAsia="zh-CN"/>
        </w:rPr>
      </w:pPr>
      <w:r>
        <w:rPr>
          <w:rFonts w:hint="eastAsia" w:ascii="仿宋_GB2312" w:hAnsi="宋体" w:eastAsia="仿宋_GB2312"/>
          <w:color w:val="auto"/>
          <w:sz w:val="28"/>
          <w:szCs w:val="21"/>
          <w:highlight w:val="none"/>
          <w:lang w:val="en-US" w:eastAsia="zh-CN"/>
        </w:rPr>
        <w:t>A包</w:t>
      </w:r>
    </w:p>
    <w:p w14:paraId="7EAB16CF">
      <w:pPr>
        <w:widowControl/>
        <w:spacing w:line="560" w:lineRule="exact"/>
        <w:ind w:firstLine="643" w:firstLineChars="200"/>
        <w:jc w:val="center"/>
        <w:rPr>
          <w:rFonts w:ascii="楷体_GB2312" w:hAnsi="宋体" w:eastAsia="楷体_GB2312"/>
          <w:b/>
          <w:bCs/>
          <w:color w:val="auto"/>
          <w:kern w:val="44"/>
          <w:sz w:val="32"/>
          <w:szCs w:val="30"/>
          <w:highlight w:val="none"/>
        </w:rPr>
      </w:pPr>
    </w:p>
    <w:p w14:paraId="2F2BC02C">
      <w:pPr>
        <w:bidi w:val="0"/>
        <w:rPr>
          <w:rFonts w:ascii="Times New Roman" w:hAnsi="Times New Roman" w:eastAsia="宋体" w:cs="Times New Roman"/>
          <w:color w:val="auto"/>
          <w:kern w:val="2"/>
          <w:sz w:val="21"/>
          <w:szCs w:val="22"/>
          <w:highlight w:val="none"/>
          <w:lang w:val="en-US" w:eastAsia="zh-CN" w:bidi="ar-SA"/>
        </w:rPr>
      </w:pPr>
    </w:p>
    <w:p w14:paraId="035F541B">
      <w:pPr>
        <w:widowControl/>
        <w:spacing w:line="560" w:lineRule="exact"/>
        <w:ind w:firstLine="560" w:firstLineChars="200"/>
        <w:jc w:val="left"/>
        <w:rPr>
          <w:rFonts w:hint="default" w:ascii="仿宋_GB2312" w:hAnsi="宋体" w:eastAsia="仿宋_GB2312" w:cs="Times New Roman"/>
          <w:color w:val="auto"/>
          <w:sz w:val="28"/>
          <w:szCs w:val="21"/>
          <w:highlight w:val="none"/>
          <w:lang w:val="en-US" w:eastAsia="zh-CN"/>
        </w:rPr>
        <w:sectPr>
          <w:pgSz w:w="16838" w:h="11906" w:orient="landscape"/>
          <w:pgMar w:top="1077" w:right="1440" w:bottom="1077" w:left="1440" w:header="851" w:footer="992" w:gutter="0"/>
          <w:cols w:space="720" w:num="1"/>
          <w:docGrid w:type="lines" w:linePitch="312" w:charSpace="0"/>
        </w:sectPr>
      </w:pPr>
      <w:r>
        <w:rPr>
          <w:rFonts w:hint="eastAsia" w:ascii="仿宋_GB2312" w:hAnsi="宋体" w:eastAsia="仿宋_GB2312" w:cs="Times New Roman"/>
          <w:color w:val="auto"/>
          <w:sz w:val="28"/>
          <w:szCs w:val="21"/>
          <w:highlight w:val="none"/>
          <w:lang w:val="en-US" w:eastAsia="zh-CN"/>
        </w:rPr>
        <w:t>B包</w:t>
      </w:r>
    </w:p>
    <w:p w14:paraId="0496F2FF">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第三部分 技术要求</w:t>
      </w:r>
    </w:p>
    <w:p w14:paraId="2DF4D46A">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一、需执行的标准</w:t>
      </w:r>
    </w:p>
    <w:p w14:paraId="2485ADB1">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1）国家相关标准：按照国家最新标准执行  </w:t>
      </w:r>
    </w:p>
    <w:p w14:paraId="37652835">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2）行业标准：按照行业最新标准执行  </w:t>
      </w:r>
    </w:p>
    <w:p w14:paraId="3EC448FA">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3）地方标准：按照地方最新标准执行  </w:t>
      </w:r>
    </w:p>
    <w:p w14:paraId="0B3082DA">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4）其他标准：按照最新标准执行</w:t>
      </w:r>
    </w:p>
    <w:p w14:paraId="5F18AB7A">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二、实施及交付</w:t>
      </w:r>
    </w:p>
    <w:p w14:paraId="6B31C7AD">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1）质量要求</w:t>
      </w:r>
    </w:p>
    <w:p w14:paraId="6FC63580">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合格  </w:t>
      </w:r>
    </w:p>
    <w:p w14:paraId="21FF60DE">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2）安全要求</w:t>
      </w:r>
    </w:p>
    <w:p w14:paraId="5D33F7BE">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 使用安全、可靠   </w:t>
      </w:r>
    </w:p>
    <w:p w14:paraId="2DB41EB9">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3）服务期</w:t>
      </w:r>
    </w:p>
    <w:p w14:paraId="720B6BDB">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自合同签订之日起2年</w:t>
      </w:r>
    </w:p>
    <w:p w14:paraId="3B35A9CB">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4）交付（实施）地点</w:t>
      </w:r>
    </w:p>
    <w:p w14:paraId="14BFA6B1">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采购人指定地点 </w:t>
      </w:r>
    </w:p>
    <w:p w14:paraId="176A94E4">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5）付款方式</w:t>
      </w:r>
    </w:p>
    <w:p w14:paraId="65819BC3">
      <w:pPr>
        <w:spacing w:line="560" w:lineRule="exact"/>
        <w:ind w:firstLine="560" w:firstLineChars="200"/>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A包：</w:t>
      </w:r>
      <w:r>
        <w:rPr>
          <w:rFonts w:hint="eastAsia" w:ascii="仿宋_GB2312" w:hAnsi="宋体" w:eastAsia="仿宋_GB2312"/>
          <w:color w:val="auto"/>
          <w:sz w:val="28"/>
          <w:szCs w:val="28"/>
          <w:highlight w:val="none"/>
          <w:lang w:eastAsia="zh-CN"/>
        </w:rPr>
        <w:t>本项目无预付款，付款时限依甲方内部财务状况而定，</w:t>
      </w:r>
      <w:r>
        <w:rPr>
          <w:rFonts w:hint="eastAsia" w:ascii="仿宋_GB2312" w:hAnsi="宋体" w:eastAsia="仿宋_GB2312"/>
          <w:color w:val="auto"/>
          <w:sz w:val="28"/>
          <w:szCs w:val="28"/>
          <w:highlight w:val="none"/>
          <w:lang w:val="en-US" w:eastAsia="zh-CN"/>
        </w:rPr>
        <w:t>乙方需按照甲方要求的规格型号进行加工并及时运送至甲方指定地点，不得以未结算货款为由终止材料供应，由此对甲方造成的损失，由乙方承担。</w:t>
      </w:r>
      <w:r>
        <w:rPr>
          <w:rFonts w:hint="eastAsia" w:ascii="仿宋_GB2312" w:hAnsi="宋体" w:eastAsia="仿宋_GB2312"/>
          <w:color w:val="auto"/>
          <w:sz w:val="28"/>
          <w:szCs w:val="28"/>
          <w:highlight w:val="none"/>
        </w:rPr>
        <w:t>结算货款前</w:t>
      </w:r>
      <w:r>
        <w:rPr>
          <w:rFonts w:hint="eastAsia" w:ascii="仿宋_GB2312" w:hAnsi="宋体" w:eastAsia="仿宋_GB2312"/>
          <w:color w:val="auto"/>
          <w:sz w:val="28"/>
          <w:szCs w:val="28"/>
          <w:highlight w:val="none"/>
          <w:lang w:val="en-US" w:eastAsia="zh-CN"/>
        </w:rPr>
        <w:t>乙方</w:t>
      </w:r>
      <w:r>
        <w:rPr>
          <w:rFonts w:hint="eastAsia" w:ascii="仿宋_GB2312" w:hAnsi="宋体" w:eastAsia="仿宋_GB2312"/>
          <w:color w:val="auto"/>
          <w:sz w:val="28"/>
          <w:szCs w:val="28"/>
          <w:highlight w:val="none"/>
        </w:rPr>
        <w:t>需提供合法有效增值税专用发票</w:t>
      </w:r>
      <w:r>
        <w:rPr>
          <w:rFonts w:hint="eastAsia" w:ascii="仿宋_GB2312" w:hAnsi="宋体" w:eastAsia="仿宋_GB2312"/>
          <w:color w:val="auto"/>
          <w:sz w:val="28"/>
          <w:szCs w:val="28"/>
          <w:highlight w:val="none"/>
          <w:lang w:eastAsia="zh-CN"/>
        </w:rPr>
        <w:t>。</w:t>
      </w:r>
    </w:p>
    <w:p w14:paraId="2C078DC8">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8"/>
          <w:highlight w:val="none"/>
          <w:lang w:val="en-US" w:eastAsia="zh-CN"/>
        </w:rPr>
        <w:t>B包：本项目无预付款，付款时限依甲方内部财务状况而定，乙方需按照甲方要求及时提供所需材料，不得以未结算货款为由终止材料供应，由此对甲方造成的损失，由乙方承担。结算货款前乙方需提供合法有效增值税专用发票。人行道板最终数量的结算以甲方施工实际测量面积为准，损耗、损坏及丢失部分不包含在内。</w:t>
      </w:r>
    </w:p>
    <w:p w14:paraId="47F4B30C">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三、服务要求</w:t>
      </w:r>
    </w:p>
    <w:p w14:paraId="03852DFA">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1）服务标准</w:t>
      </w:r>
    </w:p>
    <w:p w14:paraId="274172D0">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在规定的期限内，保质保量完成供货任务。  </w:t>
      </w:r>
    </w:p>
    <w:p w14:paraId="4827E118">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四、验收标准</w:t>
      </w:r>
    </w:p>
    <w:p w14:paraId="3CF3357A">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8"/>
          <w:highlight w:val="none"/>
        </w:rPr>
        <w:t xml:space="preserve">符合相关技术要求及行业标准。 </w:t>
      </w:r>
      <w:r>
        <w:rPr>
          <w:rFonts w:hint="eastAsia" w:ascii="仿宋_GB2312" w:hAnsi="宋体" w:eastAsia="仿宋_GB2312"/>
          <w:color w:val="auto"/>
          <w:sz w:val="28"/>
          <w:szCs w:val="21"/>
          <w:highlight w:val="none"/>
        </w:rPr>
        <w:t xml:space="preserve"> </w:t>
      </w:r>
    </w:p>
    <w:p w14:paraId="59576867">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五、其他技术及服务要求</w:t>
      </w:r>
    </w:p>
    <w:p w14:paraId="094D2484">
      <w:pPr>
        <w:spacing w:line="560" w:lineRule="exact"/>
        <w:ind w:firstLine="560" w:firstLineChars="2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无</w:t>
      </w:r>
    </w:p>
    <w:p w14:paraId="6F7EA169">
      <w:pPr>
        <w:spacing w:line="560" w:lineRule="exact"/>
        <w:ind w:firstLine="562" w:firstLineChars="200"/>
        <w:rPr>
          <w:rFonts w:ascii="仿宋_GB2312" w:hAnsi="宋体" w:eastAsia="仿宋_GB2312"/>
          <w:b/>
          <w:color w:val="auto"/>
          <w:sz w:val="28"/>
          <w:szCs w:val="21"/>
          <w:highlight w:val="none"/>
        </w:rPr>
      </w:pPr>
      <w:r>
        <w:rPr>
          <w:rFonts w:hint="eastAsia" w:ascii="黑体" w:hAnsi="黑体" w:eastAsia="黑体"/>
          <w:b/>
          <w:color w:val="auto"/>
          <w:sz w:val="28"/>
          <w:szCs w:val="21"/>
          <w:highlight w:val="none"/>
        </w:rPr>
        <w:t xml:space="preserve">六、联系方式 </w:t>
      </w:r>
    </w:p>
    <w:p w14:paraId="68032198">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采购人：</w:t>
      </w:r>
      <w:r>
        <w:rPr>
          <w:rFonts w:ascii="仿宋_GB2312" w:hAnsi="宋体" w:eastAsia="仿宋_GB2312"/>
          <w:color w:val="auto"/>
          <w:sz w:val="28"/>
          <w:szCs w:val="21"/>
          <w:highlight w:val="none"/>
        </w:rPr>
        <w:t xml:space="preserve"> </w:t>
      </w:r>
      <w:r>
        <w:rPr>
          <w:rFonts w:hint="eastAsia" w:ascii="仿宋_GB2312" w:hAnsi="宋体" w:eastAsia="仿宋_GB2312"/>
          <w:color w:val="auto"/>
          <w:sz w:val="28"/>
          <w:szCs w:val="21"/>
          <w:highlight w:val="none"/>
          <w:lang w:eastAsia="zh-CN"/>
        </w:rPr>
        <w:t>乳山市市政建设工程有限公司</w:t>
      </w:r>
    </w:p>
    <w:p w14:paraId="5B2CA626">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采购人地址：</w:t>
      </w:r>
      <w:r>
        <w:rPr>
          <w:rFonts w:hint="eastAsia" w:ascii="仿宋_GB2312" w:hAnsi="宋体" w:eastAsia="仿宋_GB2312"/>
          <w:color w:val="auto"/>
          <w:sz w:val="28"/>
          <w:szCs w:val="21"/>
          <w:highlight w:val="none"/>
          <w:lang w:eastAsia="zh-CN"/>
        </w:rPr>
        <w:t>山东省威海市乳山市深圳路8号</w:t>
      </w:r>
    </w:p>
    <w:p w14:paraId="5AEEE927">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联系人：</w:t>
      </w:r>
      <w:r>
        <w:rPr>
          <w:rFonts w:hint="eastAsia" w:ascii="仿宋_GB2312" w:hAnsi="宋体" w:eastAsia="仿宋_GB2312"/>
          <w:color w:val="auto"/>
          <w:sz w:val="28"/>
          <w:szCs w:val="21"/>
          <w:highlight w:val="none"/>
          <w:lang w:eastAsia="zh-CN"/>
        </w:rPr>
        <w:t>任康辉</w:t>
      </w:r>
    </w:p>
    <w:p w14:paraId="1A7365D8">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联系电话：</w:t>
      </w:r>
      <w:r>
        <w:rPr>
          <w:rFonts w:hint="eastAsia" w:ascii="仿宋_GB2312" w:hAnsi="宋体" w:eastAsia="仿宋_GB2312"/>
          <w:color w:val="auto"/>
          <w:sz w:val="28"/>
          <w:szCs w:val="21"/>
          <w:highlight w:val="none"/>
          <w:lang w:eastAsia="zh-CN"/>
        </w:rPr>
        <w:t>18561278337</w:t>
      </w:r>
    </w:p>
    <w:p w14:paraId="5816DFCA">
      <w:pPr>
        <w:rPr>
          <w:color w:val="auto"/>
          <w:highlight w:val="none"/>
        </w:rPr>
        <w:sectPr>
          <w:pgSz w:w="11906" w:h="16838"/>
          <w:pgMar w:top="1440" w:right="1077" w:bottom="1440" w:left="1077" w:header="851" w:footer="992" w:gutter="0"/>
          <w:cols w:space="720" w:num="1"/>
          <w:docGrid w:type="lines" w:linePitch="312" w:charSpace="0"/>
        </w:sectPr>
      </w:pPr>
    </w:p>
    <w:p w14:paraId="00943DCD">
      <w:pPr>
        <w:pStyle w:val="32"/>
        <w:spacing w:before="100" w:beforeAutospacing="1" w:after="100" w:afterAutospacing="1" w:line="415" w:lineRule="auto"/>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第四章 竞争谈判原则、程序和方法</w:t>
      </w:r>
    </w:p>
    <w:p w14:paraId="521386C9">
      <w:pPr>
        <w:spacing w:line="720" w:lineRule="auto"/>
        <w:ind w:firstLine="562" w:firstLineChars="200"/>
        <w:rPr>
          <w:rFonts w:ascii="楷体_GB2312" w:eastAsia="楷体_GB2312"/>
          <w:b/>
          <w:color w:val="auto"/>
          <w:sz w:val="28"/>
          <w:szCs w:val="28"/>
          <w:highlight w:val="none"/>
        </w:rPr>
      </w:pPr>
      <w:r>
        <w:rPr>
          <w:rFonts w:hint="eastAsia" w:ascii="楷体_GB2312" w:eastAsia="楷体_GB2312"/>
          <w:b/>
          <w:color w:val="auto"/>
          <w:sz w:val="28"/>
          <w:szCs w:val="28"/>
          <w:highlight w:val="none"/>
        </w:rPr>
        <w:t>一、评审原则</w:t>
      </w:r>
    </w:p>
    <w:p w14:paraId="5226B86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“客观、公正、审慎”为本次评审的基本原则，评审小组将按照这一原则的要求，公正、平等地对待各报价供应商，同时，在评审时恪守以下原则：</w:t>
      </w:r>
    </w:p>
    <w:p w14:paraId="327CC4C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1.客观性原则：评审小组将严格按照竞争谈判文件的要求，对报价供应商的响应文件进行认真评审，评审小组对响应文件的评审仅依据响应文件本身，而不依靠响应文件以外的任何因素。</w:t>
      </w:r>
    </w:p>
    <w:p w14:paraId="7796923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2.统一性原则：评审小组将按照统一的评审原则和评审方法，采用统一标准进行评审。</w:t>
      </w:r>
    </w:p>
    <w:p w14:paraId="6674F69D">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3.独立性原则：评审工作在评审小组内部独立进行，不受外界任何因素的干扰和影响。</w:t>
      </w:r>
    </w:p>
    <w:p w14:paraId="3025D7C0">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4.保密性原则：评审小组及熟知情况的有关工作人员必须对每位评委的评审意见和报价供应商的商业秘密严格保密。</w:t>
      </w:r>
    </w:p>
    <w:p w14:paraId="36D2BE1D">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5.综合性原则：评审小组将综合分析、评审报价供应商的各项指标。</w:t>
      </w:r>
    </w:p>
    <w:p w14:paraId="4DD41E73">
      <w:pPr>
        <w:spacing w:line="720" w:lineRule="auto"/>
        <w:ind w:firstLine="562" w:firstLineChars="200"/>
        <w:rPr>
          <w:rFonts w:ascii="楷体_GB2312" w:eastAsia="楷体_GB2312"/>
          <w:b/>
          <w:color w:val="auto"/>
          <w:sz w:val="28"/>
          <w:szCs w:val="28"/>
          <w:highlight w:val="none"/>
        </w:rPr>
      </w:pPr>
      <w:r>
        <w:rPr>
          <w:rFonts w:hint="eastAsia" w:ascii="楷体_GB2312" w:eastAsia="楷体_GB2312"/>
          <w:b/>
          <w:color w:val="auto"/>
          <w:sz w:val="28"/>
          <w:szCs w:val="28"/>
          <w:highlight w:val="none"/>
        </w:rPr>
        <w:t>二、评审程序</w:t>
      </w:r>
    </w:p>
    <w:p w14:paraId="5DA0F94B">
      <w:pPr>
        <w:spacing w:before="156" w:beforeLines="50" w:line="520" w:lineRule="exact"/>
        <w:rPr>
          <w:rFonts w:ascii="仿宋_GB2312" w:hAnsi="宋体" w:eastAsia="仿宋_GB2312"/>
          <w:b/>
          <w:color w:val="auto"/>
          <w:sz w:val="28"/>
          <w:szCs w:val="21"/>
          <w:highlight w:val="none"/>
        </w:rPr>
      </w:pPr>
      <w:r>
        <w:rPr>
          <w:rFonts w:hint="eastAsia" w:ascii="仿宋_GB2312" w:hAnsi="宋体" w:eastAsia="仿宋_GB2312"/>
          <w:b/>
          <w:color w:val="auto"/>
          <w:sz w:val="28"/>
          <w:szCs w:val="21"/>
          <w:highlight w:val="none"/>
        </w:rPr>
        <w:t>（一）竞争谈判程序</w:t>
      </w:r>
    </w:p>
    <w:p w14:paraId="03889215">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1.评审小组将按照竞争谈判文件的规定对响应文件进行有效性、完整性和响应程度审查，以确定响应文件的实质性响应。</w:t>
      </w:r>
    </w:p>
    <w:p w14:paraId="2958EF5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2.出现下列情形之一的，视为对竞争谈判文件未做出实质性响应，按照无效报价处理。</w:t>
      </w:r>
    </w:p>
    <w:p w14:paraId="53E1DF66">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详见《响应须知前附表》-《实质性条款一览表》</w:t>
      </w:r>
    </w:p>
    <w:p w14:paraId="1B443841">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3.属于无效报价的，报价供应商不能通过修正或撤消响应文件中不符合之处而成为实质性响应的报价，采购代理将通知报价供应商，并说明无效报价理由。属于有效响应文件的，将进行下一轮此的询标和澄清。</w:t>
      </w:r>
    </w:p>
    <w:p w14:paraId="232ED42E">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4.澄清、说明或者补正</w:t>
      </w:r>
    </w:p>
    <w:p w14:paraId="568EB5E3">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对有效响应文件中含义不明确、同类问题前后表述不一致或者有明显文字和计算错误的内容，评审小组可以书面形式要求报价供应商在规定的时间内做出必要的澄清、说明或者纠正，报价供应商应在要求的时间内以书面形式澄清、说明或者补正,并由其法定代表人或被授权人签字，且不得超出响应文件的范围或者改变响应文件的实质性内容。</w:t>
      </w:r>
    </w:p>
    <w:p w14:paraId="3BE4A2C0">
      <w:pPr>
        <w:spacing w:line="520" w:lineRule="exact"/>
        <w:ind w:firstLine="560" w:firstLineChars="200"/>
        <w:rPr>
          <w:rFonts w:ascii="宋体" w:hAnsi="宋体"/>
          <w:color w:val="auto"/>
          <w:sz w:val="24"/>
          <w:szCs w:val="21"/>
          <w:highlight w:val="none"/>
        </w:rPr>
      </w:pPr>
      <w:r>
        <w:rPr>
          <w:rFonts w:hint="eastAsia" w:ascii="仿宋_GB2312" w:hAnsi="宋体" w:eastAsia="仿宋_GB2312"/>
          <w:color w:val="auto"/>
          <w:sz w:val="28"/>
          <w:szCs w:val="21"/>
          <w:highlight w:val="none"/>
        </w:rPr>
        <w:t>（2）报价供应商依据评审要求进行澄清、说明或者补正的内容构成响应文件的组成部分。</w:t>
      </w:r>
    </w:p>
    <w:p w14:paraId="4D447F0F">
      <w:pPr>
        <w:spacing w:before="156" w:beforeLines="50" w:line="520" w:lineRule="exact"/>
        <w:rPr>
          <w:rFonts w:ascii="仿宋_GB2312" w:hAnsi="宋体" w:eastAsia="仿宋_GB2312"/>
          <w:b/>
          <w:color w:val="auto"/>
          <w:sz w:val="28"/>
          <w:szCs w:val="21"/>
          <w:highlight w:val="none"/>
        </w:rPr>
      </w:pPr>
      <w:r>
        <w:rPr>
          <w:rFonts w:hint="eastAsia" w:ascii="仿宋_GB2312" w:hAnsi="宋体" w:eastAsia="仿宋_GB2312"/>
          <w:b/>
          <w:color w:val="auto"/>
          <w:sz w:val="28"/>
          <w:szCs w:val="21"/>
          <w:highlight w:val="none"/>
        </w:rPr>
        <w:t>（二）竞争谈判、优化方案</w:t>
      </w:r>
    </w:p>
    <w:p w14:paraId="57CB3E16">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（1）评审小组所有成员应当集中与单一供应商分别进行竞争谈判，并给予所有参加竞争谈判的供应商平等的竞争谈判机会。</w:t>
      </w:r>
    </w:p>
    <w:p w14:paraId="2B19B17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评审小组根据项目的实际需要，评审小组可以就采购项目的质量、性能、竞争谈判文件要求的其他指标的采购因素以及内容细节予以沟通协商，但不得变动响应文件中的实质性内容。供应商的响应应以书面答复，该答复将构成响应文件的组成部分。</w:t>
      </w:r>
    </w:p>
    <w:p w14:paraId="13B9725B">
      <w:pPr>
        <w:spacing w:before="156" w:beforeLines="50" w:line="520" w:lineRule="exact"/>
        <w:rPr>
          <w:rFonts w:ascii="仿宋_GB2312" w:hAnsi="宋体" w:eastAsia="仿宋_GB2312"/>
          <w:b/>
          <w:color w:val="auto"/>
          <w:sz w:val="28"/>
          <w:szCs w:val="21"/>
          <w:highlight w:val="none"/>
        </w:rPr>
      </w:pPr>
      <w:r>
        <w:rPr>
          <w:rFonts w:hint="eastAsia" w:ascii="仿宋_GB2312" w:hAnsi="宋体" w:eastAsia="仿宋_GB2312"/>
          <w:b/>
          <w:color w:val="auto"/>
          <w:sz w:val="28"/>
          <w:szCs w:val="21"/>
          <w:highlight w:val="none"/>
        </w:rPr>
        <w:t>（三）最后报价</w:t>
      </w:r>
    </w:p>
    <w:p w14:paraId="4C64BDE9">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（1）供应商根据沟通协商后的优化方案，在规定的时间内进行最终报价，并由其法定代表人或被授权人签字或者加盖公章。</w:t>
      </w:r>
    </w:p>
    <w:p w14:paraId="4FD67DF8">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（2）最终报价是报价供应商响应文件的有效组成部分。</w:t>
      </w:r>
    </w:p>
    <w:p w14:paraId="72AB6344">
      <w:pPr>
        <w:spacing w:line="720" w:lineRule="auto"/>
        <w:ind w:firstLine="562" w:firstLineChars="200"/>
        <w:rPr>
          <w:rFonts w:ascii="楷体_GB2312" w:eastAsia="楷体_GB2312"/>
          <w:b/>
          <w:color w:val="auto"/>
          <w:sz w:val="28"/>
          <w:szCs w:val="28"/>
          <w:highlight w:val="none"/>
        </w:rPr>
      </w:pPr>
      <w:r>
        <w:rPr>
          <w:rFonts w:hint="eastAsia" w:ascii="楷体_GB2312" w:eastAsia="楷体_GB2312"/>
          <w:b/>
          <w:color w:val="auto"/>
          <w:sz w:val="28"/>
          <w:szCs w:val="28"/>
          <w:highlight w:val="none"/>
        </w:rPr>
        <w:t>三、评审方法</w:t>
      </w:r>
    </w:p>
    <w:p w14:paraId="340C0F2E">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（1）评审方法：综合评分法，即报价供应商的响应文件满足竞争谈判文件全部实质性要求，且按评审因素的量化指标评审得分最高的供应商为成交候选供应商的评审方法。</w:t>
      </w:r>
    </w:p>
    <w:p w14:paraId="4DAF2BB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（2）评审细则：</w:t>
      </w:r>
    </w:p>
    <w:tbl>
      <w:tblPr>
        <w:tblStyle w:val="34"/>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465310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542C89FB">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编号</w:t>
            </w:r>
          </w:p>
        </w:tc>
        <w:tc>
          <w:tcPr>
            <w:tcW w:w="773" w:type="dxa"/>
            <w:shd w:val="clear" w:color="auto" w:fill="D9D9D9"/>
            <w:vAlign w:val="center"/>
          </w:tcPr>
          <w:p w14:paraId="4BB64A1C">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类型</w:t>
            </w:r>
          </w:p>
        </w:tc>
        <w:tc>
          <w:tcPr>
            <w:tcW w:w="1665" w:type="dxa"/>
            <w:shd w:val="clear" w:color="auto" w:fill="D9D9D9"/>
            <w:vAlign w:val="center"/>
          </w:tcPr>
          <w:p w14:paraId="2B45EB8A">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评分标题</w:t>
            </w:r>
          </w:p>
        </w:tc>
        <w:tc>
          <w:tcPr>
            <w:tcW w:w="4689" w:type="dxa"/>
            <w:shd w:val="clear" w:color="auto" w:fill="D9D9D9"/>
            <w:vAlign w:val="center"/>
          </w:tcPr>
          <w:p w14:paraId="3469DF08">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评分标准</w:t>
            </w:r>
          </w:p>
        </w:tc>
        <w:tc>
          <w:tcPr>
            <w:tcW w:w="1026" w:type="dxa"/>
            <w:shd w:val="clear" w:color="auto" w:fill="D9D9D9"/>
            <w:vAlign w:val="center"/>
          </w:tcPr>
          <w:p w14:paraId="5C9DFDD6">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性质</w:t>
            </w:r>
          </w:p>
        </w:tc>
        <w:tc>
          <w:tcPr>
            <w:tcW w:w="773" w:type="dxa"/>
            <w:shd w:val="clear" w:color="auto" w:fill="D9D9D9"/>
            <w:vAlign w:val="center"/>
          </w:tcPr>
          <w:p w14:paraId="341FE2F8">
            <w:pPr>
              <w:pStyle w:val="13"/>
              <w:ind w:firstLine="0"/>
              <w:jc w:val="center"/>
              <w:rPr>
                <w:rFonts w:ascii="仿宋_GB2312" w:hAnsi="宋体" w:eastAsia="仿宋_GB2312"/>
                <w:b/>
                <w:color w:val="auto"/>
                <w:sz w:val="24"/>
                <w:szCs w:val="24"/>
                <w:highlight w:val="none"/>
              </w:rPr>
            </w:pPr>
            <w:r>
              <w:rPr>
                <w:rFonts w:hint="eastAsia" w:ascii="仿宋_GB2312" w:hAnsi="宋体" w:eastAsia="仿宋_GB2312"/>
                <w:b/>
                <w:color w:val="auto"/>
                <w:sz w:val="24"/>
                <w:szCs w:val="24"/>
                <w:highlight w:val="none"/>
              </w:rPr>
              <w:t>分数</w:t>
            </w:r>
          </w:p>
        </w:tc>
      </w:tr>
      <w:tr w14:paraId="49E687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BBEE1DE">
            <w:pPr>
              <w:pStyle w:val="13"/>
              <w:ind w:firstLine="0"/>
              <w:jc w:val="center"/>
              <w:rPr>
                <w:rFonts w:ascii="仿宋_GB2312" w:hAnsi="宋体" w:eastAsia="仿宋_GB2312"/>
                <w:color w:val="auto"/>
                <w:sz w:val="24"/>
                <w:szCs w:val="24"/>
                <w:highlight w:val="none"/>
              </w:rPr>
            </w:pPr>
            <w:r>
              <w:rPr>
                <w:rFonts w:ascii="仿宋_GB2312" w:hAnsi="宋体" w:eastAsia="仿宋_GB2312"/>
                <w:color w:val="auto"/>
                <w:sz w:val="24"/>
                <w:szCs w:val="24"/>
                <w:highlight w:val="none"/>
              </w:rPr>
              <w:t>1</w:t>
            </w:r>
          </w:p>
        </w:tc>
        <w:tc>
          <w:tcPr>
            <w:tcW w:w="773" w:type="dxa"/>
            <w:vAlign w:val="center"/>
          </w:tcPr>
          <w:p w14:paraId="64EBF171">
            <w:pPr>
              <w:pStyle w:val="13"/>
              <w:ind w:firstLine="0"/>
              <w:jc w:val="center"/>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价格</w:t>
            </w:r>
          </w:p>
        </w:tc>
        <w:tc>
          <w:tcPr>
            <w:tcW w:w="1665" w:type="dxa"/>
            <w:vAlign w:val="center"/>
          </w:tcPr>
          <w:p w14:paraId="4A9A5630">
            <w:pPr>
              <w:pStyle w:val="13"/>
              <w:ind w:firstLine="0"/>
              <w:jc w:val="center"/>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报价</w:t>
            </w:r>
          </w:p>
        </w:tc>
        <w:tc>
          <w:tcPr>
            <w:tcW w:w="4689" w:type="dxa"/>
            <w:vAlign w:val="center"/>
          </w:tcPr>
          <w:p w14:paraId="1DE95CFC">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报价采用低价优先法计算，满足采购文件要求且最终报价最低的报价单位的价格为评审基准价，其价格分为满分。其他报价单位的价格分统一按照下列公式计算：报价得分</w:t>
            </w:r>
            <w:r>
              <w:rPr>
                <w:rFonts w:ascii="仿宋_GB2312" w:hAnsi="宋体" w:eastAsia="仿宋_GB2312"/>
                <w:color w:val="auto"/>
                <w:sz w:val="24"/>
                <w:szCs w:val="24"/>
                <w:highlight w:val="none"/>
              </w:rPr>
              <w:t>=（评审基准价/最终报价）×</w:t>
            </w:r>
            <w:r>
              <w:rPr>
                <w:rFonts w:hint="eastAsia" w:ascii="仿宋_GB2312" w:hAnsi="宋体" w:eastAsia="仿宋_GB2312"/>
                <w:color w:val="auto"/>
                <w:sz w:val="24"/>
                <w:szCs w:val="24"/>
                <w:highlight w:val="none"/>
                <w:lang w:val="en-US" w:eastAsia="zh-CN"/>
              </w:rPr>
              <w:t>10</w:t>
            </w:r>
            <w:r>
              <w:rPr>
                <w:rFonts w:ascii="仿宋_GB2312" w:hAnsi="宋体" w:eastAsia="仿宋_GB2312"/>
                <w:color w:val="auto"/>
                <w:sz w:val="24"/>
                <w:szCs w:val="24"/>
                <w:highlight w:val="none"/>
              </w:rPr>
              <w:t>分</w:t>
            </w:r>
          </w:p>
        </w:tc>
        <w:tc>
          <w:tcPr>
            <w:tcW w:w="1026" w:type="dxa"/>
            <w:vAlign w:val="center"/>
          </w:tcPr>
          <w:p w14:paraId="1CA0F874">
            <w:pPr>
              <w:pStyle w:val="13"/>
              <w:ind w:firstLine="0"/>
              <w:jc w:val="center"/>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系统分</w:t>
            </w:r>
          </w:p>
        </w:tc>
        <w:tc>
          <w:tcPr>
            <w:tcW w:w="773" w:type="dxa"/>
            <w:vAlign w:val="center"/>
          </w:tcPr>
          <w:p w14:paraId="666849DD">
            <w:pPr>
              <w:pStyle w:val="13"/>
              <w:ind w:firstLine="0"/>
              <w:jc w:val="center"/>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10</w:t>
            </w:r>
          </w:p>
        </w:tc>
      </w:tr>
      <w:tr w14:paraId="007AF4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BE1F4B6">
            <w:pPr>
              <w:pStyle w:val="13"/>
              <w:ind w:firstLine="0"/>
              <w:jc w:val="center"/>
              <w:rPr>
                <w:rFonts w:ascii="仿宋_GB2312" w:hAnsi="宋体" w:eastAsia="仿宋_GB2312"/>
                <w:color w:val="auto"/>
                <w:sz w:val="24"/>
                <w:szCs w:val="24"/>
                <w:highlight w:val="none"/>
              </w:rPr>
            </w:pPr>
            <w:r>
              <w:rPr>
                <w:rFonts w:ascii="仿宋_GB2312" w:hAnsi="宋体" w:eastAsia="仿宋_GB2312"/>
                <w:color w:val="auto"/>
                <w:sz w:val="24"/>
                <w:szCs w:val="24"/>
                <w:highlight w:val="none"/>
              </w:rPr>
              <w:t>2</w:t>
            </w:r>
          </w:p>
        </w:tc>
        <w:tc>
          <w:tcPr>
            <w:tcW w:w="773" w:type="dxa"/>
            <w:shd w:val="clear" w:color="auto" w:fill="auto"/>
            <w:vAlign w:val="center"/>
          </w:tcPr>
          <w:p w14:paraId="1675AC22">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lang w:val="en-US" w:eastAsia="zh-CN"/>
              </w:rPr>
              <w:t>商务</w:t>
            </w:r>
          </w:p>
        </w:tc>
        <w:tc>
          <w:tcPr>
            <w:tcW w:w="1665" w:type="dxa"/>
            <w:shd w:val="clear" w:color="auto" w:fill="auto"/>
            <w:vAlign w:val="center"/>
          </w:tcPr>
          <w:p w14:paraId="3B5948CD">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lang w:val="en-US" w:eastAsia="zh-CN"/>
              </w:rPr>
              <w:t>企业业绩</w:t>
            </w:r>
          </w:p>
        </w:tc>
        <w:tc>
          <w:tcPr>
            <w:tcW w:w="4689" w:type="dxa"/>
            <w:shd w:val="clear" w:color="auto" w:fill="auto"/>
            <w:vAlign w:val="center"/>
          </w:tcPr>
          <w:p w14:paraId="4664909A">
            <w:pPr>
              <w:pStyle w:val="13"/>
              <w:ind w:firstLine="240" w:firstLineChars="100"/>
              <w:rPr>
                <w:rFonts w:ascii="仿宋_GB2312" w:hAnsi="宋体" w:eastAsia="仿宋_GB2312" w:cs="宋体"/>
                <w:color w:val="auto"/>
                <w:sz w:val="24"/>
                <w:szCs w:val="24"/>
                <w:highlight w:val="none"/>
              </w:rPr>
            </w:pPr>
            <w:r>
              <w:rPr>
                <w:rFonts w:hint="eastAsia" w:ascii="仿宋_GB2312" w:hAnsi="宋体" w:eastAsia="仿宋_GB2312" w:cs="宋体"/>
                <w:color w:val="auto"/>
                <w:sz w:val="24"/>
                <w:szCs w:val="24"/>
                <w:highlight w:val="none"/>
              </w:rPr>
              <w:t>投标人近3年（指从开标日向前推算，精确到日，以此类推，以合同签订时间为准）完成的类似业绩，每有1项得2分，最高得</w:t>
            </w:r>
            <w:r>
              <w:rPr>
                <w:rFonts w:hint="eastAsia" w:ascii="仿宋_GB2312" w:hAnsi="宋体" w:eastAsia="仿宋_GB2312" w:cs="宋体"/>
                <w:color w:val="auto"/>
                <w:sz w:val="24"/>
                <w:szCs w:val="24"/>
                <w:highlight w:val="none"/>
                <w:lang w:val="en-US" w:eastAsia="zh-CN"/>
              </w:rPr>
              <w:t>2</w:t>
            </w:r>
            <w:r>
              <w:rPr>
                <w:rFonts w:hint="eastAsia" w:ascii="仿宋_GB2312" w:hAnsi="宋体" w:eastAsia="仿宋_GB2312" w:cs="宋体"/>
                <w:color w:val="auto"/>
                <w:sz w:val="24"/>
                <w:szCs w:val="24"/>
                <w:highlight w:val="none"/>
              </w:rPr>
              <w:t>分。</w:t>
            </w:r>
          </w:p>
          <w:p w14:paraId="3CB04F98">
            <w:pPr>
              <w:pStyle w:val="13"/>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宋体"/>
                <w:color w:val="auto"/>
                <w:sz w:val="24"/>
                <w:szCs w:val="24"/>
                <w:highlight w:val="none"/>
              </w:rPr>
              <w:t>【投标文件附中标通知书、合同扫描件】</w:t>
            </w:r>
          </w:p>
        </w:tc>
        <w:tc>
          <w:tcPr>
            <w:tcW w:w="1026" w:type="dxa"/>
            <w:shd w:val="clear" w:color="auto" w:fill="auto"/>
            <w:vAlign w:val="center"/>
          </w:tcPr>
          <w:p w14:paraId="0F995DD7">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客观分</w:t>
            </w:r>
          </w:p>
        </w:tc>
        <w:tc>
          <w:tcPr>
            <w:tcW w:w="773" w:type="dxa"/>
            <w:shd w:val="clear" w:color="auto" w:fill="auto"/>
            <w:vAlign w:val="center"/>
          </w:tcPr>
          <w:p w14:paraId="09B1AE5E">
            <w:pPr>
              <w:pStyle w:val="13"/>
              <w:ind w:firstLine="0" w:firstLineChars="0"/>
              <w:jc w:val="center"/>
              <w:rPr>
                <w:rFonts w:hint="default"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2</w:t>
            </w:r>
          </w:p>
        </w:tc>
      </w:tr>
      <w:tr w14:paraId="3324DF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80401F1">
            <w:pPr>
              <w:pStyle w:val="13"/>
              <w:ind w:firstLine="0"/>
              <w:jc w:val="center"/>
              <w:rPr>
                <w:rFonts w:ascii="仿宋_GB2312" w:hAnsi="宋体" w:eastAsia="仿宋_GB2312"/>
                <w:color w:val="auto"/>
                <w:sz w:val="24"/>
                <w:szCs w:val="24"/>
                <w:highlight w:val="none"/>
              </w:rPr>
            </w:pPr>
            <w:r>
              <w:rPr>
                <w:rFonts w:ascii="仿宋_GB2312" w:hAnsi="宋体" w:eastAsia="仿宋_GB2312"/>
                <w:color w:val="auto"/>
                <w:sz w:val="24"/>
                <w:szCs w:val="24"/>
                <w:highlight w:val="none"/>
              </w:rPr>
              <w:t>3</w:t>
            </w:r>
          </w:p>
        </w:tc>
        <w:tc>
          <w:tcPr>
            <w:tcW w:w="773" w:type="dxa"/>
            <w:shd w:val="clear" w:color="auto" w:fill="auto"/>
            <w:vAlign w:val="center"/>
          </w:tcPr>
          <w:p w14:paraId="1CCB29AF">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技术</w:t>
            </w:r>
          </w:p>
        </w:tc>
        <w:tc>
          <w:tcPr>
            <w:tcW w:w="1665" w:type="dxa"/>
            <w:shd w:val="clear" w:color="auto" w:fill="auto"/>
            <w:vAlign w:val="center"/>
          </w:tcPr>
          <w:p w14:paraId="390AE738">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产品选型</w:t>
            </w:r>
          </w:p>
        </w:tc>
        <w:tc>
          <w:tcPr>
            <w:tcW w:w="4689" w:type="dxa"/>
            <w:shd w:val="clear" w:color="auto" w:fill="auto"/>
            <w:vAlign w:val="center"/>
          </w:tcPr>
          <w:p w14:paraId="518AD7BC">
            <w:pPr>
              <w:pStyle w:val="13"/>
              <w:ind w:firstLine="240" w:firstLineChars="100"/>
              <w:rPr>
                <w:rFonts w:ascii="仿宋_GB2312" w:hAnsi="宋体" w:eastAsia="仿宋_GB2312"/>
                <w:color w:val="auto"/>
                <w:sz w:val="24"/>
                <w:szCs w:val="24"/>
                <w:highlight w:val="none"/>
                <w:lang w:val="zh-CN"/>
              </w:rPr>
            </w:pPr>
            <w:r>
              <w:rPr>
                <w:rFonts w:hint="eastAsia" w:ascii="仿宋_GB2312" w:hAnsi="宋体" w:eastAsia="仿宋_GB2312"/>
                <w:color w:val="auto"/>
                <w:sz w:val="24"/>
                <w:szCs w:val="24"/>
                <w:highlight w:val="none"/>
                <w:lang w:val="zh-CN"/>
              </w:rPr>
              <w:t>评委根据供应商所报产品的品牌、型号、产品检测报告、用户清单和生产厂家所获资信、荣誉、产品认证等证明文件的扫描件，对产品的市场认知度、专业优势等各方面情况</w:t>
            </w:r>
            <w:r>
              <w:rPr>
                <w:rFonts w:hint="eastAsia" w:ascii="仿宋_GB2312" w:hAnsi="宋体" w:eastAsia="仿宋_GB2312"/>
                <w:color w:val="auto"/>
                <w:sz w:val="24"/>
                <w:szCs w:val="24"/>
                <w:highlight w:val="none"/>
              </w:rPr>
              <w:t>以0.1分为单位进行</w:t>
            </w:r>
            <w:r>
              <w:rPr>
                <w:rFonts w:hint="eastAsia" w:ascii="仿宋_GB2312" w:hAnsi="宋体" w:eastAsia="仿宋_GB2312"/>
                <w:color w:val="auto"/>
                <w:sz w:val="24"/>
                <w:szCs w:val="24"/>
                <w:highlight w:val="none"/>
                <w:lang w:val="zh-CN"/>
              </w:rPr>
              <w:t>进行综合评审</w:t>
            </w:r>
            <w:r>
              <w:rPr>
                <w:rFonts w:hint="eastAsia" w:ascii="仿宋_GB2312" w:hAnsi="宋体" w:eastAsia="仿宋_GB2312"/>
                <w:color w:val="auto"/>
                <w:sz w:val="24"/>
                <w:szCs w:val="24"/>
                <w:highlight w:val="none"/>
              </w:rPr>
              <w:t>：</w:t>
            </w:r>
          </w:p>
          <w:p w14:paraId="46732294">
            <w:pPr>
              <w:pStyle w:val="13"/>
              <w:ind w:firstLine="240" w:firstLineChars="100"/>
              <w:rPr>
                <w:rFonts w:ascii="仿宋_GB2312" w:hAnsi="宋体" w:eastAsia="仿宋_GB2312"/>
                <w:color w:val="auto"/>
                <w:sz w:val="24"/>
                <w:szCs w:val="24"/>
                <w:highlight w:val="none"/>
                <w:lang w:val="zh-CN"/>
              </w:rPr>
            </w:pPr>
            <w:r>
              <w:rPr>
                <w:rFonts w:hint="eastAsia" w:ascii="仿宋_GB2312" w:hAnsi="宋体" w:eastAsia="仿宋_GB2312"/>
                <w:color w:val="auto"/>
                <w:sz w:val="24"/>
                <w:szCs w:val="24"/>
                <w:highlight w:val="none"/>
                <w:lang w:val="zh-CN"/>
              </w:rPr>
              <w:t>产品的市场认知度和品牌声誉度高、专业优势强、厂家资信好，</w:t>
            </w:r>
            <w:r>
              <w:rPr>
                <w:rFonts w:hint="eastAsia" w:ascii="仿宋_GB2312" w:hAnsi="宋体" w:eastAsia="仿宋_GB2312"/>
                <w:color w:val="auto"/>
                <w:sz w:val="24"/>
                <w:szCs w:val="24"/>
                <w:highlight w:val="none"/>
              </w:rPr>
              <w:t>得18-25分</w:t>
            </w:r>
            <w:r>
              <w:rPr>
                <w:rFonts w:hint="eastAsia" w:ascii="仿宋_GB2312" w:hAnsi="宋体" w:eastAsia="仿宋_GB2312"/>
                <w:color w:val="auto"/>
                <w:sz w:val="24"/>
                <w:szCs w:val="24"/>
                <w:highlight w:val="none"/>
                <w:lang w:val="zh-CN"/>
              </w:rPr>
              <w:t>；</w:t>
            </w:r>
          </w:p>
          <w:p w14:paraId="0ECCC12E">
            <w:pPr>
              <w:pStyle w:val="13"/>
              <w:ind w:firstLine="240" w:firstLineChars="100"/>
              <w:rPr>
                <w:rFonts w:ascii="仿宋_GB2312" w:hAnsi="宋体" w:eastAsia="仿宋_GB2312"/>
                <w:color w:val="auto"/>
                <w:sz w:val="24"/>
                <w:szCs w:val="24"/>
                <w:highlight w:val="none"/>
                <w:lang w:val="zh-CN"/>
              </w:rPr>
            </w:pPr>
            <w:r>
              <w:rPr>
                <w:rFonts w:hint="eastAsia" w:ascii="仿宋_GB2312" w:hAnsi="宋体" w:eastAsia="仿宋_GB2312"/>
                <w:color w:val="auto"/>
                <w:sz w:val="24"/>
                <w:szCs w:val="24"/>
                <w:highlight w:val="none"/>
                <w:lang w:val="zh-CN"/>
              </w:rPr>
              <w:t>产品的市场认知度和品牌声誉度比较好、专业优势较强、厂家资信较好，</w:t>
            </w:r>
            <w:r>
              <w:rPr>
                <w:rFonts w:hint="eastAsia" w:ascii="仿宋_GB2312" w:hAnsi="宋体" w:eastAsia="仿宋_GB2312"/>
                <w:color w:val="auto"/>
                <w:sz w:val="24"/>
                <w:szCs w:val="24"/>
                <w:highlight w:val="none"/>
              </w:rPr>
              <w:t>得9</w:t>
            </w:r>
            <w:r>
              <w:rPr>
                <w:rFonts w:hint="eastAsia" w:ascii="仿宋_GB2312" w:hAnsi="宋体" w:eastAsia="仿宋_GB2312"/>
                <w:color w:val="auto"/>
                <w:sz w:val="24"/>
                <w:szCs w:val="24"/>
                <w:highlight w:val="none"/>
                <w:lang w:val="zh-CN"/>
              </w:rPr>
              <w:t>-</w:t>
            </w:r>
            <w:r>
              <w:rPr>
                <w:rFonts w:hint="eastAsia" w:ascii="仿宋_GB2312" w:hAnsi="宋体" w:eastAsia="仿宋_GB2312"/>
                <w:color w:val="auto"/>
                <w:sz w:val="24"/>
                <w:szCs w:val="24"/>
                <w:highlight w:val="none"/>
              </w:rPr>
              <w:t>17</w:t>
            </w:r>
            <w:r>
              <w:rPr>
                <w:rFonts w:hint="eastAsia" w:ascii="仿宋_GB2312" w:hAnsi="宋体" w:eastAsia="仿宋_GB2312"/>
                <w:color w:val="auto"/>
                <w:sz w:val="24"/>
                <w:szCs w:val="24"/>
                <w:highlight w:val="none"/>
                <w:lang w:val="zh-CN"/>
              </w:rPr>
              <w:t>分；</w:t>
            </w:r>
          </w:p>
          <w:p w14:paraId="16B6E130">
            <w:pPr>
              <w:pStyle w:val="13"/>
              <w:ind w:firstLine="240" w:firstLineChars="100"/>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lang w:val="zh-CN"/>
              </w:rPr>
              <w:t>产品的市场认知度和品牌声誉度一般、专业优势一般、厂家资信一般，</w:t>
            </w:r>
            <w:r>
              <w:rPr>
                <w:rFonts w:hint="eastAsia" w:ascii="仿宋_GB2312" w:hAnsi="宋体" w:eastAsia="仿宋_GB2312"/>
                <w:color w:val="auto"/>
                <w:sz w:val="24"/>
                <w:szCs w:val="24"/>
                <w:highlight w:val="none"/>
              </w:rPr>
              <w:t>得0</w:t>
            </w:r>
            <w:r>
              <w:rPr>
                <w:rFonts w:hint="eastAsia" w:ascii="仿宋_GB2312" w:hAnsi="宋体" w:eastAsia="仿宋_GB2312"/>
                <w:color w:val="auto"/>
                <w:sz w:val="24"/>
                <w:szCs w:val="24"/>
                <w:highlight w:val="none"/>
                <w:lang w:val="zh-CN"/>
              </w:rPr>
              <w:t>-</w:t>
            </w:r>
            <w:r>
              <w:rPr>
                <w:rFonts w:hint="eastAsia" w:ascii="仿宋_GB2312" w:hAnsi="宋体" w:eastAsia="仿宋_GB2312"/>
                <w:color w:val="auto"/>
                <w:sz w:val="24"/>
                <w:szCs w:val="24"/>
                <w:highlight w:val="none"/>
              </w:rPr>
              <w:t>8</w:t>
            </w:r>
            <w:r>
              <w:rPr>
                <w:rFonts w:hint="eastAsia" w:ascii="仿宋_GB2312" w:hAnsi="宋体" w:eastAsia="仿宋_GB2312"/>
                <w:color w:val="auto"/>
                <w:sz w:val="24"/>
                <w:szCs w:val="24"/>
                <w:highlight w:val="none"/>
                <w:lang w:val="zh-CN"/>
              </w:rPr>
              <w:t>分。</w:t>
            </w:r>
          </w:p>
        </w:tc>
        <w:tc>
          <w:tcPr>
            <w:tcW w:w="1026" w:type="dxa"/>
            <w:shd w:val="clear" w:color="auto" w:fill="auto"/>
            <w:vAlign w:val="center"/>
          </w:tcPr>
          <w:p w14:paraId="56F6F436">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shd w:val="clear" w:color="auto" w:fill="auto"/>
            <w:vAlign w:val="center"/>
          </w:tcPr>
          <w:p w14:paraId="5B0392D5">
            <w:pPr>
              <w:pStyle w:val="13"/>
              <w:ind w:firstLine="0" w:firstLineChars="0"/>
              <w:jc w:val="center"/>
              <w:rPr>
                <w:rFonts w:hint="default"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25</w:t>
            </w:r>
          </w:p>
        </w:tc>
      </w:tr>
      <w:tr w14:paraId="08D1C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8A6CC91">
            <w:pPr>
              <w:pStyle w:val="13"/>
              <w:ind w:firstLine="0"/>
              <w:jc w:val="center"/>
              <w:rPr>
                <w:rFonts w:ascii="仿宋_GB2312" w:hAnsi="宋体" w:eastAsia="仿宋_GB2312"/>
                <w:color w:val="auto"/>
                <w:sz w:val="24"/>
                <w:szCs w:val="24"/>
                <w:highlight w:val="none"/>
              </w:rPr>
            </w:pPr>
            <w:r>
              <w:rPr>
                <w:rFonts w:ascii="仿宋_GB2312" w:hAnsi="宋体" w:eastAsia="仿宋_GB2312"/>
                <w:color w:val="auto"/>
                <w:sz w:val="24"/>
                <w:szCs w:val="24"/>
                <w:highlight w:val="none"/>
              </w:rPr>
              <w:t>4</w:t>
            </w:r>
          </w:p>
        </w:tc>
        <w:tc>
          <w:tcPr>
            <w:tcW w:w="773" w:type="dxa"/>
            <w:shd w:val="clear" w:color="auto" w:fill="auto"/>
            <w:vAlign w:val="center"/>
          </w:tcPr>
          <w:p w14:paraId="220297CA">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服务</w:t>
            </w:r>
          </w:p>
        </w:tc>
        <w:tc>
          <w:tcPr>
            <w:tcW w:w="1665" w:type="dxa"/>
            <w:shd w:val="clear" w:color="auto" w:fill="auto"/>
            <w:vAlign w:val="center"/>
          </w:tcPr>
          <w:p w14:paraId="5885F44D">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供货方案</w:t>
            </w:r>
          </w:p>
        </w:tc>
        <w:tc>
          <w:tcPr>
            <w:tcW w:w="4689" w:type="dxa"/>
            <w:shd w:val="clear" w:color="auto" w:fill="auto"/>
            <w:vAlign w:val="center"/>
          </w:tcPr>
          <w:p w14:paraId="31EB0647">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评委根据供货方案以0.1分为单位进行打分：</w:t>
            </w:r>
          </w:p>
          <w:p w14:paraId="4FD5B25D">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供货计划完整、方案详细、按期供货等措施及人员配备完美，能够很好的满足采购需求, 得1</w:t>
            </w:r>
            <w:r>
              <w:rPr>
                <w:rFonts w:hint="eastAsia" w:ascii="仿宋_GB2312" w:hAnsi="宋体" w:eastAsia="仿宋_GB2312"/>
                <w:color w:val="auto"/>
                <w:sz w:val="24"/>
                <w:szCs w:val="24"/>
                <w:highlight w:val="none"/>
                <w:lang w:val="en-US" w:eastAsia="zh-CN"/>
              </w:rPr>
              <w:t>5</w:t>
            </w: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3</w:t>
            </w:r>
            <w:r>
              <w:rPr>
                <w:rFonts w:hint="eastAsia" w:ascii="仿宋_GB2312" w:hAnsi="宋体" w:eastAsia="仿宋_GB2312"/>
                <w:color w:val="auto"/>
                <w:sz w:val="24"/>
                <w:szCs w:val="24"/>
                <w:highlight w:val="none"/>
              </w:rPr>
              <w:t xml:space="preserve">分 </w:t>
            </w:r>
          </w:p>
          <w:p w14:paraId="28265B97">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供货计划较完整、方案详细、按期供货等措施及人员配备良好，能够较好的满足采购需求, 得</w:t>
            </w:r>
            <w:r>
              <w:rPr>
                <w:rFonts w:hint="eastAsia" w:ascii="仿宋_GB2312" w:hAnsi="宋体" w:eastAsia="仿宋_GB2312"/>
                <w:color w:val="auto"/>
                <w:sz w:val="24"/>
                <w:szCs w:val="24"/>
                <w:highlight w:val="none"/>
                <w:lang w:val="en-US" w:eastAsia="zh-CN"/>
              </w:rPr>
              <w:t>8</w:t>
            </w:r>
            <w:r>
              <w:rPr>
                <w:rFonts w:hint="eastAsia" w:ascii="仿宋_GB2312" w:hAnsi="宋体" w:eastAsia="仿宋_GB2312"/>
                <w:color w:val="auto"/>
                <w:sz w:val="24"/>
                <w:szCs w:val="24"/>
                <w:highlight w:val="none"/>
              </w:rPr>
              <w:t>-1</w:t>
            </w:r>
            <w:r>
              <w:rPr>
                <w:rFonts w:hint="eastAsia" w:ascii="仿宋_GB2312" w:hAnsi="宋体" w:eastAsia="仿宋_GB2312"/>
                <w:color w:val="auto"/>
                <w:sz w:val="24"/>
                <w:szCs w:val="24"/>
                <w:highlight w:val="none"/>
                <w:lang w:val="en-US" w:eastAsia="zh-CN"/>
              </w:rPr>
              <w:t>4</w:t>
            </w:r>
            <w:r>
              <w:rPr>
                <w:rFonts w:hint="eastAsia" w:ascii="仿宋_GB2312" w:hAnsi="宋体" w:eastAsia="仿宋_GB2312"/>
                <w:color w:val="auto"/>
                <w:sz w:val="24"/>
                <w:szCs w:val="24"/>
                <w:highlight w:val="none"/>
              </w:rPr>
              <w:t xml:space="preserve">分 </w:t>
            </w:r>
          </w:p>
          <w:p w14:paraId="1C85D6C6">
            <w:pPr>
              <w:pStyle w:val="13"/>
              <w:ind w:firstLine="240" w:firstLineChars="100"/>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供货计划一般、方案一般、只有基本的供货措施及人员，仅能基本满足采购需求, 得0-</w:t>
            </w:r>
            <w:r>
              <w:rPr>
                <w:rFonts w:hint="eastAsia" w:ascii="仿宋_GB2312" w:hAnsi="宋体" w:eastAsia="仿宋_GB2312"/>
                <w:color w:val="auto"/>
                <w:sz w:val="24"/>
                <w:szCs w:val="24"/>
                <w:highlight w:val="none"/>
                <w:lang w:val="en-US" w:eastAsia="zh-CN"/>
              </w:rPr>
              <w:t>7</w:t>
            </w:r>
            <w:r>
              <w:rPr>
                <w:rFonts w:hint="eastAsia" w:ascii="仿宋_GB2312" w:hAnsi="宋体" w:eastAsia="仿宋_GB2312"/>
                <w:color w:val="auto"/>
                <w:sz w:val="24"/>
                <w:szCs w:val="24"/>
                <w:highlight w:val="none"/>
              </w:rPr>
              <w:t>分</w:t>
            </w:r>
          </w:p>
        </w:tc>
        <w:tc>
          <w:tcPr>
            <w:tcW w:w="1026" w:type="dxa"/>
            <w:shd w:val="clear" w:color="auto" w:fill="auto"/>
            <w:vAlign w:val="center"/>
          </w:tcPr>
          <w:p w14:paraId="6955D22A">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shd w:val="clear" w:color="auto" w:fill="auto"/>
            <w:vAlign w:val="center"/>
          </w:tcPr>
          <w:p w14:paraId="1C6C7BB0">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3</w:t>
            </w:r>
          </w:p>
        </w:tc>
      </w:tr>
      <w:tr w14:paraId="4B7280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3D9BA22">
            <w:pPr>
              <w:pStyle w:val="13"/>
              <w:ind w:firstLine="0"/>
              <w:jc w:val="center"/>
              <w:rPr>
                <w:rFonts w:ascii="仿宋_GB2312" w:hAnsi="宋体" w:eastAsia="仿宋_GB2312"/>
                <w:color w:val="auto"/>
                <w:sz w:val="24"/>
                <w:szCs w:val="24"/>
                <w:highlight w:val="none"/>
              </w:rPr>
            </w:pPr>
            <w:r>
              <w:rPr>
                <w:rFonts w:ascii="仿宋_GB2312" w:hAnsi="宋体" w:eastAsia="仿宋_GB2312"/>
                <w:color w:val="auto"/>
                <w:sz w:val="24"/>
                <w:szCs w:val="24"/>
                <w:highlight w:val="none"/>
              </w:rPr>
              <w:t>5</w:t>
            </w:r>
          </w:p>
        </w:tc>
        <w:tc>
          <w:tcPr>
            <w:tcW w:w="773" w:type="dxa"/>
            <w:shd w:val="clear" w:color="auto" w:fill="auto"/>
            <w:vAlign w:val="center"/>
          </w:tcPr>
          <w:p w14:paraId="02C69128">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服务</w:t>
            </w:r>
          </w:p>
        </w:tc>
        <w:tc>
          <w:tcPr>
            <w:tcW w:w="1665" w:type="dxa"/>
            <w:shd w:val="clear" w:color="auto" w:fill="auto"/>
            <w:vAlign w:val="center"/>
          </w:tcPr>
          <w:p w14:paraId="16BB671A">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质量保证措施</w:t>
            </w:r>
          </w:p>
        </w:tc>
        <w:tc>
          <w:tcPr>
            <w:tcW w:w="4689" w:type="dxa"/>
            <w:shd w:val="clear" w:color="auto" w:fill="auto"/>
            <w:vAlign w:val="center"/>
          </w:tcPr>
          <w:p w14:paraId="5AE086EE">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评委根据质量保证措施以0.1分为单位进行打分：</w:t>
            </w:r>
          </w:p>
          <w:p w14:paraId="63642B51">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质量保证措施内容完善，针对性强，先进可行，能够很好的满足采购需求, 得1</w:t>
            </w:r>
            <w:r>
              <w:rPr>
                <w:rFonts w:hint="eastAsia" w:ascii="仿宋_GB2312" w:hAnsi="宋体" w:eastAsia="仿宋_GB2312"/>
                <w:color w:val="auto"/>
                <w:sz w:val="24"/>
                <w:szCs w:val="24"/>
                <w:highlight w:val="none"/>
                <w:lang w:val="en-US" w:eastAsia="zh-CN"/>
              </w:rPr>
              <w:t>4</w:t>
            </w: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0</w:t>
            </w:r>
            <w:r>
              <w:rPr>
                <w:rFonts w:hint="eastAsia" w:ascii="仿宋_GB2312" w:hAnsi="宋体" w:eastAsia="仿宋_GB2312"/>
                <w:color w:val="auto"/>
                <w:sz w:val="24"/>
                <w:szCs w:val="24"/>
                <w:highlight w:val="none"/>
              </w:rPr>
              <w:t>分</w:t>
            </w:r>
          </w:p>
          <w:p w14:paraId="67FA16EC">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质量保证措施内容较完善，有针对性，有可行性，能够较好的满足采购需求, 得</w:t>
            </w:r>
            <w:r>
              <w:rPr>
                <w:rFonts w:hint="eastAsia" w:ascii="仿宋_GB2312" w:hAnsi="宋体" w:eastAsia="仿宋_GB2312"/>
                <w:color w:val="auto"/>
                <w:sz w:val="24"/>
                <w:szCs w:val="24"/>
                <w:highlight w:val="none"/>
                <w:lang w:val="en-US" w:eastAsia="zh-CN"/>
              </w:rPr>
              <w:t>7</w:t>
            </w:r>
            <w:r>
              <w:rPr>
                <w:rFonts w:hint="eastAsia" w:ascii="仿宋_GB2312" w:hAnsi="宋体" w:eastAsia="仿宋_GB2312"/>
                <w:color w:val="auto"/>
                <w:sz w:val="24"/>
                <w:szCs w:val="24"/>
                <w:highlight w:val="none"/>
              </w:rPr>
              <w:t>-1</w:t>
            </w:r>
            <w:r>
              <w:rPr>
                <w:rFonts w:hint="eastAsia" w:ascii="仿宋_GB2312" w:hAnsi="宋体" w:eastAsia="仿宋_GB2312"/>
                <w:color w:val="auto"/>
                <w:sz w:val="24"/>
                <w:szCs w:val="24"/>
                <w:highlight w:val="none"/>
                <w:lang w:val="en-US" w:eastAsia="zh-CN"/>
              </w:rPr>
              <w:t>3</w:t>
            </w:r>
            <w:r>
              <w:rPr>
                <w:rFonts w:hint="eastAsia" w:ascii="仿宋_GB2312" w:hAnsi="宋体" w:eastAsia="仿宋_GB2312"/>
                <w:color w:val="auto"/>
                <w:sz w:val="24"/>
                <w:szCs w:val="24"/>
                <w:highlight w:val="none"/>
              </w:rPr>
              <w:t>分</w:t>
            </w:r>
          </w:p>
          <w:p w14:paraId="11B40260">
            <w:pPr>
              <w:pStyle w:val="13"/>
              <w:ind w:firstLine="240" w:firstLineChars="100"/>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质量保证措施简陋或存在部分缺陷，可行性差，仅能基本满足采购需求, 得0-</w:t>
            </w:r>
            <w:r>
              <w:rPr>
                <w:rFonts w:hint="eastAsia" w:ascii="仿宋_GB2312" w:hAnsi="宋体" w:eastAsia="仿宋_GB2312"/>
                <w:color w:val="auto"/>
                <w:sz w:val="24"/>
                <w:szCs w:val="24"/>
                <w:highlight w:val="none"/>
                <w:lang w:val="en-US" w:eastAsia="zh-CN"/>
              </w:rPr>
              <w:t>6</w:t>
            </w:r>
            <w:r>
              <w:rPr>
                <w:rFonts w:hint="eastAsia" w:ascii="仿宋_GB2312" w:hAnsi="宋体" w:eastAsia="仿宋_GB2312"/>
                <w:color w:val="auto"/>
                <w:sz w:val="24"/>
                <w:szCs w:val="24"/>
                <w:highlight w:val="none"/>
              </w:rPr>
              <w:t>分</w:t>
            </w:r>
          </w:p>
        </w:tc>
        <w:tc>
          <w:tcPr>
            <w:tcW w:w="1026" w:type="dxa"/>
            <w:shd w:val="clear" w:color="auto" w:fill="auto"/>
            <w:vAlign w:val="center"/>
          </w:tcPr>
          <w:p w14:paraId="179FA9F3">
            <w:pPr>
              <w:pStyle w:val="13"/>
              <w:ind w:firstLine="0" w:firstLineChars="0"/>
              <w:jc w:val="center"/>
              <w:rPr>
                <w:rFonts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shd w:val="clear" w:color="auto" w:fill="auto"/>
            <w:vAlign w:val="center"/>
          </w:tcPr>
          <w:p w14:paraId="6347902A">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0</w:t>
            </w:r>
          </w:p>
        </w:tc>
      </w:tr>
      <w:tr w14:paraId="6100FE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0" w:type="auto"/>
            <w:vAlign w:val="center"/>
          </w:tcPr>
          <w:p w14:paraId="362ECD2A">
            <w:pPr>
              <w:pStyle w:val="13"/>
              <w:ind w:firstLine="0"/>
              <w:jc w:val="center"/>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6</w:t>
            </w:r>
          </w:p>
        </w:tc>
        <w:tc>
          <w:tcPr>
            <w:tcW w:w="0" w:type="auto"/>
            <w:shd w:val="clear" w:color="auto" w:fill="auto"/>
            <w:vAlign w:val="center"/>
          </w:tcPr>
          <w:p w14:paraId="723FD496">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服务</w:t>
            </w:r>
          </w:p>
        </w:tc>
        <w:tc>
          <w:tcPr>
            <w:tcW w:w="0" w:type="auto"/>
            <w:shd w:val="clear" w:color="auto" w:fill="auto"/>
            <w:vAlign w:val="center"/>
          </w:tcPr>
          <w:p w14:paraId="1756DE69">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售后服务承诺</w:t>
            </w:r>
          </w:p>
        </w:tc>
        <w:tc>
          <w:tcPr>
            <w:tcW w:w="0" w:type="auto"/>
            <w:shd w:val="clear" w:color="auto" w:fill="auto"/>
            <w:vAlign w:val="center"/>
          </w:tcPr>
          <w:p w14:paraId="71300D8D">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评委根据售后服务措施及承诺以0.1分为单位进行打分：</w:t>
            </w:r>
          </w:p>
          <w:p w14:paraId="0AB47413">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售后服务内容全面、措施完善，故障、技术支持响应时间快，有专职驻点售后服务技术人员、经验丰富，能够很好的满足用户需求，有突出的售后服务优势，得1</w:t>
            </w:r>
            <w:r>
              <w:rPr>
                <w:rFonts w:hint="eastAsia" w:ascii="仿宋_GB2312" w:hAnsi="宋体" w:eastAsia="仿宋_GB2312"/>
                <w:color w:val="auto"/>
                <w:sz w:val="24"/>
                <w:szCs w:val="24"/>
                <w:highlight w:val="none"/>
                <w:lang w:val="en-US" w:eastAsia="zh-CN"/>
              </w:rPr>
              <w:t>4</w:t>
            </w: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0</w:t>
            </w:r>
            <w:r>
              <w:rPr>
                <w:rFonts w:hint="eastAsia" w:ascii="仿宋_GB2312" w:hAnsi="宋体" w:eastAsia="仿宋_GB2312"/>
                <w:color w:val="auto"/>
                <w:sz w:val="24"/>
                <w:szCs w:val="24"/>
                <w:highlight w:val="none"/>
              </w:rPr>
              <w:t>分</w:t>
            </w:r>
          </w:p>
          <w:p w14:paraId="24584E32">
            <w:pPr>
              <w:pStyle w:val="13"/>
              <w:ind w:firstLine="240" w:firstLineChars="100"/>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售后服务内容比较全面、服务措施比较完善，故障、技术支持响应时间略长，能够满足用户实际使用要求，得</w:t>
            </w:r>
            <w:r>
              <w:rPr>
                <w:rFonts w:hint="eastAsia" w:ascii="仿宋_GB2312" w:hAnsi="宋体" w:eastAsia="仿宋_GB2312"/>
                <w:color w:val="auto"/>
                <w:sz w:val="24"/>
                <w:szCs w:val="24"/>
                <w:highlight w:val="none"/>
                <w:lang w:val="en-US" w:eastAsia="zh-CN"/>
              </w:rPr>
              <w:t>7</w:t>
            </w:r>
            <w:r>
              <w:rPr>
                <w:rFonts w:hint="eastAsia" w:ascii="仿宋_GB2312" w:hAnsi="宋体" w:eastAsia="仿宋_GB2312"/>
                <w:color w:val="auto"/>
                <w:sz w:val="24"/>
                <w:szCs w:val="24"/>
                <w:highlight w:val="none"/>
              </w:rPr>
              <w:t>-1</w:t>
            </w:r>
            <w:r>
              <w:rPr>
                <w:rFonts w:hint="eastAsia" w:ascii="仿宋_GB2312" w:hAnsi="宋体" w:eastAsia="仿宋_GB2312"/>
                <w:color w:val="auto"/>
                <w:sz w:val="24"/>
                <w:szCs w:val="24"/>
                <w:highlight w:val="none"/>
                <w:lang w:val="en-US" w:eastAsia="zh-CN"/>
              </w:rPr>
              <w:t>3</w:t>
            </w:r>
            <w:r>
              <w:rPr>
                <w:rFonts w:hint="eastAsia" w:ascii="仿宋_GB2312" w:hAnsi="宋体" w:eastAsia="仿宋_GB2312"/>
                <w:color w:val="auto"/>
                <w:sz w:val="24"/>
                <w:szCs w:val="24"/>
                <w:highlight w:val="none"/>
              </w:rPr>
              <w:t>分</w:t>
            </w:r>
          </w:p>
          <w:p w14:paraId="5BBC031A">
            <w:pPr>
              <w:pStyle w:val="13"/>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售后服务内容比较简陋或存在部分缺陷，承诺的服务水平相对较低，仅能基本满足用户实际使用要求，得0-</w:t>
            </w:r>
            <w:r>
              <w:rPr>
                <w:rFonts w:hint="eastAsia" w:ascii="仿宋_GB2312" w:hAnsi="宋体" w:eastAsia="仿宋_GB2312"/>
                <w:color w:val="auto"/>
                <w:sz w:val="24"/>
                <w:szCs w:val="24"/>
                <w:highlight w:val="none"/>
                <w:lang w:val="en-US" w:eastAsia="zh-CN"/>
              </w:rPr>
              <w:t>6</w:t>
            </w:r>
            <w:r>
              <w:rPr>
                <w:rFonts w:hint="eastAsia" w:ascii="仿宋_GB2312" w:hAnsi="宋体" w:eastAsia="仿宋_GB2312"/>
                <w:color w:val="auto"/>
                <w:sz w:val="24"/>
                <w:szCs w:val="24"/>
                <w:highlight w:val="none"/>
              </w:rPr>
              <w:t>分</w:t>
            </w:r>
          </w:p>
        </w:tc>
        <w:tc>
          <w:tcPr>
            <w:tcW w:w="0" w:type="auto"/>
            <w:shd w:val="clear" w:color="auto" w:fill="auto"/>
            <w:vAlign w:val="center"/>
          </w:tcPr>
          <w:p w14:paraId="7A19F076">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主观分</w:t>
            </w:r>
          </w:p>
        </w:tc>
        <w:tc>
          <w:tcPr>
            <w:tcW w:w="773" w:type="dxa"/>
            <w:shd w:val="clear" w:color="auto" w:fill="auto"/>
            <w:vAlign w:val="center"/>
          </w:tcPr>
          <w:p w14:paraId="734C8423">
            <w:pPr>
              <w:pStyle w:val="13"/>
              <w:ind w:firstLine="0" w:firstLineChars="0"/>
              <w:jc w:val="center"/>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0</w:t>
            </w:r>
          </w:p>
        </w:tc>
      </w:tr>
    </w:tbl>
    <w:p w14:paraId="79AE2371">
      <w:pPr>
        <w:spacing w:line="520" w:lineRule="exact"/>
        <w:ind w:firstLine="560" w:firstLineChars="200"/>
        <w:rPr>
          <w:rFonts w:ascii="仿宋_GB2312" w:hAnsi="宋体" w:eastAsia="仿宋_GB2312"/>
          <w:color w:val="auto"/>
          <w:sz w:val="28"/>
          <w:szCs w:val="21"/>
          <w:highlight w:val="none"/>
        </w:rPr>
      </w:pPr>
    </w:p>
    <w:p w14:paraId="4428A5AA">
      <w:pPr>
        <w:widowControl/>
        <w:spacing w:line="360" w:lineRule="auto"/>
        <w:rPr>
          <w:rFonts w:ascii="宋体" w:hAnsi="宋体"/>
          <w:color w:val="auto"/>
          <w:sz w:val="24"/>
          <w:highlight w:val="none"/>
        </w:rPr>
        <w:sectPr>
          <w:pgSz w:w="11906" w:h="16838"/>
          <w:pgMar w:top="1440" w:right="1080" w:bottom="1440" w:left="1080" w:header="851" w:footer="992" w:gutter="0"/>
          <w:cols w:space="720" w:num="1"/>
          <w:docGrid w:type="lines" w:linePitch="312" w:charSpace="0"/>
        </w:sectPr>
      </w:pPr>
    </w:p>
    <w:p w14:paraId="66684C51">
      <w:pPr>
        <w:spacing w:before="100" w:beforeAutospacing="1" w:after="100" w:afterAutospacing="1" w:line="415" w:lineRule="auto"/>
        <w:ind w:left="720"/>
        <w:jc w:val="center"/>
        <w:outlineLvl w:val="0"/>
        <w:rPr>
          <w:rFonts w:ascii="楷体_GB2312" w:hAnsi="宋体" w:eastAsia="楷体_GB2312" w:cs="宋体"/>
          <w:b/>
          <w:bCs/>
          <w:color w:val="auto"/>
          <w:sz w:val="44"/>
          <w:szCs w:val="44"/>
          <w:highlight w:val="none"/>
        </w:rPr>
        <w:sectPr>
          <w:headerReference r:id="rId17" w:type="default"/>
          <w:footerReference r:id="rId18" w:type="default"/>
          <w:pgSz w:w="11906" w:h="16838"/>
          <w:pgMar w:top="1440" w:right="1077" w:bottom="1440" w:left="1077" w:header="851" w:footer="992" w:gutter="0"/>
          <w:cols w:space="720" w:num="1"/>
          <w:docGrid w:type="linesAndChars" w:linePitch="312" w:charSpace="0"/>
        </w:sectPr>
      </w:pPr>
      <w:r>
        <w:rPr>
          <w:rFonts w:hint="eastAsia" w:ascii="楷体_GB2312" w:hAnsi="宋体" w:eastAsia="楷体_GB2312" w:cs="宋体"/>
          <w:b/>
          <w:bCs/>
          <w:color w:val="auto"/>
          <w:sz w:val="44"/>
          <w:szCs w:val="44"/>
          <w:highlight w:val="none"/>
        </w:rPr>
        <w:t>第五章 投标（响应）文件格式</w:t>
      </w:r>
    </w:p>
    <w:p w14:paraId="4A449CF0">
      <w:pPr>
        <w:jc w:val="left"/>
        <w:rPr>
          <w:rFonts w:ascii="仿宋" w:hAnsi="仿宋" w:eastAsia="仿宋"/>
          <w:color w:val="auto"/>
          <w:sz w:val="52"/>
          <w:highlight w:val="none"/>
        </w:rPr>
      </w:pPr>
    </w:p>
    <w:p w14:paraId="4545710A">
      <w:pPr>
        <w:rPr>
          <w:rFonts w:ascii="方正小标宋简体" w:hAnsi="仿宋" w:eastAsia="方正小标宋简体"/>
          <w:bCs/>
          <w:color w:val="auto"/>
          <w:sz w:val="84"/>
          <w:highlight w:val="none"/>
        </w:rPr>
      </w:pPr>
    </w:p>
    <w:p w14:paraId="140E5BE9">
      <w:pPr>
        <w:jc w:val="center"/>
        <w:rPr>
          <w:rFonts w:ascii="方正小标宋简体" w:hAnsi="仿宋" w:eastAsia="方正小标宋简体"/>
          <w:bCs/>
          <w:color w:val="auto"/>
          <w:sz w:val="84"/>
          <w:highlight w:val="none"/>
        </w:rPr>
      </w:pPr>
      <w:r>
        <w:rPr>
          <w:rFonts w:hint="eastAsia" w:ascii="方正小标宋简体" w:hAnsi="仿宋" w:eastAsia="方正小标宋简体"/>
          <w:bCs/>
          <w:color w:val="auto"/>
          <w:sz w:val="84"/>
          <w:highlight w:val="none"/>
        </w:rPr>
        <w:t>响 应 文 件</w:t>
      </w:r>
    </w:p>
    <w:p w14:paraId="05E8B3DE">
      <w:pPr>
        <w:jc w:val="center"/>
        <w:rPr>
          <w:rFonts w:ascii="仿宋" w:hAnsi="仿宋" w:eastAsia="仿宋"/>
          <w:color w:val="auto"/>
          <w:sz w:val="72"/>
          <w:highlight w:val="none"/>
        </w:rPr>
      </w:pPr>
      <w:r>
        <w:rPr>
          <w:rFonts w:hint="eastAsia" w:ascii="仿宋" w:hAnsi="仿宋" w:eastAsia="仿宋" w:cs="Calibri"/>
          <w:color w:val="auto"/>
          <w:sz w:val="72"/>
          <w:highlight w:val="none"/>
        </w:rPr>
        <w:t>（第一册）</w:t>
      </w:r>
    </w:p>
    <w:p w14:paraId="4B49044B">
      <w:pPr>
        <w:jc w:val="center"/>
        <w:rPr>
          <w:rFonts w:ascii="仿宋" w:hAnsi="仿宋" w:eastAsia="仿宋"/>
          <w:color w:val="auto"/>
          <w:sz w:val="72"/>
          <w:highlight w:val="none"/>
        </w:rPr>
      </w:pPr>
    </w:p>
    <w:p w14:paraId="4B36975F">
      <w:pPr>
        <w:jc w:val="left"/>
        <w:rPr>
          <w:rFonts w:hint="eastAsia" w:ascii="仿宋" w:hAnsi="仿宋" w:eastAsia="黑体"/>
          <w:color w:val="auto"/>
          <w:sz w:val="36"/>
          <w:szCs w:val="36"/>
          <w:highlight w:val="none"/>
          <w:lang w:eastAsia="zh-CN"/>
        </w:rPr>
      </w:pPr>
      <w:r>
        <w:rPr>
          <w:rFonts w:hint="eastAsia" w:ascii="黑体" w:hAnsi="黑体" w:eastAsia="黑体"/>
          <w:bCs/>
          <w:color w:val="auto"/>
          <w:sz w:val="36"/>
          <w:szCs w:val="36"/>
          <w:highlight w:val="none"/>
        </w:rPr>
        <w:t>采购项目：</w:t>
      </w:r>
      <w:r>
        <w:rPr>
          <w:rFonts w:hint="eastAsia" w:ascii="仿宋" w:hAnsi="仿宋" w:eastAsia="仿宋"/>
          <w:bCs/>
          <w:color w:val="auto"/>
          <w:sz w:val="36"/>
          <w:szCs w:val="36"/>
          <w:highlight w:val="none"/>
          <w:lang w:eastAsia="zh-CN"/>
        </w:rPr>
        <w:t>路沿石、人行道板采购</w:t>
      </w:r>
    </w:p>
    <w:p w14:paraId="085A0775">
      <w:pPr>
        <w:jc w:val="left"/>
        <w:rPr>
          <w:rFonts w:hint="eastAsia" w:ascii="仿宋" w:hAnsi="仿宋" w:eastAsia="仿宋"/>
          <w:b/>
          <w:color w:val="auto"/>
          <w:sz w:val="36"/>
          <w:highlight w:val="none"/>
          <w:lang w:eastAsia="zh-CN"/>
        </w:rPr>
      </w:pPr>
      <w:r>
        <w:rPr>
          <w:rFonts w:hint="eastAsia" w:ascii="黑体" w:hAnsi="黑体" w:eastAsia="黑体"/>
          <w:bCs/>
          <w:color w:val="auto"/>
          <w:sz w:val="36"/>
          <w:szCs w:val="36"/>
          <w:highlight w:val="none"/>
        </w:rPr>
        <w:t>采购编号</w:t>
      </w:r>
      <w:r>
        <w:rPr>
          <w:rFonts w:hint="eastAsia" w:ascii="仿宋" w:hAnsi="仿宋" w:eastAsia="仿宋"/>
          <w:bCs/>
          <w:color w:val="auto"/>
          <w:sz w:val="36"/>
          <w:szCs w:val="36"/>
          <w:highlight w:val="none"/>
        </w:rPr>
        <w:t>：</w:t>
      </w:r>
      <w:r>
        <w:rPr>
          <w:rFonts w:hint="eastAsia" w:ascii="仿宋" w:hAnsi="仿宋" w:eastAsia="仿宋"/>
          <w:color w:val="auto"/>
          <w:sz w:val="36"/>
          <w:szCs w:val="36"/>
          <w:highlight w:val="none"/>
          <w:lang w:eastAsia="zh-CN"/>
        </w:rPr>
        <w:t>WHJX-ZB-2026-030</w:t>
      </w:r>
    </w:p>
    <w:p w14:paraId="00DCD538">
      <w:pPr>
        <w:jc w:val="left"/>
        <w:rPr>
          <w:rFonts w:hint="eastAsia" w:ascii="黑体" w:hAnsi="黑体" w:eastAsia="黑体"/>
          <w:bCs/>
          <w:color w:val="auto"/>
          <w:sz w:val="36"/>
          <w:szCs w:val="36"/>
          <w:highlight w:val="none"/>
          <w:lang w:eastAsia="zh-CN"/>
        </w:rPr>
      </w:pPr>
      <w:r>
        <w:rPr>
          <w:rFonts w:hint="eastAsia" w:ascii="黑体" w:hAnsi="黑体" w:eastAsia="黑体"/>
          <w:bCs/>
          <w:color w:val="auto"/>
          <w:sz w:val="36"/>
          <w:szCs w:val="36"/>
          <w:highlight w:val="none"/>
        </w:rPr>
        <w:t>所投包号：</w:t>
      </w:r>
      <w:r>
        <w:rPr>
          <w:rFonts w:hint="eastAsia" w:ascii="黑体" w:hAnsi="黑体" w:eastAsia="黑体"/>
          <w:bCs/>
          <w:color w:val="auto"/>
          <w:sz w:val="36"/>
          <w:szCs w:val="36"/>
          <w:highlight w:val="none"/>
          <w:lang w:val="en-US" w:eastAsia="zh-CN"/>
        </w:rPr>
        <w:t>B</w:t>
      </w:r>
    </w:p>
    <w:p w14:paraId="32EC8449">
      <w:pPr>
        <w:jc w:val="left"/>
        <w:rPr>
          <w:rFonts w:ascii="仿宋" w:hAnsi="仿宋" w:eastAsia="仿宋"/>
          <w:color w:val="auto"/>
          <w:sz w:val="36"/>
          <w:highlight w:val="none"/>
        </w:rPr>
      </w:pPr>
    </w:p>
    <w:p w14:paraId="369BAE2D">
      <w:pPr>
        <w:tabs>
          <w:tab w:val="left" w:pos="580"/>
        </w:tabs>
        <w:ind w:left="185" w:leftChars="88" w:firstLine="1800" w:firstLineChars="500"/>
        <w:rPr>
          <w:rFonts w:ascii="仿宋" w:hAnsi="仿宋" w:eastAsia="仿宋"/>
          <w:color w:val="auto"/>
          <w:sz w:val="36"/>
          <w:szCs w:val="21"/>
          <w:highlight w:val="none"/>
        </w:rPr>
      </w:pPr>
    </w:p>
    <w:p w14:paraId="0D75C888">
      <w:pPr>
        <w:tabs>
          <w:tab w:val="left" w:pos="580"/>
        </w:tabs>
        <w:ind w:left="185" w:leftChars="88" w:firstLine="1800" w:firstLineChars="500"/>
        <w:rPr>
          <w:rFonts w:ascii="仿宋_GB2312" w:hAnsi="仿宋" w:eastAsia="仿宋_GB2312"/>
          <w:color w:val="auto"/>
          <w:sz w:val="36"/>
          <w:szCs w:val="36"/>
          <w:highlight w:val="none"/>
        </w:rPr>
      </w:pPr>
    </w:p>
    <w:p w14:paraId="7A9AD2D5">
      <w:pPr>
        <w:tabs>
          <w:tab w:val="left" w:pos="580"/>
        </w:tabs>
        <w:ind w:firstLine="1800" w:firstLineChars="500"/>
        <w:rPr>
          <w:rFonts w:ascii="仿宋_GB2312" w:hAnsi="仿宋" w:eastAsia="仿宋_GB2312"/>
          <w:color w:val="auto"/>
          <w:sz w:val="36"/>
          <w:szCs w:val="36"/>
          <w:highlight w:val="none"/>
        </w:rPr>
      </w:pPr>
      <w:r>
        <w:rPr>
          <w:rFonts w:hint="eastAsia" w:ascii="仿宋_GB2312" w:hAnsi="仿宋" w:eastAsia="仿宋_GB2312"/>
          <w:color w:val="auto"/>
          <w:sz w:val="36"/>
          <w:szCs w:val="36"/>
          <w:highlight w:val="none"/>
        </w:rPr>
        <w:t>供应商名称：***有限公司</w:t>
      </w:r>
    </w:p>
    <w:p w14:paraId="209735E2">
      <w:pPr>
        <w:tabs>
          <w:tab w:val="left" w:pos="580"/>
        </w:tabs>
        <w:ind w:firstLine="1800" w:firstLineChars="500"/>
        <w:rPr>
          <w:rFonts w:ascii="仿宋_GB2312" w:hAnsi="仿宋" w:eastAsia="仿宋_GB2312"/>
          <w:color w:val="auto"/>
          <w:sz w:val="36"/>
          <w:szCs w:val="36"/>
          <w:highlight w:val="none"/>
        </w:rPr>
      </w:pPr>
      <w:r>
        <w:rPr>
          <w:rFonts w:hint="eastAsia" w:ascii="仿宋_GB2312" w:hAnsi="仿宋" w:eastAsia="仿宋_GB2312"/>
          <w:color w:val="auto"/>
          <w:sz w:val="36"/>
          <w:szCs w:val="36"/>
          <w:highlight w:val="none"/>
        </w:rPr>
        <w:t>日      期：</w:t>
      </w:r>
      <w:r>
        <w:rPr>
          <w:rFonts w:ascii="仿宋_GB2312" w:hAnsi="仿宋" w:eastAsia="仿宋_GB2312"/>
          <w:color w:val="auto"/>
          <w:sz w:val="36"/>
          <w:szCs w:val="36"/>
          <w:highlight w:val="none"/>
        </w:rPr>
        <w:t xml:space="preserve">   </w:t>
      </w:r>
      <w:r>
        <w:rPr>
          <w:rFonts w:hint="eastAsia" w:ascii="仿宋_GB2312" w:hAnsi="仿宋" w:eastAsia="仿宋_GB2312"/>
          <w:color w:val="auto"/>
          <w:sz w:val="36"/>
          <w:szCs w:val="36"/>
          <w:highlight w:val="none"/>
        </w:rPr>
        <w:t>年  月  日</w:t>
      </w:r>
    </w:p>
    <w:p w14:paraId="63FAE65B">
      <w:pPr>
        <w:widowControl/>
        <w:jc w:val="center"/>
        <w:rPr>
          <w:color w:val="auto"/>
          <w:highlight w:val="none"/>
        </w:rPr>
      </w:pPr>
      <w:r>
        <w:rPr>
          <w:rFonts w:ascii="仿宋_GB2312" w:hAnsi="仿宋" w:eastAsia="仿宋_GB2312"/>
          <w:color w:val="auto"/>
          <w:sz w:val="36"/>
          <w:szCs w:val="36"/>
          <w:highlight w:val="none"/>
        </w:rPr>
        <w:br w:type="page"/>
      </w:r>
      <w:r>
        <w:rPr>
          <w:rFonts w:ascii="黑体" w:hAnsi="黑体" w:eastAsia="黑体"/>
          <w:color w:val="auto"/>
          <w:sz w:val="44"/>
          <w:szCs w:val="44"/>
          <w:highlight w:val="none"/>
        </w:rPr>
        <w:t>目录</w:t>
      </w:r>
    </w:p>
    <w:p w14:paraId="2B64274C">
      <w:pPr>
        <w:tabs>
          <w:tab w:val="right" w:leader="dot" w:pos="8296"/>
        </w:tabs>
        <w:jc w:val="center"/>
        <w:rPr>
          <w:rFonts w:ascii="仿宋_GB2312" w:eastAsia="仿宋_GB2312"/>
          <w:color w:val="auto"/>
          <w:szCs w:val="21"/>
          <w:highlight w:val="none"/>
        </w:rPr>
      </w:pPr>
      <w:r>
        <w:rPr>
          <w:rFonts w:hint="eastAsia" w:ascii="仿宋_GB2312" w:eastAsia="仿宋_GB2312"/>
          <w:color w:val="auto"/>
          <w:sz w:val="32"/>
          <w:szCs w:val="21"/>
          <w:highlight w:val="none"/>
        </w:rPr>
        <w:t>（由供应商自行编制）</w:t>
      </w:r>
    </w:p>
    <w:p w14:paraId="3C445A36">
      <w:pPr>
        <w:keepNext/>
        <w:keepLines/>
        <w:spacing w:before="120" w:after="120" w:line="560" w:lineRule="exact"/>
        <w:jc w:val="center"/>
        <w:outlineLvl w:val="1"/>
        <w:rPr>
          <w:rFonts w:ascii="Arial" w:hAnsi="Arial" w:eastAsia="黑体"/>
          <w:bCs/>
          <w:color w:val="auto"/>
          <w:sz w:val="44"/>
          <w:szCs w:val="32"/>
          <w:highlight w:val="none"/>
        </w:rPr>
      </w:pPr>
      <w:r>
        <w:rPr>
          <w:rFonts w:ascii="仿宋_GB2312" w:hAnsi="宋体" w:eastAsia="仿宋_GB2312"/>
          <w:b/>
          <w:bCs/>
          <w:color w:val="auto"/>
          <w:sz w:val="30"/>
          <w:szCs w:val="30"/>
          <w:highlight w:val="none"/>
        </w:rPr>
        <w:br w:type="page"/>
      </w:r>
      <w:r>
        <w:rPr>
          <w:rFonts w:hint="eastAsia" w:ascii="Arial" w:hAnsi="Arial" w:eastAsia="黑体"/>
          <w:bCs/>
          <w:color w:val="auto"/>
          <w:sz w:val="44"/>
          <w:szCs w:val="32"/>
          <w:highlight w:val="none"/>
        </w:rPr>
        <w:t>报价承诺函</w:t>
      </w:r>
    </w:p>
    <w:p w14:paraId="2545AE06">
      <w:pPr>
        <w:spacing w:line="56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lang w:eastAsia="zh-CN"/>
        </w:rPr>
        <w:t>威海市嘉鑫工程检测鉴定有限公司</w:t>
      </w:r>
      <w:r>
        <w:rPr>
          <w:rFonts w:hint="eastAsia" w:ascii="仿宋_GB2312" w:hAnsi="仿宋" w:eastAsia="仿宋_GB2312"/>
          <w:color w:val="auto"/>
          <w:sz w:val="30"/>
          <w:szCs w:val="30"/>
          <w:highlight w:val="none"/>
        </w:rPr>
        <w:t>：</w:t>
      </w:r>
    </w:p>
    <w:p w14:paraId="7D31DEF0">
      <w:pPr>
        <w:spacing w:line="560" w:lineRule="exact"/>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我方根据项目编号为</w:t>
      </w:r>
      <w:r>
        <w:rPr>
          <w:rFonts w:hint="eastAsia" w:ascii="仿宋_GB2312" w:hAnsi="仿宋" w:eastAsia="仿宋_GB2312"/>
          <w:color w:val="auto"/>
          <w:sz w:val="30"/>
          <w:szCs w:val="30"/>
          <w:highlight w:val="none"/>
          <w:lang w:eastAsia="zh-CN"/>
        </w:rPr>
        <w:t>WHJX-ZB-2026-030</w:t>
      </w:r>
      <w:r>
        <w:rPr>
          <w:rFonts w:hint="eastAsia" w:ascii="仿宋_GB2312" w:hAnsi="仿宋" w:eastAsia="仿宋_GB2312"/>
          <w:color w:val="auto"/>
          <w:sz w:val="30"/>
          <w:szCs w:val="30"/>
          <w:highlight w:val="none"/>
        </w:rPr>
        <w:t>项目名称为</w:t>
      </w:r>
      <w:r>
        <w:rPr>
          <w:rFonts w:hint="eastAsia" w:ascii="仿宋_GB2312" w:hAnsi="仿宋" w:eastAsia="仿宋_GB2312"/>
          <w:color w:val="auto"/>
          <w:sz w:val="30"/>
          <w:szCs w:val="30"/>
          <w:highlight w:val="none"/>
          <w:lang w:eastAsia="zh-CN"/>
        </w:rPr>
        <w:t>路沿石、人行道板采购</w:t>
      </w:r>
      <w:r>
        <w:rPr>
          <w:rFonts w:hint="eastAsia" w:ascii="仿宋_GB2312" w:hAnsi="仿宋" w:eastAsia="仿宋_GB2312"/>
          <w:color w:val="auto"/>
          <w:sz w:val="30"/>
          <w:szCs w:val="30"/>
          <w:highlight w:val="none"/>
        </w:rPr>
        <w:t>竞争谈判文件要求，经详细研究决定参加报价。</w:t>
      </w:r>
    </w:p>
    <w:p w14:paraId="7D429751">
      <w:pPr>
        <w:spacing w:line="560" w:lineRule="exact"/>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1. 我方接受本采购文件中关于电子招投标的各项规定，遵守《中华人民共和国电子签名法》关于电子签名的各项规定。我方愿意按照竞争谈判文件的规定和要求提供产品，报价详见《开标（报价）一览表》。</w:t>
      </w:r>
    </w:p>
    <w:p w14:paraId="7EB4019F">
      <w:pPr>
        <w:spacing w:line="560" w:lineRule="exact"/>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2.我方同意</w:t>
      </w:r>
      <w:r>
        <w:rPr>
          <w:rFonts w:hint="eastAsia" w:ascii="仿宋_GB2312" w:hAnsi="仿宋" w:eastAsia="仿宋_GB2312" w:cs="宋体"/>
          <w:color w:val="auto"/>
          <w:sz w:val="30"/>
          <w:szCs w:val="30"/>
          <w:highlight w:val="none"/>
        </w:rPr>
        <w:t>90天</w:t>
      </w:r>
      <w:r>
        <w:rPr>
          <w:rFonts w:hint="eastAsia" w:ascii="仿宋_GB2312" w:hAnsi="仿宋" w:eastAsia="仿宋_GB2312"/>
          <w:color w:val="auto"/>
          <w:sz w:val="30"/>
          <w:szCs w:val="30"/>
          <w:highlight w:val="none"/>
        </w:rPr>
        <w:t>的报价有效期，严格遵守响应文件的各项承诺。在此期限届满之前，本响应文件始终对我方具有约束力，并随时接受成交。我方承诺在报价有效期内不修改、撤销响应文件。</w:t>
      </w:r>
    </w:p>
    <w:p w14:paraId="5AAF3310">
      <w:pPr>
        <w:spacing w:line="560" w:lineRule="exact"/>
        <w:ind w:firstLine="600" w:firstLineChars="200"/>
        <w:rPr>
          <w:rFonts w:ascii="仿宋_GB2312" w:hAnsi="仿宋" w:eastAsia="仿宋_GB2312"/>
          <w:strike/>
          <w:color w:val="auto"/>
          <w:sz w:val="30"/>
          <w:szCs w:val="30"/>
          <w:highlight w:val="none"/>
        </w:rPr>
      </w:pPr>
      <w:r>
        <w:rPr>
          <w:rFonts w:hint="eastAsia" w:ascii="仿宋_GB2312" w:hAnsi="仿宋" w:eastAsia="仿宋_GB2312"/>
          <w:color w:val="auto"/>
          <w:sz w:val="30"/>
          <w:szCs w:val="30"/>
          <w:highlight w:val="none"/>
        </w:rPr>
        <w:t>3. 我方愿意遵守本采购文件的规定和要求并提供竞争谈判文件中要求的所有资料，若响应文件中存在虚假资料的，则视为我方隐瞒真实情况、提供虚假资料，我方愿意接受主管部门做出的行政处罚。</w:t>
      </w:r>
    </w:p>
    <w:p w14:paraId="0E46C1DC">
      <w:pPr>
        <w:spacing w:line="560" w:lineRule="exact"/>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4.我方同意最低价是成交的主要选择标准，但不是唯一的选择标准。</w:t>
      </w:r>
    </w:p>
    <w:p w14:paraId="4B87CE9E">
      <w:pPr>
        <w:spacing w:line="560" w:lineRule="exact"/>
        <w:ind w:firstLine="450" w:firstLineChars="15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 5.如果我方成交：</w:t>
      </w:r>
    </w:p>
    <w:p w14:paraId="340E57FE">
      <w:pPr>
        <w:ind w:firstLine="450" w:firstLineChars="15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（1）我方承诺在成交通知书发出后，在规定期限内与采购人签订合同；认同本项目的付款方式并了解其中的风险；</w:t>
      </w:r>
      <w:r>
        <w:rPr>
          <w:rFonts w:ascii="仿宋_GB2312" w:hAnsi="仿宋" w:eastAsia="仿宋_GB2312"/>
          <w:color w:val="auto"/>
          <w:sz w:val="30"/>
          <w:szCs w:val="30"/>
          <w:highlight w:val="none"/>
        </w:rPr>
        <w:t xml:space="preserve"> </w:t>
      </w:r>
    </w:p>
    <w:p w14:paraId="255287E3">
      <w:pPr>
        <w:spacing w:line="560" w:lineRule="exact"/>
        <w:ind w:firstLine="450" w:firstLineChars="15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（2）我方承诺在合同约定的期限内，按期、保质、保量完成供货任务；</w:t>
      </w:r>
    </w:p>
    <w:p w14:paraId="6A33D66B">
      <w:pPr>
        <w:spacing w:line="560" w:lineRule="exact"/>
        <w:ind w:firstLine="450" w:firstLineChars="15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（3）我方承诺将按照竞争谈判文件的规定全额交纳代理服务费。</w:t>
      </w:r>
    </w:p>
    <w:p w14:paraId="61B5C799">
      <w:pPr>
        <w:spacing w:line="560" w:lineRule="exact"/>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6.所有有关本报价的函电，请按下列地址联系：</w:t>
      </w:r>
    </w:p>
    <w:p w14:paraId="15B714AC">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单    位：                     邮政编码：</w:t>
      </w:r>
    </w:p>
    <w:p w14:paraId="2BA0C707">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地    址：                     联 系 人：</w:t>
      </w:r>
    </w:p>
    <w:p w14:paraId="52002864">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电    话：                     传    真：</w:t>
      </w:r>
    </w:p>
    <w:p w14:paraId="6B1A5DCA">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开户名称：</w:t>
      </w:r>
    </w:p>
    <w:p w14:paraId="6D8D09F0">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开户银行：</w:t>
      </w:r>
    </w:p>
    <w:p w14:paraId="56C32A42">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开户账号：</w:t>
      </w:r>
    </w:p>
    <w:p w14:paraId="1838F960">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供应商（盖章）： </w:t>
      </w:r>
    </w:p>
    <w:p w14:paraId="5CC391B8">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法定代表人（依法登记的负责人）或授权代表（签字或签章）：</w:t>
      </w:r>
    </w:p>
    <w:p w14:paraId="55BA2260">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报价日期：××年××月××日</w:t>
      </w:r>
    </w:p>
    <w:p w14:paraId="60C5913E">
      <w:pPr>
        <w:spacing w:line="560" w:lineRule="exact"/>
        <w:ind w:firstLine="64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    </w:t>
      </w:r>
    </w:p>
    <w:p w14:paraId="1661E599">
      <w:pPr>
        <w:keepNext/>
        <w:keepLines/>
        <w:spacing w:before="120" w:after="120" w:line="560" w:lineRule="exact"/>
        <w:jc w:val="center"/>
        <w:outlineLvl w:val="1"/>
        <w:rPr>
          <w:rFonts w:ascii="Arial" w:hAnsi="Arial" w:eastAsia="黑体"/>
          <w:bCs/>
          <w:color w:val="auto"/>
          <w:sz w:val="44"/>
          <w:szCs w:val="32"/>
          <w:highlight w:val="none"/>
        </w:rPr>
      </w:pPr>
      <w:r>
        <w:rPr>
          <w:rFonts w:ascii="仿宋_GB2312" w:hAnsi="仿宋" w:eastAsia="仿宋_GB2312"/>
          <w:bCs/>
          <w:color w:val="auto"/>
          <w:sz w:val="30"/>
          <w:szCs w:val="30"/>
          <w:highlight w:val="none"/>
        </w:rPr>
        <w:br w:type="page"/>
      </w:r>
      <w:r>
        <w:rPr>
          <w:rFonts w:hint="eastAsia" w:ascii="Arial" w:hAnsi="Arial" w:eastAsia="黑体"/>
          <w:bCs/>
          <w:color w:val="auto"/>
          <w:sz w:val="44"/>
          <w:szCs w:val="32"/>
          <w:highlight w:val="none"/>
        </w:rPr>
        <w:t>供应商资格证明文件</w:t>
      </w:r>
    </w:p>
    <w:p w14:paraId="44B1CB8A">
      <w:pPr>
        <w:keepNext/>
        <w:keepLines/>
        <w:spacing w:before="120" w:after="120"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有效的营业执照副本扫描件</w:t>
      </w:r>
    </w:p>
    <w:p w14:paraId="73DA465F">
      <w:pPr>
        <w:keepNext/>
        <w:keepLines/>
        <w:spacing w:before="120" w:after="120" w:line="560" w:lineRule="exact"/>
        <w:jc w:val="center"/>
        <w:outlineLvl w:val="2"/>
        <w:rPr>
          <w:rFonts w:eastAsia="黑体"/>
          <w:bCs/>
          <w:color w:val="auto"/>
          <w:sz w:val="32"/>
          <w:szCs w:val="32"/>
          <w:highlight w:val="none"/>
        </w:rPr>
      </w:pPr>
      <w:r>
        <w:rPr>
          <w:rFonts w:eastAsia="黑体"/>
          <w:bCs/>
          <w:color w:val="auto"/>
          <w:sz w:val="32"/>
          <w:szCs w:val="32"/>
          <w:highlight w:val="none"/>
        </w:rPr>
        <w:br w:type="page"/>
      </w:r>
    </w:p>
    <w:p w14:paraId="17CA912B">
      <w:pPr>
        <w:keepNext/>
        <w:keepLines/>
        <w:spacing w:before="120" w:after="120"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法定代表人或负责人身份证明书</w:t>
      </w:r>
    </w:p>
    <w:p w14:paraId="512FCC67">
      <w:pPr>
        <w:ind w:right="840"/>
        <w:jc w:val="center"/>
        <w:rPr>
          <w:rFonts w:hAnsi="宋体"/>
          <w:color w:val="auto"/>
          <w:highlight w:val="none"/>
        </w:rPr>
      </w:pPr>
    </w:p>
    <w:p w14:paraId="31C16495">
      <w:pPr>
        <w:spacing w:line="560" w:lineRule="exact"/>
        <w:rPr>
          <w:rFonts w:ascii="仿宋_GB2312" w:hAnsi="仿宋" w:eastAsia="仿宋_GB2312"/>
          <w:color w:val="auto"/>
          <w:sz w:val="30"/>
          <w:szCs w:val="30"/>
          <w:highlight w:val="none"/>
        </w:rPr>
      </w:pPr>
      <w:r>
        <w:rPr>
          <w:rFonts w:hint="eastAsia" w:ascii="仿宋_GB2312" w:hAnsi="仿宋" w:eastAsia="仿宋_GB2312"/>
          <w:color w:val="auto"/>
          <w:sz w:val="32"/>
          <w:szCs w:val="32"/>
          <w:highlight w:val="none"/>
        </w:rPr>
        <w:t>致</w:t>
      </w:r>
      <w:r>
        <w:rPr>
          <w:rFonts w:hint="eastAsia" w:ascii="仿宋_GB2312" w:hAnsi="仿宋" w:eastAsia="仿宋_GB2312"/>
          <w:color w:val="auto"/>
          <w:sz w:val="30"/>
          <w:szCs w:val="30"/>
          <w:highlight w:val="none"/>
          <w:lang w:eastAsia="zh-CN"/>
        </w:rPr>
        <w:t>威海市嘉鑫工程检测鉴定有限公司</w:t>
      </w:r>
      <w:r>
        <w:rPr>
          <w:rFonts w:hint="eastAsia" w:ascii="仿宋_GB2312" w:hAnsi="仿宋" w:eastAsia="仿宋_GB2312"/>
          <w:color w:val="auto"/>
          <w:sz w:val="30"/>
          <w:szCs w:val="30"/>
          <w:highlight w:val="none"/>
        </w:rPr>
        <w:t>：</w:t>
      </w:r>
    </w:p>
    <w:p w14:paraId="633C87CF">
      <w:pPr>
        <w:tabs>
          <w:tab w:val="left" w:pos="5580"/>
        </w:tabs>
        <w:spacing w:line="600" w:lineRule="exact"/>
        <w:ind w:left="1100" w:leftChars="-29" w:hanging="1161"/>
        <w:rPr>
          <w:rFonts w:ascii="仿宋_GB2312" w:hAnsi="仿宋" w:eastAsia="仿宋_GB2312"/>
          <w:color w:val="auto"/>
          <w:sz w:val="32"/>
          <w:szCs w:val="32"/>
          <w:highlight w:val="none"/>
        </w:rPr>
      </w:pPr>
    </w:p>
    <w:p w14:paraId="24330EAE">
      <w:pPr>
        <w:tabs>
          <w:tab w:val="left" w:pos="5580"/>
        </w:tabs>
        <w:spacing w:line="600" w:lineRule="exact"/>
        <w:ind w:left="-113" w:leftChars="-54"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（姓名、性别、年龄、身份证号码）在我单位任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（董事长、总经理等）职务，是我单位的法定代表人/负责人。</w:t>
      </w:r>
    </w:p>
    <w:p w14:paraId="55C6F410">
      <w:pPr>
        <w:tabs>
          <w:tab w:val="left" w:pos="5580"/>
        </w:tabs>
        <w:spacing w:line="600" w:lineRule="exact"/>
        <w:rPr>
          <w:rFonts w:ascii="仿宋_GB2312" w:hAnsi="仿宋" w:eastAsia="仿宋_GB2312"/>
          <w:color w:val="auto"/>
          <w:sz w:val="32"/>
          <w:szCs w:val="32"/>
          <w:highlight w:val="none"/>
        </w:rPr>
      </w:pPr>
    </w:p>
    <w:p w14:paraId="4C8DF542">
      <w:pPr>
        <w:tabs>
          <w:tab w:val="left" w:pos="5580"/>
        </w:tabs>
        <w:spacing w:line="600" w:lineRule="exact"/>
        <w:ind w:left="1080" w:leftChars="257" w:hanging="54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特此证明。</w:t>
      </w:r>
    </w:p>
    <w:p w14:paraId="7D06D0F2">
      <w:pPr>
        <w:spacing w:line="600" w:lineRule="exact"/>
        <w:rPr>
          <w:rFonts w:ascii="仿宋_GB2312" w:hAnsi="仿宋" w:eastAsia="仿宋_GB2312"/>
          <w:color w:val="auto"/>
          <w:sz w:val="32"/>
          <w:szCs w:val="32"/>
          <w:highlight w:val="none"/>
        </w:rPr>
      </w:pPr>
    </w:p>
    <w:p w14:paraId="098ACA4E">
      <w:pPr>
        <w:tabs>
          <w:tab w:val="left" w:pos="5580"/>
        </w:tabs>
        <w:spacing w:line="600" w:lineRule="exact"/>
        <w:ind w:left="-540" w:leftChars="-257" w:right="960" w:firstLine="1200" w:firstLineChars="375"/>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供应商名称（公</w:t>
      </w:r>
      <w:r>
        <w:rPr>
          <w:rFonts w:ascii="仿宋_GB2312" w:hAnsi="仿宋" w:eastAsia="仿宋_GB2312"/>
          <w:color w:val="auto"/>
          <w:sz w:val="32"/>
          <w:szCs w:val="32"/>
          <w:highlight w:val="none"/>
        </w:rPr>
        <w:t>章）：</w:t>
      </w:r>
      <w:r>
        <w:rPr>
          <w:rFonts w:hint="eastAsia" w:ascii="仿宋_GB2312" w:hAnsi="仿宋" w:eastAsia="仿宋_GB2312"/>
          <w:color w:val="auto"/>
          <w:sz w:val="32"/>
          <w:szCs w:val="32"/>
          <w:highlight w:val="none"/>
        </w:rPr>
        <w:t xml:space="preserve">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2C7FC583">
      <w:pPr>
        <w:keepNext/>
        <w:keepLines/>
        <w:spacing w:before="120" w:after="120" w:line="560" w:lineRule="exact"/>
        <w:jc w:val="center"/>
        <w:outlineLvl w:val="2"/>
        <w:rPr>
          <w:rFonts w:eastAsia="黑体"/>
          <w:bCs/>
          <w:color w:val="auto"/>
          <w:sz w:val="44"/>
          <w:szCs w:val="32"/>
          <w:highlight w:val="none"/>
        </w:rPr>
      </w:pPr>
      <w:r>
        <w:rPr>
          <w:color w:val="auto"/>
          <w:highlight w:val="none"/>
        </w:rPr>
        <w:br w:type="page"/>
      </w:r>
      <w:r>
        <w:rPr>
          <w:rFonts w:hint="eastAsia" w:eastAsia="黑体"/>
          <w:bCs/>
          <w:color w:val="auto"/>
          <w:sz w:val="32"/>
          <w:szCs w:val="32"/>
          <w:highlight w:val="none"/>
        </w:rPr>
        <w:t>法人（依法登记的负责人）授权委托书</w:t>
      </w:r>
    </w:p>
    <w:p w14:paraId="3CC90EC1">
      <w:pPr>
        <w:spacing w:line="480" w:lineRule="exact"/>
        <w:ind w:firstLine="640" w:firstLineChars="200"/>
        <w:rPr>
          <w:color w:val="auto"/>
          <w:highlight w:val="none"/>
        </w:rPr>
      </w:pPr>
      <w:r>
        <w:rPr>
          <w:rFonts w:hint="eastAsia" w:ascii="仿宋_GB2312" w:hAnsi="仿宋" w:eastAsia="仿宋_GB2312"/>
          <w:color w:val="auto"/>
          <w:sz w:val="32"/>
          <w:szCs w:val="32"/>
          <w:highlight w:val="none"/>
        </w:rPr>
        <w:t>本授权书声明：注册于</w:t>
      </w:r>
      <w:r>
        <w:rPr>
          <w:rFonts w:hint="eastAsia" w:ascii="仿宋_GB2312" w:hAnsi="仿宋" w:eastAsia="仿宋_GB2312"/>
          <w:color w:val="auto"/>
          <w:sz w:val="32"/>
          <w:szCs w:val="32"/>
          <w:highlight w:val="none"/>
          <w:u w:val="single"/>
        </w:rPr>
        <w:t xml:space="preserve">   （国家或地区的名称）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（公司名称）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（法人代表/负责人姓名、职务）  （</w:t>
      </w:r>
      <w:r>
        <w:rPr>
          <w:rFonts w:hint="eastAsia" w:ascii="仿宋_GB2312" w:hAnsi="仿宋" w:eastAsia="仿宋_GB2312"/>
          <w:color w:val="auto"/>
          <w:sz w:val="32"/>
          <w:szCs w:val="32"/>
          <w:highlight w:val="none"/>
        </w:rPr>
        <w:t>身份证</w:t>
      </w:r>
      <w:r>
        <w:rPr>
          <w:rFonts w:ascii="仿宋_GB2312" w:hAnsi="仿宋" w:eastAsia="仿宋_GB2312"/>
          <w:color w:val="auto"/>
          <w:sz w:val="32"/>
          <w:szCs w:val="32"/>
          <w:highlight w:val="none"/>
        </w:rPr>
        <w:t>号码</w:t>
      </w:r>
      <w:r>
        <w:rPr>
          <w:rFonts w:hint="eastAsia" w:ascii="仿宋_GB2312" w:hAnsi="仿宋" w:eastAsia="仿宋_GB2312"/>
          <w:color w:val="auto"/>
          <w:sz w:val="32"/>
          <w:szCs w:val="32"/>
          <w:highlight w:val="none"/>
        </w:rPr>
        <w:t xml:space="preserve">：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），代表本公司授权</w:t>
      </w:r>
      <w:r>
        <w:rPr>
          <w:rFonts w:hint="eastAsia" w:ascii="仿宋_GB2312" w:hAnsi="仿宋" w:eastAsia="仿宋_GB2312"/>
          <w:color w:val="auto"/>
          <w:sz w:val="32"/>
          <w:szCs w:val="32"/>
          <w:highlight w:val="none"/>
          <w:u w:val="single"/>
        </w:rPr>
        <w:t xml:space="preserve">  （被授权单位名称）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（被授权人的姓名、职务）（</w:t>
      </w:r>
      <w:r>
        <w:rPr>
          <w:rFonts w:hint="eastAsia" w:ascii="仿宋_GB2312" w:hAnsi="仿宋" w:eastAsia="仿宋_GB2312"/>
          <w:color w:val="auto"/>
          <w:sz w:val="32"/>
          <w:szCs w:val="32"/>
          <w:highlight w:val="none"/>
        </w:rPr>
        <w:t>身份证</w:t>
      </w:r>
      <w:r>
        <w:rPr>
          <w:rFonts w:ascii="仿宋_GB2312" w:hAnsi="仿宋" w:eastAsia="仿宋_GB2312"/>
          <w:color w:val="auto"/>
          <w:sz w:val="32"/>
          <w:szCs w:val="32"/>
          <w:highlight w:val="none"/>
        </w:rPr>
        <w:t>号码</w:t>
      </w:r>
      <w:r>
        <w:rPr>
          <w:rFonts w:hint="eastAsia" w:ascii="仿宋_GB2312" w:hAnsi="仿宋" w:eastAsia="仿宋_GB2312"/>
          <w:color w:val="auto"/>
          <w:sz w:val="32"/>
          <w:szCs w:val="32"/>
          <w:highlight w:val="none"/>
        </w:rPr>
        <w:t xml:space="preserve">：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）为本公司的合法代理人，参加编号为</w:t>
      </w:r>
      <w:r>
        <w:rPr>
          <w:rFonts w:hint="eastAsia" w:ascii="仿宋_GB2312" w:hAnsi="仿宋" w:eastAsia="仿宋_GB2312"/>
          <w:color w:val="auto"/>
          <w:sz w:val="32"/>
          <w:szCs w:val="32"/>
          <w:highlight w:val="none"/>
          <w:lang w:eastAsia="zh-CN"/>
        </w:rPr>
        <w:t>WHJX-ZB-2026-030</w:t>
      </w:r>
      <w:r>
        <w:rPr>
          <w:rFonts w:hint="eastAsia" w:ascii="仿宋_GB2312" w:hAnsi="仿宋" w:eastAsia="仿宋_GB2312"/>
          <w:color w:val="auto"/>
          <w:sz w:val="32"/>
          <w:szCs w:val="32"/>
          <w:highlight w:val="none"/>
        </w:rPr>
        <w:t>号的竞争谈判活动，以本公司名义处理一切与之有关的事宜。</w:t>
      </w:r>
    </w:p>
    <w:p w14:paraId="0847C5A1">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如果本公司在此次采购活动中成交，被授权人有权代表本公司签署采购合同。</w:t>
      </w:r>
    </w:p>
    <w:p w14:paraId="447557DA">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本授权书于</w:t>
      </w:r>
      <w:r>
        <w:rPr>
          <w:rFonts w:hint="eastAsia" w:ascii="仿宋_GB2312" w:hAnsi="仿宋" w:eastAsia="仿宋_GB2312"/>
          <w:color w:val="auto"/>
          <w:sz w:val="32"/>
          <w:szCs w:val="32"/>
          <w:highlight w:val="none"/>
          <w:u w:val="single"/>
        </w:rPr>
        <w:t xml:space="preserve">      </w:t>
      </w:r>
      <w:r>
        <w:rPr>
          <w:rFonts w:hint="eastAsia" w:ascii="仿宋_GB2312" w:hAnsi="仿宋" w:eastAsia="仿宋_GB2312"/>
          <w:color w:val="auto"/>
          <w:sz w:val="32"/>
          <w:szCs w:val="32"/>
          <w:highlight w:val="none"/>
        </w:rPr>
        <w:t>年</w:t>
      </w:r>
      <w:r>
        <w:rPr>
          <w:rFonts w:hint="eastAsia" w:ascii="仿宋_GB2312" w:hAnsi="仿宋" w:eastAsia="仿宋_GB2312"/>
          <w:color w:val="auto"/>
          <w:sz w:val="32"/>
          <w:szCs w:val="32"/>
          <w:highlight w:val="none"/>
          <w:u w:val="single"/>
        </w:rPr>
        <w:t xml:space="preserve">    </w:t>
      </w:r>
      <w:r>
        <w:rPr>
          <w:rFonts w:hint="eastAsia" w:ascii="仿宋_GB2312" w:hAnsi="仿宋" w:eastAsia="仿宋_GB2312"/>
          <w:color w:val="auto"/>
          <w:sz w:val="32"/>
          <w:szCs w:val="32"/>
          <w:highlight w:val="none"/>
        </w:rPr>
        <w:t>月</w:t>
      </w:r>
      <w:r>
        <w:rPr>
          <w:rFonts w:hint="eastAsia" w:ascii="仿宋_GB2312" w:hAnsi="仿宋" w:eastAsia="仿宋_GB2312"/>
          <w:color w:val="auto"/>
          <w:sz w:val="32"/>
          <w:szCs w:val="32"/>
          <w:highlight w:val="none"/>
          <w:u w:val="single"/>
        </w:rPr>
        <w:t xml:space="preserve">    </w:t>
      </w:r>
      <w:r>
        <w:rPr>
          <w:rFonts w:hint="eastAsia" w:ascii="仿宋_GB2312" w:hAnsi="仿宋" w:eastAsia="仿宋_GB2312"/>
          <w:color w:val="auto"/>
          <w:sz w:val="32"/>
          <w:szCs w:val="32"/>
          <w:highlight w:val="none"/>
        </w:rPr>
        <w:t>日法定代表人（依法登记的负责人）签字或盖章并由被授权人签字、单位盖章生效，特此声明。</w:t>
      </w:r>
    </w:p>
    <w:p w14:paraId="64B82008">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被授权人无转委托权。</w:t>
      </w:r>
    </w:p>
    <w:p w14:paraId="06B1CAF2">
      <w:pPr>
        <w:spacing w:line="480" w:lineRule="exact"/>
        <w:ind w:firstLine="640" w:firstLineChars="200"/>
        <w:jc w:val="lef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法定代表人（依法登记的负责人）签字或签章：</w:t>
      </w:r>
    </w:p>
    <w:p w14:paraId="6DC358F0">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被授权人签字：</w:t>
      </w:r>
    </w:p>
    <w:p w14:paraId="7A37E3C6">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投标人（公章）:</w:t>
      </w:r>
    </w:p>
    <w:p w14:paraId="4D2A150C">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详细通讯地址：</w:t>
      </w:r>
    </w:p>
    <w:p w14:paraId="62763969">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邮 政 编 码 ：</w:t>
      </w:r>
    </w:p>
    <w:p w14:paraId="6C8558FE">
      <w:pPr>
        <w:spacing w:line="480" w:lineRule="exact"/>
        <w:ind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传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真：</w:t>
      </w:r>
    </w:p>
    <w:p w14:paraId="52B3FF09">
      <w:pPr>
        <w:widowControl/>
        <w:ind w:firstLine="640" w:firstLineChars="200"/>
        <w:jc w:val="left"/>
        <w:rPr>
          <w:vanish/>
          <w:color w:val="auto"/>
          <w:highlight w:val="none"/>
        </w:rPr>
      </w:pPr>
      <w:r>
        <w:rPr>
          <w:rFonts w:hint="eastAsia" w:ascii="仿宋_GB2312" w:hAnsi="仿宋" w:eastAsia="仿宋_GB2312"/>
          <w:color w:val="auto"/>
          <w:sz w:val="32"/>
          <w:szCs w:val="32"/>
          <w:highlight w:val="none"/>
        </w:rPr>
        <w:t xml:space="preserve">电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话：</w:t>
      </w:r>
    </w:p>
    <w:tbl>
      <w:tblPr>
        <w:tblStyle w:val="34"/>
        <w:tblpPr w:leftFromText="180" w:rightFromText="180" w:vertAnchor="text" w:horzAnchor="margin" w:tblpY="3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786"/>
        <w:gridCol w:w="4786"/>
      </w:tblGrid>
      <w:tr w14:paraId="1D95A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12" w:hRule="atLeast"/>
        </w:trPr>
        <w:tc>
          <w:tcPr>
            <w:tcW w:w="4786" w:type="dxa"/>
            <w:vAlign w:val="center"/>
          </w:tcPr>
          <w:p w14:paraId="5E4BD25C">
            <w:pPr>
              <w:widowControl/>
              <w:spacing w:beforeAutospacing="1" w:afterAutospacing="1" w:line="360" w:lineRule="auto"/>
              <w:jc w:val="center"/>
              <w:rPr>
                <w:rFonts w:ascii="仿宋_GB2312" w:hAnsi="仿宋" w:eastAsia="仿宋_GB2312" w:cs="宋体"/>
                <w:color w:val="auto"/>
                <w:sz w:val="32"/>
                <w:szCs w:val="32"/>
                <w:highlight w:val="none"/>
              </w:rPr>
            </w:pPr>
            <w:r>
              <w:rPr>
                <w:rFonts w:hint="eastAsia" w:ascii="仿宋_GB2312" w:hAnsi="仿宋" w:eastAsia="仿宋_GB2312" w:cs="宋体"/>
                <w:color w:val="auto"/>
                <w:sz w:val="32"/>
                <w:szCs w:val="32"/>
                <w:highlight w:val="none"/>
              </w:rPr>
              <w:t>（被授权人身份证扫描件）</w:t>
            </w:r>
          </w:p>
        </w:tc>
        <w:tc>
          <w:tcPr>
            <w:tcW w:w="4786" w:type="dxa"/>
            <w:vAlign w:val="center"/>
          </w:tcPr>
          <w:p w14:paraId="1DD20850">
            <w:pPr>
              <w:widowControl/>
              <w:spacing w:beforeAutospacing="1" w:afterAutospacing="1" w:line="360" w:lineRule="auto"/>
              <w:jc w:val="center"/>
              <w:rPr>
                <w:rFonts w:ascii="仿宋_GB2312" w:hAnsi="仿宋" w:eastAsia="仿宋_GB2312" w:cs="宋体"/>
                <w:color w:val="auto"/>
                <w:sz w:val="32"/>
                <w:szCs w:val="32"/>
                <w:highlight w:val="none"/>
              </w:rPr>
            </w:pPr>
            <w:r>
              <w:rPr>
                <w:rFonts w:hint="eastAsia" w:ascii="仿宋_GB2312" w:hAnsi="仿宋" w:eastAsia="仿宋_GB2312" w:cs="宋体"/>
                <w:color w:val="auto"/>
                <w:sz w:val="32"/>
                <w:szCs w:val="32"/>
                <w:highlight w:val="none"/>
              </w:rPr>
              <w:t>（被授权人身份证扫描件）</w:t>
            </w:r>
          </w:p>
        </w:tc>
      </w:tr>
    </w:tbl>
    <w:p w14:paraId="111AA003">
      <w:pPr>
        <w:rPr>
          <w:vanish/>
          <w:color w:val="auto"/>
          <w:highlight w:val="none"/>
        </w:rPr>
      </w:pPr>
    </w:p>
    <w:p w14:paraId="45794F1B">
      <w:pPr>
        <w:rPr>
          <w:rFonts w:ascii="仿宋_GB2312" w:hAnsi="仿宋" w:eastAsia="仿宋_GB2312"/>
          <w:b/>
          <w:color w:val="auto"/>
          <w:sz w:val="36"/>
          <w:szCs w:val="21"/>
          <w:highlight w:val="none"/>
        </w:rPr>
      </w:pPr>
    </w:p>
    <w:p w14:paraId="59DCAB9A">
      <w:pPr>
        <w:keepNext/>
        <w:keepLines/>
        <w:spacing w:before="120" w:after="120" w:line="560" w:lineRule="exact"/>
        <w:jc w:val="center"/>
        <w:outlineLvl w:val="2"/>
        <w:rPr>
          <w:rFonts w:eastAsia="黑体"/>
          <w:bCs/>
          <w:color w:val="auto"/>
          <w:sz w:val="32"/>
          <w:szCs w:val="32"/>
          <w:highlight w:val="none"/>
        </w:rPr>
      </w:pPr>
      <w:r>
        <w:rPr>
          <w:rFonts w:hint="eastAsia" w:ascii="仿宋_GB2312" w:hAnsi="仿宋" w:eastAsia="仿宋_GB2312"/>
          <w:b/>
          <w:bCs/>
          <w:color w:val="auto"/>
          <w:sz w:val="28"/>
          <w:szCs w:val="28"/>
          <w:highlight w:val="none"/>
        </w:rPr>
        <w:br w:type="page"/>
      </w:r>
      <w:r>
        <w:rPr>
          <w:rFonts w:hint="eastAsia" w:eastAsia="黑体"/>
          <w:bCs/>
          <w:color w:val="auto"/>
          <w:sz w:val="32"/>
          <w:szCs w:val="32"/>
          <w:highlight w:val="none"/>
        </w:rPr>
        <w:t>供应商依法缴纳税收和社会保障资金的声明</w:t>
      </w:r>
    </w:p>
    <w:p w14:paraId="01B02943">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（格式自拟，加盖供应商公章）</w:t>
      </w:r>
    </w:p>
    <w:p w14:paraId="5E2B9B8C">
      <w:pPr>
        <w:keepNext/>
        <w:keepLines/>
        <w:spacing w:before="120" w:after="120" w:line="560" w:lineRule="exact"/>
        <w:jc w:val="center"/>
        <w:outlineLvl w:val="2"/>
        <w:rPr>
          <w:rFonts w:eastAsia="黑体"/>
          <w:bCs/>
          <w:color w:val="auto"/>
          <w:sz w:val="32"/>
          <w:szCs w:val="32"/>
          <w:highlight w:val="none"/>
        </w:rPr>
      </w:pPr>
      <w:r>
        <w:rPr>
          <w:rFonts w:ascii="Arial" w:hAnsi="Arial" w:eastAsia="黑体"/>
          <w:b/>
          <w:bCs/>
          <w:color w:val="auto"/>
          <w:sz w:val="32"/>
          <w:szCs w:val="32"/>
          <w:highlight w:val="none"/>
        </w:rPr>
        <w:br w:type="page"/>
      </w:r>
      <w:r>
        <w:rPr>
          <w:rFonts w:hint="eastAsia" w:eastAsia="黑体"/>
          <w:bCs/>
          <w:color w:val="auto"/>
          <w:sz w:val="32"/>
          <w:szCs w:val="32"/>
          <w:highlight w:val="none"/>
        </w:rPr>
        <w:t>供应商近期的完税凭证及缴纳社保资金凭证扫描件</w:t>
      </w:r>
    </w:p>
    <w:p w14:paraId="49FB2A25">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（加盖报价供应商签章）</w:t>
      </w:r>
    </w:p>
    <w:p w14:paraId="438CA795">
      <w:pPr>
        <w:keepNext/>
        <w:keepLines/>
        <w:spacing w:before="120" w:after="120" w:line="560" w:lineRule="exact"/>
        <w:jc w:val="center"/>
        <w:outlineLvl w:val="2"/>
        <w:rPr>
          <w:rFonts w:eastAsia="黑体"/>
          <w:bCs/>
          <w:color w:val="auto"/>
          <w:sz w:val="32"/>
          <w:szCs w:val="32"/>
          <w:highlight w:val="none"/>
        </w:rPr>
      </w:pPr>
      <w:r>
        <w:rPr>
          <w:color w:val="auto"/>
          <w:highlight w:val="none"/>
        </w:rPr>
        <w:br w:type="page"/>
      </w:r>
      <w:r>
        <w:rPr>
          <w:rFonts w:hint="eastAsia" w:eastAsia="黑体"/>
          <w:bCs/>
          <w:color w:val="auto"/>
          <w:sz w:val="32"/>
          <w:szCs w:val="32"/>
          <w:highlight w:val="none"/>
        </w:rPr>
        <w:t>无重大违法记录声明</w:t>
      </w:r>
    </w:p>
    <w:p w14:paraId="0605C651">
      <w:pPr>
        <w:spacing w:line="460" w:lineRule="exact"/>
        <w:ind w:left="1747" w:leftChars="832"/>
        <w:jc w:val="center"/>
        <w:rPr>
          <w:rFonts w:ascii="仿宋_GB2312" w:hAnsi="仿宋" w:eastAsia="仿宋_GB2312"/>
          <w:b/>
          <w:bCs/>
          <w:color w:val="auto"/>
          <w:sz w:val="28"/>
          <w:szCs w:val="28"/>
          <w:highlight w:val="none"/>
        </w:rPr>
      </w:pPr>
    </w:p>
    <w:p w14:paraId="2695B3F8">
      <w:pPr>
        <w:spacing w:line="480" w:lineRule="auto"/>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本单位郑重声明：</w:t>
      </w:r>
    </w:p>
    <w:p w14:paraId="582600D1">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我单位在参加采购活动前三年内在经营活动中没有重大违法记录，包括：</w:t>
      </w:r>
    </w:p>
    <w:p w14:paraId="44FA35F4">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我单位或者其法定代表人、董事、监事、高级管理人员未因经营活动中的违法行为受到刑事处罚或者责令停产停业、吊销许可证或者执照、较大数额罚款等行政处罚。</w:t>
      </w:r>
    </w:p>
    <w:p w14:paraId="4DF4BE49">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如有瞒报、虚报，我公司自行承担因此产生的所有法律责任。</w:t>
      </w:r>
    </w:p>
    <w:p w14:paraId="4134DEE5">
      <w:pPr>
        <w:spacing w:line="480" w:lineRule="auto"/>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特此声明！</w:t>
      </w:r>
    </w:p>
    <w:p w14:paraId="2457D202">
      <w:pPr>
        <w:spacing w:line="480" w:lineRule="auto"/>
        <w:rPr>
          <w:rFonts w:ascii="仿宋_GB2312" w:hAnsi="仿宋" w:eastAsia="仿宋_GB2312"/>
          <w:bCs/>
          <w:color w:val="auto"/>
          <w:sz w:val="28"/>
          <w:szCs w:val="28"/>
          <w:highlight w:val="none"/>
        </w:rPr>
      </w:pPr>
    </w:p>
    <w:p w14:paraId="58204FE5">
      <w:pPr>
        <w:spacing w:line="480" w:lineRule="auto"/>
        <w:rPr>
          <w:rFonts w:ascii="仿宋_GB2312" w:hAnsi="仿宋" w:eastAsia="仿宋_GB2312"/>
          <w:bCs/>
          <w:color w:val="auto"/>
          <w:sz w:val="28"/>
          <w:szCs w:val="28"/>
          <w:highlight w:val="none"/>
        </w:rPr>
      </w:pPr>
    </w:p>
    <w:p w14:paraId="6AA5F4BB">
      <w:pPr>
        <w:spacing w:line="480" w:lineRule="auto"/>
        <w:rPr>
          <w:rFonts w:ascii="仿宋_GB2312" w:hAnsi="仿宋" w:eastAsia="仿宋_GB2312"/>
          <w:bCs/>
          <w:color w:val="auto"/>
          <w:sz w:val="28"/>
          <w:szCs w:val="28"/>
          <w:highlight w:val="none"/>
        </w:rPr>
      </w:pPr>
    </w:p>
    <w:p w14:paraId="7BAAA364">
      <w:pPr>
        <w:tabs>
          <w:tab w:val="left" w:pos="5580"/>
        </w:tabs>
        <w:wordWrap w:val="0"/>
        <w:spacing w:line="360" w:lineRule="auto"/>
        <w:jc w:val="right"/>
        <w:rPr>
          <w:rFonts w:ascii="仿宋_GB2312" w:hAnsi="宋体" w:eastAsia="仿宋_GB2312"/>
          <w:color w:val="auto"/>
          <w:sz w:val="28"/>
          <w:szCs w:val="28"/>
          <w:highlight w:val="none"/>
        </w:rPr>
      </w:pPr>
      <w:r>
        <w:rPr>
          <w:rFonts w:hint="eastAsia" w:ascii="仿宋_GB2312" w:eastAsia="仿宋_GB2312"/>
          <w:color w:val="auto"/>
          <w:sz w:val="28"/>
          <w:szCs w:val="28"/>
          <w:highlight w:val="none"/>
        </w:rPr>
        <w:t xml:space="preserve">供应商全称（公章）：          </w:t>
      </w:r>
    </w:p>
    <w:p w14:paraId="5C4B1E06">
      <w:pPr>
        <w:tabs>
          <w:tab w:val="left" w:pos="5580"/>
        </w:tabs>
        <w:spacing w:line="360" w:lineRule="auto"/>
        <w:ind w:firstLine="4132" w:firstLineChars="1476"/>
        <w:jc w:val="right"/>
        <w:rPr>
          <w:rFonts w:ascii="仿宋_GB2312" w:eastAsia="仿宋_GB2312"/>
          <w:color w:val="auto"/>
          <w:sz w:val="28"/>
          <w:szCs w:val="28"/>
          <w:highlight w:val="none"/>
        </w:rPr>
      </w:pPr>
    </w:p>
    <w:p w14:paraId="48CBBF32">
      <w:pPr>
        <w:tabs>
          <w:tab w:val="left" w:pos="5580"/>
        </w:tabs>
        <w:wordWrap w:val="0"/>
        <w:spacing w:line="360" w:lineRule="auto"/>
        <w:jc w:val="right"/>
        <w:rPr>
          <w:rFonts w:ascii="仿宋_GB2312" w:eastAsia="仿宋_GB2312"/>
          <w:color w:val="auto"/>
          <w:sz w:val="28"/>
          <w:szCs w:val="28"/>
          <w:highlight w:val="none"/>
        </w:rPr>
      </w:pPr>
      <w:r>
        <w:rPr>
          <w:rFonts w:hint="eastAsia" w:ascii="仿宋_GB2312" w:hAnsi="仿宋" w:eastAsia="仿宋_GB2312"/>
          <w:bCs/>
          <w:color w:val="auto"/>
          <w:sz w:val="28"/>
          <w:szCs w:val="28"/>
          <w:highlight w:val="none"/>
        </w:rPr>
        <w:t xml:space="preserve">法定代表人（依法登记的负责人）或授权代表（签字或签章）：         </w:t>
      </w:r>
    </w:p>
    <w:p w14:paraId="4B72B409">
      <w:pPr>
        <w:tabs>
          <w:tab w:val="left" w:pos="5580"/>
        </w:tabs>
        <w:spacing w:line="360" w:lineRule="auto"/>
        <w:ind w:firstLine="4132" w:firstLineChars="1476"/>
        <w:rPr>
          <w:rFonts w:ascii="仿宋_GB2312" w:eastAsia="仿宋_GB2312"/>
          <w:color w:val="auto"/>
          <w:sz w:val="28"/>
          <w:szCs w:val="28"/>
          <w:highlight w:val="none"/>
        </w:rPr>
      </w:pPr>
    </w:p>
    <w:p w14:paraId="0A719311">
      <w:pPr>
        <w:widowControl/>
        <w:jc w:val="right"/>
        <w:rPr>
          <w:rFonts w:ascii="宋体" w:hAnsi="宋体"/>
          <w:color w:val="auto"/>
          <w:sz w:val="28"/>
          <w:szCs w:val="28"/>
          <w:highlight w:val="none"/>
        </w:rPr>
      </w:pPr>
      <w:r>
        <w:rPr>
          <w:rFonts w:hint="eastAsia" w:ascii="仿宋_GB2312" w:eastAsia="仿宋_GB2312"/>
          <w:color w:val="auto"/>
          <w:sz w:val="28"/>
          <w:szCs w:val="28"/>
          <w:highlight w:val="none"/>
        </w:rPr>
        <w:t>年</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月</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日</w:t>
      </w:r>
    </w:p>
    <w:p w14:paraId="4223A5D4">
      <w:pPr>
        <w:keepNext/>
        <w:keepLines/>
        <w:spacing w:before="120" w:after="120" w:line="560" w:lineRule="exact"/>
        <w:jc w:val="center"/>
        <w:outlineLvl w:val="2"/>
        <w:rPr>
          <w:rFonts w:eastAsia="黑体"/>
          <w:bCs/>
          <w:color w:val="auto"/>
          <w:sz w:val="32"/>
          <w:szCs w:val="32"/>
          <w:highlight w:val="none"/>
        </w:rPr>
      </w:pPr>
      <w:r>
        <w:rPr>
          <w:rFonts w:ascii="宋体" w:hAnsi="宋体" w:eastAsia="黑体"/>
          <w:bCs/>
          <w:color w:val="auto"/>
          <w:sz w:val="28"/>
          <w:szCs w:val="28"/>
          <w:highlight w:val="none"/>
        </w:rPr>
        <w:br w:type="page"/>
      </w:r>
      <w:r>
        <w:rPr>
          <w:rFonts w:hint="eastAsia" w:eastAsia="黑体"/>
          <w:bCs/>
          <w:color w:val="auto"/>
          <w:sz w:val="32"/>
          <w:szCs w:val="32"/>
          <w:highlight w:val="none"/>
        </w:rPr>
        <w:t>供应商失信查询</w:t>
      </w:r>
    </w:p>
    <w:p w14:paraId="6C9D87C3">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（加盖供应商公章）</w:t>
      </w:r>
    </w:p>
    <w:p w14:paraId="726E243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供应商在工商行政管理机关全国企业信用信息公示系统中未被列入严重违法失信企业名单截图或报告（</w:t>
      </w:r>
      <w:r>
        <w:rPr>
          <w:rFonts w:hint="eastAsia" w:ascii="仿宋_GB2312" w:hAnsi="宋体" w:eastAsia="仿宋_GB2312"/>
          <w:color w:val="auto"/>
          <w:sz w:val="28"/>
          <w:szCs w:val="28"/>
          <w:highlight w:val="none"/>
          <w:lang w:val="zh-CN"/>
        </w:rPr>
        <w:t>网址</w:t>
      </w:r>
      <w:r>
        <w:rPr>
          <w:color w:val="auto"/>
          <w:highlight w:val="none"/>
        </w:rPr>
        <w:fldChar w:fldCharType="begin"/>
      </w:r>
      <w:r>
        <w:rPr>
          <w:color w:val="auto"/>
          <w:highlight w:val="none"/>
        </w:rPr>
        <w:instrText xml:space="preserve"> HYPERLINK "http://www.gsxt.gov.cn/index.html" </w:instrText>
      </w:r>
      <w:r>
        <w:rPr>
          <w:color w:val="auto"/>
          <w:highlight w:val="none"/>
        </w:rPr>
        <w:fldChar w:fldCharType="separate"/>
      </w:r>
      <w:r>
        <w:rPr>
          <w:rStyle w:val="40"/>
          <w:rFonts w:ascii="仿宋_GB2312" w:hAnsi="宋体" w:eastAsia="仿宋_GB2312"/>
          <w:color w:val="auto"/>
          <w:sz w:val="28"/>
          <w:szCs w:val="28"/>
          <w:highlight w:val="none"/>
        </w:rPr>
        <w:t>http://www.gsxt.gov.cn/index.html</w:t>
      </w:r>
      <w:r>
        <w:rPr>
          <w:rStyle w:val="40"/>
          <w:rFonts w:ascii="仿宋_GB2312" w:hAnsi="宋体" w:eastAsia="仿宋_GB2312"/>
          <w:color w:val="auto"/>
          <w:sz w:val="28"/>
          <w:szCs w:val="28"/>
          <w:highlight w:val="none"/>
        </w:rPr>
        <w:fldChar w:fldCharType="end"/>
      </w:r>
      <w:r>
        <w:rPr>
          <w:rFonts w:hint="eastAsia" w:ascii="仿宋_GB2312" w:hAnsi="宋体" w:eastAsia="仿宋_GB2312"/>
          <w:color w:val="auto"/>
          <w:sz w:val="28"/>
          <w:szCs w:val="28"/>
          <w:highlight w:val="none"/>
        </w:rPr>
        <w:t>）；</w:t>
      </w:r>
    </w:p>
    <w:p w14:paraId="066F82C9">
      <w:pPr>
        <w:jc w:val="center"/>
        <w:rPr>
          <w:rFonts w:ascii="黑体" w:hAnsi="黑体" w:eastAsia="黑体"/>
          <w:color w:val="auto"/>
          <w:sz w:val="32"/>
          <w:szCs w:val="32"/>
          <w:highlight w:val="none"/>
        </w:rPr>
      </w:pPr>
      <w:r>
        <w:rPr>
          <w:rFonts w:ascii="仿宋_GB2312" w:hAnsi="宋体" w:eastAsia="仿宋_GB2312"/>
          <w:color w:val="auto"/>
          <w:sz w:val="28"/>
          <w:szCs w:val="28"/>
          <w:highlight w:val="none"/>
        </w:rPr>
        <w:br w:type="page"/>
      </w:r>
      <w:r>
        <w:rPr>
          <w:rFonts w:hint="eastAsia" w:ascii="仿宋_GB2312" w:hAnsi="宋体" w:eastAsia="仿宋_GB2312"/>
          <w:color w:val="auto"/>
          <w:sz w:val="28"/>
          <w:szCs w:val="28"/>
          <w:highlight w:val="none"/>
        </w:rPr>
        <w:t>供应商、法定代表人(授权委托人)未被最高院列入失信被执行人截图（</w:t>
      </w:r>
      <w:r>
        <w:rPr>
          <w:rFonts w:hint="eastAsia" w:ascii="仿宋_GB2312" w:hAnsi="宋体" w:eastAsia="仿宋_GB2312"/>
          <w:color w:val="auto"/>
          <w:sz w:val="28"/>
          <w:szCs w:val="28"/>
          <w:highlight w:val="none"/>
          <w:lang w:val="zh-CN"/>
        </w:rPr>
        <w:t>网址</w:t>
      </w:r>
      <w:r>
        <w:rPr>
          <w:color w:val="auto"/>
          <w:highlight w:val="none"/>
        </w:rPr>
        <w:fldChar w:fldCharType="begin"/>
      </w:r>
      <w:r>
        <w:rPr>
          <w:color w:val="auto"/>
          <w:highlight w:val="none"/>
        </w:rPr>
        <w:instrText xml:space="preserve"> HYPERLINK "http://zxgk.court.gov.cn/shixin%20/" </w:instrText>
      </w:r>
      <w:r>
        <w:rPr>
          <w:color w:val="auto"/>
          <w:highlight w:val="none"/>
        </w:rPr>
        <w:fldChar w:fldCharType="separate"/>
      </w:r>
      <w:r>
        <w:rPr>
          <w:rStyle w:val="40"/>
          <w:rFonts w:hint="eastAsia" w:ascii="仿宋_GB2312" w:hAnsi="宋体" w:eastAsia="仿宋_GB2312"/>
          <w:color w:val="auto"/>
          <w:sz w:val="28"/>
          <w:szCs w:val="28"/>
          <w:highlight w:val="none"/>
        </w:rPr>
        <w:t>http://zxgk.court.gov.cn/</w:t>
      </w:r>
      <w:r>
        <w:rPr>
          <w:rStyle w:val="40"/>
          <w:rFonts w:ascii="仿宋_GB2312" w:hAnsi="宋体" w:eastAsia="仿宋_GB2312"/>
          <w:color w:val="auto"/>
          <w:sz w:val="28"/>
          <w:szCs w:val="28"/>
          <w:highlight w:val="none"/>
        </w:rPr>
        <w:t>shixin</w:t>
      </w:r>
      <w:r>
        <w:rPr>
          <w:rStyle w:val="40"/>
          <w:rFonts w:hint="eastAsia" w:ascii="仿宋_GB2312" w:hAnsi="宋体" w:eastAsia="仿宋_GB2312"/>
          <w:color w:val="auto"/>
          <w:sz w:val="28"/>
          <w:szCs w:val="28"/>
          <w:highlight w:val="none"/>
        </w:rPr>
        <w:t>/</w:t>
      </w:r>
      <w:r>
        <w:rPr>
          <w:rStyle w:val="40"/>
          <w:rFonts w:hint="eastAsia" w:ascii="仿宋_GB2312" w:hAnsi="宋体" w:eastAsia="仿宋_GB2312"/>
          <w:color w:val="auto"/>
          <w:sz w:val="28"/>
          <w:szCs w:val="28"/>
          <w:highlight w:val="none"/>
        </w:rPr>
        <w:fldChar w:fldCharType="end"/>
      </w:r>
      <w:r>
        <w:rPr>
          <w:rFonts w:hint="eastAsia" w:ascii="仿宋_GB2312" w:hAnsi="宋体" w:eastAsia="仿宋_GB2312"/>
          <w:color w:val="auto"/>
          <w:sz w:val="28"/>
          <w:szCs w:val="28"/>
          <w:highlight w:val="none"/>
        </w:rPr>
        <w:t>）</w:t>
      </w:r>
    </w:p>
    <w:p w14:paraId="7EF90CCB">
      <w:pPr>
        <w:keepNext/>
        <w:keepLines/>
        <w:spacing w:before="120" w:after="120" w:line="560" w:lineRule="exact"/>
        <w:jc w:val="center"/>
        <w:outlineLvl w:val="2"/>
        <w:rPr>
          <w:rFonts w:eastAsia="黑体"/>
          <w:bCs/>
          <w:color w:val="auto"/>
          <w:sz w:val="32"/>
          <w:szCs w:val="32"/>
          <w:highlight w:val="none"/>
        </w:rPr>
      </w:pPr>
      <w:r>
        <w:rPr>
          <w:color w:val="auto"/>
          <w:highlight w:val="none"/>
        </w:rPr>
        <w:br w:type="page"/>
      </w:r>
      <w:r>
        <w:rPr>
          <w:rFonts w:hint="eastAsia" w:ascii="仿宋_GB2312" w:eastAsia="仿宋_GB2312"/>
          <w:bCs/>
          <w:color w:val="auto"/>
          <w:sz w:val="32"/>
          <w:szCs w:val="32"/>
          <w:highlight w:val="none"/>
        </w:rPr>
        <w:t>财务状况报告等相关材料</w:t>
      </w:r>
    </w:p>
    <w:p w14:paraId="336CB54B">
      <w:pPr>
        <w:pStyle w:val="20"/>
        <w:rPr>
          <w:color w:val="auto"/>
          <w:highlight w:val="none"/>
        </w:rPr>
      </w:pPr>
    </w:p>
    <w:p w14:paraId="6C73C74C">
      <w:pPr>
        <w:keepNext/>
        <w:keepLines/>
        <w:spacing w:before="120" w:after="120" w:line="560" w:lineRule="exact"/>
        <w:jc w:val="center"/>
        <w:outlineLvl w:val="2"/>
        <w:rPr>
          <w:rFonts w:eastAsia="黑体"/>
          <w:bCs/>
          <w:color w:val="auto"/>
          <w:sz w:val="32"/>
          <w:szCs w:val="32"/>
          <w:highlight w:val="none"/>
        </w:rPr>
      </w:pPr>
      <w:r>
        <w:rPr>
          <w:rFonts w:eastAsia="黑体"/>
          <w:bCs/>
          <w:color w:val="auto"/>
          <w:sz w:val="32"/>
          <w:szCs w:val="32"/>
          <w:highlight w:val="none"/>
        </w:rPr>
        <w:br w:type="page"/>
      </w:r>
      <w:r>
        <w:rPr>
          <w:rFonts w:hint="eastAsia" w:eastAsia="黑体"/>
          <w:bCs/>
          <w:color w:val="auto"/>
          <w:sz w:val="32"/>
          <w:szCs w:val="32"/>
          <w:highlight w:val="none"/>
        </w:rPr>
        <w:t>供应商具有履行合同所必需的设备和专业技术能力承诺函</w:t>
      </w:r>
    </w:p>
    <w:p w14:paraId="30B1B2A2">
      <w:pPr>
        <w:widowControl/>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（格式自拟，加盖供应商公章）</w:t>
      </w:r>
    </w:p>
    <w:p w14:paraId="2C1ECCCA">
      <w:pPr>
        <w:keepNext/>
        <w:keepLines/>
        <w:spacing w:before="120" w:after="120" w:line="560" w:lineRule="exact"/>
        <w:jc w:val="center"/>
        <w:outlineLvl w:val="2"/>
        <w:rPr>
          <w:rFonts w:ascii="黑体" w:hAnsi="黑体" w:eastAsia="黑体"/>
          <w:color w:val="auto"/>
          <w:sz w:val="32"/>
          <w:szCs w:val="32"/>
          <w:highlight w:val="none"/>
        </w:rPr>
      </w:pPr>
      <w:r>
        <w:rPr>
          <w:rFonts w:eastAsia="黑体"/>
          <w:bCs/>
          <w:color w:val="auto"/>
          <w:sz w:val="32"/>
          <w:szCs w:val="32"/>
          <w:highlight w:val="none"/>
        </w:rPr>
        <w:br w:type="page"/>
      </w:r>
      <w:r>
        <w:rPr>
          <w:rFonts w:hint="eastAsia" w:ascii="黑体" w:hAnsi="黑体" w:eastAsia="黑体"/>
          <w:color w:val="auto"/>
          <w:sz w:val="32"/>
          <w:szCs w:val="32"/>
          <w:highlight w:val="none"/>
        </w:rPr>
        <w:t>其他资质资格文件（如有）</w:t>
      </w:r>
    </w:p>
    <w:p w14:paraId="34A3365A">
      <w:pPr>
        <w:jc w:val="center"/>
        <w:rPr>
          <w:color w:val="auto"/>
          <w:highlight w:val="none"/>
        </w:rPr>
      </w:pPr>
      <w:r>
        <w:rPr>
          <w:rFonts w:hint="eastAsia" w:ascii="仿宋_GB2312" w:eastAsia="仿宋_GB2312"/>
          <w:color w:val="auto"/>
          <w:sz w:val="28"/>
          <w:szCs w:val="28"/>
          <w:highlight w:val="none"/>
        </w:rPr>
        <w:t>（加盖供应商公章）</w:t>
      </w:r>
    </w:p>
    <w:p w14:paraId="7468F3C8">
      <w:pPr>
        <w:widowControl/>
        <w:jc w:val="center"/>
        <w:rPr>
          <w:rFonts w:ascii="黑体" w:hAnsi="黑体" w:eastAsia="黑体"/>
          <w:color w:val="auto"/>
          <w:sz w:val="44"/>
          <w:szCs w:val="44"/>
          <w:highlight w:val="none"/>
        </w:rPr>
      </w:pPr>
      <w:r>
        <w:rPr>
          <w:color w:val="auto"/>
          <w:highlight w:val="none"/>
        </w:rPr>
        <w:br w:type="page"/>
      </w:r>
      <w:r>
        <w:rPr>
          <w:rFonts w:hint="eastAsia" w:ascii="黑体" w:hAnsi="黑体" w:eastAsia="黑体"/>
          <w:color w:val="auto"/>
          <w:sz w:val="44"/>
          <w:szCs w:val="44"/>
          <w:highlight w:val="none"/>
        </w:rPr>
        <w:t>供应商基本情况表</w:t>
      </w:r>
    </w:p>
    <w:tbl>
      <w:tblPr>
        <w:tblStyle w:val="3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4E80C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795D3EBB">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单位名称</w:t>
            </w:r>
          </w:p>
        </w:tc>
        <w:tc>
          <w:tcPr>
            <w:tcW w:w="2889" w:type="dxa"/>
            <w:gridSpan w:val="4"/>
            <w:vAlign w:val="center"/>
          </w:tcPr>
          <w:p w14:paraId="093C8E8A">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c>
          <w:tcPr>
            <w:tcW w:w="2106" w:type="dxa"/>
            <w:gridSpan w:val="3"/>
            <w:vAlign w:val="center"/>
          </w:tcPr>
          <w:p w14:paraId="7334E852">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地址</w:t>
            </w:r>
          </w:p>
        </w:tc>
        <w:tc>
          <w:tcPr>
            <w:tcW w:w="2049" w:type="dxa"/>
            <w:vAlign w:val="center"/>
          </w:tcPr>
          <w:p w14:paraId="4FC187BA">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30005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3C71C806">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办公电话/传真</w:t>
            </w:r>
          </w:p>
        </w:tc>
        <w:tc>
          <w:tcPr>
            <w:tcW w:w="2889" w:type="dxa"/>
            <w:gridSpan w:val="4"/>
            <w:vAlign w:val="center"/>
          </w:tcPr>
          <w:p w14:paraId="74136D90">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c>
          <w:tcPr>
            <w:tcW w:w="2106" w:type="dxa"/>
            <w:gridSpan w:val="3"/>
            <w:vAlign w:val="center"/>
          </w:tcPr>
          <w:p w14:paraId="285F0FEB">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联系人</w:t>
            </w:r>
          </w:p>
        </w:tc>
        <w:tc>
          <w:tcPr>
            <w:tcW w:w="2049" w:type="dxa"/>
            <w:vAlign w:val="center"/>
          </w:tcPr>
          <w:p w14:paraId="61F285B5">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60D4C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18A47F17">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所属/主管部门</w:t>
            </w:r>
          </w:p>
        </w:tc>
        <w:tc>
          <w:tcPr>
            <w:tcW w:w="7044" w:type="dxa"/>
            <w:gridSpan w:val="8"/>
            <w:vAlign w:val="center"/>
          </w:tcPr>
          <w:p w14:paraId="79AC44B5">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30A7C3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EA93D3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总经理</w:t>
            </w:r>
          </w:p>
        </w:tc>
        <w:tc>
          <w:tcPr>
            <w:tcW w:w="1665" w:type="dxa"/>
            <w:gridSpan w:val="2"/>
            <w:vAlign w:val="center"/>
          </w:tcPr>
          <w:p w14:paraId="1D9DB47B">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c>
          <w:tcPr>
            <w:tcW w:w="2827" w:type="dxa"/>
            <w:gridSpan w:val="4"/>
            <w:vAlign w:val="center"/>
          </w:tcPr>
          <w:p w14:paraId="46219C30">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固定办公面积（平米）</w:t>
            </w:r>
          </w:p>
        </w:tc>
        <w:tc>
          <w:tcPr>
            <w:tcW w:w="2552" w:type="dxa"/>
            <w:gridSpan w:val="2"/>
            <w:vAlign w:val="center"/>
          </w:tcPr>
          <w:p w14:paraId="1271BE8C">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7B3C1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2F13FE04">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注册情况</w:t>
            </w:r>
          </w:p>
        </w:tc>
        <w:tc>
          <w:tcPr>
            <w:tcW w:w="2214" w:type="dxa"/>
            <w:gridSpan w:val="2"/>
            <w:vAlign w:val="center"/>
          </w:tcPr>
          <w:p w14:paraId="2D04ABA8">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工商注册号</w:t>
            </w:r>
          </w:p>
        </w:tc>
        <w:tc>
          <w:tcPr>
            <w:tcW w:w="6477" w:type="dxa"/>
            <w:gridSpan w:val="7"/>
            <w:vAlign w:val="center"/>
          </w:tcPr>
          <w:p w14:paraId="273A1B75">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4B994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C976D29">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6843A4EB">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注册资本（万元）</w:t>
            </w:r>
          </w:p>
        </w:tc>
        <w:tc>
          <w:tcPr>
            <w:tcW w:w="6477" w:type="dxa"/>
            <w:gridSpan w:val="7"/>
            <w:vAlign w:val="center"/>
          </w:tcPr>
          <w:p w14:paraId="061AC236">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295AA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27535F5">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75A3E41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法定代表人</w:t>
            </w:r>
          </w:p>
        </w:tc>
        <w:tc>
          <w:tcPr>
            <w:tcW w:w="1665" w:type="dxa"/>
            <w:gridSpan w:val="2"/>
            <w:vAlign w:val="center"/>
          </w:tcPr>
          <w:p w14:paraId="2B737D96">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c>
          <w:tcPr>
            <w:tcW w:w="2214" w:type="dxa"/>
            <w:gridSpan w:val="2"/>
            <w:vAlign w:val="center"/>
          </w:tcPr>
          <w:p w14:paraId="08A5B4F1">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单位类型</w:t>
            </w:r>
          </w:p>
        </w:tc>
        <w:tc>
          <w:tcPr>
            <w:tcW w:w="2598" w:type="dxa"/>
            <w:gridSpan w:val="3"/>
            <w:vAlign w:val="center"/>
          </w:tcPr>
          <w:p w14:paraId="581B4609">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2AEF0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15003F8E">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4592DAC4">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成立时间</w:t>
            </w:r>
          </w:p>
        </w:tc>
        <w:tc>
          <w:tcPr>
            <w:tcW w:w="1665" w:type="dxa"/>
            <w:gridSpan w:val="2"/>
            <w:vAlign w:val="center"/>
          </w:tcPr>
          <w:p w14:paraId="2DDF632D">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c>
          <w:tcPr>
            <w:tcW w:w="2214" w:type="dxa"/>
            <w:gridSpan w:val="2"/>
            <w:vAlign w:val="center"/>
          </w:tcPr>
          <w:p w14:paraId="6DEC843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营业期限</w:t>
            </w:r>
          </w:p>
        </w:tc>
        <w:tc>
          <w:tcPr>
            <w:tcW w:w="2598" w:type="dxa"/>
            <w:gridSpan w:val="3"/>
            <w:vAlign w:val="center"/>
          </w:tcPr>
          <w:p w14:paraId="259A48FE">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0E5E6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2EB3C9EF">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4256B10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经营范围</w:t>
            </w:r>
          </w:p>
        </w:tc>
        <w:tc>
          <w:tcPr>
            <w:tcW w:w="6477" w:type="dxa"/>
            <w:gridSpan w:val="7"/>
            <w:vAlign w:val="center"/>
          </w:tcPr>
          <w:p w14:paraId="12D19C1B">
            <w:pPr>
              <w:spacing w:line="440" w:lineRule="exact"/>
              <w:jc w:val="center"/>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r w14:paraId="5B564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57971D92">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报价供应商情况简介</w:t>
            </w:r>
          </w:p>
        </w:tc>
      </w:tr>
      <w:tr w14:paraId="77CBD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175A21B5">
            <w:pPr>
              <w:spacing w:line="440" w:lineRule="exact"/>
              <w:rPr>
                <w:rFonts w:ascii="仿宋_GB2312" w:hAnsi="仿宋" w:eastAsia="仿宋_GB2312"/>
                <w:color w:val="auto"/>
                <w:sz w:val="28"/>
                <w:szCs w:val="28"/>
                <w:highlight w:val="none"/>
              </w:rPr>
            </w:pPr>
            <w:r>
              <w:rPr>
                <w:rFonts w:ascii="仿宋_GB2312" w:hAnsi="仿宋" w:eastAsia="仿宋_GB2312"/>
                <w:color w:val="auto"/>
                <w:sz w:val="28"/>
                <w:szCs w:val="28"/>
                <w:highlight w:val="none"/>
              </w:rPr>
              <w:t xml:space="preserve">  </w:t>
            </w:r>
          </w:p>
        </w:tc>
      </w:tr>
    </w:tbl>
    <w:p w14:paraId="615C34F7">
      <w:pPr>
        <w:rPr>
          <w:rFonts w:ascii="仿宋_GB2312" w:hAnsi="仿宋" w:eastAsia="仿宋_GB2312"/>
          <w:b/>
          <w:color w:val="auto"/>
          <w:sz w:val="44"/>
          <w:szCs w:val="44"/>
          <w:highlight w:val="none"/>
        </w:rPr>
      </w:pPr>
    </w:p>
    <w:p w14:paraId="2968D6DA">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报价供应商（盖章）： </w:t>
      </w:r>
      <w:r>
        <w:rPr>
          <w:rFonts w:ascii="仿宋_GB2312" w:hAnsi="仿宋" w:eastAsia="仿宋_GB2312"/>
          <w:color w:val="auto"/>
          <w:sz w:val="28"/>
          <w:szCs w:val="28"/>
          <w:highlight w:val="none"/>
        </w:rPr>
        <w:t xml:space="preserve">  </w:t>
      </w:r>
      <w:r>
        <w:rPr>
          <w:rFonts w:hint="eastAsia" w:ascii="仿宋_GB2312" w:hAnsi="仿宋" w:eastAsia="仿宋_GB2312"/>
          <w:color w:val="auto"/>
          <w:sz w:val="32"/>
          <w:szCs w:val="32"/>
          <w:highlight w:val="none"/>
        </w:rPr>
        <w:t xml:space="preserve">  </w:t>
      </w:r>
    </w:p>
    <w:p w14:paraId="36072AFC">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法定代表人（依法登记的负责人）或授权代表（签字或签章）： </w:t>
      </w:r>
      <w:r>
        <w:rPr>
          <w:rFonts w:ascii="仿宋_GB2312" w:hAnsi="仿宋" w:eastAsia="仿宋_GB2312"/>
          <w:color w:val="auto"/>
          <w:sz w:val="28"/>
          <w:szCs w:val="28"/>
          <w:highlight w:val="none"/>
        </w:rPr>
        <w:t xml:space="preserve">  </w:t>
      </w:r>
      <w:r>
        <w:rPr>
          <w:rFonts w:hint="eastAsia" w:ascii="仿宋_GB2312" w:hAnsi="仿宋" w:eastAsia="仿宋_GB2312"/>
          <w:color w:val="auto"/>
          <w:sz w:val="32"/>
          <w:szCs w:val="32"/>
          <w:highlight w:val="none"/>
        </w:rPr>
        <w:t xml:space="preserve">  </w:t>
      </w:r>
    </w:p>
    <w:p w14:paraId="4C08CB74">
      <w:pPr>
        <w:spacing w:line="560" w:lineRule="exact"/>
        <w:jc w:val="right"/>
        <w:rPr>
          <w:rFonts w:ascii="黑体" w:hAnsi="黑体" w:eastAsia="黑体"/>
          <w:color w:val="auto"/>
          <w:sz w:val="44"/>
          <w:szCs w:val="44"/>
          <w:highlight w:val="none"/>
        </w:rPr>
      </w:pPr>
      <w:r>
        <w:rPr>
          <w:rFonts w:ascii="仿宋_GB2312" w:hAnsi="仿宋" w:eastAsia="仿宋_GB2312"/>
          <w:color w:val="auto"/>
          <w:sz w:val="30"/>
          <w:szCs w:val="30"/>
          <w:highlight w:val="none"/>
          <w:u w:val="single"/>
        </w:rPr>
        <w:br w:type="page"/>
      </w:r>
      <w:r>
        <w:rPr>
          <w:rFonts w:hint="eastAsia" w:ascii="黑体" w:hAnsi="黑体" w:eastAsia="黑体"/>
          <w:color w:val="auto"/>
          <w:sz w:val="44"/>
          <w:szCs w:val="44"/>
          <w:highlight w:val="none"/>
        </w:rPr>
        <w:t>报价内的备品备件、易损件及专用工具清单(如有)</w:t>
      </w:r>
    </w:p>
    <w:p w14:paraId="08720D0B">
      <w:pPr>
        <w:spacing w:line="360" w:lineRule="exact"/>
        <w:jc w:val="right"/>
        <w:rPr>
          <w:rFonts w:ascii="仿宋" w:hAnsi="仿宋" w:eastAsia="仿宋"/>
          <w:color w:val="auto"/>
          <w:sz w:val="24"/>
          <w:highlight w:val="none"/>
        </w:rPr>
      </w:pPr>
      <w:r>
        <w:rPr>
          <w:rFonts w:hint="eastAsia" w:ascii="仿宋" w:hAnsi="仿宋" w:eastAsia="仿宋"/>
          <w:color w:val="auto"/>
          <w:sz w:val="24"/>
          <w:highlight w:val="none"/>
        </w:rPr>
        <w:t>单位：元</w:t>
      </w:r>
    </w:p>
    <w:tbl>
      <w:tblPr>
        <w:tblStyle w:val="34"/>
        <w:tblW w:w="93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986"/>
        <w:gridCol w:w="1275"/>
        <w:gridCol w:w="939"/>
        <w:gridCol w:w="1294"/>
        <w:gridCol w:w="1294"/>
        <w:gridCol w:w="1295"/>
        <w:gridCol w:w="1295"/>
      </w:tblGrid>
      <w:tr w14:paraId="7F34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1A6B01B1">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备品备件名称</w:t>
            </w:r>
          </w:p>
        </w:tc>
        <w:tc>
          <w:tcPr>
            <w:tcW w:w="1275" w:type="dxa"/>
            <w:vAlign w:val="center"/>
          </w:tcPr>
          <w:p w14:paraId="162C9A9A">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规格型号</w:t>
            </w:r>
          </w:p>
        </w:tc>
        <w:tc>
          <w:tcPr>
            <w:tcW w:w="939" w:type="dxa"/>
            <w:vAlign w:val="center"/>
          </w:tcPr>
          <w:p w14:paraId="4833BB5E">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数量</w:t>
            </w:r>
          </w:p>
        </w:tc>
        <w:tc>
          <w:tcPr>
            <w:tcW w:w="1294" w:type="dxa"/>
            <w:vAlign w:val="center"/>
          </w:tcPr>
          <w:p w14:paraId="03A7F28C">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产地</w:t>
            </w:r>
          </w:p>
        </w:tc>
        <w:tc>
          <w:tcPr>
            <w:tcW w:w="1294" w:type="dxa"/>
            <w:vAlign w:val="center"/>
          </w:tcPr>
          <w:p w14:paraId="5D109FD4">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品牌</w:t>
            </w:r>
          </w:p>
        </w:tc>
        <w:tc>
          <w:tcPr>
            <w:tcW w:w="1295" w:type="dxa"/>
            <w:vAlign w:val="center"/>
          </w:tcPr>
          <w:p w14:paraId="61D05FFB">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单价</w:t>
            </w:r>
          </w:p>
        </w:tc>
        <w:tc>
          <w:tcPr>
            <w:tcW w:w="1295" w:type="dxa"/>
            <w:vAlign w:val="center"/>
          </w:tcPr>
          <w:p w14:paraId="11FF0377">
            <w:pPr>
              <w:spacing w:line="360" w:lineRule="exact"/>
              <w:jc w:val="center"/>
              <w:rPr>
                <w:rFonts w:ascii="仿宋_GB2312" w:hAnsi="仿宋" w:eastAsia="仿宋_GB2312"/>
                <w:color w:val="auto"/>
                <w:sz w:val="24"/>
                <w:highlight w:val="none"/>
              </w:rPr>
            </w:pPr>
            <w:r>
              <w:rPr>
                <w:rFonts w:hint="eastAsia" w:ascii="仿宋_GB2312" w:hAnsi="仿宋" w:eastAsia="仿宋_GB2312"/>
                <w:color w:val="auto"/>
                <w:sz w:val="24"/>
                <w:highlight w:val="none"/>
              </w:rPr>
              <w:t>合价</w:t>
            </w:r>
          </w:p>
        </w:tc>
      </w:tr>
      <w:tr w14:paraId="1963A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24BF67CF">
            <w:pPr>
              <w:spacing w:line="360" w:lineRule="exact"/>
              <w:jc w:val="center"/>
              <w:rPr>
                <w:rFonts w:ascii="仿宋_GB2312" w:hAnsi="宋体" w:eastAsia="仿宋_GB2312"/>
                <w:b/>
                <w:color w:val="auto"/>
                <w:sz w:val="24"/>
                <w:highlight w:val="none"/>
              </w:rPr>
            </w:pPr>
          </w:p>
        </w:tc>
        <w:tc>
          <w:tcPr>
            <w:tcW w:w="1275" w:type="dxa"/>
            <w:vAlign w:val="center"/>
          </w:tcPr>
          <w:p w14:paraId="5DFE4757">
            <w:pPr>
              <w:spacing w:line="360" w:lineRule="exact"/>
              <w:jc w:val="center"/>
              <w:rPr>
                <w:rFonts w:ascii="仿宋_GB2312" w:hAnsi="宋体" w:eastAsia="仿宋_GB2312"/>
                <w:b/>
                <w:color w:val="auto"/>
                <w:sz w:val="24"/>
                <w:highlight w:val="none"/>
              </w:rPr>
            </w:pPr>
          </w:p>
        </w:tc>
        <w:tc>
          <w:tcPr>
            <w:tcW w:w="939" w:type="dxa"/>
            <w:vAlign w:val="center"/>
          </w:tcPr>
          <w:p w14:paraId="7F03B7F5">
            <w:pPr>
              <w:spacing w:line="360" w:lineRule="exact"/>
              <w:jc w:val="center"/>
              <w:rPr>
                <w:rFonts w:ascii="仿宋_GB2312" w:hAnsi="宋体" w:eastAsia="仿宋_GB2312"/>
                <w:b/>
                <w:color w:val="auto"/>
                <w:sz w:val="24"/>
                <w:highlight w:val="none"/>
              </w:rPr>
            </w:pPr>
          </w:p>
        </w:tc>
        <w:tc>
          <w:tcPr>
            <w:tcW w:w="1294" w:type="dxa"/>
            <w:vAlign w:val="center"/>
          </w:tcPr>
          <w:p w14:paraId="4CB52CA9">
            <w:pPr>
              <w:spacing w:line="360" w:lineRule="exact"/>
              <w:jc w:val="center"/>
              <w:rPr>
                <w:rFonts w:ascii="仿宋_GB2312" w:hAnsi="宋体" w:eastAsia="仿宋_GB2312"/>
                <w:b/>
                <w:color w:val="auto"/>
                <w:sz w:val="24"/>
                <w:highlight w:val="none"/>
              </w:rPr>
            </w:pPr>
          </w:p>
        </w:tc>
        <w:tc>
          <w:tcPr>
            <w:tcW w:w="1294" w:type="dxa"/>
            <w:vAlign w:val="center"/>
          </w:tcPr>
          <w:p w14:paraId="5D7F3692">
            <w:pPr>
              <w:spacing w:line="360" w:lineRule="exact"/>
              <w:jc w:val="center"/>
              <w:rPr>
                <w:rFonts w:ascii="仿宋_GB2312" w:hAnsi="宋体" w:eastAsia="仿宋_GB2312"/>
                <w:b/>
                <w:color w:val="auto"/>
                <w:sz w:val="24"/>
                <w:highlight w:val="none"/>
              </w:rPr>
            </w:pPr>
          </w:p>
        </w:tc>
        <w:tc>
          <w:tcPr>
            <w:tcW w:w="1295" w:type="dxa"/>
            <w:vAlign w:val="center"/>
          </w:tcPr>
          <w:p w14:paraId="745D5D72">
            <w:pPr>
              <w:spacing w:line="360" w:lineRule="exact"/>
              <w:jc w:val="center"/>
              <w:rPr>
                <w:rFonts w:ascii="仿宋_GB2312" w:hAnsi="宋体" w:eastAsia="仿宋_GB2312"/>
                <w:b/>
                <w:color w:val="auto"/>
                <w:sz w:val="24"/>
                <w:highlight w:val="none"/>
              </w:rPr>
            </w:pPr>
          </w:p>
        </w:tc>
        <w:tc>
          <w:tcPr>
            <w:tcW w:w="1295" w:type="dxa"/>
            <w:vAlign w:val="center"/>
          </w:tcPr>
          <w:p w14:paraId="3CD6D986">
            <w:pPr>
              <w:spacing w:line="360" w:lineRule="exact"/>
              <w:jc w:val="center"/>
              <w:rPr>
                <w:rFonts w:ascii="仿宋_GB2312" w:hAnsi="宋体" w:eastAsia="仿宋_GB2312"/>
                <w:b/>
                <w:color w:val="auto"/>
                <w:sz w:val="24"/>
                <w:highlight w:val="none"/>
              </w:rPr>
            </w:pPr>
          </w:p>
        </w:tc>
      </w:tr>
      <w:tr w14:paraId="41C7B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2014BC3D">
            <w:pPr>
              <w:spacing w:line="360" w:lineRule="exact"/>
              <w:jc w:val="center"/>
              <w:rPr>
                <w:rFonts w:ascii="仿宋_GB2312" w:hAnsi="宋体" w:eastAsia="仿宋_GB2312"/>
                <w:b/>
                <w:color w:val="auto"/>
                <w:sz w:val="24"/>
                <w:highlight w:val="none"/>
              </w:rPr>
            </w:pPr>
          </w:p>
        </w:tc>
        <w:tc>
          <w:tcPr>
            <w:tcW w:w="1275" w:type="dxa"/>
            <w:vAlign w:val="center"/>
          </w:tcPr>
          <w:p w14:paraId="568620CA">
            <w:pPr>
              <w:spacing w:line="360" w:lineRule="exact"/>
              <w:jc w:val="center"/>
              <w:rPr>
                <w:rFonts w:ascii="仿宋_GB2312" w:hAnsi="宋体" w:eastAsia="仿宋_GB2312"/>
                <w:b/>
                <w:color w:val="auto"/>
                <w:sz w:val="24"/>
                <w:highlight w:val="none"/>
              </w:rPr>
            </w:pPr>
          </w:p>
        </w:tc>
        <w:tc>
          <w:tcPr>
            <w:tcW w:w="939" w:type="dxa"/>
            <w:vAlign w:val="center"/>
          </w:tcPr>
          <w:p w14:paraId="72A4BACC">
            <w:pPr>
              <w:spacing w:line="360" w:lineRule="exact"/>
              <w:jc w:val="center"/>
              <w:rPr>
                <w:rFonts w:ascii="仿宋_GB2312" w:hAnsi="宋体" w:eastAsia="仿宋_GB2312"/>
                <w:b/>
                <w:color w:val="auto"/>
                <w:sz w:val="24"/>
                <w:highlight w:val="none"/>
              </w:rPr>
            </w:pPr>
          </w:p>
        </w:tc>
        <w:tc>
          <w:tcPr>
            <w:tcW w:w="1294" w:type="dxa"/>
            <w:vAlign w:val="center"/>
          </w:tcPr>
          <w:p w14:paraId="349F2703">
            <w:pPr>
              <w:spacing w:line="360" w:lineRule="exact"/>
              <w:jc w:val="center"/>
              <w:rPr>
                <w:rFonts w:ascii="仿宋_GB2312" w:hAnsi="宋体" w:eastAsia="仿宋_GB2312"/>
                <w:b/>
                <w:color w:val="auto"/>
                <w:sz w:val="24"/>
                <w:highlight w:val="none"/>
              </w:rPr>
            </w:pPr>
          </w:p>
        </w:tc>
        <w:tc>
          <w:tcPr>
            <w:tcW w:w="1294" w:type="dxa"/>
            <w:vAlign w:val="center"/>
          </w:tcPr>
          <w:p w14:paraId="58A85E27">
            <w:pPr>
              <w:spacing w:line="360" w:lineRule="exact"/>
              <w:jc w:val="center"/>
              <w:rPr>
                <w:rFonts w:ascii="仿宋_GB2312" w:hAnsi="宋体" w:eastAsia="仿宋_GB2312"/>
                <w:b/>
                <w:color w:val="auto"/>
                <w:sz w:val="24"/>
                <w:highlight w:val="none"/>
              </w:rPr>
            </w:pPr>
          </w:p>
        </w:tc>
        <w:tc>
          <w:tcPr>
            <w:tcW w:w="1295" w:type="dxa"/>
            <w:vAlign w:val="center"/>
          </w:tcPr>
          <w:p w14:paraId="4E30E39F">
            <w:pPr>
              <w:spacing w:line="360" w:lineRule="exact"/>
              <w:jc w:val="center"/>
              <w:rPr>
                <w:rFonts w:ascii="仿宋_GB2312" w:hAnsi="宋体" w:eastAsia="仿宋_GB2312"/>
                <w:b/>
                <w:color w:val="auto"/>
                <w:sz w:val="24"/>
                <w:highlight w:val="none"/>
              </w:rPr>
            </w:pPr>
          </w:p>
        </w:tc>
        <w:tc>
          <w:tcPr>
            <w:tcW w:w="1295" w:type="dxa"/>
            <w:vAlign w:val="center"/>
          </w:tcPr>
          <w:p w14:paraId="4499225A">
            <w:pPr>
              <w:spacing w:line="360" w:lineRule="exact"/>
              <w:jc w:val="center"/>
              <w:rPr>
                <w:rFonts w:ascii="仿宋_GB2312" w:hAnsi="宋体" w:eastAsia="仿宋_GB2312"/>
                <w:b/>
                <w:color w:val="auto"/>
                <w:sz w:val="24"/>
                <w:highlight w:val="none"/>
              </w:rPr>
            </w:pPr>
          </w:p>
        </w:tc>
      </w:tr>
      <w:tr w14:paraId="36FCA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26BD9312">
            <w:pPr>
              <w:spacing w:line="360" w:lineRule="exact"/>
              <w:jc w:val="center"/>
              <w:rPr>
                <w:rFonts w:ascii="仿宋_GB2312" w:hAnsi="宋体" w:eastAsia="仿宋_GB2312"/>
                <w:b/>
                <w:color w:val="auto"/>
                <w:sz w:val="24"/>
                <w:highlight w:val="none"/>
              </w:rPr>
            </w:pPr>
          </w:p>
        </w:tc>
        <w:tc>
          <w:tcPr>
            <w:tcW w:w="1275" w:type="dxa"/>
            <w:vAlign w:val="center"/>
          </w:tcPr>
          <w:p w14:paraId="51BFDC86">
            <w:pPr>
              <w:spacing w:line="360" w:lineRule="exact"/>
              <w:jc w:val="center"/>
              <w:rPr>
                <w:rFonts w:ascii="仿宋_GB2312" w:hAnsi="宋体" w:eastAsia="仿宋_GB2312"/>
                <w:b/>
                <w:color w:val="auto"/>
                <w:sz w:val="24"/>
                <w:highlight w:val="none"/>
              </w:rPr>
            </w:pPr>
          </w:p>
        </w:tc>
        <w:tc>
          <w:tcPr>
            <w:tcW w:w="939" w:type="dxa"/>
            <w:vAlign w:val="center"/>
          </w:tcPr>
          <w:p w14:paraId="487BE95B">
            <w:pPr>
              <w:spacing w:line="360" w:lineRule="exact"/>
              <w:jc w:val="center"/>
              <w:rPr>
                <w:rFonts w:ascii="仿宋_GB2312" w:hAnsi="宋体" w:eastAsia="仿宋_GB2312"/>
                <w:b/>
                <w:color w:val="auto"/>
                <w:sz w:val="24"/>
                <w:highlight w:val="none"/>
              </w:rPr>
            </w:pPr>
          </w:p>
        </w:tc>
        <w:tc>
          <w:tcPr>
            <w:tcW w:w="1294" w:type="dxa"/>
            <w:vAlign w:val="center"/>
          </w:tcPr>
          <w:p w14:paraId="54B41861">
            <w:pPr>
              <w:spacing w:line="360" w:lineRule="exact"/>
              <w:jc w:val="center"/>
              <w:rPr>
                <w:rFonts w:ascii="仿宋_GB2312" w:hAnsi="宋体" w:eastAsia="仿宋_GB2312"/>
                <w:b/>
                <w:color w:val="auto"/>
                <w:sz w:val="24"/>
                <w:highlight w:val="none"/>
              </w:rPr>
            </w:pPr>
          </w:p>
        </w:tc>
        <w:tc>
          <w:tcPr>
            <w:tcW w:w="1294" w:type="dxa"/>
            <w:vAlign w:val="center"/>
          </w:tcPr>
          <w:p w14:paraId="1C1836A7">
            <w:pPr>
              <w:spacing w:line="360" w:lineRule="exact"/>
              <w:jc w:val="center"/>
              <w:rPr>
                <w:rFonts w:ascii="仿宋_GB2312" w:hAnsi="宋体" w:eastAsia="仿宋_GB2312"/>
                <w:b/>
                <w:color w:val="auto"/>
                <w:sz w:val="24"/>
                <w:highlight w:val="none"/>
              </w:rPr>
            </w:pPr>
          </w:p>
        </w:tc>
        <w:tc>
          <w:tcPr>
            <w:tcW w:w="1295" w:type="dxa"/>
            <w:vAlign w:val="center"/>
          </w:tcPr>
          <w:p w14:paraId="67F57058">
            <w:pPr>
              <w:spacing w:line="360" w:lineRule="exact"/>
              <w:jc w:val="center"/>
              <w:rPr>
                <w:rFonts w:ascii="仿宋_GB2312" w:hAnsi="宋体" w:eastAsia="仿宋_GB2312"/>
                <w:b/>
                <w:color w:val="auto"/>
                <w:sz w:val="24"/>
                <w:highlight w:val="none"/>
              </w:rPr>
            </w:pPr>
          </w:p>
        </w:tc>
        <w:tc>
          <w:tcPr>
            <w:tcW w:w="1295" w:type="dxa"/>
            <w:vAlign w:val="center"/>
          </w:tcPr>
          <w:p w14:paraId="4DE3CB57">
            <w:pPr>
              <w:spacing w:line="360" w:lineRule="exact"/>
              <w:jc w:val="center"/>
              <w:rPr>
                <w:rFonts w:ascii="仿宋_GB2312" w:hAnsi="宋体" w:eastAsia="仿宋_GB2312"/>
                <w:b/>
                <w:color w:val="auto"/>
                <w:sz w:val="24"/>
                <w:highlight w:val="none"/>
              </w:rPr>
            </w:pPr>
          </w:p>
        </w:tc>
      </w:tr>
      <w:tr w14:paraId="21B0D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169D0DD2">
            <w:pPr>
              <w:spacing w:line="360" w:lineRule="exact"/>
              <w:jc w:val="center"/>
              <w:rPr>
                <w:rFonts w:ascii="仿宋_GB2312" w:hAnsi="宋体" w:eastAsia="仿宋_GB2312"/>
                <w:b/>
                <w:color w:val="auto"/>
                <w:sz w:val="24"/>
                <w:highlight w:val="none"/>
              </w:rPr>
            </w:pPr>
          </w:p>
        </w:tc>
        <w:tc>
          <w:tcPr>
            <w:tcW w:w="1275" w:type="dxa"/>
            <w:vAlign w:val="center"/>
          </w:tcPr>
          <w:p w14:paraId="2227E418">
            <w:pPr>
              <w:spacing w:line="360" w:lineRule="exact"/>
              <w:jc w:val="center"/>
              <w:rPr>
                <w:rFonts w:ascii="仿宋_GB2312" w:hAnsi="宋体" w:eastAsia="仿宋_GB2312"/>
                <w:b/>
                <w:color w:val="auto"/>
                <w:sz w:val="24"/>
                <w:highlight w:val="none"/>
              </w:rPr>
            </w:pPr>
          </w:p>
        </w:tc>
        <w:tc>
          <w:tcPr>
            <w:tcW w:w="939" w:type="dxa"/>
            <w:vAlign w:val="center"/>
          </w:tcPr>
          <w:p w14:paraId="6F662609">
            <w:pPr>
              <w:spacing w:line="360" w:lineRule="exact"/>
              <w:jc w:val="center"/>
              <w:rPr>
                <w:rFonts w:ascii="仿宋_GB2312" w:hAnsi="宋体" w:eastAsia="仿宋_GB2312"/>
                <w:b/>
                <w:color w:val="auto"/>
                <w:sz w:val="24"/>
                <w:highlight w:val="none"/>
              </w:rPr>
            </w:pPr>
          </w:p>
        </w:tc>
        <w:tc>
          <w:tcPr>
            <w:tcW w:w="1294" w:type="dxa"/>
            <w:vAlign w:val="center"/>
          </w:tcPr>
          <w:p w14:paraId="3CCE25C0">
            <w:pPr>
              <w:spacing w:line="360" w:lineRule="exact"/>
              <w:jc w:val="center"/>
              <w:rPr>
                <w:rFonts w:ascii="仿宋_GB2312" w:hAnsi="宋体" w:eastAsia="仿宋_GB2312"/>
                <w:b/>
                <w:color w:val="auto"/>
                <w:sz w:val="24"/>
                <w:highlight w:val="none"/>
              </w:rPr>
            </w:pPr>
          </w:p>
        </w:tc>
        <w:tc>
          <w:tcPr>
            <w:tcW w:w="1294" w:type="dxa"/>
            <w:vAlign w:val="center"/>
          </w:tcPr>
          <w:p w14:paraId="4B8B019A">
            <w:pPr>
              <w:spacing w:line="360" w:lineRule="exact"/>
              <w:jc w:val="center"/>
              <w:rPr>
                <w:rFonts w:ascii="仿宋_GB2312" w:hAnsi="宋体" w:eastAsia="仿宋_GB2312"/>
                <w:b/>
                <w:color w:val="auto"/>
                <w:sz w:val="24"/>
                <w:highlight w:val="none"/>
              </w:rPr>
            </w:pPr>
          </w:p>
        </w:tc>
        <w:tc>
          <w:tcPr>
            <w:tcW w:w="1295" w:type="dxa"/>
            <w:vAlign w:val="center"/>
          </w:tcPr>
          <w:p w14:paraId="2EC95C65">
            <w:pPr>
              <w:spacing w:line="360" w:lineRule="exact"/>
              <w:jc w:val="center"/>
              <w:rPr>
                <w:rFonts w:ascii="仿宋_GB2312" w:hAnsi="宋体" w:eastAsia="仿宋_GB2312"/>
                <w:b/>
                <w:color w:val="auto"/>
                <w:sz w:val="24"/>
                <w:highlight w:val="none"/>
              </w:rPr>
            </w:pPr>
          </w:p>
        </w:tc>
        <w:tc>
          <w:tcPr>
            <w:tcW w:w="1295" w:type="dxa"/>
            <w:vAlign w:val="center"/>
          </w:tcPr>
          <w:p w14:paraId="7DEA544C">
            <w:pPr>
              <w:spacing w:line="360" w:lineRule="exact"/>
              <w:jc w:val="center"/>
              <w:rPr>
                <w:rFonts w:ascii="仿宋_GB2312" w:hAnsi="宋体" w:eastAsia="仿宋_GB2312"/>
                <w:b/>
                <w:color w:val="auto"/>
                <w:sz w:val="24"/>
                <w:highlight w:val="none"/>
              </w:rPr>
            </w:pPr>
          </w:p>
        </w:tc>
      </w:tr>
      <w:tr w14:paraId="384B4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1941592E">
            <w:pPr>
              <w:spacing w:line="360" w:lineRule="exact"/>
              <w:jc w:val="center"/>
              <w:rPr>
                <w:rFonts w:ascii="仿宋_GB2312" w:hAnsi="宋体" w:eastAsia="仿宋_GB2312"/>
                <w:b/>
                <w:color w:val="auto"/>
                <w:sz w:val="24"/>
                <w:highlight w:val="none"/>
              </w:rPr>
            </w:pPr>
          </w:p>
        </w:tc>
        <w:tc>
          <w:tcPr>
            <w:tcW w:w="1275" w:type="dxa"/>
            <w:vAlign w:val="center"/>
          </w:tcPr>
          <w:p w14:paraId="7B06EF82">
            <w:pPr>
              <w:spacing w:line="360" w:lineRule="exact"/>
              <w:jc w:val="center"/>
              <w:rPr>
                <w:rFonts w:ascii="仿宋_GB2312" w:hAnsi="宋体" w:eastAsia="仿宋_GB2312"/>
                <w:b/>
                <w:color w:val="auto"/>
                <w:sz w:val="24"/>
                <w:highlight w:val="none"/>
              </w:rPr>
            </w:pPr>
          </w:p>
        </w:tc>
        <w:tc>
          <w:tcPr>
            <w:tcW w:w="939" w:type="dxa"/>
            <w:vAlign w:val="center"/>
          </w:tcPr>
          <w:p w14:paraId="541F3819">
            <w:pPr>
              <w:spacing w:line="360" w:lineRule="exact"/>
              <w:jc w:val="center"/>
              <w:rPr>
                <w:rFonts w:ascii="仿宋_GB2312" w:hAnsi="宋体" w:eastAsia="仿宋_GB2312"/>
                <w:b/>
                <w:color w:val="auto"/>
                <w:sz w:val="24"/>
                <w:highlight w:val="none"/>
              </w:rPr>
            </w:pPr>
          </w:p>
        </w:tc>
        <w:tc>
          <w:tcPr>
            <w:tcW w:w="1294" w:type="dxa"/>
            <w:vAlign w:val="center"/>
          </w:tcPr>
          <w:p w14:paraId="4CB80A3F">
            <w:pPr>
              <w:spacing w:line="360" w:lineRule="exact"/>
              <w:jc w:val="center"/>
              <w:rPr>
                <w:rFonts w:ascii="仿宋_GB2312" w:hAnsi="宋体" w:eastAsia="仿宋_GB2312"/>
                <w:b/>
                <w:color w:val="auto"/>
                <w:sz w:val="24"/>
                <w:highlight w:val="none"/>
              </w:rPr>
            </w:pPr>
          </w:p>
        </w:tc>
        <w:tc>
          <w:tcPr>
            <w:tcW w:w="1294" w:type="dxa"/>
            <w:vAlign w:val="center"/>
          </w:tcPr>
          <w:p w14:paraId="4B6DF3B2">
            <w:pPr>
              <w:spacing w:line="360" w:lineRule="exact"/>
              <w:jc w:val="center"/>
              <w:rPr>
                <w:rFonts w:ascii="仿宋_GB2312" w:hAnsi="宋体" w:eastAsia="仿宋_GB2312"/>
                <w:b/>
                <w:color w:val="auto"/>
                <w:sz w:val="24"/>
                <w:highlight w:val="none"/>
              </w:rPr>
            </w:pPr>
          </w:p>
        </w:tc>
        <w:tc>
          <w:tcPr>
            <w:tcW w:w="1295" w:type="dxa"/>
            <w:vAlign w:val="center"/>
          </w:tcPr>
          <w:p w14:paraId="542AC137">
            <w:pPr>
              <w:spacing w:line="360" w:lineRule="exact"/>
              <w:jc w:val="center"/>
              <w:rPr>
                <w:rFonts w:ascii="仿宋_GB2312" w:hAnsi="宋体" w:eastAsia="仿宋_GB2312"/>
                <w:b/>
                <w:color w:val="auto"/>
                <w:sz w:val="24"/>
                <w:highlight w:val="none"/>
              </w:rPr>
            </w:pPr>
          </w:p>
        </w:tc>
        <w:tc>
          <w:tcPr>
            <w:tcW w:w="1295" w:type="dxa"/>
            <w:vAlign w:val="center"/>
          </w:tcPr>
          <w:p w14:paraId="074334C0">
            <w:pPr>
              <w:spacing w:line="360" w:lineRule="exact"/>
              <w:jc w:val="center"/>
              <w:rPr>
                <w:rFonts w:ascii="仿宋_GB2312" w:hAnsi="宋体" w:eastAsia="仿宋_GB2312"/>
                <w:b/>
                <w:color w:val="auto"/>
                <w:sz w:val="24"/>
                <w:highlight w:val="none"/>
              </w:rPr>
            </w:pPr>
          </w:p>
        </w:tc>
      </w:tr>
      <w:tr w14:paraId="21F60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3BFFA5DE">
            <w:pPr>
              <w:spacing w:line="360" w:lineRule="exact"/>
              <w:jc w:val="center"/>
              <w:rPr>
                <w:rFonts w:ascii="仿宋_GB2312" w:hAnsi="宋体" w:eastAsia="仿宋_GB2312"/>
                <w:b/>
                <w:color w:val="auto"/>
                <w:sz w:val="24"/>
                <w:highlight w:val="none"/>
              </w:rPr>
            </w:pPr>
          </w:p>
        </w:tc>
        <w:tc>
          <w:tcPr>
            <w:tcW w:w="1275" w:type="dxa"/>
            <w:vAlign w:val="center"/>
          </w:tcPr>
          <w:p w14:paraId="598B037F">
            <w:pPr>
              <w:spacing w:line="360" w:lineRule="exact"/>
              <w:jc w:val="center"/>
              <w:rPr>
                <w:rFonts w:ascii="仿宋_GB2312" w:hAnsi="宋体" w:eastAsia="仿宋_GB2312"/>
                <w:b/>
                <w:color w:val="auto"/>
                <w:sz w:val="24"/>
                <w:highlight w:val="none"/>
              </w:rPr>
            </w:pPr>
          </w:p>
        </w:tc>
        <w:tc>
          <w:tcPr>
            <w:tcW w:w="939" w:type="dxa"/>
            <w:vAlign w:val="center"/>
          </w:tcPr>
          <w:p w14:paraId="451214C6">
            <w:pPr>
              <w:spacing w:line="360" w:lineRule="exact"/>
              <w:jc w:val="center"/>
              <w:rPr>
                <w:rFonts w:ascii="仿宋_GB2312" w:hAnsi="宋体" w:eastAsia="仿宋_GB2312"/>
                <w:b/>
                <w:color w:val="auto"/>
                <w:sz w:val="24"/>
                <w:highlight w:val="none"/>
              </w:rPr>
            </w:pPr>
          </w:p>
        </w:tc>
        <w:tc>
          <w:tcPr>
            <w:tcW w:w="1294" w:type="dxa"/>
            <w:vAlign w:val="center"/>
          </w:tcPr>
          <w:p w14:paraId="61B3D083">
            <w:pPr>
              <w:spacing w:line="360" w:lineRule="exact"/>
              <w:jc w:val="center"/>
              <w:rPr>
                <w:rFonts w:ascii="仿宋_GB2312" w:hAnsi="宋体" w:eastAsia="仿宋_GB2312"/>
                <w:b/>
                <w:color w:val="auto"/>
                <w:sz w:val="24"/>
                <w:highlight w:val="none"/>
              </w:rPr>
            </w:pPr>
          </w:p>
        </w:tc>
        <w:tc>
          <w:tcPr>
            <w:tcW w:w="1294" w:type="dxa"/>
            <w:vAlign w:val="center"/>
          </w:tcPr>
          <w:p w14:paraId="4A531099">
            <w:pPr>
              <w:spacing w:line="360" w:lineRule="exact"/>
              <w:jc w:val="center"/>
              <w:rPr>
                <w:rFonts w:ascii="仿宋_GB2312" w:hAnsi="宋体" w:eastAsia="仿宋_GB2312"/>
                <w:b/>
                <w:color w:val="auto"/>
                <w:sz w:val="24"/>
                <w:highlight w:val="none"/>
              </w:rPr>
            </w:pPr>
          </w:p>
        </w:tc>
        <w:tc>
          <w:tcPr>
            <w:tcW w:w="1295" w:type="dxa"/>
            <w:vAlign w:val="center"/>
          </w:tcPr>
          <w:p w14:paraId="6FB0A3B5">
            <w:pPr>
              <w:spacing w:line="360" w:lineRule="exact"/>
              <w:jc w:val="center"/>
              <w:rPr>
                <w:rFonts w:ascii="仿宋_GB2312" w:hAnsi="宋体" w:eastAsia="仿宋_GB2312"/>
                <w:b/>
                <w:color w:val="auto"/>
                <w:sz w:val="24"/>
                <w:highlight w:val="none"/>
              </w:rPr>
            </w:pPr>
          </w:p>
        </w:tc>
        <w:tc>
          <w:tcPr>
            <w:tcW w:w="1295" w:type="dxa"/>
            <w:vAlign w:val="center"/>
          </w:tcPr>
          <w:p w14:paraId="668546B2">
            <w:pPr>
              <w:spacing w:line="360" w:lineRule="exact"/>
              <w:jc w:val="center"/>
              <w:rPr>
                <w:rFonts w:ascii="仿宋_GB2312" w:hAnsi="宋体" w:eastAsia="仿宋_GB2312"/>
                <w:b/>
                <w:color w:val="auto"/>
                <w:sz w:val="24"/>
                <w:highlight w:val="none"/>
              </w:rPr>
            </w:pPr>
          </w:p>
        </w:tc>
      </w:tr>
      <w:tr w14:paraId="7DF1F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75D9B1B4">
            <w:pPr>
              <w:spacing w:line="360" w:lineRule="exact"/>
              <w:jc w:val="center"/>
              <w:rPr>
                <w:rFonts w:ascii="仿宋_GB2312" w:hAnsi="宋体" w:eastAsia="仿宋_GB2312"/>
                <w:b/>
                <w:color w:val="auto"/>
                <w:sz w:val="24"/>
                <w:highlight w:val="none"/>
              </w:rPr>
            </w:pPr>
          </w:p>
        </w:tc>
        <w:tc>
          <w:tcPr>
            <w:tcW w:w="1275" w:type="dxa"/>
            <w:vAlign w:val="center"/>
          </w:tcPr>
          <w:p w14:paraId="3B832E2B">
            <w:pPr>
              <w:spacing w:line="360" w:lineRule="exact"/>
              <w:jc w:val="center"/>
              <w:rPr>
                <w:rFonts w:ascii="仿宋_GB2312" w:hAnsi="宋体" w:eastAsia="仿宋_GB2312"/>
                <w:b/>
                <w:color w:val="auto"/>
                <w:sz w:val="24"/>
                <w:highlight w:val="none"/>
              </w:rPr>
            </w:pPr>
          </w:p>
        </w:tc>
        <w:tc>
          <w:tcPr>
            <w:tcW w:w="939" w:type="dxa"/>
            <w:vAlign w:val="center"/>
          </w:tcPr>
          <w:p w14:paraId="328EF120">
            <w:pPr>
              <w:spacing w:line="360" w:lineRule="exact"/>
              <w:jc w:val="center"/>
              <w:rPr>
                <w:rFonts w:ascii="仿宋_GB2312" w:hAnsi="宋体" w:eastAsia="仿宋_GB2312"/>
                <w:b/>
                <w:color w:val="auto"/>
                <w:sz w:val="24"/>
                <w:highlight w:val="none"/>
              </w:rPr>
            </w:pPr>
          </w:p>
        </w:tc>
        <w:tc>
          <w:tcPr>
            <w:tcW w:w="1294" w:type="dxa"/>
            <w:vAlign w:val="center"/>
          </w:tcPr>
          <w:p w14:paraId="30C539BC">
            <w:pPr>
              <w:spacing w:line="360" w:lineRule="exact"/>
              <w:jc w:val="center"/>
              <w:rPr>
                <w:rFonts w:ascii="仿宋_GB2312" w:hAnsi="宋体" w:eastAsia="仿宋_GB2312"/>
                <w:b/>
                <w:color w:val="auto"/>
                <w:sz w:val="24"/>
                <w:highlight w:val="none"/>
              </w:rPr>
            </w:pPr>
          </w:p>
        </w:tc>
        <w:tc>
          <w:tcPr>
            <w:tcW w:w="1294" w:type="dxa"/>
            <w:vAlign w:val="center"/>
          </w:tcPr>
          <w:p w14:paraId="1944A45C">
            <w:pPr>
              <w:spacing w:line="360" w:lineRule="exact"/>
              <w:jc w:val="center"/>
              <w:rPr>
                <w:rFonts w:ascii="仿宋_GB2312" w:hAnsi="宋体" w:eastAsia="仿宋_GB2312"/>
                <w:b/>
                <w:color w:val="auto"/>
                <w:sz w:val="24"/>
                <w:highlight w:val="none"/>
              </w:rPr>
            </w:pPr>
          </w:p>
        </w:tc>
        <w:tc>
          <w:tcPr>
            <w:tcW w:w="1295" w:type="dxa"/>
            <w:vAlign w:val="center"/>
          </w:tcPr>
          <w:p w14:paraId="796226B3">
            <w:pPr>
              <w:spacing w:line="360" w:lineRule="exact"/>
              <w:jc w:val="center"/>
              <w:rPr>
                <w:rFonts w:ascii="仿宋_GB2312" w:hAnsi="宋体" w:eastAsia="仿宋_GB2312"/>
                <w:b/>
                <w:color w:val="auto"/>
                <w:sz w:val="24"/>
                <w:highlight w:val="none"/>
              </w:rPr>
            </w:pPr>
          </w:p>
        </w:tc>
        <w:tc>
          <w:tcPr>
            <w:tcW w:w="1295" w:type="dxa"/>
            <w:vAlign w:val="center"/>
          </w:tcPr>
          <w:p w14:paraId="45739398">
            <w:pPr>
              <w:spacing w:line="360" w:lineRule="exact"/>
              <w:jc w:val="center"/>
              <w:rPr>
                <w:rFonts w:ascii="仿宋_GB2312" w:hAnsi="宋体" w:eastAsia="仿宋_GB2312"/>
                <w:b/>
                <w:color w:val="auto"/>
                <w:sz w:val="24"/>
                <w:highlight w:val="none"/>
              </w:rPr>
            </w:pPr>
          </w:p>
        </w:tc>
      </w:tr>
      <w:tr w14:paraId="597DE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479F4AF8">
            <w:pPr>
              <w:spacing w:line="360" w:lineRule="exact"/>
              <w:jc w:val="center"/>
              <w:rPr>
                <w:rFonts w:ascii="仿宋_GB2312" w:hAnsi="宋体" w:eastAsia="仿宋_GB2312"/>
                <w:b/>
                <w:color w:val="auto"/>
                <w:sz w:val="24"/>
                <w:highlight w:val="none"/>
              </w:rPr>
            </w:pPr>
          </w:p>
        </w:tc>
        <w:tc>
          <w:tcPr>
            <w:tcW w:w="1275" w:type="dxa"/>
            <w:vAlign w:val="center"/>
          </w:tcPr>
          <w:p w14:paraId="450BDEBD">
            <w:pPr>
              <w:spacing w:line="360" w:lineRule="exact"/>
              <w:jc w:val="center"/>
              <w:rPr>
                <w:rFonts w:ascii="仿宋_GB2312" w:hAnsi="宋体" w:eastAsia="仿宋_GB2312"/>
                <w:b/>
                <w:color w:val="auto"/>
                <w:sz w:val="24"/>
                <w:highlight w:val="none"/>
              </w:rPr>
            </w:pPr>
          </w:p>
        </w:tc>
        <w:tc>
          <w:tcPr>
            <w:tcW w:w="939" w:type="dxa"/>
            <w:vAlign w:val="center"/>
          </w:tcPr>
          <w:p w14:paraId="736CDFE9">
            <w:pPr>
              <w:spacing w:line="360" w:lineRule="exact"/>
              <w:jc w:val="center"/>
              <w:rPr>
                <w:rFonts w:ascii="仿宋_GB2312" w:hAnsi="宋体" w:eastAsia="仿宋_GB2312"/>
                <w:b/>
                <w:color w:val="auto"/>
                <w:sz w:val="24"/>
                <w:highlight w:val="none"/>
              </w:rPr>
            </w:pPr>
          </w:p>
        </w:tc>
        <w:tc>
          <w:tcPr>
            <w:tcW w:w="1294" w:type="dxa"/>
            <w:vAlign w:val="center"/>
          </w:tcPr>
          <w:p w14:paraId="32D6D306">
            <w:pPr>
              <w:spacing w:line="360" w:lineRule="exact"/>
              <w:jc w:val="center"/>
              <w:rPr>
                <w:rFonts w:ascii="仿宋_GB2312" w:hAnsi="宋体" w:eastAsia="仿宋_GB2312"/>
                <w:b/>
                <w:color w:val="auto"/>
                <w:sz w:val="24"/>
                <w:highlight w:val="none"/>
              </w:rPr>
            </w:pPr>
          </w:p>
        </w:tc>
        <w:tc>
          <w:tcPr>
            <w:tcW w:w="1294" w:type="dxa"/>
            <w:vAlign w:val="center"/>
          </w:tcPr>
          <w:p w14:paraId="766A5DE0">
            <w:pPr>
              <w:spacing w:line="360" w:lineRule="exact"/>
              <w:jc w:val="center"/>
              <w:rPr>
                <w:rFonts w:ascii="仿宋_GB2312" w:hAnsi="宋体" w:eastAsia="仿宋_GB2312"/>
                <w:b/>
                <w:color w:val="auto"/>
                <w:sz w:val="24"/>
                <w:highlight w:val="none"/>
              </w:rPr>
            </w:pPr>
          </w:p>
        </w:tc>
        <w:tc>
          <w:tcPr>
            <w:tcW w:w="1295" w:type="dxa"/>
            <w:vAlign w:val="center"/>
          </w:tcPr>
          <w:p w14:paraId="69A04C44">
            <w:pPr>
              <w:spacing w:line="360" w:lineRule="exact"/>
              <w:jc w:val="center"/>
              <w:rPr>
                <w:rFonts w:ascii="仿宋_GB2312" w:hAnsi="宋体" w:eastAsia="仿宋_GB2312"/>
                <w:b/>
                <w:color w:val="auto"/>
                <w:sz w:val="24"/>
                <w:highlight w:val="none"/>
              </w:rPr>
            </w:pPr>
          </w:p>
        </w:tc>
        <w:tc>
          <w:tcPr>
            <w:tcW w:w="1295" w:type="dxa"/>
            <w:vAlign w:val="center"/>
          </w:tcPr>
          <w:p w14:paraId="459AAA24">
            <w:pPr>
              <w:spacing w:line="360" w:lineRule="exact"/>
              <w:jc w:val="center"/>
              <w:rPr>
                <w:rFonts w:ascii="仿宋_GB2312" w:hAnsi="宋体" w:eastAsia="仿宋_GB2312"/>
                <w:b/>
                <w:color w:val="auto"/>
                <w:sz w:val="24"/>
                <w:highlight w:val="none"/>
              </w:rPr>
            </w:pPr>
          </w:p>
        </w:tc>
      </w:tr>
      <w:tr w14:paraId="1D241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4F1EC9C3">
            <w:pPr>
              <w:spacing w:line="360" w:lineRule="exact"/>
              <w:jc w:val="center"/>
              <w:rPr>
                <w:rFonts w:ascii="仿宋_GB2312" w:hAnsi="宋体" w:eastAsia="仿宋_GB2312"/>
                <w:b/>
                <w:color w:val="auto"/>
                <w:sz w:val="24"/>
                <w:highlight w:val="none"/>
              </w:rPr>
            </w:pPr>
          </w:p>
        </w:tc>
        <w:tc>
          <w:tcPr>
            <w:tcW w:w="1275" w:type="dxa"/>
            <w:vAlign w:val="center"/>
          </w:tcPr>
          <w:p w14:paraId="6B2F1E0C">
            <w:pPr>
              <w:spacing w:line="360" w:lineRule="exact"/>
              <w:jc w:val="center"/>
              <w:rPr>
                <w:rFonts w:ascii="仿宋_GB2312" w:hAnsi="宋体" w:eastAsia="仿宋_GB2312"/>
                <w:b/>
                <w:color w:val="auto"/>
                <w:sz w:val="24"/>
                <w:highlight w:val="none"/>
              </w:rPr>
            </w:pPr>
          </w:p>
        </w:tc>
        <w:tc>
          <w:tcPr>
            <w:tcW w:w="939" w:type="dxa"/>
            <w:vAlign w:val="center"/>
          </w:tcPr>
          <w:p w14:paraId="09A094E5">
            <w:pPr>
              <w:spacing w:line="360" w:lineRule="exact"/>
              <w:jc w:val="center"/>
              <w:rPr>
                <w:rFonts w:ascii="仿宋_GB2312" w:hAnsi="宋体" w:eastAsia="仿宋_GB2312"/>
                <w:b/>
                <w:color w:val="auto"/>
                <w:sz w:val="24"/>
                <w:highlight w:val="none"/>
              </w:rPr>
            </w:pPr>
          </w:p>
        </w:tc>
        <w:tc>
          <w:tcPr>
            <w:tcW w:w="1294" w:type="dxa"/>
            <w:vAlign w:val="center"/>
          </w:tcPr>
          <w:p w14:paraId="707CC345">
            <w:pPr>
              <w:spacing w:line="360" w:lineRule="exact"/>
              <w:jc w:val="center"/>
              <w:rPr>
                <w:rFonts w:ascii="仿宋_GB2312" w:hAnsi="宋体" w:eastAsia="仿宋_GB2312"/>
                <w:b/>
                <w:color w:val="auto"/>
                <w:sz w:val="24"/>
                <w:highlight w:val="none"/>
              </w:rPr>
            </w:pPr>
          </w:p>
        </w:tc>
        <w:tc>
          <w:tcPr>
            <w:tcW w:w="1294" w:type="dxa"/>
            <w:vAlign w:val="center"/>
          </w:tcPr>
          <w:p w14:paraId="7D5C231A">
            <w:pPr>
              <w:spacing w:line="360" w:lineRule="exact"/>
              <w:jc w:val="center"/>
              <w:rPr>
                <w:rFonts w:ascii="仿宋_GB2312" w:hAnsi="宋体" w:eastAsia="仿宋_GB2312"/>
                <w:b/>
                <w:color w:val="auto"/>
                <w:sz w:val="24"/>
                <w:highlight w:val="none"/>
              </w:rPr>
            </w:pPr>
          </w:p>
        </w:tc>
        <w:tc>
          <w:tcPr>
            <w:tcW w:w="1295" w:type="dxa"/>
            <w:vAlign w:val="center"/>
          </w:tcPr>
          <w:p w14:paraId="52BB9228">
            <w:pPr>
              <w:spacing w:line="360" w:lineRule="exact"/>
              <w:jc w:val="center"/>
              <w:rPr>
                <w:rFonts w:ascii="仿宋_GB2312" w:hAnsi="宋体" w:eastAsia="仿宋_GB2312"/>
                <w:b/>
                <w:color w:val="auto"/>
                <w:sz w:val="24"/>
                <w:highlight w:val="none"/>
              </w:rPr>
            </w:pPr>
          </w:p>
        </w:tc>
        <w:tc>
          <w:tcPr>
            <w:tcW w:w="1295" w:type="dxa"/>
            <w:vAlign w:val="center"/>
          </w:tcPr>
          <w:p w14:paraId="00E2F029">
            <w:pPr>
              <w:spacing w:line="360" w:lineRule="exact"/>
              <w:jc w:val="center"/>
              <w:rPr>
                <w:rFonts w:ascii="仿宋_GB2312" w:hAnsi="宋体" w:eastAsia="仿宋_GB2312"/>
                <w:b/>
                <w:color w:val="auto"/>
                <w:sz w:val="24"/>
                <w:highlight w:val="none"/>
              </w:rPr>
            </w:pPr>
          </w:p>
        </w:tc>
      </w:tr>
      <w:tr w14:paraId="2FB4E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0B95885A">
            <w:pPr>
              <w:spacing w:line="360" w:lineRule="exact"/>
              <w:jc w:val="center"/>
              <w:rPr>
                <w:rFonts w:ascii="仿宋_GB2312" w:hAnsi="宋体" w:eastAsia="仿宋_GB2312"/>
                <w:b/>
                <w:color w:val="auto"/>
                <w:sz w:val="24"/>
                <w:highlight w:val="none"/>
              </w:rPr>
            </w:pPr>
          </w:p>
        </w:tc>
        <w:tc>
          <w:tcPr>
            <w:tcW w:w="1275" w:type="dxa"/>
            <w:vAlign w:val="center"/>
          </w:tcPr>
          <w:p w14:paraId="029C9045">
            <w:pPr>
              <w:spacing w:line="360" w:lineRule="exact"/>
              <w:jc w:val="center"/>
              <w:rPr>
                <w:rFonts w:ascii="仿宋_GB2312" w:hAnsi="宋体" w:eastAsia="仿宋_GB2312"/>
                <w:b/>
                <w:color w:val="auto"/>
                <w:sz w:val="24"/>
                <w:highlight w:val="none"/>
              </w:rPr>
            </w:pPr>
          </w:p>
        </w:tc>
        <w:tc>
          <w:tcPr>
            <w:tcW w:w="939" w:type="dxa"/>
            <w:vAlign w:val="center"/>
          </w:tcPr>
          <w:p w14:paraId="4B575F4D">
            <w:pPr>
              <w:spacing w:line="360" w:lineRule="exact"/>
              <w:jc w:val="center"/>
              <w:rPr>
                <w:rFonts w:ascii="仿宋_GB2312" w:hAnsi="宋体" w:eastAsia="仿宋_GB2312"/>
                <w:b/>
                <w:color w:val="auto"/>
                <w:sz w:val="24"/>
                <w:highlight w:val="none"/>
              </w:rPr>
            </w:pPr>
          </w:p>
        </w:tc>
        <w:tc>
          <w:tcPr>
            <w:tcW w:w="1294" w:type="dxa"/>
            <w:vAlign w:val="center"/>
          </w:tcPr>
          <w:p w14:paraId="71EFDFF5">
            <w:pPr>
              <w:spacing w:line="360" w:lineRule="exact"/>
              <w:jc w:val="center"/>
              <w:rPr>
                <w:rFonts w:ascii="仿宋_GB2312" w:hAnsi="宋体" w:eastAsia="仿宋_GB2312"/>
                <w:b/>
                <w:color w:val="auto"/>
                <w:sz w:val="24"/>
                <w:highlight w:val="none"/>
              </w:rPr>
            </w:pPr>
          </w:p>
        </w:tc>
        <w:tc>
          <w:tcPr>
            <w:tcW w:w="1294" w:type="dxa"/>
            <w:vAlign w:val="center"/>
          </w:tcPr>
          <w:p w14:paraId="1A6F9E09">
            <w:pPr>
              <w:spacing w:line="360" w:lineRule="exact"/>
              <w:jc w:val="center"/>
              <w:rPr>
                <w:rFonts w:ascii="仿宋_GB2312" w:hAnsi="宋体" w:eastAsia="仿宋_GB2312"/>
                <w:b/>
                <w:color w:val="auto"/>
                <w:sz w:val="24"/>
                <w:highlight w:val="none"/>
              </w:rPr>
            </w:pPr>
          </w:p>
        </w:tc>
        <w:tc>
          <w:tcPr>
            <w:tcW w:w="1295" w:type="dxa"/>
            <w:vAlign w:val="center"/>
          </w:tcPr>
          <w:p w14:paraId="470E85A1">
            <w:pPr>
              <w:spacing w:line="360" w:lineRule="exact"/>
              <w:jc w:val="center"/>
              <w:rPr>
                <w:rFonts w:ascii="仿宋_GB2312" w:hAnsi="宋体" w:eastAsia="仿宋_GB2312"/>
                <w:b/>
                <w:color w:val="auto"/>
                <w:sz w:val="24"/>
                <w:highlight w:val="none"/>
              </w:rPr>
            </w:pPr>
          </w:p>
        </w:tc>
        <w:tc>
          <w:tcPr>
            <w:tcW w:w="1295" w:type="dxa"/>
            <w:vAlign w:val="center"/>
          </w:tcPr>
          <w:p w14:paraId="13293A79">
            <w:pPr>
              <w:spacing w:line="360" w:lineRule="exact"/>
              <w:jc w:val="center"/>
              <w:rPr>
                <w:rFonts w:ascii="仿宋_GB2312" w:hAnsi="宋体" w:eastAsia="仿宋_GB2312"/>
                <w:b/>
                <w:color w:val="auto"/>
                <w:sz w:val="24"/>
                <w:highlight w:val="none"/>
              </w:rPr>
            </w:pPr>
          </w:p>
        </w:tc>
      </w:tr>
      <w:tr w14:paraId="79722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49A6A46D">
            <w:pPr>
              <w:spacing w:line="360" w:lineRule="exact"/>
              <w:jc w:val="center"/>
              <w:rPr>
                <w:rFonts w:ascii="仿宋_GB2312" w:hAnsi="宋体" w:eastAsia="仿宋_GB2312"/>
                <w:b/>
                <w:color w:val="auto"/>
                <w:sz w:val="24"/>
                <w:highlight w:val="none"/>
              </w:rPr>
            </w:pPr>
          </w:p>
        </w:tc>
        <w:tc>
          <w:tcPr>
            <w:tcW w:w="1275" w:type="dxa"/>
            <w:vAlign w:val="center"/>
          </w:tcPr>
          <w:p w14:paraId="18FED69F">
            <w:pPr>
              <w:spacing w:line="360" w:lineRule="exact"/>
              <w:jc w:val="center"/>
              <w:rPr>
                <w:rFonts w:ascii="仿宋_GB2312" w:hAnsi="宋体" w:eastAsia="仿宋_GB2312"/>
                <w:b/>
                <w:color w:val="auto"/>
                <w:sz w:val="24"/>
                <w:highlight w:val="none"/>
              </w:rPr>
            </w:pPr>
          </w:p>
        </w:tc>
        <w:tc>
          <w:tcPr>
            <w:tcW w:w="939" w:type="dxa"/>
            <w:vAlign w:val="center"/>
          </w:tcPr>
          <w:p w14:paraId="037C5042">
            <w:pPr>
              <w:spacing w:line="360" w:lineRule="exact"/>
              <w:jc w:val="center"/>
              <w:rPr>
                <w:rFonts w:ascii="仿宋_GB2312" w:hAnsi="宋体" w:eastAsia="仿宋_GB2312"/>
                <w:b/>
                <w:color w:val="auto"/>
                <w:sz w:val="24"/>
                <w:highlight w:val="none"/>
              </w:rPr>
            </w:pPr>
          </w:p>
        </w:tc>
        <w:tc>
          <w:tcPr>
            <w:tcW w:w="1294" w:type="dxa"/>
            <w:vAlign w:val="center"/>
          </w:tcPr>
          <w:p w14:paraId="531F93D2">
            <w:pPr>
              <w:spacing w:line="360" w:lineRule="exact"/>
              <w:jc w:val="center"/>
              <w:rPr>
                <w:rFonts w:ascii="仿宋_GB2312" w:hAnsi="宋体" w:eastAsia="仿宋_GB2312"/>
                <w:b/>
                <w:color w:val="auto"/>
                <w:sz w:val="24"/>
                <w:highlight w:val="none"/>
              </w:rPr>
            </w:pPr>
          </w:p>
        </w:tc>
        <w:tc>
          <w:tcPr>
            <w:tcW w:w="1294" w:type="dxa"/>
            <w:vAlign w:val="center"/>
          </w:tcPr>
          <w:p w14:paraId="7D76C0B1">
            <w:pPr>
              <w:spacing w:line="360" w:lineRule="exact"/>
              <w:jc w:val="center"/>
              <w:rPr>
                <w:rFonts w:ascii="仿宋_GB2312" w:hAnsi="宋体" w:eastAsia="仿宋_GB2312"/>
                <w:b/>
                <w:color w:val="auto"/>
                <w:sz w:val="24"/>
                <w:highlight w:val="none"/>
              </w:rPr>
            </w:pPr>
          </w:p>
        </w:tc>
        <w:tc>
          <w:tcPr>
            <w:tcW w:w="1295" w:type="dxa"/>
            <w:vAlign w:val="center"/>
          </w:tcPr>
          <w:p w14:paraId="4FCB4B99">
            <w:pPr>
              <w:spacing w:line="360" w:lineRule="exact"/>
              <w:jc w:val="center"/>
              <w:rPr>
                <w:rFonts w:ascii="仿宋_GB2312" w:hAnsi="宋体" w:eastAsia="仿宋_GB2312"/>
                <w:b/>
                <w:color w:val="auto"/>
                <w:sz w:val="24"/>
                <w:highlight w:val="none"/>
              </w:rPr>
            </w:pPr>
          </w:p>
        </w:tc>
        <w:tc>
          <w:tcPr>
            <w:tcW w:w="1295" w:type="dxa"/>
            <w:vAlign w:val="center"/>
          </w:tcPr>
          <w:p w14:paraId="45200BD1">
            <w:pPr>
              <w:spacing w:line="360" w:lineRule="exact"/>
              <w:jc w:val="center"/>
              <w:rPr>
                <w:rFonts w:ascii="仿宋_GB2312" w:hAnsi="宋体" w:eastAsia="仿宋_GB2312"/>
                <w:b/>
                <w:color w:val="auto"/>
                <w:sz w:val="24"/>
                <w:highlight w:val="none"/>
              </w:rPr>
            </w:pPr>
          </w:p>
        </w:tc>
      </w:tr>
      <w:tr w14:paraId="18B17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2B191BCD">
            <w:pPr>
              <w:spacing w:line="360" w:lineRule="exact"/>
              <w:jc w:val="center"/>
              <w:rPr>
                <w:rFonts w:ascii="仿宋_GB2312" w:hAnsi="宋体" w:eastAsia="仿宋_GB2312"/>
                <w:b/>
                <w:color w:val="auto"/>
                <w:sz w:val="24"/>
                <w:highlight w:val="none"/>
              </w:rPr>
            </w:pPr>
          </w:p>
        </w:tc>
        <w:tc>
          <w:tcPr>
            <w:tcW w:w="1275" w:type="dxa"/>
            <w:vAlign w:val="center"/>
          </w:tcPr>
          <w:p w14:paraId="7D4C4A61">
            <w:pPr>
              <w:spacing w:line="360" w:lineRule="exact"/>
              <w:jc w:val="center"/>
              <w:rPr>
                <w:rFonts w:ascii="仿宋_GB2312" w:hAnsi="宋体" w:eastAsia="仿宋_GB2312"/>
                <w:b/>
                <w:color w:val="auto"/>
                <w:sz w:val="24"/>
                <w:highlight w:val="none"/>
              </w:rPr>
            </w:pPr>
          </w:p>
        </w:tc>
        <w:tc>
          <w:tcPr>
            <w:tcW w:w="939" w:type="dxa"/>
            <w:vAlign w:val="center"/>
          </w:tcPr>
          <w:p w14:paraId="72CE734E">
            <w:pPr>
              <w:spacing w:line="360" w:lineRule="exact"/>
              <w:jc w:val="center"/>
              <w:rPr>
                <w:rFonts w:ascii="仿宋_GB2312" w:hAnsi="宋体" w:eastAsia="仿宋_GB2312"/>
                <w:b/>
                <w:color w:val="auto"/>
                <w:sz w:val="24"/>
                <w:highlight w:val="none"/>
              </w:rPr>
            </w:pPr>
          </w:p>
        </w:tc>
        <w:tc>
          <w:tcPr>
            <w:tcW w:w="1294" w:type="dxa"/>
            <w:vAlign w:val="center"/>
          </w:tcPr>
          <w:p w14:paraId="752A7224">
            <w:pPr>
              <w:spacing w:line="360" w:lineRule="exact"/>
              <w:jc w:val="center"/>
              <w:rPr>
                <w:rFonts w:ascii="仿宋_GB2312" w:hAnsi="宋体" w:eastAsia="仿宋_GB2312"/>
                <w:b/>
                <w:color w:val="auto"/>
                <w:sz w:val="24"/>
                <w:highlight w:val="none"/>
              </w:rPr>
            </w:pPr>
          </w:p>
        </w:tc>
        <w:tc>
          <w:tcPr>
            <w:tcW w:w="1294" w:type="dxa"/>
            <w:vAlign w:val="center"/>
          </w:tcPr>
          <w:p w14:paraId="7869C430">
            <w:pPr>
              <w:spacing w:line="360" w:lineRule="exact"/>
              <w:jc w:val="center"/>
              <w:rPr>
                <w:rFonts w:ascii="仿宋_GB2312" w:hAnsi="宋体" w:eastAsia="仿宋_GB2312"/>
                <w:b/>
                <w:color w:val="auto"/>
                <w:sz w:val="24"/>
                <w:highlight w:val="none"/>
              </w:rPr>
            </w:pPr>
          </w:p>
        </w:tc>
        <w:tc>
          <w:tcPr>
            <w:tcW w:w="1295" w:type="dxa"/>
            <w:vAlign w:val="center"/>
          </w:tcPr>
          <w:p w14:paraId="0C98620C">
            <w:pPr>
              <w:spacing w:line="360" w:lineRule="exact"/>
              <w:jc w:val="center"/>
              <w:rPr>
                <w:rFonts w:ascii="仿宋_GB2312" w:hAnsi="宋体" w:eastAsia="仿宋_GB2312"/>
                <w:b/>
                <w:color w:val="auto"/>
                <w:sz w:val="24"/>
                <w:highlight w:val="none"/>
              </w:rPr>
            </w:pPr>
          </w:p>
        </w:tc>
        <w:tc>
          <w:tcPr>
            <w:tcW w:w="1295" w:type="dxa"/>
            <w:vAlign w:val="center"/>
          </w:tcPr>
          <w:p w14:paraId="4CF61C88">
            <w:pPr>
              <w:spacing w:line="360" w:lineRule="exact"/>
              <w:jc w:val="center"/>
              <w:rPr>
                <w:rFonts w:ascii="仿宋_GB2312" w:hAnsi="宋体" w:eastAsia="仿宋_GB2312"/>
                <w:b/>
                <w:color w:val="auto"/>
                <w:sz w:val="24"/>
                <w:highlight w:val="none"/>
              </w:rPr>
            </w:pPr>
          </w:p>
        </w:tc>
      </w:tr>
      <w:tr w14:paraId="7D812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6AB2B7F5">
            <w:pPr>
              <w:spacing w:line="360" w:lineRule="exact"/>
              <w:jc w:val="center"/>
              <w:rPr>
                <w:rFonts w:ascii="仿宋_GB2312" w:hAnsi="宋体" w:eastAsia="仿宋_GB2312"/>
                <w:b/>
                <w:color w:val="auto"/>
                <w:sz w:val="24"/>
                <w:highlight w:val="none"/>
              </w:rPr>
            </w:pPr>
          </w:p>
        </w:tc>
        <w:tc>
          <w:tcPr>
            <w:tcW w:w="1275" w:type="dxa"/>
            <w:vAlign w:val="center"/>
          </w:tcPr>
          <w:p w14:paraId="65483414">
            <w:pPr>
              <w:spacing w:line="360" w:lineRule="exact"/>
              <w:jc w:val="center"/>
              <w:rPr>
                <w:rFonts w:ascii="仿宋_GB2312" w:hAnsi="宋体" w:eastAsia="仿宋_GB2312"/>
                <w:b/>
                <w:color w:val="auto"/>
                <w:sz w:val="24"/>
                <w:highlight w:val="none"/>
              </w:rPr>
            </w:pPr>
          </w:p>
        </w:tc>
        <w:tc>
          <w:tcPr>
            <w:tcW w:w="939" w:type="dxa"/>
            <w:vAlign w:val="center"/>
          </w:tcPr>
          <w:p w14:paraId="1E02C9B2">
            <w:pPr>
              <w:spacing w:line="360" w:lineRule="exact"/>
              <w:jc w:val="center"/>
              <w:rPr>
                <w:rFonts w:ascii="仿宋_GB2312" w:hAnsi="宋体" w:eastAsia="仿宋_GB2312"/>
                <w:b/>
                <w:color w:val="auto"/>
                <w:sz w:val="24"/>
                <w:highlight w:val="none"/>
              </w:rPr>
            </w:pPr>
          </w:p>
        </w:tc>
        <w:tc>
          <w:tcPr>
            <w:tcW w:w="1294" w:type="dxa"/>
            <w:vAlign w:val="center"/>
          </w:tcPr>
          <w:p w14:paraId="6C0070C0">
            <w:pPr>
              <w:spacing w:line="360" w:lineRule="exact"/>
              <w:jc w:val="center"/>
              <w:rPr>
                <w:rFonts w:ascii="仿宋_GB2312" w:hAnsi="宋体" w:eastAsia="仿宋_GB2312"/>
                <w:b/>
                <w:color w:val="auto"/>
                <w:sz w:val="24"/>
                <w:highlight w:val="none"/>
              </w:rPr>
            </w:pPr>
          </w:p>
        </w:tc>
        <w:tc>
          <w:tcPr>
            <w:tcW w:w="1294" w:type="dxa"/>
            <w:vAlign w:val="center"/>
          </w:tcPr>
          <w:p w14:paraId="67F273B4">
            <w:pPr>
              <w:spacing w:line="360" w:lineRule="exact"/>
              <w:jc w:val="center"/>
              <w:rPr>
                <w:rFonts w:ascii="仿宋_GB2312" w:hAnsi="宋体" w:eastAsia="仿宋_GB2312"/>
                <w:b/>
                <w:color w:val="auto"/>
                <w:sz w:val="24"/>
                <w:highlight w:val="none"/>
              </w:rPr>
            </w:pPr>
          </w:p>
        </w:tc>
        <w:tc>
          <w:tcPr>
            <w:tcW w:w="1295" w:type="dxa"/>
            <w:vAlign w:val="center"/>
          </w:tcPr>
          <w:p w14:paraId="5B4DA744">
            <w:pPr>
              <w:spacing w:line="360" w:lineRule="exact"/>
              <w:jc w:val="center"/>
              <w:rPr>
                <w:rFonts w:ascii="仿宋_GB2312" w:hAnsi="宋体" w:eastAsia="仿宋_GB2312"/>
                <w:b/>
                <w:color w:val="auto"/>
                <w:sz w:val="24"/>
                <w:highlight w:val="none"/>
              </w:rPr>
            </w:pPr>
          </w:p>
        </w:tc>
        <w:tc>
          <w:tcPr>
            <w:tcW w:w="1295" w:type="dxa"/>
            <w:vAlign w:val="center"/>
          </w:tcPr>
          <w:p w14:paraId="4D16C49A">
            <w:pPr>
              <w:spacing w:line="360" w:lineRule="exact"/>
              <w:jc w:val="center"/>
              <w:rPr>
                <w:rFonts w:ascii="仿宋_GB2312" w:hAnsi="宋体" w:eastAsia="仿宋_GB2312"/>
                <w:b/>
                <w:color w:val="auto"/>
                <w:sz w:val="24"/>
                <w:highlight w:val="none"/>
              </w:rPr>
            </w:pPr>
          </w:p>
        </w:tc>
      </w:tr>
      <w:tr w14:paraId="53F58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5FAEDA08">
            <w:pPr>
              <w:spacing w:line="360" w:lineRule="exact"/>
              <w:jc w:val="center"/>
              <w:rPr>
                <w:rFonts w:ascii="仿宋_GB2312" w:hAnsi="宋体" w:eastAsia="仿宋_GB2312"/>
                <w:b/>
                <w:color w:val="auto"/>
                <w:sz w:val="24"/>
                <w:highlight w:val="none"/>
              </w:rPr>
            </w:pPr>
          </w:p>
        </w:tc>
        <w:tc>
          <w:tcPr>
            <w:tcW w:w="1275" w:type="dxa"/>
            <w:vAlign w:val="center"/>
          </w:tcPr>
          <w:p w14:paraId="51EF5838">
            <w:pPr>
              <w:spacing w:line="360" w:lineRule="exact"/>
              <w:jc w:val="center"/>
              <w:rPr>
                <w:rFonts w:ascii="仿宋_GB2312" w:hAnsi="宋体" w:eastAsia="仿宋_GB2312"/>
                <w:b/>
                <w:color w:val="auto"/>
                <w:sz w:val="24"/>
                <w:highlight w:val="none"/>
              </w:rPr>
            </w:pPr>
          </w:p>
        </w:tc>
        <w:tc>
          <w:tcPr>
            <w:tcW w:w="939" w:type="dxa"/>
            <w:vAlign w:val="center"/>
          </w:tcPr>
          <w:p w14:paraId="66184B16">
            <w:pPr>
              <w:spacing w:line="360" w:lineRule="exact"/>
              <w:jc w:val="center"/>
              <w:rPr>
                <w:rFonts w:ascii="仿宋_GB2312" w:hAnsi="宋体" w:eastAsia="仿宋_GB2312"/>
                <w:b/>
                <w:color w:val="auto"/>
                <w:sz w:val="24"/>
                <w:highlight w:val="none"/>
              </w:rPr>
            </w:pPr>
          </w:p>
        </w:tc>
        <w:tc>
          <w:tcPr>
            <w:tcW w:w="1294" w:type="dxa"/>
            <w:vAlign w:val="center"/>
          </w:tcPr>
          <w:p w14:paraId="4D0576AA">
            <w:pPr>
              <w:spacing w:line="360" w:lineRule="exact"/>
              <w:jc w:val="center"/>
              <w:rPr>
                <w:rFonts w:ascii="仿宋_GB2312" w:hAnsi="宋体" w:eastAsia="仿宋_GB2312"/>
                <w:b/>
                <w:color w:val="auto"/>
                <w:sz w:val="24"/>
                <w:highlight w:val="none"/>
              </w:rPr>
            </w:pPr>
          </w:p>
        </w:tc>
        <w:tc>
          <w:tcPr>
            <w:tcW w:w="1294" w:type="dxa"/>
            <w:vAlign w:val="center"/>
          </w:tcPr>
          <w:p w14:paraId="65A63245">
            <w:pPr>
              <w:spacing w:line="360" w:lineRule="exact"/>
              <w:jc w:val="center"/>
              <w:rPr>
                <w:rFonts w:ascii="仿宋_GB2312" w:hAnsi="宋体" w:eastAsia="仿宋_GB2312"/>
                <w:b/>
                <w:color w:val="auto"/>
                <w:sz w:val="24"/>
                <w:highlight w:val="none"/>
              </w:rPr>
            </w:pPr>
          </w:p>
        </w:tc>
        <w:tc>
          <w:tcPr>
            <w:tcW w:w="1295" w:type="dxa"/>
            <w:vAlign w:val="center"/>
          </w:tcPr>
          <w:p w14:paraId="33E36B17">
            <w:pPr>
              <w:spacing w:line="360" w:lineRule="exact"/>
              <w:jc w:val="center"/>
              <w:rPr>
                <w:rFonts w:ascii="仿宋_GB2312" w:hAnsi="宋体" w:eastAsia="仿宋_GB2312"/>
                <w:b/>
                <w:color w:val="auto"/>
                <w:sz w:val="24"/>
                <w:highlight w:val="none"/>
              </w:rPr>
            </w:pPr>
          </w:p>
        </w:tc>
        <w:tc>
          <w:tcPr>
            <w:tcW w:w="1295" w:type="dxa"/>
            <w:vAlign w:val="center"/>
          </w:tcPr>
          <w:p w14:paraId="36902C05">
            <w:pPr>
              <w:spacing w:line="360" w:lineRule="exact"/>
              <w:jc w:val="center"/>
              <w:rPr>
                <w:rFonts w:ascii="仿宋_GB2312" w:hAnsi="宋体" w:eastAsia="仿宋_GB2312"/>
                <w:b/>
                <w:color w:val="auto"/>
                <w:sz w:val="24"/>
                <w:highlight w:val="none"/>
              </w:rPr>
            </w:pPr>
          </w:p>
        </w:tc>
      </w:tr>
      <w:tr w14:paraId="5940E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0E3EEDEF">
            <w:pPr>
              <w:spacing w:line="360" w:lineRule="exact"/>
              <w:jc w:val="center"/>
              <w:rPr>
                <w:rFonts w:ascii="仿宋_GB2312" w:hAnsi="宋体" w:eastAsia="仿宋_GB2312"/>
                <w:b/>
                <w:color w:val="auto"/>
                <w:sz w:val="24"/>
                <w:highlight w:val="none"/>
              </w:rPr>
            </w:pPr>
          </w:p>
        </w:tc>
        <w:tc>
          <w:tcPr>
            <w:tcW w:w="1275" w:type="dxa"/>
            <w:vAlign w:val="center"/>
          </w:tcPr>
          <w:p w14:paraId="1F3A95CF">
            <w:pPr>
              <w:spacing w:line="360" w:lineRule="exact"/>
              <w:jc w:val="center"/>
              <w:rPr>
                <w:rFonts w:ascii="仿宋_GB2312" w:hAnsi="宋体" w:eastAsia="仿宋_GB2312"/>
                <w:b/>
                <w:color w:val="auto"/>
                <w:sz w:val="24"/>
                <w:highlight w:val="none"/>
              </w:rPr>
            </w:pPr>
          </w:p>
        </w:tc>
        <w:tc>
          <w:tcPr>
            <w:tcW w:w="939" w:type="dxa"/>
            <w:vAlign w:val="center"/>
          </w:tcPr>
          <w:p w14:paraId="2591F194">
            <w:pPr>
              <w:spacing w:line="360" w:lineRule="exact"/>
              <w:jc w:val="center"/>
              <w:rPr>
                <w:rFonts w:ascii="仿宋_GB2312" w:hAnsi="宋体" w:eastAsia="仿宋_GB2312"/>
                <w:b/>
                <w:color w:val="auto"/>
                <w:sz w:val="24"/>
                <w:highlight w:val="none"/>
              </w:rPr>
            </w:pPr>
          </w:p>
        </w:tc>
        <w:tc>
          <w:tcPr>
            <w:tcW w:w="1294" w:type="dxa"/>
            <w:vAlign w:val="center"/>
          </w:tcPr>
          <w:p w14:paraId="6AED8A43">
            <w:pPr>
              <w:spacing w:line="360" w:lineRule="exact"/>
              <w:jc w:val="center"/>
              <w:rPr>
                <w:rFonts w:ascii="仿宋_GB2312" w:hAnsi="宋体" w:eastAsia="仿宋_GB2312"/>
                <w:b/>
                <w:color w:val="auto"/>
                <w:sz w:val="24"/>
                <w:highlight w:val="none"/>
              </w:rPr>
            </w:pPr>
          </w:p>
        </w:tc>
        <w:tc>
          <w:tcPr>
            <w:tcW w:w="1294" w:type="dxa"/>
            <w:vAlign w:val="center"/>
          </w:tcPr>
          <w:p w14:paraId="35DE21D4">
            <w:pPr>
              <w:spacing w:line="360" w:lineRule="exact"/>
              <w:jc w:val="center"/>
              <w:rPr>
                <w:rFonts w:ascii="仿宋_GB2312" w:hAnsi="宋体" w:eastAsia="仿宋_GB2312"/>
                <w:b/>
                <w:color w:val="auto"/>
                <w:sz w:val="24"/>
                <w:highlight w:val="none"/>
              </w:rPr>
            </w:pPr>
          </w:p>
        </w:tc>
        <w:tc>
          <w:tcPr>
            <w:tcW w:w="1295" w:type="dxa"/>
            <w:vAlign w:val="center"/>
          </w:tcPr>
          <w:p w14:paraId="25C494AA">
            <w:pPr>
              <w:spacing w:line="360" w:lineRule="exact"/>
              <w:jc w:val="center"/>
              <w:rPr>
                <w:rFonts w:ascii="仿宋_GB2312" w:hAnsi="宋体" w:eastAsia="仿宋_GB2312"/>
                <w:b/>
                <w:color w:val="auto"/>
                <w:sz w:val="24"/>
                <w:highlight w:val="none"/>
              </w:rPr>
            </w:pPr>
          </w:p>
        </w:tc>
        <w:tc>
          <w:tcPr>
            <w:tcW w:w="1295" w:type="dxa"/>
            <w:vAlign w:val="center"/>
          </w:tcPr>
          <w:p w14:paraId="0187FEA6">
            <w:pPr>
              <w:spacing w:line="360" w:lineRule="exact"/>
              <w:jc w:val="center"/>
              <w:rPr>
                <w:rFonts w:ascii="仿宋_GB2312" w:hAnsi="宋体" w:eastAsia="仿宋_GB2312"/>
                <w:b/>
                <w:color w:val="auto"/>
                <w:sz w:val="24"/>
                <w:highlight w:val="none"/>
              </w:rPr>
            </w:pPr>
          </w:p>
        </w:tc>
      </w:tr>
      <w:tr w14:paraId="6D658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0" w:hRule="atLeast"/>
          <w:jc w:val="center"/>
        </w:trPr>
        <w:tc>
          <w:tcPr>
            <w:tcW w:w="1986" w:type="dxa"/>
            <w:vAlign w:val="center"/>
          </w:tcPr>
          <w:p w14:paraId="29AA4B6A">
            <w:pPr>
              <w:spacing w:line="360" w:lineRule="exact"/>
              <w:jc w:val="left"/>
              <w:rPr>
                <w:rFonts w:ascii="仿宋_GB2312" w:hAnsi="宋体" w:eastAsia="仿宋_GB2312"/>
                <w:color w:val="auto"/>
                <w:sz w:val="24"/>
                <w:highlight w:val="none"/>
              </w:rPr>
            </w:pPr>
            <w:r>
              <w:rPr>
                <w:rFonts w:hint="eastAsia" w:ascii="仿宋_GB2312" w:hAnsi="仿宋" w:eastAsia="仿宋_GB2312"/>
                <w:color w:val="auto"/>
                <w:sz w:val="24"/>
                <w:highlight w:val="none"/>
              </w:rPr>
              <w:t>总计</w:t>
            </w:r>
          </w:p>
        </w:tc>
        <w:tc>
          <w:tcPr>
            <w:tcW w:w="1275" w:type="dxa"/>
            <w:vAlign w:val="center"/>
          </w:tcPr>
          <w:p w14:paraId="051BF189">
            <w:pPr>
              <w:spacing w:line="360" w:lineRule="exact"/>
              <w:jc w:val="center"/>
              <w:rPr>
                <w:rFonts w:ascii="仿宋_GB2312" w:hAnsi="宋体" w:eastAsia="仿宋_GB2312"/>
                <w:b/>
                <w:color w:val="auto"/>
                <w:sz w:val="24"/>
                <w:highlight w:val="none"/>
              </w:rPr>
            </w:pPr>
          </w:p>
        </w:tc>
        <w:tc>
          <w:tcPr>
            <w:tcW w:w="939" w:type="dxa"/>
            <w:vAlign w:val="center"/>
          </w:tcPr>
          <w:p w14:paraId="1C0DC7F3">
            <w:pPr>
              <w:spacing w:line="360" w:lineRule="exact"/>
              <w:jc w:val="center"/>
              <w:rPr>
                <w:rFonts w:ascii="仿宋_GB2312" w:hAnsi="宋体" w:eastAsia="仿宋_GB2312"/>
                <w:b/>
                <w:color w:val="auto"/>
                <w:sz w:val="24"/>
                <w:highlight w:val="none"/>
              </w:rPr>
            </w:pPr>
          </w:p>
        </w:tc>
        <w:tc>
          <w:tcPr>
            <w:tcW w:w="1294" w:type="dxa"/>
            <w:vAlign w:val="center"/>
          </w:tcPr>
          <w:p w14:paraId="57BC6B13">
            <w:pPr>
              <w:spacing w:line="360" w:lineRule="exact"/>
              <w:jc w:val="center"/>
              <w:rPr>
                <w:rFonts w:ascii="仿宋_GB2312" w:hAnsi="宋体" w:eastAsia="仿宋_GB2312"/>
                <w:b/>
                <w:color w:val="auto"/>
                <w:sz w:val="24"/>
                <w:highlight w:val="none"/>
              </w:rPr>
            </w:pPr>
          </w:p>
        </w:tc>
        <w:tc>
          <w:tcPr>
            <w:tcW w:w="1294" w:type="dxa"/>
            <w:vAlign w:val="center"/>
          </w:tcPr>
          <w:p w14:paraId="7264A1C6">
            <w:pPr>
              <w:spacing w:line="360" w:lineRule="exact"/>
              <w:jc w:val="center"/>
              <w:rPr>
                <w:rFonts w:ascii="仿宋_GB2312" w:hAnsi="宋体" w:eastAsia="仿宋_GB2312"/>
                <w:b/>
                <w:color w:val="auto"/>
                <w:sz w:val="24"/>
                <w:highlight w:val="none"/>
              </w:rPr>
            </w:pPr>
          </w:p>
        </w:tc>
        <w:tc>
          <w:tcPr>
            <w:tcW w:w="1295" w:type="dxa"/>
            <w:vAlign w:val="center"/>
          </w:tcPr>
          <w:p w14:paraId="199F1C06">
            <w:pPr>
              <w:spacing w:line="360" w:lineRule="exact"/>
              <w:jc w:val="center"/>
              <w:rPr>
                <w:rFonts w:ascii="仿宋_GB2312" w:hAnsi="宋体" w:eastAsia="仿宋_GB2312"/>
                <w:b/>
                <w:color w:val="auto"/>
                <w:sz w:val="24"/>
                <w:highlight w:val="none"/>
              </w:rPr>
            </w:pPr>
          </w:p>
        </w:tc>
        <w:tc>
          <w:tcPr>
            <w:tcW w:w="1295" w:type="dxa"/>
            <w:vAlign w:val="center"/>
          </w:tcPr>
          <w:p w14:paraId="0802C5A9">
            <w:pPr>
              <w:spacing w:line="360" w:lineRule="exact"/>
              <w:jc w:val="center"/>
              <w:rPr>
                <w:rFonts w:ascii="仿宋_GB2312" w:hAnsi="宋体" w:eastAsia="仿宋_GB2312"/>
                <w:b/>
                <w:color w:val="auto"/>
                <w:sz w:val="24"/>
                <w:highlight w:val="none"/>
              </w:rPr>
            </w:pPr>
          </w:p>
        </w:tc>
      </w:tr>
    </w:tbl>
    <w:p w14:paraId="6C46C5C7">
      <w:pPr>
        <w:spacing w:line="360" w:lineRule="exact"/>
        <w:rPr>
          <w:rFonts w:ascii="仿宋_GB2312" w:hAnsi="仿宋" w:eastAsia="仿宋_GB2312"/>
          <w:color w:val="auto"/>
          <w:sz w:val="30"/>
          <w:highlight w:val="none"/>
        </w:rPr>
      </w:pPr>
    </w:p>
    <w:p w14:paraId="721E57F4">
      <w:pPr>
        <w:spacing w:line="360" w:lineRule="exact"/>
        <w:rPr>
          <w:rFonts w:ascii="仿宋_GB2312" w:hAnsi="仿宋" w:eastAsia="仿宋_GB2312"/>
          <w:color w:val="auto"/>
          <w:sz w:val="30"/>
          <w:highlight w:val="none"/>
        </w:rPr>
      </w:pPr>
    </w:p>
    <w:p w14:paraId="112124CE">
      <w:pPr>
        <w:spacing w:line="360" w:lineRule="exact"/>
        <w:rPr>
          <w:rFonts w:ascii="仿宋_GB2312" w:hAnsi="仿宋" w:eastAsia="仿宋_GB2312"/>
          <w:color w:val="auto"/>
          <w:sz w:val="32"/>
          <w:szCs w:val="32"/>
          <w:highlight w:val="none"/>
        </w:rPr>
      </w:pPr>
    </w:p>
    <w:p w14:paraId="3F8D9B5F">
      <w:pPr>
        <w:wordWrap w:val="0"/>
        <w:spacing w:line="520" w:lineRule="exact"/>
        <w:jc w:val="righ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报价供应商(盖章): </w:t>
      </w:r>
      <w:r>
        <w:rPr>
          <w:rFonts w:ascii="仿宋_GB2312" w:hAnsi="仿宋" w:eastAsia="仿宋_GB2312"/>
          <w:color w:val="auto"/>
          <w:sz w:val="28"/>
          <w:szCs w:val="28"/>
          <w:highlight w:val="none"/>
        </w:rPr>
        <w:t xml:space="preserve">  </w:t>
      </w:r>
      <w:r>
        <w:rPr>
          <w:rFonts w:hint="eastAsia" w:ascii="仿宋_GB2312" w:hAnsi="仿宋" w:eastAsia="仿宋_GB2312"/>
          <w:color w:val="auto"/>
          <w:sz w:val="30"/>
          <w:szCs w:val="30"/>
          <w:highlight w:val="none"/>
        </w:rPr>
        <w:t xml:space="preserve">   </w:t>
      </w:r>
    </w:p>
    <w:p w14:paraId="368E6F9E">
      <w:pPr>
        <w:wordWrap w:val="0"/>
        <w:spacing w:line="440" w:lineRule="exact"/>
        <w:jc w:val="right"/>
        <w:rPr>
          <w:rFonts w:ascii="仿宋_GB2312" w:hAnsi="宋体" w:eastAsia="仿宋_GB2312"/>
          <w:b/>
          <w:color w:val="auto"/>
          <w:sz w:val="32"/>
          <w:szCs w:val="32"/>
          <w:highlight w:val="none"/>
        </w:rPr>
      </w:pPr>
      <w:r>
        <w:rPr>
          <w:rFonts w:hint="eastAsia" w:ascii="仿宋_GB2312" w:hAnsi="仿宋" w:eastAsia="仿宋_GB2312"/>
          <w:color w:val="auto"/>
          <w:sz w:val="30"/>
          <w:szCs w:val="30"/>
          <w:highlight w:val="none"/>
        </w:rPr>
        <w:t xml:space="preserve">法定代表人（依法登记的负责人）或授权代表（签字或签章）： </w:t>
      </w:r>
      <w:r>
        <w:rPr>
          <w:rFonts w:ascii="仿宋_GB2312" w:hAnsi="仿宋" w:eastAsia="仿宋_GB2312"/>
          <w:color w:val="auto"/>
          <w:sz w:val="28"/>
          <w:szCs w:val="28"/>
          <w:highlight w:val="none"/>
        </w:rPr>
        <w:t xml:space="preserve">  </w:t>
      </w:r>
      <w:r>
        <w:rPr>
          <w:rFonts w:hint="eastAsia" w:ascii="仿宋_GB2312" w:hAnsi="仿宋" w:eastAsia="仿宋_GB2312"/>
          <w:color w:val="auto"/>
          <w:sz w:val="30"/>
          <w:szCs w:val="30"/>
          <w:highlight w:val="none"/>
        </w:rPr>
        <w:t xml:space="preserve">   </w:t>
      </w:r>
    </w:p>
    <w:p w14:paraId="115CCDA7">
      <w:pPr>
        <w:spacing w:line="560" w:lineRule="exact"/>
        <w:jc w:val="center"/>
        <w:rPr>
          <w:rFonts w:ascii="黑体" w:hAnsi="黑体" w:eastAsia="黑体"/>
          <w:color w:val="auto"/>
          <w:sz w:val="44"/>
          <w:szCs w:val="44"/>
          <w:highlight w:val="none"/>
        </w:rPr>
      </w:pPr>
      <w:r>
        <w:rPr>
          <w:rFonts w:ascii="仿宋_GB2312" w:hAnsi="仿宋" w:eastAsia="仿宋_GB2312"/>
          <w:b/>
          <w:bCs/>
          <w:color w:val="auto"/>
          <w:sz w:val="30"/>
          <w:szCs w:val="30"/>
          <w:highlight w:val="none"/>
        </w:rPr>
        <w:br w:type="page"/>
      </w:r>
      <w:r>
        <w:rPr>
          <w:rFonts w:hint="eastAsia" w:ascii="黑体" w:hAnsi="黑体" w:eastAsia="黑体"/>
          <w:color w:val="auto"/>
          <w:sz w:val="44"/>
          <w:szCs w:val="44"/>
          <w:highlight w:val="none"/>
        </w:rPr>
        <w:t>质保期内能供应的备品备件价格明细表（如有）</w:t>
      </w:r>
    </w:p>
    <w:p w14:paraId="304A3D8F">
      <w:pPr>
        <w:ind w:right="280"/>
        <w:jc w:val="right"/>
        <w:rPr>
          <w:rFonts w:ascii="仿宋_GB2312" w:hAnsi="仿宋" w:eastAsia="仿宋_GB2312"/>
          <w:bCs/>
          <w:color w:val="auto"/>
          <w:sz w:val="30"/>
          <w:szCs w:val="30"/>
          <w:highlight w:val="none"/>
          <w:u w:val="single"/>
        </w:rPr>
      </w:pPr>
      <w:r>
        <w:rPr>
          <w:rFonts w:hint="eastAsia" w:ascii="仿宋_GB2312" w:hAnsi="仿宋" w:eastAsia="仿宋_GB2312"/>
          <w:color w:val="auto"/>
          <w:sz w:val="30"/>
          <w:szCs w:val="30"/>
          <w:highlight w:val="none"/>
        </w:rPr>
        <w:t>单位：元</w:t>
      </w:r>
    </w:p>
    <w:tbl>
      <w:tblPr>
        <w:tblStyle w:val="34"/>
        <w:tblW w:w="95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08"/>
        <w:gridCol w:w="1800"/>
        <w:gridCol w:w="2340"/>
        <w:gridCol w:w="900"/>
        <w:gridCol w:w="1260"/>
        <w:gridCol w:w="1080"/>
        <w:gridCol w:w="1170"/>
      </w:tblGrid>
      <w:tr w14:paraId="24F44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36"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2B287223">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序号</w:t>
            </w:r>
          </w:p>
        </w:tc>
        <w:tc>
          <w:tcPr>
            <w:tcW w:w="1800" w:type="dxa"/>
            <w:tcBorders>
              <w:top w:val="single" w:color="auto" w:sz="4" w:space="0"/>
              <w:left w:val="single" w:color="auto" w:sz="4" w:space="0"/>
              <w:bottom w:val="single" w:color="auto" w:sz="4" w:space="0"/>
              <w:right w:val="single" w:color="auto" w:sz="4" w:space="0"/>
            </w:tcBorders>
            <w:vAlign w:val="center"/>
          </w:tcPr>
          <w:p w14:paraId="49AF84BA">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备品备件、</w:t>
            </w:r>
          </w:p>
          <w:p w14:paraId="6D83AF81">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易损件名称</w:t>
            </w:r>
          </w:p>
        </w:tc>
        <w:tc>
          <w:tcPr>
            <w:tcW w:w="2340" w:type="dxa"/>
            <w:tcBorders>
              <w:top w:val="single" w:color="auto" w:sz="4" w:space="0"/>
              <w:left w:val="single" w:color="auto" w:sz="4" w:space="0"/>
              <w:bottom w:val="single" w:color="auto" w:sz="4" w:space="0"/>
              <w:right w:val="single" w:color="auto" w:sz="4" w:space="0"/>
            </w:tcBorders>
            <w:vAlign w:val="center"/>
          </w:tcPr>
          <w:p w14:paraId="6FF0E331">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规格型号</w:t>
            </w:r>
          </w:p>
        </w:tc>
        <w:tc>
          <w:tcPr>
            <w:tcW w:w="900" w:type="dxa"/>
            <w:tcBorders>
              <w:top w:val="single" w:color="auto" w:sz="4" w:space="0"/>
              <w:left w:val="single" w:color="auto" w:sz="4" w:space="0"/>
              <w:bottom w:val="single" w:color="auto" w:sz="4" w:space="0"/>
              <w:right w:val="single" w:color="auto" w:sz="4" w:space="0"/>
            </w:tcBorders>
            <w:vAlign w:val="center"/>
          </w:tcPr>
          <w:p w14:paraId="0748CE68">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数量</w:t>
            </w:r>
          </w:p>
        </w:tc>
        <w:tc>
          <w:tcPr>
            <w:tcW w:w="1260" w:type="dxa"/>
            <w:tcBorders>
              <w:top w:val="single" w:color="auto" w:sz="4" w:space="0"/>
              <w:left w:val="single" w:color="auto" w:sz="4" w:space="0"/>
              <w:bottom w:val="single" w:color="auto" w:sz="4" w:space="0"/>
              <w:right w:val="single" w:color="auto" w:sz="4" w:space="0"/>
            </w:tcBorders>
            <w:vAlign w:val="center"/>
          </w:tcPr>
          <w:p w14:paraId="0F232C26">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单价</w:t>
            </w:r>
          </w:p>
        </w:tc>
        <w:tc>
          <w:tcPr>
            <w:tcW w:w="1080" w:type="dxa"/>
            <w:tcBorders>
              <w:top w:val="single" w:color="auto" w:sz="4" w:space="0"/>
              <w:left w:val="single" w:color="auto" w:sz="4" w:space="0"/>
              <w:bottom w:val="single" w:color="auto" w:sz="4" w:space="0"/>
              <w:right w:val="single" w:color="auto" w:sz="4" w:space="0"/>
            </w:tcBorders>
            <w:vAlign w:val="center"/>
          </w:tcPr>
          <w:p w14:paraId="53616267">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合价</w:t>
            </w:r>
          </w:p>
        </w:tc>
        <w:tc>
          <w:tcPr>
            <w:tcW w:w="1170" w:type="dxa"/>
            <w:tcBorders>
              <w:top w:val="single" w:color="auto" w:sz="4" w:space="0"/>
              <w:left w:val="single" w:color="auto" w:sz="4" w:space="0"/>
              <w:bottom w:val="single" w:color="auto" w:sz="4" w:space="0"/>
              <w:right w:val="single" w:color="auto" w:sz="4" w:space="0"/>
            </w:tcBorders>
            <w:vAlign w:val="center"/>
          </w:tcPr>
          <w:p w14:paraId="5A08F6E3">
            <w:pPr>
              <w:spacing w:line="360" w:lineRule="auto"/>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备注</w:t>
            </w:r>
          </w:p>
        </w:tc>
      </w:tr>
      <w:tr w14:paraId="05ADC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93"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4AE5150C">
            <w:pPr>
              <w:spacing w:line="360" w:lineRule="auto"/>
              <w:jc w:val="center"/>
              <w:rPr>
                <w:rFonts w:ascii="仿宋_GB2312" w:hAnsi="仿宋" w:eastAsia="仿宋_GB2312"/>
                <w:color w:val="auto"/>
                <w:sz w:val="30"/>
                <w:szCs w:val="30"/>
                <w:highlight w:val="none"/>
              </w:rPr>
            </w:pPr>
          </w:p>
        </w:tc>
        <w:tc>
          <w:tcPr>
            <w:tcW w:w="1800" w:type="dxa"/>
            <w:tcBorders>
              <w:top w:val="single" w:color="auto" w:sz="4" w:space="0"/>
              <w:left w:val="single" w:color="auto" w:sz="4" w:space="0"/>
              <w:bottom w:val="single" w:color="auto" w:sz="4" w:space="0"/>
              <w:right w:val="single" w:color="auto" w:sz="4" w:space="0"/>
            </w:tcBorders>
            <w:vAlign w:val="center"/>
          </w:tcPr>
          <w:p w14:paraId="51655103">
            <w:pPr>
              <w:spacing w:line="360" w:lineRule="auto"/>
              <w:jc w:val="center"/>
              <w:rPr>
                <w:rFonts w:ascii="仿宋_GB2312" w:hAnsi="仿宋" w:eastAsia="仿宋_GB2312"/>
                <w:color w:val="auto"/>
                <w:sz w:val="30"/>
                <w:szCs w:val="30"/>
                <w:highlight w:val="none"/>
              </w:rPr>
            </w:pPr>
          </w:p>
        </w:tc>
        <w:tc>
          <w:tcPr>
            <w:tcW w:w="2340" w:type="dxa"/>
            <w:tcBorders>
              <w:top w:val="single" w:color="auto" w:sz="4" w:space="0"/>
              <w:left w:val="single" w:color="auto" w:sz="4" w:space="0"/>
              <w:bottom w:val="single" w:color="auto" w:sz="4" w:space="0"/>
              <w:right w:val="single" w:color="auto" w:sz="4" w:space="0"/>
            </w:tcBorders>
            <w:vAlign w:val="center"/>
          </w:tcPr>
          <w:p w14:paraId="36E1D042">
            <w:pPr>
              <w:spacing w:line="360" w:lineRule="auto"/>
              <w:jc w:val="center"/>
              <w:rPr>
                <w:rFonts w:ascii="仿宋_GB2312" w:hAnsi="仿宋" w:eastAsia="仿宋_GB2312"/>
                <w:color w:val="auto"/>
                <w:sz w:val="30"/>
                <w:szCs w:val="30"/>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0FFF4A99">
            <w:pPr>
              <w:spacing w:line="360" w:lineRule="auto"/>
              <w:jc w:val="center"/>
              <w:rPr>
                <w:rFonts w:ascii="仿宋_GB2312" w:hAnsi="仿宋" w:eastAsia="仿宋_GB2312"/>
                <w:color w:val="auto"/>
                <w:sz w:val="30"/>
                <w:szCs w:val="30"/>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4FDD8228">
            <w:pPr>
              <w:spacing w:line="360" w:lineRule="auto"/>
              <w:jc w:val="center"/>
              <w:rPr>
                <w:rFonts w:ascii="仿宋_GB2312" w:hAnsi="仿宋" w:eastAsia="仿宋_GB2312"/>
                <w:color w:val="auto"/>
                <w:sz w:val="30"/>
                <w:szCs w:val="30"/>
                <w:highlight w:val="none"/>
              </w:rPr>
            </w:pPr>
          </w:p>
        </w:tc>
        <w:tc>
          <w:tcPr>
            <w:tcW w:w="1080" w:type="dxa"/>
            <w:tcBorders>
              <w:top w:val="single" w:color="auto" w:sz="4" w:space="0"/>
              <w:left w:val="single" w:color="auto" w:sz="4" w:space="0"/>
              <w:bottom w:val="single" w:color="auto" w:sz="4" w:space="0"/>
              <w:right w:val="single" w:color="auto" w:sz="4" w:space="0"/>
            </w:tcBorders>
            <w:vAlign w:val="center"/>
          </w:tcPr>
          <w:p w14:paraId="7FD729AB">
            <w:pPr>
              <w:spacing w:line="360" w:lineRule="auto"/>
              <w:jc w:val="center"/>
              <w:rPr>
                <w:rFonts w:ascii="仿宋_GB2312" w:hAnsi="仿宋" w:eastAsia="仿宋_GB2312"/>
                <w:color w:val="auto"/>
                <w:sz w:val="30"/>
                <w:szCs w:val="30"/>
                <w:highlight w:val="none"/>
              </w:rPr>
            </w:pPr>
          </w:p>
        </w:tc>
        <w:tc>
          <w:tcPr>
            <w:tcW w:w="1170" w:type="dxa"/>
            <w:tcBorders>
              <w:top w:val="single" w:color="auto" w:sz="4" w:space="0"/>
              <w:left w:val="single" w:color="auto" w:sz="4" w:space="0"/>
              <w:bottom w:val="single" w:color="auto" w:sz="4" w:space="0"/>
              <w:right w:val="single" w:color="auto" w:sz="4" w:space="0"/>
            </w:tcBorders>
            <w:vAlign w:val="center"/>
          </w:tcPr>
          <w:p w14:paraId="7C668FF6">
            <w:pPr>
              <w:spacing w:line="360" w:lineRule="auto"/>
              <w:jc w:val="center"/>
              <w:rPr>
                <w:rFonts w:ascii="仿宋_GB2312" w:hAnsi="仿宋" w:eastAsia="仿宋_GB2312"/>
                <w:color w:val="auto"/>
                <w:sz w:val="30"/>
                <w:szCs w:val="30"/>
                <w:highlight w:val="none"/>
              </w:rPr>
            </w:pPr>
          </w:p>
        </w:tc>
      </w:tr>
      <w:tr w14:paraId="467FB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93"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75C01E75">
            <w:pPr>
              <w:spacing w:line="360" w:lineRule="auto"/>
              <w:jc w:val="center"/>
              <w:rPr>
                <w:rFonts w:ascii="仿宋_GB2312" w:hAnsi="仿宋" w:eastAsia="仿宋_GB2312"/>
                <w:color w:val="auto"/>
                <w:sz w:val="30"/>
                <w:szCs w:val="30"/>
                <w:highlight w:val="none"/>
              </w:rPr>
            </w:pPr>
          </w:p>
        </w:tc>
        <w:tc>
          <w:tcPr>
            <w:tcW w:w="1800" w:type="dxa"/>
            <w:tcBorders>
              <w:top w:val="single" w:color="auto" w:sz="4" w:space="0"/>
              <w:left w:val="single" w:color="auto" w:sz="4" w:space="0"/>
              <w:bottom w:val="single" w:color="auto" w:sz="4" w:space="0"/>
              <w:right w:val="single" w:color="auto" w:sz="4" w:space="0"/>
            </w:tcBorders>
            <w:vAlign w:val="center"/>
          </w:tcPr>
          <w:p w14:paraId="665D74C6">
            <w:pPr>
              <w:spacing w:line="360" w:lineRule="auto"/>
              <w:jc w:val="center"/>
              <w:rPr>
                <w:rFonts w:ascii="仿宋_GB2312" w:hAnsi="仿宋" w:eastAsia="仿宋_GB2312"/>
                <w:color w:val="auto"/>
                <w:sz w:val="30"/>
                <w:szCs w:val="30"/>
                <w:highlight w:val="none"/>
              </w:rPr>
            </w:pPr>
          </w:p>
        </w:tc>
        <w:tc>
          <w:tcPr>
            <w:tcW w:w="2340" w:type="dxa"/>
            <w:tcBorders>
              <w:top w:val="single" w:color="auto" w:sz="4" w:space="0"/>
              <w:left w:val="single" w:color="auto" w:sz="4" w:space="0"/>
              <w:bottom w:val="single" w:color="auto" w:sz="4" w:space="0"/>
              <w:right w:val="single" w:color="auto" w:sz="4" w:space="0"/>
            </w:tcBorders>
            <w:vAlign w:val="center"/>
          </w:tcPr>
          <w:p w14:paraId="2A55BCF4">
            <w:pPr>
              <w:spacing w:line="360" w:lineRule="auto"/>
              <w:jc w:val="center"/>
              <w:rPr>
                <w:rFonts w:ascii="仿宋_GB2312" w:hAnsi="仿宋" w:eastAsia="仿宋_GB2312"/>
                <w:color w:val="auto"/>
                <w:sz w:val="30"/>
                <w:szCs w:val="30"/>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363E9B22">
            <w:pPr>
              <w:spacing w:line="360" w:lineRule="auto"/>
              <w:jc w:val="center"/>
              <w:rPr>
                <w:rFonts w:ascii="仿宋_GB2312" w:hAnsi="仿宋" w:eastAsia="仿宋_GB2312"/>
                <w:color w:val="auto"/>
                <w:sz w:val="30"/>
                <w:szCs w:val="30"/>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1AD22D90">
            <w:pPr>
              <w:spacing w:line="360" w:lineRule="auto"/>
              <w:jc w:val="center"/>
              <w:rPr>
                <w:rFonts w:ascii="仿宋_GB2312" w:hAnsi="仿宋" w:eastAsia="仿宋_GB2312"/>
                <w:color w:val="auto"/>
                <w:sz w:val="30"/>
                <w:szCs w:val="30"/>
                <w:highlight w:val="none"/>
              </w:rPr>
            </w:pPr>
          </w:p>
        </w:tc>
        <w:tc>
          <w:tcPr>
            <w:tcW w:w="1080" w:type="dxa"/>
            <w:tcBorders>
              <w:top w:val="single" w:color="auto" w:sz="4" w:space="0"/>
              <w:left w:val="single" w:color="auto" w:sz="4" w:space="0"/>
              <w:bottom w:val="single" w:color="auto" w:sz="4" w:space="0"/>
              <w:right w:val="single" w:color="auto" w:sz="4" w:space="0"/>
            </w:tcBorders>
            <w:vAlign w:val="center"/>
          </w:tcPr>
          <w:p w14:paraId="0C2AA85C">
            <w:pPr>
              <w:spacing w:line="360" w:lineRule="auto"/>
              <w:jc w:val="center"/>
              <w:rPr>
                <w:rFonts w:ascii="仿宋_GB2312" w:hAnsi="仿宋" w:eastAsia="仿宋_GB2312"/>
                <w:color w:val="auto"/>
                <w:sz w:val="30"/>
                <w:szCs w:val="30"/>
                <w:highlight w:val="none"/>
              </w:rPr>
            </w:pPr>
          </w:p>
        </w:tc>
        <w:tc>
          <w:tcPr>
            <w:tcW w:w="1170" w:type="dxa"/>
            <w:tcBorders>
              <w:top w:val="single" w:color="auto" w:sz="4" w:space="0"/>
              <w:left w:val="single" w:color="auto" w:sz="4" w:space="0"/>
              <w:bottom w:val="single" w:color="auto" w:sz="4" w:space="0"/>
              <w:right w:val="single" w:color="auto" w:sz="4" w:space="0"/>
            </w:tcBorders>
            <w:vAlign w:val="center"/>
          </w:tcPr>
          <w:p w14:paraId="5B8989FE">
            <w:pPr>
              <w:spacing w:line="360" w:lineRule="auto"/>
              <w:jc w:val="center"/>
              <w:rPr>
                <w:rFonts w:ascii="仿宋_GB2312" w:hAnsi="仿宋" w:eastAsia="仿宋_GB2312"/>
                <w:color w:val="auto"/>
                <w:sz w:val="30"/>
                <w:szCs w:val="30"/>
                <w:highlight w:val="none"/>
              </w:rPr>
            </w:pPr>
          </w:p>
        </w:tc>
      </w:tr>
      <w:tr w14:paraId="25F119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93"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2C39D407">
            <w:pPr>
              <w:spacing w:line="360" w:lineRule="auto"/>
              <w:jc w:val="center"/>
              <w:rPr>
                <w:rFonts w:ascii="仿宋_GB2312" w:hAnsi="仿宋" w:eastAsia="仿宋_GB2312"/>
                <w:color w:val="auto"/>
                <w:sz w:val="30"/>
                <w:szCs w:val="30"/>
                <w:highlight w:val="none"/>
              </w:rPr>
            </w:pPr>
          </w:p>
        </w:tc>
        <w:tc>
          <w:tcPr>
            <w:tcW w:w="1800" w:type="dxa"/>
            <w:tcBorders>
              <w:top w:val="single" w:color="auto" w:sz="4" w:space="0"/>
              <w:left w:val="single" w:color="auto" w:sz="4" w:space="0"/>
              <w:bottom w:val="single" w:color="auto" w:sz="4" w:space="0"/>
              <w:right w:val="single" w:color="auto" w:sz="4" w:space="0"/>
            </w:tcBorders>
            <w:vAlign w:val="center"/>
          </w:tcPr>
          <w:p w14:paraId="4187D1E1">
            <w:pPr>
              <w:spacing w:line="360" w:lineRule="auto"/>
              <w:jc w:val="center"/>
              <w:rPr>
                <w:rFonts w:ascii="仿宋_GB2312" w:hAnsi="仿宋" w:eastAsia="仿宋_GB2312"/>
                <w:color w:val="auto"/>
                <w:sz w:val="30"/>
                <w:szCs w:val="30"/>
                <w:highlight w:val="none"/>
              </w:rPr>
            </w:pPr>
          </w:p>
        </w:tc>
        <w:tc>
          <w:tcPr>
            <w:tcW w:w="2340" w:type="dxa"/>
            <w:tcBorders>
              <w:top w:val="single" w:color="auto" w:sz="4" w:space="0"/>
              <w:left w:val="single" w:color="auto" w:sz="4" w:space="0"/>
              <w:bottom w:val="single" w:color="auto" w:sz="4" w:space="0"/>
              <w:right w:val="single" w:color="auto" w:sz="4" w:space="0"/>
            </w:tcBorders>
            <w:vAlign w:val="center"/>
          </w:tcPr>
          <w:p w14:paraId="128B8D91">
            <w:pPr>
              <w:spacing w:line="360" w:lineRule="auto"/>
              <w:jc w:val="center"/>
              <w:rPr>
                <w:rFonts w:ascii="仿宋_GB2312" w:hAnsi="仿宋" w:eastAsia="仿宋_GB2312"/>
                <w:color w:val="auto"/>
                <w:sz w:val="30"/>
                <w:szCs w:val="30"/>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0EC2AB93">
            <w:pPr>
              <w:spacing w:line="360" w:lineRule="auto"/>
              <w:jc w:val="center"/>
              <w:rPr>
                <w:rFonts w:ascii="仿宋_GB2312" w:hAnsi="仿宋" w:eastAsia="仿宋_GB2312"/>
                <w:color w:val="auto"/>
                <w:sz w:val="30"/>
                <w:szCs w:val="30"/>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5D3CED35">
            <w:pPr>
              <w:spacing w:line="360" w:lineRule="auto"/>
              <w:jc w:val="center"/>
              <w:rPr>
                <w:rFonts w:ascii="仿宋_GB2312" w:hAnsi="仿宋" w:eastAsia="仿宋_GB2312"/>
                <w:color w:val="auto"/>
                <w:sz w:val="30"/>
                <w:szCs w:val="30"/>
                <w:highlight w:val="none"/>
              </w:rPr>
            </w:pPr>
          </w:p>
        </w:tc>
        <w:tc>
          <w:tcPr>
            <w:tcW w:w="1080" w:type="dxa"/>
            <w:tcBorders>
              <w:top w:val="single" w:color="auto" w:sz="4" w:space="0"/>
              <w:left w:val="single" w:color="auto" w:sz="4" w:space="0"/>
              <w:bottom w:val="single" w:color="auto" w:sz="4" w:space="0"/>
              <w:right w:val="single" w:color="auto" w:sz="4" w:space="0"/>
            </w:tcBorders>
            <w:vAlign w:val="center"/>
          </w:tcPr>
          <w:p w14:paraId="0564FD0C">
            <w:pPr>
              <w:spacing w:line="360" w:lineRule="auto"/>
              <w:jc w:val="center"/>
              <w:rPr>
                <w:rFonts w:ascii="仿宋_GB2312" w:hAnsi="仿宋" w:eastAsia="仿宋_GB2312"/>
                <w:color w:val="auto"/>
                <w:sz w:val="30"/>
                <w:szCs w:val="30"/>
                <w:highlight w:val="none"/>
              </w:rPr>
            </w:pPr>
          </w:p>
        </w:tc>
        <w:tc>
          <w:tcPr>
            <w:tcW w:w="1170" w:type="dxa"/>
            <w:tcBorders>
              <w:top w:val="single" w:color="auto" w:sz="4" w:space="0"/>
              <w:left w:val="single" w:color="auto" w:sz="4" w:space="0"/>
              <w:bottom w:val="single" w:color="auto" w:sz="4" w:space="0"/>
              <w:right w:val="single" w:color="auto" w:sz="4" w:space="0"/>
            </w:tcBorders>
            <w:vAlign w:val="center"/>
          </w:tcPr>
          <w:p w14:paraId="0E4C7354">
            <w:pPr>
              <w:spacing w:line="360" w:lineRule="auto"/>
              <w:jc w:val="center"/>
              <w:rPr>
                <w:rFonts w:ascii="仿宋_GB2312" w:hAnsi="仿宋" w:eastAsia="仿宋_GB2312"/>
                <w:color w:val="auto"/>
                <w:sz w:val="30"/>
                <w:szCs w:val="30"/>
                <w:highlight w:val="none"/>
              </w:rPr>
            </w:pPr>
          </w:p>
        </w:tc>
      </w:tr>
      <w:tr w14:paraId="6B926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93"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2D64C397">
            <w:pPr>
              <w:spacing w:line="360" w:lineRule="auto"/>
              <w:jc w:val="center"/>
              <w:rPr>
                <w:rFonts w:ascii="仿宋_GB2312" w:hAnsi="仿宋" w:eastAsia="仿宋_GB2312"/>
                <w:color w:val="auto"/>
                <w:sz w:val="30"/>
                <w:szCs w:val="30"/>
                <w:highlight w:val="none"/>
              </w:rPr>
            </w:pPr>
          </w:p>
        </w:tc>
        <w:tc>
          <w:tcPr>
            <w:tcW w:w="1800" w:type="dxa"/>
            <w:tcBorders>
              <w:top w:val="single" w:color="auto" w:sz="4" w:space="0"/>
              <w:left w:val="single" w:color="auto" w:sz="4" w:space="0"/>
              <w:bottom w:val="single" w:color="auto" w:sz="4" w:space="0"/>
              <w:right w:val="single" w:color="auto" w:sz="4" w:space="0"/>
            </w:tcBorders>
            <w:vAlign w:val="center"/>
          </w:tcPr>
          <w:p w14:paraId="0DB0542C">
            <w:pPr>
              <w:spacing w:line="360" w:lineRule="auto"/>
              <w:jc w:val="center"/>
              <w:rPr>
                <w:rFonts w:ascii="仿宋_GB2312" w:hAnsi="仿宋" w:eastAsia="仿宋_GB2312"/>
                <w:color w:val="auto"/>
                <w:sz w:val="30"/>
                <w:szCs w:val="30"/>
                <w:highlight w:val="none"/>
              </w:rPr>
            </w:pPr>
          </w:p>
        </w:tc>
        <w:tc>
          <w:tcPr>
            <w:tcW w:w="2340" w:type="dxa"/>
            <w:tcBorders>
              <w:top w:val="single" w:color="auto" w:sz="4" w:space="0"/>
              <w:left w:val="single" w:color="auto" w:sz="4" w:space="0"/>
              <w:bottom w:val="single" w:color="auto" w:sz="4" w:space="0"/>
              <w:right w:val="single" w:color="auto" w:sz="4" w:space="0"/>
            </w:tcBorders>
            <w:vAlign w:val="center"/>
          </w:tcPr>
          <w:p w14:paraId="4099C712">
            <w:pPr>
              <w:spacing w:line="360" w:lineRule="auto"/>
              <w:jc w:val="center"/>
              <w:rPr>
                <w:rFonts w:ascii="仿宋_GB2312" w:hAnsi="仿宋" w:eastAsia="仿宋_GB2312"/>
                <w:color w:val="auto"/>
                <w:sz w:val="30"/>
                <w:szCs w:val="30"/>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6676C206">
            <w:pPr>
              <w:spacing w:line="360" w:lineRule="auto"/>
              <w:jc w:val="center"/>
              <w:rPr>
                <w:rFonts w:ascii="仿宋_GB2312" w:hAnsi="仿宋" w:eastAsia="仿宋_GB2312"/>
                <w:color w:val="auto"/>
                <w:sz w:val="30"/>
                <w:szCs w:val="30"/>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74FE3AC4">
            <w:pPr>
              <w:spacing w:line="360" w:lineRule="auto"/>
              <w:jc w:val="center"/>
              <w:rPr>
                <w:rFonts w:ascii="仿宋_GB2312" w:hAnsi="仿宋" w:eastAsia="仿宋_GB2312"/>
                <w:color w:val="auto"/>
                <w:sz w:val="30"/>
                <w:szCs w:val="30"/>
                <w:highlight w:val="none"/>
              </w:rPr>
            </w:pPr>
          </w:p>
        </w:tc>
        <w:tc>
          <w:tcPr>
            <w:tcW w:w="1080" w:type="dxa"/>
            <w:tcBorders>
              <w:top w:val="single" w:color="auto" w:sz="4" w:space="0"/>
              <w:left w:val="single" w:color="auto" w:sz="4" w:space="0"/>
              <w:bottom w:val="single" w:color="auto" w:sz="4" w:space="0"/>
              <w:right w:val="single" w:color="auto" w:sz="4" w:space="0"/>
            </w:tcBorders>
            <w:vAlign w:val="center"/>
          </w:tcPr>
          <w:p w14:paraId="58216232">
            <w:pPr>
              <w:spacing w:line="360" w:lineRule="auto"/>
              <w:jc w:val="center"/>
              <w:rPr>
                <w:rFonts w:ascii="仿宋_GB2312" w:hAnsi="仿宋" w:eastAsia="仿宋_GB2312"/>
                <w:color w:val="auto"/>
                <w:sz w:val="30"/>
                <w:szCs w:val="30"/>
                <w:highlight w:val="none"/>
              </w:rPr>
            </w:pPr>
          </w:p>
        </w:tc>
        <w:tc>
          <w:tcPr>
            <w:tcW w:w="1170" w:type="dxa"/>
            <w:tcBorders>
              <w:top w:val="single" w:color="auto" w:sz="4" w:space="0"/>
              <w:left w:val="single" w:color="auto" w:sz="4" w:space="0"/>
              <w:bottom w:val="single" w:color="auto" w:sz="4" w:space="0"/>
              <w:right w:val="single" w:color="auto" w:sz="4" w:space="0"/>
            </w:tcBorders>
            <w:vAlign w:val="center"/>
          </w:tcPr>
          <w:p w14:paraId="13C0EEB6">
            <w:pPr>
              <w:spacing w:line="360" w:lineRule="auto"/>
              <w:jc w:val="center"/>
              <w:rPr>
                <w:rFonts w:ascii="仿宋_GB2312" w:hAnsi="仿宋" w:eastAsia="仿宋_GB2312"/>
                <w:color w:val="auto"/>
                <w:sz w:val="30"/>
                <w:szCs w:val="30"/>
                <w:highlight w:val="none"/>
              </w:rPr>
            </w:pPr>
          </w:p>
        </w:tc>
      </w:tr>
      <w:tr w14:paraId="541DB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93" w:hRule="atLeast"/>
          <w:jc w:val="center"/>
        </w:trPr>
        <w:tc>
          <w:tcPr>
            <w:tcW w:w="1008" w:type="dxa"/>
            <w:tcBorders>
              <w:top w:val="single" w:color="auto" w:sz="4" w:space="0"/>
              <w:left w:val="single" w:color="auto" w:sz="4" w:space="0"/>
              <w:bottom w:val="single" w:color="auto" w:sz="4" w:space="0"/>
              <w:right w:val="single" w:color="auto" w:sz="4" w:space="0"/>
            </w:tcBorders>
            <w:vAlign w:val="center"/>
          </w:tcPr>
          <w:p w14:paraId="6AA21978">
            <w:pPr>
              <w:spacing w:line="360" w:lineRule="auto"/>
              <w:jc w:val="center"/>
              <w:rPr>
                <w:rFonts w:ascii="仿宋_GB2312" w:hAnsi="仿宋" w:eastAsia="仿宋_GB2312"/>
                <w:color w:val="auto"/>
                <w:sz w:val="30"/>
                <w:szCs w:val="30"/>
                <w:highlight w:val="none"/>
              </w:rPr>
            </w:pPr>
          </w:p>
        </w:tc>
        <w:tc>
          <w:tcPr>
            <w:tcW w:w="1800" w:type="dxa"/>
            <w:tcBorders>
              <w:top w:val="single" w:color="auto" w:sz="4" w:space="0"/>
              <w:left w:val="single" w:color="auto" w:sz="4" w:space="0"/>
              <w:bottom w:val="single" w:color="auto" w:sz="4" w:space="0"/>
              <w:right w:val="single" w:color="auto" w:sz="4" w:space="0"/>
            </w:tcBorders>
            <w:vAlign w:val="center"/>
          </w:tcPr>
          <w:p w14:paraId="67B7F4C5">
            <w:pPr>
              <w:spacing w:line="360" w:lineRule="auto"/>
              <w:jc w:val="center"/>
              <w:rPr>
                <w:rFonts w:ascii="仿宋_GB2312" w:hAnsi="仿宋" w:eastAsia="仿宋_GB2312"/>
                <w:color w:val="auto"/>
                <w:sz w:val="30"/>
                <w:szCs w:val="30"/>
                <w:highlight w:val="none"/>
              </w:rPr>
            </w:pPr>
          </w:p>
        </w:tc>
        <w:tc>
          <w:tcPr>
            <w:tcW w:w="2340" w:type="dxa"/>
            <w:tcBorders>
              <w:top w:val="single" w:color="auto" w:sz="4" w:space="0"/>
              <w:left w:val="single" w:color="auto" w:sz="4" w:space="0"/>
              <w:bottom w:val="single" w:color="auto" w:sz="4" w:space="0"/>
              <w:right w:val="single" w:color="auto" w:sz="4" w:space="0"/>
            </w:tcBorders>
            <w:vAlign w:val="center"/>
          </w:tcPr>
          <w:p w14:paraId="17362427">
            <w:pPr>
              <w:spacing w:line="360" w:lineRule="auto"/>
              <w:jc w:val="center"/>
              <w:rPr>
                <w:rFonts w:ascii="仿宋_GB2312" w:hAnsi="仿宋" w:eastAsia="仿宋_GB2312"/>
                <w:color w:val="auto"/>
                <w:sz w:val="30"/>
                <w:szCs w:val="30"/>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1315A5F1">
            <w:pPr>
              <w:spacing w:line="360" w:lineRule="auto"/>
              <w:jc w:val="center"/>
              <w:rPr>
                <w:rFonts w:ascii="仿宋_GB2312" w:hAnsi="仿宋" w:eastAsia="仿宋_GB2312"/>
                <w:color w:val="auto"/>
                <w:sz w:val="30"/>
                <w:szCs w:val="30"/>
                <w:highlight w:val="none"/>
              </w:rPr>
            </w:pPr>
          </w:p>
        </w:tc>
        <w:tc>
          <w:tcPr>
            <w:tcW w:w="1260" w:type="dxa"/>
            <w:tcBorders>
              <w:top w:val="single" w:color="auto" w:sz="4" w:space="0"/>
              <w:left w:val="single" w:color="auto" w:sz="4" w:space="0"/>
              <w:bottom w:val="single" w:color="auto" w:sz="4" w:space="0"/>
              <w:right w:val="single" w:color="auto" w:sz="4" w:space="0"/>
            </w:tcBorders>
            <w:vAlign w:val="center"/>
          </w:tcPr>
          <w:p w14:paraId="408BC3C0">
            <w:pPr>
              <w:spacing w:line="360" w:lineRule="auto"/>
              <w:jc w:val="center"/>
              <w:rPr>
                <w:rFonts w:ascii="仿宋_GB2312" w:hAnsi="仿宋" w:eastAsia="仿宋_GB2312"/>
                <w:color w:val="auto"/>
                <w:sz w:val="30"/>
                <w:szCs w:val="30"/>
                <w:highlight w:val="none"/>
              </w:rPr>
            </w:pPr>
          </w:p>
        </w:tc>
        <w:tc>
          <w:tcPr>
            <w:tcW w:w="1080" w:type="dxa"/>
            <w:tcBorders>
              <w:top w:val="single" w:color="auto" w:sz="4" w:space="0"/>
              <w:left w:val="single" w:color="auto" w:sz="4" w:space="0"/>
              <w:bottom w:val="single" w:color="auto" w:sz="4" w:space="0"/>
              <w:right w:val="single" w:color="auto" w:sz="4" w:space="0"/>
            </w:tcBorders>
            <w:vAlign w:val="center"/>
          </w:tcPr>
          <w:p w14:paraId="4CE1753D">
            <w:pPr>
              <w:spacing w:line="360" w:lineRule="auto"/>
              <w:jc w:val="center"/>
              <w:rPr>
                <w:rFonts w:ascii="仿宋_GB2312" w:hAnsi="仿宋" w:eastAsia="仿宋_GB2312"/>
                <w:color w:val="auto"/>
                <w:sz w:val="30"/>
                <w:szCs w:val="30"/>
                <w:highlight w:val="none"/>
              </w:rPr>
            </w:pPr>
          </w:p>
        </w:tc>
        <w:tc>
          <w:tcPr>
            <w:tcW w:w="1170" w:type="dxa"/>
            <w:tcBorders>
              <w:top w:val="single" w:color="auto" w:sz="4" w:space="0"/>
              <w:left w:val="single" w:color="auto" w:sz="4" w:space="0"/>
              <w:bottom w:val="single" w:color="auto" w:sz="4" w:space="0"/>
              <w:right w:val="single" w:color="auto" w:sz="4" w:space="0"/>
            </w:tcBorders>
            <w:vAlign w:val="center"/>
          </w:tcPr>
          <w:p w14:paraId="005B92DC">
            <w:pPr>
              <w:spacing w:line="360" w:lineRule="auto"/>
              <w:jc w:val="center"/>
              <w:rPr>
                <w:rFonts w:ascii="仿宋_GB2312" w:hAnsi="仿宋" w:eastAsia="仿宋_GB2312"/>
                <w:color w:val="auto"/>
                <w:sz w:val="30"/>
                <w:szCs w:val="30"/>
                <w:highlight w:val="none"/>
              </w:rPr>
            </w:pPr>
          </w:p>
        </w:tc>
      </w:tr>
    </w:tbl>
    <w:p w14:paraId="1251E0E7">
      <w:pPr>
        <w:spacing w:line="360" w:lineRule="exact"/>
        <w:rPr>
          <w:rFonts w:ascii="仿宋_GB2312" w:hAnsi="仿宋" w:eastAsia="仿宋_GB2312"/>
          <w:color w:val="auto"/>
          <w:sz w:val="28"/>
          <w:highlight w:val="none"/>
        </w:rPr>
      </w:pPr>
    </w:p>
    <w:p w14:paraId="6A2DCAB8">
      <w:pPr>
        <w:spacing w:line="360" w:lineRule="exact"/>
        <w:rPr>
          <w:rFonts w:ascii="仿宋_GB2312" w:hAnsi="仿宋" w:eastAsia="仿宋_GB2312"/>
          <w:color w:val="auto"/>
          <w:sz w:val="28"/>
          <w:highlight w:val="none"/>
        </w:rPr>
      </w:pPr>
    </w:p>
    <w:p w14:paraId="79C6D5A6">
      <w:pPr>
        <w:wordWrap w:val="0"/>
        <w:spacing w:line="520" w:lineRule="exact"/>
        <w:jc w:val="righ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报价供应商(盖章):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p w14:paraId="5BFF3538">
      <w:pPr>
        <w:wordWrap w:val="0"/>
        <w:spacing w:line="440" w:lineRule="exact"/>
        <w:jc w:val="right"/>
        <w:rPr>
          <w:rFonts w:ascii="仿宋_GB2312" w:hAnsi="宋体" w:eastAsia="仿宋_GB2312"/>
          <w:b/>
          <w:color w:val="auto"/>
          <w:sz w:val="28"/>
          <w:szCs w:val="28"/>
          <w:highlight w:val="none"/>
        </w:rPr>
      </w:pPr>
      <w:r>
        <w:rPr>
          <w:rFonts w:hint="eastAsia" w:ascii="仿宋_GB2312" w:hAnsi="仿宋" w:eastAsia="仿宋_GB2312"/>
          <w:color w:val="auto"/>
          <w:sz w:val="30"/>
          <w:szCs w:val="30"/>
          <w:highlight w:val="none"/>
        </w:rPr>
        <w:t xml:space="preserve">法定代表人（依法登记的负责人）或授权代表（签字或签章）：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p w14:paraId="68A97F2E">
      <w:pPr>
        <w:jc w:val="center"/>
        <w:rPr>
          <w:rFonts w:ascii="黑体" w:hAnsi="黑体" w:eastAsia="黑体"/>
          <w:color w:val="auto"/>
          <w:sz w:val="44"/>
          <w:szCs w:val="44"/>
          <w:highlight w:val="none"/>
        </w:rPr>
      </w:pPr>
      <w:r>
        <w:rPr>
          <w:rFonts w:ascii="仿宋_GB2312" w:hAnsi="仿宋" w:eastAsia="仿宋_GB2312"/>
          <w:b/>
          <w:bCs/>
          <w:color w:val="auto"/>
          <w:sz w:val="30"/>
          <w:szCs w:val="30"/>
          <w:highlight w:val="none"/>
        </w:rPr>
        <w:br w:type="page"/>
      </w:r>
    </w:p>
    <w:p w14:paraId="7BEB6A35">
      <w:pPr>
        <w:jc w:val="center"/>
        <w:rPr>
          <w:rFonts w:ascii="Arial" w:hAnsi="Arial" w:eastAsia="黑体"/>
          <w:bCs/>
          <w:color w:val="auto"/>
          <w:sz w:val="44"/>
          <w:szCs w:val="32"/>
          <w:highlight w:val="none"/>
        </w:rPr>
      </w:pPr>
      <w:r>
        <w:rPr>
          <w:rFonts w:hint="eastAsia" w:ascii="黑体" w:hAnsi="黑体" w:eastAsia="黑体"/>
          <w:color w:val="auto"/>
          <w:sz w:val="44"/>
          <w:szCs w:val="44"/>
          <w:highlight w:val="none"/>
        </w:rPr>
        <w:t>技术文件</w:t>
      </w:r>
    </w:p>
    <w:p w14:paraId="115675B5">
      <w:pPr>
        <w:widowControl/>
        <w:jc w:val="center"/>
        <w:rPr>
          <w:rFonts w:ascii="仿宋_GB2312" w:hAnsi="仿宋" w:eastAsia="仿宋_GB2312"/>
          <w:color w:val="auto"/>
          <w:sz w:val="30"/>
          <w:szCs w:val="30"/>
          <w:highlight w:val="none"/>
        </w:rPr>
      </w:pPr>
    </w:p>
    <w:p w14:paraId="3CEE5D5F">
      <w:pPr>
        <w:widowControl/>
        <w:jc w:val="center"/>
        <w:rPr>
          <w:rFonts w:ascii="黑体" w:hAnsi="黑体" w:eastAsia="黑体"/>
          <w:color w:val="auto"/>
          <w:sz w:val="32"/>
          <w:szCs w:val="32"/>
          <w:highlight w:val="none"/>
        </w:rPr>
      </w:pPr>
      <w:r>
        <w:rPr>
          <w:rFonts w:ascii="仿宋_GB2312" w:hAnsi="仿宋" w:eastAsia="仿宋_GB2312"/>
          <w:color w:val="auto"/>
          <w:sz w:val="30"/>
          <w:szCs w:val="30"/>
          <w:highlight w:val="none"/>
        </w:rPr>
        <w:br w:type="page"/>
      </w:r>
      <w:r>
        <w:rPr>
          <w:rFonts w:hint="eastAsia" w:ascii="黑体" w:hAnsi="黑体" w:eastAsia="黑体"/>
          <w:color w:val="auto"/>
          <w:sz w:val="32"/>
          <w:szCs w:val="32"/>
          <w:highlight w:val="none"/>
        </w:rPr>
        <w:t>技术服务、培训和售后服务内容及承诺书</w:t>
      </w:r>
    </w:p>
    <w:p w14:paraId="1F80DD54">
      <w:pPr>
        <w:rPr>
          <w:rFonts w:ascii="仿宋" w:hAnsi="仿宋" w:eastAsia="仿宋"/>
          <w:color w:val="auto"/>
          <w:highlight w:val="none"/>
        </w:rPr>
      </w:pPr>
    </w:p>
    <w:tbl>
      <w:tblPr>
        <w:tblStyle w:val="34"/>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8820"/>
      </w:tblGrid>
      <w:tr w14:paraId="18517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134" w:hRule="atLeast"/>
          <w:jc w:val="center"/>
        </w:trPr>
        <w:tc>
          <w:tcPr>
            <w:tcW w:w="8820" w:type="dxa"/>
            <w:tcBorders>
              <w:top w:val="single" w:color="auto" w:sz="4" w:space="0"/>
              <w:left w:val="single" w:color="auto" w:sz="4" w:space="0"/>
              <w:bottom w:val="single" w:color="auto" w:sz="4" w:space="0"/>
              <w:right w:val="single" w:color="auto" w:sz="4" w:space="0"/>
            </w:tcBorders>
          </w:tcPr>
          <w:p w14:paraId="2DB7B4DC">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技术、培训和售后服务承诺：</w:t>
            </w:r>
          </w:p>
          <w:p w14:paraId="7BA2317D">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tc>
      </w:tr>
      <w:tr w14:paraId="39E98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963" w:hRule="atLeast"/>
          <w:jc w:val="center"/>
        </w:trPr>
        <w:tc>
          <w:tcPr>
            <w:tcW w:w="8820" w:type="dxa"/>
            <w:tcBorders>
              <w:top w:val="single" w:color="auto" w:sz="4" w:space="0"/>
              <w:left w:val="single" w:color="auto" w:sz="4" w:space="0"/>
              <w:bottom w:val="single" w:color="auto" w:sz="4" w:space="0"/>
              <w:right w:val="single" w:color="auto" w:sz="4" w:space="0"/>
            </w:tcBorders>
          </w:tcPr>
          <w:p w14:paraId="07B1264A">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售后服务承诺至少包含下列内容</w:t>
            </w:r>
          </w:p>
          <w:p w14:paraId="3216A4B9">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响应时间：</w:t>
            </w:r>
          </w:p>
          <w:p w14:paraId="29BA1DC2">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到达现场时间：</w:t>
            </w:r>
          </w:p>
          <w:p w14:paraId="64145911">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完成修复时间：</w:t>
            </w:r>
          </w:p>
          <w:p w14:paraId="7BA9C6DA">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不能修复的保证措施：</w:t>
            </w:r>
          </w:p>
          <w:p w14:paraId="3B3E85B1">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质保期内措施：</w:t>
            </w:r>
          </w:p>
          <w:p w14:paraId="689BB1BD">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质保期外措施：</w:t>
            </w:r>
          </w:p>
          <w:p w14:paraId="37FE82B7">
            <w:pPr>
              <w:tabs>
                <w:tab w:val="left" w:pos="1005"/>
              </w:tabs>
              <w:spacing w:line="440" w:lineRule="exac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w:t>
            </w:r>
          </w:p>
        </w:tc>
      </w:tr>
    </w:tbl>
    <w:p w14:paraId="4EAA52ED">
      <w:pPr>
        <w:ind w:firstLine="4200" w:firstLineChars="1400"/>
        <w:rPr>
          <w:rFonts w:ascii="仿宋" w:hAnsi="仿宋" w:eastAsia="仿宋"/>
          <w:color w:val="auto"/>
          <w:sz w:val="30"/>
          <w:szCs w:val="30"/>
          <w:highlight w:val="none"/>
        </w:rPr>
      </w:pPr>
    </w:p>
    <w:p w14:paraId="773C240A">
      <w:pPr>
        <w:wordWrap w:val="0"/>
        <w:spacing w:line="520" w:lineRule="exact"/>
        <w:ind w:firstLine="4050" w:firstLineChars="1350"/>
        <w:jc w:val="right"/>
        <w:rPr>
          <w:rFonts w:ascii="仿宋" w:hAnsi="仿宋" w:eastAsia="仿宋"/>
          <w:color w:val="auto"/>
          <w:sz w:val="30"/>
          <w:szCs w:val="30"/>
          <w:highlight w:val="none"/>
        </w:rPr>
      </w:pPr>
      <w:r>
        <w:rPr>
          <w:rFonts w:hint="eastAsia" w:ascii="仿宋" w:hAnsi="仿宋" w:eastAsia="仿宋"/>
          <w:color w:val="auto"/>
          <w:sz w:val="30"/>
          <w:szCs w:val="30"/>
          <w:highlight w:val="none"/>
        </w:rPr>
        <w:t xml:space="preserve">供应商名称(盖章):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r>
        <w:rPr>
          <w:rFonts w:hint="eastAsia" w:ascii="仿宋" w:hAnsi="仿宋" w:eastAsia="仿宋"/>
          <w:color w:val="auto"/>
          <w:sz w:val="30"/>
          <w:szCs w:val="30"/>
          <w:highlight w:val="none"/>
        </w:rPr>
        <w:t xml:space="preserve">   </w:t>
      </w:r>
    </w:p>
    <w:p w14:paraId="593F7A95">
      <w:pPr>
        <w:wordWrap w:val="0"/>
        <w:spacing w:line="560" w:lineRule="exact"/>
        <w:ind w:firstLine="600" w:firstLineChars="200"/>
        <w:jc w:val="right"/>
        <w:rPr>
          <w:rFonts w:ascii="仿宋_GB2312" w:hAnsi="宋体" w:eastAsia="仿宋_GB2312" w:cs="宋体"/>
          <w:color w:val="auto"/>
          <w:sz w:val="28"/>
          <w:szCs w:val="28"/>
          <w:highlight w:val="none"/>
        </w:rPr>
      </w:pPr>
      <w:r>
        <w:rPr>
          <w:rFonts w:hint="eastAsia" w:ascii="仿宋" w:hAnsi="仿宋" w:eastAsia="仿宋"/>
          <w:color w:val="auto"/>
          <w:sz w:val="30"/>
          <w:szCs w:val="30"/>
          <w:highlight w:val="none"/>
        </w:rPr>
        <w:t xml:space="preserve">法定代表人（依法登记的负责人）或授权代表（签字或签章）： </w:t>
      </w:r>
      <w:r>
        <w:rPr>
          <w:rFonts w:hint="eastAsia" w:ascii="仿宋_GB2312" w:hAnsi="仿宋" w:eastAsia="仿宋_GB2312"/>
          <w:color w:val="auto"/>
          <w:sz w:val="30"/>
          <w:szCs w:val="30"/>
          <w:highlight w:val="none"/>
        </w:rPr>
        <w:t xml:space="preserve">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r>
        <w:rPr>
          <w:rFonts w:hint="eastAsia" w:ascii="仿宋" w:hAnsi="仿宋" w:eastAsia="仿宋"/>
          <w:color w:val="auto"/>
          <w:sz w:val="30"/>
          <w:szCs w:val="30"/>
          <w:highlight w:val="none"/>
        </w:rPr>
        <w:t xml:space="preserve">   </w:t>
      </w:r>
    </w:p>
    <w:p w14:paraId="734E9625">
      <w:pPr>
        <w:jc w:val="right"/>
        <w:rPr>
          <w:rFonts w:ascii="仿宋_GB2312" w:hAnsi="宋体" w:eastAsia="仿宋_GB2312"/>
          <w:color w:val="auto"/>
          <w:sz w:val="22"/>
          <w:szCs w:val="28"/>
          <w:highlight w:val="none"/>
        </w:rPr>
      </w:pPr>
      <w:r>
        <w:rPr>
          <w:rFonts w:ascii="仿宋_GB2312" w:hAnsi="宋体" w:eastAsia="仿宋_GB2312" w:cs="宋体"/>
          <w:bCs/>
          <w:color w:val="auto"/>
          <w:sz w:val="28"/>
          <w:szCs w:val="28"/>
          <w:highlight w:val="none"/>
        </w:rPr>
        <w:br w:type="page"/>
      </w:r>
    </w:p>
    <w:p w14:paraId="04D50299">
      <w:pPr>
        <w:jc w:val="right"/>
        <w:rPr>
          <w:rFonts w:ascii="仿宋_GB2312" w:hAnsi="Times New Roman" w:eastAsia="仿宋_GB2312" w:cs="Times New Roman"/>
          <w:color w:val="auto"/>
          <w:sz w:val="24"/>
          <w:highlight w:val="none"/>
        </w:rPr>
      </w:pPr>
      <w:r>
        <w:rPr>
          <w:rFonts w:hint="eastAsia" w:ascii="仿宋_GB2312" w:hAnsi="Times New Roman" w:eastAsia="仿宋_GB2312" w:cs="Times New Roman"/>
          <w:color w:val="auto"/>
          <w:sz w:val="24"/>
          <w:highlight w:val="none"/>
        </w:rPr>
        <w:t>如中标（成交），随中标（成交）公告公示</w:t>
      </w:r>
    </w:p>
    <w:p w14:paraId="7AD15F8D">
      <w:pPr>
        <w:keepNext/>
        <w:keepLines/>
        <w:widowControl w:val="0"/>
        <w:spacing w:before="340" w:after="330" w:line="578" w:lineRule="auto"/>
        <w:jc w:val="center"/>
        <w:outlineLvl w:val="0"/>
        <w:rPr>
          <w:rFonts w:ascii="Times New Roman" w:hAnsi="Times New Roman" w:eastAsia="宋体" w:cs="Times New Roman"/>
          <w:b/>
          <w:bCs/>
          <w:color w:val="auto"/>
          <w:kern w:val="44"/>
          <w:sz w:val="44"/>
          <w:szCs w:val="44"/>
          <w:highlight w:val="none"/>
          <w:lang w:val="en-US" w:eastAsia="zh-CN" w:bidi="ar-SA"/>
        </w:rPr>
      </w:pPr>
      <w:bookmarkStart w:id="0" w:name="_Toc193291800"/>
      <w:r>
        <w:rPr>
          <w:rFonts w:hint="eastAsia" w:ascii="Times New Roman" w:hAnsi="Times New Roman" w:eastAsia="宋体" w:cs="Times New Roman"/>
          <w:b/>
          <w:bCs/>
          <w:color w:val="auto"/>
          <w:kern w:val="44"/>
          <w:sz w:val="44"/>
          <w:szCs w:val="44"/>
          <w:highlight w:val="none"/>
          <w:lang w:val="en-US" w:eastAsia="zh-CN" w:bidi="ar-SA"/>
        </w:rPr>
        <w:t>国内同类项目业绩表</w:t>
      </w:r>
      <w:bookmarkEnd w:id="0"/>
    </w:p>
    <w:tbl>
      <w:tblPr>
        <w:tblStyle w:val="34"/>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1244"/>
        <w:gridCol w:w="1985"/>
        <w:gridCol w:w="1374"/>
        <w:gridCol w:w="1417"/>
        <w:gridCol w:w="1276"/>
        <w:gridCol w:w="1210"/>
      </w:tblGrid>
      <w:tr w14:paraId="75B02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D4B985C">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序号</w:t>
            </w:r>
          </w:p>
        </w:tc>
        <w:tc>
          <w:tcPr>
            <w:tcW w:w="1244" w:type="dxa"/>
            <w:vAlign w:val="center"/>
          </w:tcPr>
          <w:p w14:paraId="6820F03D">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用户名称</w:t>
            </w:r>
          </w:p>
        </w:tc>
        <w:tc>
          <w:tcPr>
            <w:tcW w:w="1985" w:type="dxa"/>
            <w:vAlign w:val="center"/>
          </w:tcPr>
          <w:p w14:paraId="52AD46CD">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项目名称</w:t>
            </w:r>
          </w:p>
        </w:tc>
        <w:tc>
          <w:tcPr>
            <w:tcW w:w="1374" w:type="dxa"/>
            <w:vAlign w:val="center"/>
          </w:tcPr>
          <w:p w14:paraId="5C81FCDD">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合同额</w:t>
            </w:r>
          </w:p>
        </w:tc>
        <w:tc>
          <w:tcPr>
            <w:tcW w:w="1417" w:type="dxa"/>
            <w:vAlign w:val="center"/>
          </w:tcPr>
          <w:p w14:paraId="01CE94B0">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签订时间</w:t>
            </w:r>
          </w:p>
        </w:tc>
        <w:tc>
          <w:tcPr>
            <w:tcW w:w="1276" w:type="dxa"/>
            <w:vAlign w:val="center"/>
          </w:tcPr>
          <w:p w14:paraId="6D2AD4B7">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电话/联系人</w:t>
            </w:r>
          </w:p>
        </w:tc>
        <w:tc>
          <w:tcPr>
            <w:tcW w:w="1210" w:type="dxa"/>
            <w:vAlign w:val="center"/>
          </w:tcPr>
          <w:p w14:paraId="1F2F53D7">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备注</w:t>
            </w:r>
          </w:p>
        </w:tc>
      </w:tr>
      <w:tr w14:paraId="7BBCE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66518B">
            <w:pPr>
              <w:rPr>
                <w:rFonts w:ascii="仿宋_GB2312" w:hAnsi="Times New Roman" w:eastAsia="仿宋_GB2312" w:cs="Times New Roman"/>
                <w:color w:val="auto"/>
                <w:sz w:val="30"/>
                <w:szCs w:val="30"/>
                <w:highlight w:val="none"/>
              </w:rPr>
            </w:pPr>
          </w:p>
        </w:tc>
        <w:tc>
          <w:tcPr>
            <w:tcW w:w="1244" w:type="dxa"/>
            <w:vAlign w:val="center"/>
          </w:tcPr>
          <w:p w14:paraId="4D52EF47">
            <w:pPr>
              <w:rPr>
                <w:rFonts w:ascii="仿宋_GB2312" w:hAnsi="Times New Roman" w:eastAsia="仿宋_GB2312" w:cs="Times New Roman"/>
                <w:color w:val="auto"/>
                <w:sz w:val="30"/>
                <w:szCs w:val="30"/>
                <w:highlight w:val="none"/>
              </w:rPr>
            </w:pPr>
          </w:p>
        </w:tc>
        <w:tc>
          <w:tcPr>
            <w:tcW w:w="1985" w:type="dxa"/>
            <w:vAlign w:val="center"/>
          </w:tcPr>
          <w:p w14:paraId="01B24FF7">
            <w:pPr>
              <w:rPr>
                <w:rFonts w:ascii="仿宋_GB2312" w:hAnsi="Times New Roman" w:eastAsia="仿宋_GB2312" w:cs="Times New Roman"/>
                <w:color w:val="auto"/>
                <w:sz w:val="30"/>
                <w:szCs w:val="30"/>
                <w:highlight w:val="none"/>
              </w:rPr>
            </w:pPr>
          </w:p>
        </w:tc>
        <w:tc>
          <w:tcPr>
            <w:tcW w:w="1374" w:type="dxa"/>
            <w:vAlign w:val="center"/>
          </w:tcPr>
          <w:p w14:paraId="30B25527">
            <w:pPr>
              <w:rPr>
                <w:rFonts w:ascii="仿宋_GB2312" w:hAnsi="Times New Roman" w:eastAsia="仿宋_GB2312" w:cs="Times New Roman"/>
                <w:color w:val="auto"/>
                <w:sz w:val="30"/>
                <w:szCs w:val="30"/>
                <w:highlight w:val="none"/>
              </w:rPr>
            </w:pPr>
          </w:p>
        </w:tc>
        <w:tc>
          <w:tcPr>
            <w:tcW w:w="1417" w:type="dxa"/>
            <w:vAlign w:val="center"/>
          </w:tcPr>
          <w:p w14:paraId="44798945">
            <w:pPr>
              <w:rPr>
                <w:rFonts w:ascii="仿宋_GB2312" w:hAnsi="Times New Roman" w:eastAsia="仿宋_GB2312" w:cs="Times New Roman"/>
                <w:color w:val="auto"/>
                <w:sz w:val="30"/>
                <w:szCs w:val="30"/>
                <w:highlight w:val="none"/>
              </w:rPr>
            </w:pPr>
          </w:p>
        </w:tc>
        <w:tc>
          <w:tcPr>
            <w:tcW w:w="1276" w:type="dxa"/>
            <w:vAlign w:val="center"/>
          </w:tcPr>
          <w:p w14:paraId="0593ED38">
            <w:pPr>
              <w:rPr>
                <w:rFonts w:ascii="仿宋_GB2312" w:hAnsi="Times New Roman" w:eastAsia="仿宋_GB2312" w:cs="Times New Roman"/>
                <w:color w:val="auto"/>
                <w:sz w:val="30"/>
                <w:szCs w:val="30"/>
                <w:highlight w:val="none"/>
              </w:rPr>
            </w:pPr>
          </w:p>
        </w:tc>
        <w:tc>
          <w:tcPr>
            <w:tcW w:w="1210" w:type="dxa"/>
            <w:vAlign w:val="center"/>
          </w:tcPr>
          <w:p w14:paraId="170025F5">
            <w:pPr>
              <w:rPr>
                <w:rFonts w:ascii="仿宋_GB2312" w:hAnsi="Times New Roman" w:eastAsia="仿宋_GB2312" w:cs="Times New Roman"/>
                <w:color w:val="auto"/>
                <w:sz w:val="30"/>
                <w:szCs w:val="30"/>
                <w:highlight w:val="none"/>
              </w:rPr>
            </w:pPr>
          </w:p>
        </w:tc>
      </w:tr>
      <w:tr w14:paraId="32865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9D1F19D">
            <w:pPr>
              <w:rPr>
                <w:rFonts w:ascii="仿宋_GB2312" w:hAnsi="Times New Roman" w:eastAsia="仿宋_GB2312" w:cs="Times New Roman"/>
                <w:color w:val="auto"/>
                <w:sz w:val="30"/>
                <w:szCs w:val="30"/>
                <w:highlight w:val="none"/>
              </w:rPr>
            </w:pPr>
          </w:p>
        </w:tc>
        <w:tc>
          <w:tcPr>
            <w:tcW w:w="1244" w:type="dxa"/>
            <w:vAlign w:val="center"/>
          </w:tcPr>
          <w:p w14:paraId="262ED24D">
            <w:pPr>
              <w:rPr>
                <w:rFonts w:ascii="仿宋_GB2312" w:hAnsi="Times New Roman" w:eastAsia="仿宋_GB2312" w:cs="Times New Roman"/>
                <w:color w:val="auto"/>
                <w:sz w:val="30"/>
                <w:szCs w:val="30"/>
                <w:highlight w:val="none"/>
              </w:rPr>
            </w:pPr>
          </w:p>
        </w:tc>
        <w:tc>
          <w:tcPr>
            <w:tcW w:w="1985" w:type="dxa"/>
            <w:vAlign w:val="center"/>
          </w:tcPr>
          <w:p w14:paraId="6D46ABA3">
            <w:pPr>
              <w:rPr>
                <w:rFonts w:ascii="仿宋_GB2312" w:hAnsi="Times New Roman" w:eastAsia="仿宋_GB2312" w:cs="Times New Roman"/>
                <w:color w:val="auto"/>
                <w:sz w:val="30"/>
                <w:szCs w:val="30"/>
                <w:highlight w:val="none"/>
              </w:rPr>
            </w:pPr>
          </w:p>
        </w:tc>
        <w:tc>
          <w:tcPr>
            <w:tcW w:w="1374" w:type="dxa"/>
            <w:vAlign w:val="center"/>
          </w:tcPr>
          <w:p w14:paraId="4B3379FC">
            <w:pPr>
              <w:rPr>
                <w:rFonts w:ascii="仿宋_GB2312" w:hAnsi="Times New Roman" w:eastAsia="仿宋_GB2312" w:cs="Times New Roman"/>
                <w:color w:val="auto"/>
                <w:sz w:val="30"/>
                <w:szCs w:val="30"/>
                <w:highlight w:val="none"/>
              </w:rPr>
            </w:pPr>
          </w:p>
        </w:tc>
        <w:tc>
          <w:tcPr>
            <w:tcW w:w="1417" w:type="dxa"/>
            <w:vAlign w:val="center"/>
          </w:tcPr>
          <w:p w14:paraId="10DB966F">
            <w:pPr>
              <w:rPr>
                <w:rFonts w:ascii="仿宋_GB2312" w:hAnsi="Times New Roman" w:eastAsia="仿宋_GB2312" w:cs="Times New Roman"/>
                <w:color w:val="auto"/>
                <w:sz w:val="30"/>
                <w:szCs w:val="30"/>
                <w:highlight w:val="none"/>
              </w:rPr>
            </w:pPr>
          </w:p>
        </w:tc>
        <w:tc>
          <w:tcPr>
            <w:tcW w:w="1276" w:type="dxa"/>
            <w:vAlign w:val="center"/>
          </w:tcPr>
          <w:p w14:paraId="5326EAA7">
            <w:pPr>
              <w:rPr>
                <w:rFonts w:ascii="仿宋_GB2312" w:hAnsi="Times New Roman" w:eastAsia="仿宋_GB2312" w:cs="Times New Roman"/>
                <w:color w:val="auto"/>
                <w:sz w:val="30"/>
                <w:szCs w:val="30"/>
                <w:highlight w:val="none"/>
              </w:rPr>
            </w:pPr>
          </w:p>
        </w:tc>
        <w:tc>
          <w:tcPr>
            <w:tcW w:w="1210" w:type="dxa"/>
            <w:vAlign w:val="center"/>
          </w:tcPr>
          <w:p w14:paraId="1704E9B4">
            <w:pPr>
              <w:rPr>
                <w:rFonts w:ascii="仿宋_GB2312" w:hAnsi="Times New Roman" w:eastAsia="仿宋_GB2312" w:cs="Times New Roman"/>
                <w:color w:val="auto"/>
                <w:sz w:val="30"/>
                <w:szCs w:val="30"/>
                <w:highlight w:val="none"/>
              </w:rPr>
            </w:pPr>
          </w:p>
        </w:tc>
      </w:tr>
      <w:tr w14:paraId="5380C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74A1472">
            <w:pPr>
              <w:rPr>
                <w:rFonts w:ascii="仿宋_GB2312" w:hAnsi="Times New Roman" w:eastAsia="仿宋_GB2312" w:cs="Times New Roman"/>
                <w:color w:val="auto"/>
                <w:sz w:val="30"/>
                <w:szCs w:val="30"/>
                <w:highlight w:val="none"/>
              </w:rPr>
            </w:pPr>
          </w:p>
        </w:tc>
        <w:tc>
          <w:tcPr>
            <w:tcW w:w="1244" w:type="dxa"/>
            <w:vAlign w:val="center"/>
          </w:tcPr>
          <w:p w14:paraId="1FFF4B9B">
            <w:pPr>
              <w:rPr>
                <w:rFonts w:ascii="仿宋_GB2312" w:hAnsi="Times New Roman" w:eastAsia="仿宋_GB2312" w:cs="Times New Roman"/>
                <w:color w:val="auto"/>
                <w:sz w:val="30"/>
                <w:szCs w:val="30"/>
                <w:highlight w:val="none"/>
              </w:rPr>
            </w:pPr>
          </w:p>
        </w:tc>
        <w:tc>
          <w:tcPr>
            <w:tcW w:w="1985" w:type="dxa"/>
            <w:vAlign w:val="center"/>
          </w:tcPr>
          <w:p w14:paraId="20044C42">
            <w:pPr>
              <w:rPr>
                <w:rFonts w:ascii="仿宋_GB2312" w:hAnsi="Times New Roman" w:eastAsia="仿宋_GB2312" w:cs="Times New Roman"/>
                <w:color w:val="auto"/>
                <w:sz w:val="30"/>
                <w:szCs w:val="30"/>
                <w:highlight w:val="none"/>
              </w:rPr>
            </w:pPr>
          </w:p>
        </w:tc>
        <w:tc>
          <w:tcPr>
            <w:tcW w:w="1374" w:type="dxa"/>
            <w:vAlign w:val="center"/>
          </w:tcPr>
          <w:p w14:paraId="5FEE365F">
            <w:pPr>
              <w:rPr>
                <w:rFonts w:ascii="仿宋_GB2312" w:hAnsi="Times New Roman" w:eastAsia="仿宋_GB2312" w:cs="Times New Roman"/>
                <w:color w:val="auto"/>
                <w:sz w:val="30"/>
                <w:szCs w:val="30"/>
                <w:highlight w:val="none"/>
              </w:rPr>
            </w:pPr>
          </w:p>
        </w:tc>
        <w:tc>
          <w:tcPr>
            <w:tcW w:w="1417" w:type="dxa"/>
            <w:vAlign w:val="center"/>
          </w:tcPr>
          <w:p w14:paraId="50A8D5C5">
            <w:pPr>
              <w:rPr>
                <w:rFonts w:ascii="仿宋_GB2312" w:hAnsi="Times New Roman" w:eastAsia="仿宋_GB2312" w:cs="Times New Roman"/>
                <w:color w:val="auto"/>
                <w:sz w:val="30"/>
                <w:szCs w:val="30"/>
                <w:highlight w:val="none"/>
              </w:rPr>
            </w:pPr>
          </w:p>
        </w:tc>
        <w:tc>
          <w:tcPr>
            <w:tcW w:w="1276" w:type="dxa"/>
            <w:vAlign w:val="center"/>
          </w:tcPr>
          <w:p w14:paraId="781DB8AF">
            <w:pPr>
              <w:rPr>
                <w:rFonts w:ascii="仿宋_GB2312" w:hAnsi="Times New Roman" w:eastAsia="仿宋_GB2312" w:cs="Times New Roman"/>
                <w:color w:val="auto"/>
                <w:sz w:val="30"/>
                <w:szCs w:val="30"/>
                <w:highlight w:val="none"/>
              </w:rPr>
            </w:pPr>
          </w:p>
        </w:tc>
        <w:tc>
          <w:tcPr>
            <w:tcW w:w="1210" w:type="dxa"/>
            <w:vAlign w:val="center"/>
          </w:tcPr>
          <w:p w14:paraId="274314C7">
            <w:pPr>
              <w:rPr>
                <w:rFonts w:ascii="仿宋_GB2312" w:hAnsi="Times New Roman" w:eastAsia="仿宋_GB2312" w:cs="Times New Roman"/>
                <w:color w:val="auto"/>
                <w:sz w:val="30"/>
                <w:szCs w:val="30"/>
                <w:highlight w:val="none"/>
              </w:rPr>
            </w:pPr>
          </w:p>
        </w:tc>
      </w:tr>
      <w:tr w14:paraId="4A3A5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F19D89F">
            <w:pPr>
              <w:rPr>
                <w:rFonts w:ascii="仿宋_GB2312" w:hAnsi="Times New Roman" w:eastAsia="仿宋_GB2312" w:cs="Times New Roman"/>
                <w:color w:val="auto"/>
                <w:sz w:val="30"/>
                <w:szCs w:val="30"/>
                <w:highlight w:val="none"/>
              </w:rPr>
            </w:pPr>
          </w:p>
        </w:tc>
        <w:tc>
          <w:tcPr>
            <w:tcW w:w="1244" w:type="dxa"/>
            <w:vAlign w:val="center"/>
          </w:tcPr>
          <w:p w14:paraId="6D97FE7C">
            <w:pPr>
              <w:rPr>
                <w:rFonts w:ascii="仿宋_GB2312" w:hAnsi="Times New Roman" w:eastAsia="仿宋_GB2312" w:cs="Times New Roman"/>
                <w:color w:val="auto"/>
                <w:sz w:val="30"/>
                <w:szCs w:val="30"/>
                <w:highlight w:val="none"/>
              </w:rPr>
            </w:pPr>
          </w:p>
        </w:tc>
        <w:tc>
          <w:tcPr>
            <w:tcW w:w="1985" w:type="dxa"/>
            <w:vAlign w:val="center"/>
          </w:tcPr>
          <w:p w14:paraId="7B0ADA1F">
            <w:pPr>
              <w:rPr>
                <w:rFonts w:ascii="仿宋_GB2312" w:hAnsi="Times New Roman" w:eastAsia="仿宋_GB2312" w:cs="Times New Roman"/>
                <w:color w:val="auto"/>
                <w:sz w:val="30"/>
                <w:szCs w:val="30"/>
                <w:highlight w:val="none"/>
              </w:rPr>
            </w:pPr>
          </w:p>
        </w:tc>
        <w:tc>
          <w:tcPr>
            <w:tcW w:w="1374" w:type="dxa"/>
            <w:vAlign w:val="center"/>
          </w:tcPr>
          <w:p w14:paraId="6A5ED9DC">
            <w:pPr>
              <w:rPr>
                <w:rFonts w:ascii="仿宋_GB2312" w:hAnsi="Times New Roman" w:eastAsia="仿宋_GB2312" w:cs="Times New Roman"/>
                <w:color w:val="auto"/>
                <w:sz w:val="30"/>
                <w:szCs w:val="30"/>
                <w:highlight w:val="none"/>
              </w:rPr>
            </w:pPr>
          </w:p>
        </w:tc>
        <w:tc>
          <w:tcPr>
            <w:tcW w:w="1417" w:type="dxa"/>
            <w:vAlign w:val="center"/>
          </w:tcPr>
          <w:p w14:paraId="53D8BDD7">
            <w:pPr>
              <w:rPr>
                <w:rFonts w:ascii="仿宋_GB2312" w:hAnsi="Times New Roman" w:eastAsia="仿宋_GB2312" w:cs="Times New Roman"/>
                <w:color w:val="auto"/>
                <w:sz w:val="30"/>
                <w:szCs w:val="30"/>
                <w:highlight w:val="none"/>
              </w:rPr>
            </w:pPr>
          </w:p>
        </w:tc>
        <w:tc>
          <w:tcPr>
            <w:tcW w:w="1276" w:type="dxa"/>
            <w:vAlign w:val="center"/>
          </w:tcPr>
          <w:p w14:paraId="3CF7B0AE">
            <w:pPr>
              <w:rPr>
                <w:rFonts w:ascii="仿宋_GB2312" w:hAnsi="Times New Roman" w:eastAsia="仿宋_GB2312" w:cs="Times New Roman"/>
                <w:color w:val="auto"/>
                <w:sz w:val="30"/>
                <w:szCs w:val="30"/>
                <w:highlight w:val="none"/>
              </w:rPr>
            </w:pPr>
          </w:p>
        </w:tc>
        <w:tc>
          <w:tcPr>
            <w:tcW w:w="1210" w:type="dxa"/>
            <w:vAlign w:val="center"/>
          </w:tcPr>
          <w:p w14:paraId="0541D94F">
            <w:pPr>
              <w:rPr>
                <w:rFonts w:ascii="仿宋_GB2312" w:hAnsi="Times New Roman" w:eastAsia="仿宋_GB2312" w:cs="Times New Roman"/>
                <w:color w:val="auto"/>
                <w:sz w:val="30"/>
                <w:szCs w:val="30"/>
                <w:highlight w:val="none"/>
              </w:rPr>
            </w:pPr>
          </w:p>
        </w:tc>
      </w:tr>
      <w:tr w14:paraId="099FD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AB0068C">
            <w:pPr>
              <w:rPr>
                <w:rFonts w:ascii="仿宋_GB2312" w:hAnsi="Times New Roman" w:eastAsia="仿宋_GB2312" w:cs="Times New Roman"/>
                <w:color w:val="auto"/>
                <w:sz w:val="30"/>
                <w:szCs w:val="30"/>
                <w:highlight w:val="none"/>
              </w:rPr>
            </w:pPr>
          </w:p>
        </w:tc>
        <w:tc>
          <w:tcPr>
            <w:tcW w:w="1244" w:type="dxa"/>
            <w:vAlign w:val="center"/>
          </w:tcPr>
          <w:p w14:paraId="0DF80AB8">
            <w:pPr>
              <w:rPr>
                <w:rFonts w:ascii="仿宋_GB2312" w:hAnsi="Times New Roman" w:eastAsia="仿宋_GB2312" w:cs="Times New Roman"/>
                <w:color w:val="auto"/>
                <w:sz w:val="30"/>
                <w:szCs w:val="30"/>
                <w:highlight w:val="none"/>
              </w:rPr>
            </w:pPr>
          </w:p>
        </w:tc>
        <w:tc>
          <w:tcPr>
            <w:tcW w:w="1985" w:type="dxa"/>
            <w:vAlign w:val="center"/>
          </w:tcPr>
          <w:p w14:paraId="7FBFF0DC">
            <w:pPr>
              <w:rPr>
                <w:rFonts w:ascii="仿宋_GB2312" w:hAnsi="Times New Roman" w:eastAsia="仿宋_GB2312" w:cs="Times New Roman"/>
                <w:color w:val="auto"/>
                <w:sz w:val="30"/>
                <w:szCs w:val="30"/>
                <w:highlight w:val="none"/>
              </w:rPr>
            </w:pPr>
          </w:p>
        </w:tc>
        <w:tc>
          <w:tcPr>
            <w:tcW w:w="1374" w:type="dxa"/>
            <w:vAlign w:val="center"/>
          </w:tcPr>
          <w:p w14:paraId="018814B9">
            <w:pPr>
              <w:rPr>
                <w:rFonts w:ascii="仿宋_GB2312" w:hAnsi="Times New Roman" w:eastAsia="仿宋_GB2312" w:cs="Times New Roman"/>
                <w:color w:val="auto"/>
                <w:sz w:val="30"/>
                <w:szCs w:val="30"/>
                <w:highlight w:val="none"/>
              </w:rPr>
            </w:pPr>
          </w:p>
        </w:tc>
        <w:tc>
          <w:tcPr>
            <w:tcW w:w="1417" w:type="dxa"/>
            <w:vAlign w:val="center"/>
          </w:tcPr>
          <w:p w14:paraId="5C8FA6CA">
            <w:pPr>
              <w:rPr>
                <w:rFonts w:ascii="仿宋_GB2312" w:hAnsi="Times New Roman" w:eastAsia="仿宋_GB2312" w:cs="Times New Roman"/>
                <w:color w:val="auto"/>
                <w:sz w:val="30"/>
                <w:szCs w:val="30"/>
                <w:highlight w:val="none"/>
              </w:rPr>
            </w:pPr>
          </w:p>
        </w:tc>
        <w:tc>
          <w:tcPr>
            <w:tcW w:w="1276" w:type="dxa"/>
            <w:vAlign w:val="center"/>
          </w:tcPr>
          <w:p w14:paraId="0DFE8C52">
            <w:pPr>
              <w:rPr>
                <w:rFonts w:ascii="仿宋_GB2312" w:hAnsi="Times New Roman" w:eastAsia="仿宋_GB2312" w:cs="Times New Roman"/>
                <w:color w:val="auto"/>
                <w:sz w:val="30"/>
                <w:szCs w:val="30"/>
                <w:highlight w:val="none"/>
              </w:rPr>
            </w:pPr>
          </w:p>
        </w:tc>
        <w:tc>
          <w:tcPr>
            <w:tcW w:w="1210" w:type="dxa"/>
            <w:vAlign w:val="center"/>
          </w:tcPr>
          <w:p w14:paraId="7959EB2B">
            <w:pPr>
              <w:rPr>
                <w:rFonts w:ascii="仿宋_GB2312" w:hAnsi="Times New Roman" w:eastAsia="仿宋_GB2312" w:cs="Times New Roman"/>
                <w:color w:val="auto"/>
                <w:sz w:val="30"/>
                <w:szCs w:val="30"/>
                <w:highlight w:val="none"/>
              </w:rPr>
            </w:pPr>
          </w:p>
        </w:tc>
      </w:tr>
      <w:tr w14:paraId="7A2D5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4403335">
            <w:pPr>
              <w:rPr>
                <w:rFonts w:ascii="仿宋_GB2312" w:hAnsi="Times New Roman" w:eastAsia="仿宋_GB2312" w:cs="Times New Roman"/>
                <w:color w:val="auto"/>
                <w:sz w:val="30"/>
                <w:szCs w:val="30"/>
                <w:highlight w:val="none"/>
              </w:rPr>
            </w:pPr>
          </w:p>
        </w:tc>
        <w:tc>
          <w:tcPr>
            <w:tcW w:w="1244" w:type="dxa"/>
            <w:vAlign w:val="center"/>
          </w:tcPr>
          <w:p w14:paraId="3DF95A43">
            <w:pPr>
              <w:rPr>
                <w:rFonts w:ascii="仿宋_GB2312" w:hAnsi="Times New Roman" w:eastAsia="仿宋_GB2312" w:cs="Times New Roman"/>
                <w:color w:val="auto"/>
                <w:sz w:val="30"/>
                <w:szCs w:val="30"/>
                <w:highlight w:val="none"/>
              </w:rPr>
            </w:pPr>
          </w:p>
        </w:tc>
        <w:tc>
          <w:tcPr>
            <w:tcW w:w="1985" w:type="dxa"/>
            <w:vAlign w:val="center"/>
          </w:tcPr>
          <w:p w14:paraId="2208864C">
            <w:pPr>
              <w:rPr>
                <w:rFonts w:ascii="仿宋_GB2312" w:hAnsi="Times New Roman" w:eastAsia="仿宋_GB2312" w:cs="Times New Roman"/>
                <w:color w:val="auto"/>
                <w:sz w:val="30"/>
                <w:szCs w:val="30"/>
                <w:highlight w:val="none"/>
              </w:rPr>
            </w:pPr>
          </w:p>
        </w:tc>
        <w:tc>
          <w:tcPr>
            <w:tcW w:w="1374" w:type="dxa"/>
            <w:vAlign w:val="center"/>
          </w:tcPr>
          <w:p w14:paraId="3C14CFCD">
            <w:pPr>
              <w:rPr>
                <w:rFonts w:ascii="仿宋_GB2312" w:hAnsi="Times New Roman" w:eastAsia="仿宋_GB2312" w:cs="Times New Roman"/>
                <w:color w:val="auto"/>
                <w:sz w:val="30"/>
                <w:szCs w:val="30"/>
                <w:highlight w:val="none"/>
              </w:rPr>
            </w:pPr>
          </w:p>
        </w:tc>
        <w:tc>
          <w:tcPr>
            <w:tcW w:w="1417" w:type="dxa"/>
            <w:vAlign w:val="center"/>
          </w:tcPr>
          <w:p w14:paraId="0574BC2D">
            <w:pPr>
              <w:rPr>
                <w:rFonts w:ascii="仿宋_GB2312" w:hAnsi="Times New Roman" w:eastAsia="仿宋_GB2312" w:cs="Times New Roman"/>
                <w:color w:val="auto"/>
                <w:sz w:val="30"/>
                <w:szCs w:val="30"/>
                <w:highlight w:val="none"/>
              </w:rPr>
            </w:pPr>
          </w:p>
        </w:tc>
        <w:tc>
          <w:tcPr>
            <w:tcW w:w="1276" w:type="dxa"/>
            <w:vAlign w:val="center"/>
          </w:tcPr>
          <w:p w14:paraId="6A63AF83">
            <w:pPr>
              <w:rPr>
                <w:rFonts w:ascii="仿宋_GB2312" w:hAnsi="Times New Roman" w:eastAsia="仿宋_GB2312" w:cs="Times New Roman"/>
                <w:color w:val="auto"/>
                <w:sz w:val="30"/>
                <w:szCs w:val="30"/>
                <w:highlight w:val="none"/>
              </w:rPr>
            </w:pPr>
          </w:p>
        </w:tc>
        <w:tc>
          <w:tcPr>
            <w:tcW w:w="1210" w:type="dxa"/>
            <w:vAlign w:val="center"/>
          </w:tcPr>
          <w:p w14:paraId="0D511207">
            <w:pPr>
              <w:rPr>
                <w:rFonts w:ascii="仿宋_GB2312" w:hAnsi="Times New Roman" w:eastAsia="仿宋_GB2312" w:cs="Times New Roman"/>
                <w:color w:val="auto"/>
                <w:sz w:val="30"/>
                <w:szCs w:val="30"/>
                <w:highlight w:val="none"/>
              </w:rPr>
            </w:pPr>
          </w:p>
        </w:tc>
      </w:tr>
      <w:tr w14:paraId="4F559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65F1FE">
            <w:pPr>
              <w:rPr>
                <w:rFonts w:ascii="仿宋_GB2312" w:hAnsi="Times New Roman" w:eastAsia="仿宋_GB2312" w:cs="Times New Roman"/>
                <w:color w:val="auto"/>
                <w:sz w:val="30"/>
                <w:szCs w:val="30"/>
                <w:highlight w:val="none"/>
              </w:rPr>
            </w:pPr>
          </w:p>
        </w:tc>
        <w:tc>
          <w:tcPr>
            <w:tcW w:w="1244" w:type="dxa"/>
            <w:vAlign w:val="center"/>
          </w:tcPr>
          <w:p w14:paraId="17017D8F">
            <w:pPr>
              <w:rPr>
                <w:rFonts w:ascii="仿宋_GB2312" w:hAnsi="Times New Roman" w:eastAsia="仿宋_GB2312" w:cs="Times New Roman"/>
                <w:color w:val="auto"/>
                <w:sz w:val="30"/>
                <w:szCs w:val="30"/>
                <w:highlight w:val="none"/>
              </w:rPr>
            </w:pPr>
          </w:p>
        </w:tc>
        <w:tc>
          <w:tcPr>
            <w:tcW w:w="1985" w:type="dxa"/>
            <w:vAlign w:val="center"/>
          </w:tcPr>
          <w:p w14:paraId="2F3A9A16">
            <w:pPr>
              <w:rPr>
                <w:rFonts w:ascii="仿宋_GB2312" w:hAnsi="Times New Roman" w:eastAsia="仿宋_GB2312" w:cs="Times New Roman"/>
                <w:color w:val="auto"/>
                <w:sz w:val="30"/>
                <w:szCs w:val="30"/>
                <w:highlight w:val="none"/>
              </w:rPr>
            </w:pPr>
          </w:p>
        </w:tc>
        <w:tc>
          <w:tcPr>
            <w:tcW w:w="1374" w:type="dxa"/>
            <w:vAlign w:val="center"/>
          </w:tcPr>
          <w:p w14:paraId="76360E3D">
            <w:pPr>
              <w:rPr>
                <w:rFonts w:ascii="仿宋_GB2312" w:hAnsi="Times New Roman" w:eastAsia="仿宋_GB2312" w:cs="Times New Roman"/>
                <w:color w:val="auto"/>
                <w:sz w:val="30"/>
                <w:szCs w:val="30"/>
                <w:highlight w:val="none"/>
              </w:rPr>
            </w:pPr>
          </w:p>
        </w:tc>
        <w:tc>
          <w:tcPr>
            <w:tcW w:w="1417" w:type="dxa"/>
            <w:vAlign w:val="center"/>
          </w:tcPr>
          <w:p w14:paraId="12CD289C">
            <w:pPr>
              <w:rPr>
                <w:rFonts w:ascii="仿宋_GB2312" w:hAnsi="Times New Roman" w:eastAsia="仿宋_GB2312" w:cs="Times New Roman"/>
                <w:color w:val="auto"/>
                <w:sz w:val="30"/>
                <w:szCs w:val="30"/>
                <w:highlight w:val="none"/>
              </w:rPr>
            </w:pPr>
          </w:p>
        </w:tc>
        <w:tc>
          <w:tcPr>
            <w:tcW w:w="1276" w:type="dxa"/>
            <w:vAlign w:val="center"/>
          </w:tcPr>
          <w:p w14:paraId="639B9241">
            <w:pPr>
              <w:rPr>
                <w:rFonts w:ascii="仿宋_GB2312" w:hAnsi="Times New Roman" w:eastAsia="仿宋_GB2312" w:cs="Times New Roman"/>
                <w:color w:val="auto"/>
                <w:sz w:val="30"/>
                <w:szCs w:val="30"/>
                <w:highlight w:val="none"/>
              </w:rPr>
            </w:pPr>
          </w:p>
        </w:tc>
        <w:tc>
          <w:tcPr>
            <w:tcW w:w="1210" w:type="dxa"/>
            <w:vAlign w:val="center"/>
          </w:tcPr>
          <w:p w14:paraId="6246C08C">
            <w:pPr>
              <w:rPr>
                <w:rFonts w:ascii="仿宋_GB2312" w:hAnsi="Times New Roman" w:eastAsia="仿宋_GB2312" w:cs="Times New Roman"/>
                <w:color w:val="auto"/>
                <w:sz w:val="30"/>
                <w:szCs w:val="30"/>
                <w:highlight w:val="none"/>
              </w:rPr>
            </w:pPr>
          </w:p>
        </w:tc>
      </w:tr>
      <w:tr w14:paraId="16C76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22D9D94">
            <w:pPr>
              <w:rPr>
                <w:rFonts w:ascii="仿宋_GB2312" w:hAnsi="Times New Roman" w:eastAsia="仿宋_GB2312" w:cs="Times New Roman"/>
                <w:color w:val="auto"/>
                <w:sz w:val="30"/>
                <w:szCs w:val="30"/>
                <w:highlight w:val="none"/>
              </w:rPr>
            </w:pPr>
          </w:p>
        </w:tc>
        <w:tc>
          <w:tcPr>
            <w:tcW w:w="1244" w:type="dxa"/>
            <w:vAlign w:val="center"/>
          </w:tcPr>
          <w:p w14:paraId="4B030703">
            <w:pPr>
              <w:rPr>
                <w:rFonts w:ascii="仿宋_GB2312" w:hAnsi="Times New Roman" w:eastAsia="仿宋_GB2312" w:cs="Times New Roman"/>
                <w:color w:val="auto"/>
                <w:sz w:val="30"/>
                <w:szCs w:val="30"/>
                <w:highlight w:val="none"/>
              </w:rPr>
            </w:pPr>
          </w:p>
        </w:tc>
        <w:tc>
          <w:tcPr>
            <w:tcW w:w="1985" w:type="dxa"/>
            <w:vAlign w:val="center"/>
          </w:tcPr>
          <w:p w14:paraId="4E30EC89">
            <w:pPr>
              <w:rPr>
                <w:rFonts w:ascii="仿宋_GB2312" w:hAnsi="Times New Roman" w:eastAsia="仿宋_GB2312" w:cs="Times New Roman"/>
                <w:color w:val="auto"/>
                <w:sz w:val="30"/>
                <w:szCs w:val="30"/>
                <w:highlight w:val="none"/>
              </w:rPr>
            </w:pPr>
          </w:p>
        </w:tc>
        <w:tc>
          <w:tcPr>
            <w:tcW w:w="1374" w:type="dxa"/>
            <w:vAlign w:val="center"/>
          </w:tcPr>
          <w:p w14:paraId="45EF1391">
            <w:pPr>
              <w:rPr>
                <w:rFonts w:ascii="仿宋_GB2312" w:hAnsi="Times New Roman" w:eastAsia="仿宋_GB2312" w:cs="Times New Roman"/>
                <w:color w:val="auto"/>
                <w:sz w:val="30"/>
                <w:szCs w:val="30"/>
                <w:highlight w:val="none"/>
              </w:rPr>
            </w:pPr>
          </w:p>
        </w:tc>
        <w:tc>
          <w:tcPr>
            <w:tcW w:w="1417" w:type="dxa"/>
            <w:vAlign w:val="center"/>
          </w:tcPr>
          <w:p w14:paraId="7FCE8CAB">
            <w:pPr>
              <w:rPr>
                <w:rFonts w:ascii="仿宋_GB2312" w:hAnsi="Times New Roman" w:eastAsia="仿宋_GB2312" w:cs="Times New Roman"/>
                <w:color w:val="auto"/>
                <w:sz w:val="30"/>
                <w:szCs w:val="30"/>
                <w:highlight w:val="none"/>
              </w:rPr>
            </w:pPr>
          </w:p>
        </w:tc>
        <w:tc>
          <w:tcPr>
            <w:tcW w:w="1276" w:type="dxa"/>
            <w:vAlign w:val="center"/>
          </w:tcPr>
          <w:p w14:paraId="31F78B03">
            <w:pPr>
              <w:rPr>
                <w:rFonts w:ascii="仿宋_GB2312" w:hAnsi="Times New Roman" w:eastAsia="仿宋_GB2312" w:cs="Times New Roman"/>
                <w:color w:val="auto"/>
                <w:sz w:val="30"/>
                <w:szCs w:val="30"/>
                <w:highlight w:val="none"/>
              </w:rPr>
            </w:pPr>
          </w:p>
        </w:tc>
        <w:tc>
          <w:tcPr>
            <w:tcW w:w="1210" w:type="dxa"/>
            <w:vAlign w:val="center"/>
          </w:tcPr>
          <w:p w14:paraId="009CB48E">
            <w:pPr>
              <w:rPr>
                <w:rFonts w:ascii="仿宋_GB2312" w:hAnsi="Times New Roman" w:eastAsia="仿宋_GB2312" w:cs="Times New Roman"/>
                <w:color w:val="auto"/>
                <w:sz w:val="30"/>
                <w:szCs w:val="30"/>
                <w:highlight w:val="none"/>
              </w:rPr>
            </w:pPr>
          </w:p>
        </w:tc>
      </w:tr>
      <w:tr w14:paraId="06799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A4052DA">
            <w:pPr>
              <w:rPr>
                <w:rFonts w:ascii="仿宋_GB2312" w:hAnsi="Times New Roman" w:eastAsia="仿宋_GB2312" w:cs="Times New Roman"/>
                <w:color w:val="auto"/>
                <w:sz w:val="30"/>
                <w:szCs w:val="30"/>
                <w:highlight w:val="none"/>
              </w:rPr>
            </w:pPr>
          </w:p>
        </w:tc>
        <w:tc>
          <w:tcPr>
            <w:tcW w:w="1244" w:type="dxa"/>
            <w:vAlign w:val="center"/>
          </w:tcPr>
          <w:p w14:paraId="10B7737D">
            <w:pPr>
              <w:rPr>
                <w:rFonts w:ascii="仿宋_GB2312" w:hAnsi="Times New Roman" w:eastAsia="仿宋_GB2312" w:cs="Times New Roman"/>
                <w:color w:val="auto"/>
                <w:sz w:val="30"/>
                <w:szCs w:val="30"/>
                <w:highlight w:val="none"/>
              </w:rPr>
            </w:pPr>
          </w:p>
        </w:tc>
        <w:tc>
          <w:tcPr>
            <w:tcW w:w="1985" w:type="dxa"/>
            <w:vAlign w:val="center"/>
          </w:tcPr>
          <w:p w14:paraId="68D64F0F">
            <w:pPr>
              <w:rPr>
                <w:rFonts w:ascii="仿宋_GB2312" w:hAnsi="Times New Roman" w:eastAsia="仿宋_GB2312" w:cs="Times New Roman"/>
                <w:color w:val="auto"/>
                <w:sz w:val="30"/>
                <w:szCs w:val="30"/>
                <w:highlight w:val="none"/>
              </w:rPr>
            </w:pPr>
          </w:p>
        </w:tc>
        <w:tc>
          <w:tcPr>
            <w:tcW w:w="1374" w:type="dxa"/>
            <w:vAlign w:val="center"/>
          </w:tcPr>
          <w:p w14:paraId="00A3EBB0">
            <w:pPr>
              <w:rPr>
                <w:rFonts w:ascii="仿宋_GB2312" w:hAnsi="Times New Roman" w:eastAsia="仿宋_GB2312" w:cs="Times New Roman"/>
                <w:color w:val="auto"/>
                <w:sz w:val="30"/>
                <w:szCs w:val="30"/>
                <w:highlight w:val="none"/>
              </w:rPr>
            </w:pPr>
          </w:p>
        </w:tc>
        <w:tc>
          <w:tcPr>
            <w:tcW w:w="1417" w:type="dxa"/>
            <w:vAlign w:val="center"/>
          </w:tcPr>
          <w:p w14:paraId="2B956E5E">
            <w:pPr>
              <w:rPr>
                <w:rFonts w:ascii="仿宋_GB2312" w:hAnsi="Times New Roman" w:eastAsia="仿宋_GB2312" w:cs="Times New Roman"/>
                <w:color w:val="auto"/>
                <w:sz w:val="30"/>
                <w:szCs w:val="30"/>
                <w:highlight w:val="none"/>
              </w:rPr>
            </w:pPr>
          </w:p>
        </w:tc>
        <w:tc>
          <w:tcPr>
            <w:tcW w:w="1276" w:type="dxa"/>
            <w:vAlign w:val="center"/>
          </w:tcPr>
          <w:p w14:paraId="1EB7E52B">
            <w:pPr>
              <w:rPr>
                <w:rFonts w:ascii="仿宋_GB2312" w:hAnsi="Times New Roman" w:eastAsia="仿宋_GB2312" w:cs="Times New Roman"/>
                <w:color w:val="auto"/>
                <w:sz w:val="30"/>
                <w:szCs w:val="30"/>
                <w:highlight w:val="none"/>
              </w:rPr>
            </w:pPr>
          </w:p>
        </w:tc>
        <w:tc>
          <w:tcPr>
            <w:tcW w:w="1210" w:type="dxa"/>
            <w:vAlign w:val="center"/>
          </w:tcPr>
          <w:p w14:paraId="0FDF5982">
            <w:pPr>
              <w:rPr>
                <w:rFonts w:ascii="仿宋_GB2312" w:hAnsi="Times New Roman" w:eastAsia="仿宋_GB2312" w:cs="Times New Roman"/>
                <w:color w:val="auto"/>
                <w:sz w:val="30"/>
                <w:szCs w:val="30"/>
                <w:highlight w:val="none"/>
              </w:rPr>
            </w:pPr>
          </w:p>
        </w:tc>
      </w:tr>
      <w:tr w14:paraId="34367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EA6D88">
            <w:pPr>
              <w:rPr>
                <w:rFonts w:ascii="仿宋_GB2312" w:hAnsi="Times New Roman" w:eastAsia="仿宋_GB2312" w:cs="Times New Roman"/>
                <w:color w:val="auto"/>
                <w:sz w:val="30"/>
                <w:szCs w:val="30"/>
                <w:highlight w:val="none"/>
              </w:rPr>
            </w:pPr>
          </w:p>
        </w:tc>
        <w:tc>
          <w:tcPr>
            <w:tcW w:w="1244" w:type="dxa"/>
            <w:vAlign w:val="center"/>
          </w:tcPr>
          <w:p w14:paraId="1978B351">
            <w:pPr>
              <w:rPr>
                <w:rFonts w:ascii="仿宋_GB2312" w:hAnsi="Times New Roman" w:eastAsia="仿宋_GB2312" w:cs="Times New Roman"/>
                <w:color w:val="auto"/>
                <w:sz w:val="30"/>
                <w:szCs w:val="30"/>
                <w:highlight w:val="none"/>
              </w:rPr>
            </w:pPr>
          </w:p>
        </w:tc>
        <w:tc>
          <w:tcPr>
            <w:tcW w:w="1985" w:type="dxa"/>
            <w:vAlign w:val="center"/>
          </w:tcPr>
          <w:p w14:paraId="4683EF66">
            <w:pPr>
              <w:rPr>
                <w:rFonts w:ascii="仿宋_GB2312" w:hAnsi="Times New Roman" w:eastAsia="仿宋_GB2312" w:cs="Times New Roman"/>
                <w:color w:val="auto"/>
                <w:sz w:val="30"/>
                <w:szCs w:val="30"/>
                <w:highlight w:val="none"/>
              </w:rPr>
            </w:pPr>
          </w:p>
        </w:tc>
        <w:tc>
          <w:tcPr>
            <w:tcW w:w="1374" w:type="dxa"/>
            <w:vAlign w:val="center"/>
          </w:tcPr>
          <w:p w14:paraId="4E840165">
            <w:pPr>
              <w:rPr>
                <w:rFonts w:ascii="仿宋_GB2312" w:hAnsi="Times New Roman" w:eastAsia="仿宋_GB2312" w:cs="Times New Roman"/>
                <w:color w:val="auto"/>
                <w:sz w:val="30"/>
                <w:szCs w:val="30"/>
                <w:highlight w:val="none"/>
              </w:rPr>
            </w:pPr>
          </w:p>
        </w:tc>
        <w:tc>
          <w:tcPr>
            <w:tcW w:w="1417" w:type="dxa"/>
            <w:vAlign w:val="center"/>
          </w:tcPr>
          <w:p w14:paraId="3936600D">
            <w:pPr>
              <w:rPr>
                <w:rFonts w:ascii="仿宋_GB2312" w:hAnsi="Times New Roman" w:eastAsia="仿宋_GB2312" w:cs="Times New Roman"/>
                <w:color w:val="auto"/>
                <w:sz w:val="30"/>
                <w:szCs w:val="30"/>
                <w:highlight w:val="none"/>
              </w:rPr>
            </w:pPr>
          </w:p>
        </w:tc>
        <w:tc>
          <w:tcPr>
            <w:tcW w:w="1276" w:type="dxa"/>
            <w:vAlign w:val="center"/>
          </w:tcPr>
          <w:p w14:paraId="760F9CD3">
            <w:pPr>
              <w:rPr>
                <w:rFonts w:ascii="仿宋_GB2312" w:hAnsi="Times New Roman" w:eastAsia="仿宋_GB2312" w:cs="Times New Roman"/>
                <w:color w:val="auto"/>
                <w:sz w:val="30"/>
                <w:szCs w:val="30"/>
                <w:highlight w:val="none"/>
              </w:rPr>
            </w:pPr>
          </w:p>
        </w:tc>
        <w:tc>
          <w:tcPr>
            <w:tcW w:w="1210" w:type="dxa"/>
            <w:vAlign w:val="center"/>
          </w:tcPr>
          <w:p w14:paraId="50003D24">
            <w:pPr>
              <w:rPr>
                <w:rFonts w:ascii="仿宋_GB2312" w:hAnsi="Times New Roman" w:eastAsia="仿宋_GB2312" w:cs="Times New Roman"/>
                <w:color w:val="auto"/>
                <w:sz w:val="30"/>
                <w:szCs w:val="30"/>
                <w:highlight w:val="none"/>
              </w:rPr>
            </w:pPr>
          </w:p>
        </w:tc>
      </w:tr>
      <w:tr w14:paraId="673EB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9624FD5">
            <w:pPr>
              <w:rPr>
                <w:rFonts w:ascii="仿宋_GB2312" w:hAnsi="Times New Roman" w:eastAsia="仿宋_GB2312" w:cs="Times New Roman"/>
                <w:color w:val="auto"/>
                <w:sz w:val="30"/>
                <w:szCs w:val="30"/>
                <w:highlight w:val="none"/>
              </w:rPr>
            </w:pPr>
          </w:p>
        </w:tc>
        <w:tc>
          <w:tcPr>
            <w:tcW w:w="1244" w:type="dxa"/>
            <w:vAlign w:val="center"/>
          </w:tcPr>
          <w:p w14:paraId="3B9D74C6">
            <w:pPr>
              <w:rPr>
                <w:rFonts w:ascii="仿宋_GB2312" w:hAnsi="Times New Roman" w:eastAsia="仿宋_GB2312" w:cs="Times New Roman"/>
                <w:color w:val="auto"/>
                <w:sz w:val="30"/>
                <w:szCs w:val="30"/>
                <w:highlight w:val="none"/>
              </w:rPr>
            </w:pPr>
          </w:p>
        </w:tc>
        <w:tc>
          <w:tcPr>
            <w:tcW w:w="1985" w:type="dxa"/>
            <w:vAlign w:val="center"/>
          </w:tcPr>
          <w:p w14:paraId="229593F7">
            <w:pPr>
              <w:rPr>
                <w:rFonts w:ascii="仿宋_GB2312" w:hAnsi="Times New Roman" w:eastAsia="仿宋_GB2312" w:cs="Times New Roman"/>
                <w:color w:val="auto"/>
                <w:sz w:val="30"/>
                <w:szCs w:val="30"/>
                <w:highlight w:val="none"/>
              </w:rPr>
            </w:pPr>
          </w:p>
        </w:tc>
        <w:tc>
          <w:tcPr>
            <w:tcW w:w="1374" w:type="dxa"/>
            <w:vAlign w:val="center"/>
          </w:tcPr>
          <w:p w14:paraId="5F5A41DF">
            <w:pPr>
              <w:rPr>
                <w:rFonts w:ascii="仿宋_GB2312" w:hAnsi="Times New Roman" w:eastAsia="仿宋_GB2312" w:cs="Times New Roman"/>
                <w:color w:val="auto"/>
                <w:sz w:val="30"/>
                <w:szCs w:val="30"/>
                <w:highlight w:val="none"/>
              </w:rPr>
            </w:pPr>
          </w:p>
        </w:tc>
        <w:tc>
          <w:tcPr>
            <w:tcW w:w="1417" w:type="dxa"/>
            <w:vAlign w:val="center"/>
          </w:tcPr>
          <w:p w14:paraId="249DEB5E">
            <w:pPr>
              <w:rPr>
                <w:rFonts w:ascii="仿宋_GB2312" w:hAnsi="Times New Roman" w:eastAsia="仿宋_GB2312" w:cs="Times New Roman"/>
                <w:color w:val="auto"/>
                <w:sz w:val="30"/>
                <w:szCs w:val="30"/>
                <w:highlight w:val="none"/>
              </w:rPr>
            </w:pPr>
          </w:p>
        </w:tc>
        <w:tc>
          <w:tcPr>
            <w:tcW w:w="1276" w:type="dxa"/>
            <w:vAlign w:val="center"/>
          </w:tcPr>
          <w:p w14:paraId="595B4971">
            <w:pPr>
              <w:rPr>
                <w:rFonts w:ascii="仿宋_GB2312" w:hAnsi="Times New Roman" w:eastAsia="仿宋_GB2312" w:cs="Times New Roman"/>
                <w:color w:val="auto"/>
                <w:sz w:val="30"/>
                <w:szCs w:val="30"/>
                <w:highlight w:val="none"/>
              </w:rPr>
            </w:pPr>
          </w:p>
        </w:tc>
        <w:tc>
          <w:tcPr>
            <w:tcW w:w="1210" w:type="dxa"/>
            <w:vAlign w:val="center"/>
          </w:tcPr>
          <w:p w14:paraId="1E1D5B28">
            <w:pPr>
              <w:rPr>
                <w:rFonts w:ascii="仿宋_GB2312" w:hAnsi="Times New Roman" w:eastAsia="仿宋_GB2312" w:cs="Times New Roman"/>
                <w:color w:val="auto"/>
                <w:sz w:val="30"/>
                <w:szCs w:val="30"/>
                <w:highlight w:val="none"/>
              </w:rPr>
            </w:pPr>
          </w:p>
        </w:tc>
      </w:tr>
    </w:tbl>
    <w:p w14:paraId="6D233F89">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备注：此表应认真填写，不得提供虚假业绩。</w:t>
      </w:r>
    </w:p>
    <w:p w14:paraId="7C4954F1">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后附合同</w:t>
      </w:r>
      <w:r>
        <w:rPr>
          <w:rFonts w:hint="eastAsia" w:ascii="仿宋_GB2312" w:hAnsi="Times New Roman" w:eastAsia="仿宋_GB2312" w:cs="Times New Roman"/>
          <w:color w:val="auto"/>
          <w:sz w:val="30"/>
          <w:szCs w:val="30"/>
          <w:highlight w:val="none"/>
          <w:lang w:eastAsia="zh-CN"/>
        </w:rPr>
        <w:t>、</w:t>
      </w:r>
      <w:r>
        <w:rPr>
          <w:rFonts w:hint="eastAsia" w:ascii="仿宋_GB2312" w:hAnsi="Times New Roman" w:eastAsia="仿宋_GB2312" w:cs="Times New Roman"/>
          <w:color w:val="auto"/>
          <w:sz w:val="30"/>
          <w:szCs w:val="30"/>
          <w:highlight w:val="none"/>
          <w:lang w:val="en-US" w:eastAsia="zh-CN"/>
        </w:rPr>
        <w:t>中标通知书</w:t>
      </w:r>
      <w:r>
        <w:rPr>
          <w:rFonts w:hint="eastAsia" w:ascii="仿宋_GB2312" w:hAnsi="Times New Roman" w:eastAsia="仿宋_GB2312" w:cs="Times New Roman"/>
          <w:color w:val="auto"/>
          <w:sz w:val="30"/>
          <w:szCs w:val="30"/>
          <w:highlight w:val="none"/>
        </w:rPr>
        <w:t>的扫描件；</w:t>
      </w:r>
    </w:p>
    <w:p w14:paraId="244C8A3A">
      <w:pPr>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界定日期以合同签订时间为准。</w:t>
      </w:r>
    </w:p>
    <w:p w14:paraId="275FA378">
      <w:pPr>
        <w:rPr>
          <w:rFonts w:ascii="仿宋_GB2312" w:hAnsi="Times New Roman" w:eastAsia="仿宋_GB2312" w:cs="Times New Roman"/>
          <w:color w:val="auto"/>
          <w:sz w:val="30"/>
          <w:szCs w:val="30"/>
          <w:highlight w:val="none"/>
        </w:rPr>
      </w:pPr>
    </w:p>
    <w:p w14:paraId="1B0F089D">
      <w:pPr>
        <w:jc w:val="right"/>
        <w:rPr>
          <w:rFonts w:ascii="仿宋_GB2312" w:hAnsi="Times New Roman" w:eastAsia="仿宋_GB2312" w:cs="Times New Roman"/>
          <w:color w:val="auto"/>
          <w:sz w:val="30"/>
          <w:szCs w:val="30"/>
          <w:highlight w:val="none"/>
        </w:rPr>
      </w:pPr>
      <w:r>
        <w:rPr>
          <w:rFonts w:hint="eastAsia" w:ascii="仿宋_GB2312" w:hAnsi="Times New Roman" w:eastAsia="仿宋_GB2312" w:cs="Times New Roman"/>
          <w:color w:val="auto"/>
          <w:sz w:val="30"/>
          <w:szCs w:val="30"/>
          <w:highlight w:val="none"/>
        </w:rPr>
        <w:t>投标人名称(盖章):</w:t>
      </w:r>
    </w:p>
    <w:p w14:paraId="07C953E4">
      <w:pPr>
        <w:jc w:val="center"/>
        <w:rPr>
          <w:rFonts w:ascii="黑体" w:hAnsi="黑体" w:eastAsia="黑体"/>
          <w:color w:val="auto"/>
          <w:sz w:val="44"/>
          <w:szCs w:val="44"/>
          <w:highlight w:val="none"/>
        </w:rPr>
      </w:pPr>
      <w:r>
        <w:rPr>
          <w:rFonts w:hint="eastAsia" w:ascii="仿宋_GB2312" w:hAnsi="Times New Roman" w:eastAsia="仿宋_GB2312" w:cs="Times New Roman"/>
          <w:color w:val="auto"/>
          <w:sz w:val="30"/>
          <w:szCs w:val="30"/>
          <w:highlight w:val="none"/>
        </w:rPr>
        <w:t>法定代表人或授权代表（</w:t>
      </w:r>
      <w:r>
        <w:rPr>
          <w:rFonts w:hint="eastAsia" w:ascii="仿宋_GB2312" w:hAnsi="仿宋" w:eastAsia="仿宋_GB2312" w:cs="Times New Roman"/>
          <w:color w:val="auto"/>
          <w:sz w:val="32"/>
          <w:szCs w:val="32"/>
          <w:highlight w:val="none"/>
        </w:rPr>
        <w:t>签字或盖章</w:t>
      </w:r>
      <w:r>
        <w:rPr>
          <w:rFonts w:hint="eastAsia" w:ascii="仿宋_GB2312" w:hAnsi="Times New Roman" w:eastAsia="仿宋_GB2312" w:cs="Times New Roman"/>
          <w:color w:val="auto"/>
          <w:sz w:val="30"/>
          <w:szCs w:val="30"/>
          <w:highlight w:val="none"/>
        </w:rPr>
        <w:t>）:</w:t>
      </w:r>
      <w:r>
        <w:rPr>
          <w:rFonts w:ascii="仿宋_GB2312" w:hAnsi="仿宋" w:eastAsia="仿宋_GB2312" w:cs="Times New Roman"/>
          <w:bCs/>
          <w:color w:val="auto"/>
          <w:sz w:val="30"/>
          <w:szCs w:val="30"/>
          <w:highlight w:val="none"/>
        </w:rPr>
        <w:br w:type="page"/>
      </w:r>
      <w:r>
        <w:rPr>
          <w:rFonts w:hint="eastAsia" w:ascii="黑体" w:hAnsi="黑体" w:eastAsia="黑体"/>
          <w:color w:val="auto"/>
          <w:sz w:val="44"/>
          <w:szCs w:val="44"/>
          <w:highlight w:val="none"/>
        </w:rPr>
        <w:t>需要采购人提供的配合</w:t>
      </w:r>
    </w:p>
    <w:p w14:paraId="51A414BD">
      <w:pPr>
        <w:rPr>
          <w:color w:val="auto"/>
          <w:highlight w:val="none"/>
        </w:rPr>
        <w:sectPr>
          <w:headerReference r:id="rId19" w:type="default"/>
          <w:footerReference r:id="rId20" w:type="default"/>
          <w:pgSz w:w="11906" w:h="16838"/>
          <w:pgMar w:top="1440" w:right="1080" w:bottom="1440" w:left="1080" w:header="851" w:footer="992" w:gutter="0"/>
          <w:cols w:space="720" w:num="1"/>
          <w:docGrid w:type="lines" w:linePitch="312" w:charSpace="0"/>
        </w:sectPr>
      </w:pPr>
      <w:r>
        <w:rPr>
          <w:color w:val="auto"/>
          <w:highlight w:val="none"/>
        </w:rPr>
        <w:br w:type="page"/>
      </w:r>
    </w:p>
    <w:p w14:paraId="1EBC785E">
      <w:pPr>
        <w:pStyle w:val="32"/>
        <w:spacing w:before="100" w:beforeAutospacing="1" w:after="100" w:afterAutospacing="1" w:line="415" w:lineRule="auto"/>
        <w:ind w:left="1440"/>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第六章 采购合同（范本）</w:t>
      </w:r>
    </w:p>
    <w:p w14:paraId="3F628298">
      <w:pPr>
        <w:rPr>
          <w:color w:val="auto"/>
          <w:highlight w:val="none"/>
        </w:rPr>
      </w:pPr>
    </w:p>
    <w:p w14:paraId="4138CFE5">
      <w:pPr>
        <w:pStyle w:val="3"/>
        <w:tabs>
          <w:tab w:val="left" w:pos="930"/>
          <w:tab w:val="left" w:pos="1980"/>
          <w:tab w:val="left" w:pos="6400"/>
        </w:tabs>
        <w:spacing w:before="240" w:line="360" w:lineRule="auto"/>
        <w:ind w:firstLine="0"/>
        <w:jc w:val="right"/>
        <w:textAlignment w:val="center"/>
        <w:rPr>
          <w:rFonts w:hint="eastAsia" w:ascii="仿宋_GB2312" w:hAnsi="仿宋" w:eastAsia="仿宋_GB2312" w:cs="宋体"/>
          <w:color w:val="auto"/>
          <w:sz w:val="32"/>
          <w:szCs w:val="32"/>
          <w:highlight w:val="none"/>
          <w:lang w:eastAsia="zh-CN"/>
        </w:rPr>
      </w:pPr>
      <w:r>
        <w:rPr>
          <w:rFonts w:hAnsi="宋体"/>
          <w:color w:val="auto"/>
          <w:sz w:val="52"/>
          <w:szCs w:val="52"/>
          <w:highlight w:val="none"/>
        </w:rPr>
        <w:br w:type="page"/>
      </w:r>
      <w:r>
        <w:rPr>
          <w:rFonts w:hint="eastAsia" w:ascii="仿宋_GB2312" w:hAnsi="仿宋" w:eastAsia="仿宋_GB2312" w:cs="宋体"/>
          <w:b/>
          <w:bCs/>
          <w:color w:val="auto"/>
          <w:sz w:val="32"/>
          <w:szCs w:val="32"/>
          <w:highlight w:val="none"/>
          <w:shd w:val="solid" w:color="EEECE1" w:fill="FFFFFF"/>
        </w:rPr>
        <w:t>合同编号：</w:t>
      </w:r>
      <w:r>
        <w:rPr>
          <w:rFonts w:hint="eastAsia" w:ascii="仿宋_GB2312" w:hAnsi="仿宋" w:eastAsia="仿宋_GB2312" w:cs="宋体"/>
          <w:b/>
          <w:bCs/>
          <w:color w:val="auto"/>
          <w:sz w:val="32"/>
          <w:szCs w:val="32"/>
          <w:highlight w:val="none"/>
          <w:shd w:val="solid" w:color="EEECE1" w:fill="FFFFFF"/>
          <w:lang w:eastAsia="zh-CN"/>
        </w:rPr>
        <w:t>WHJX-ZB-2026-030</w:t>
      </w:r>
    </w:p>
    <w:p w14:paraId="3B8C5364">
      <w:pPr>
        <w:jc w:val="center"/>
        <w:rPr>
          <w:rFonts w:ascii="仿宋_GB2312" w:hAnsi="仿宋" w:eastAsia="仿宋_GB2312"/>
          <w:b/>
          <w:color w:val="auto"/>
          <w:sz w:val="44"/>
          <w:szCs w:val="44"/>
          <w:highlight w:val="none"/>
        </w:rPr>
      </w:pPr>
    </w:p>
    <w:p w14:paraId="1167FCF2">
      <w:pPr>
        <w:pStyle w:val="2"/>
        <w:ind w:firstLine="880"/>
        <w:rPr>
          <w:rFonts w:ascii="仿宋_GB2312" w:hAnsi="仿宋" w:eastAsia="仿宋_GB2312"/>
          <w:color w:val="auto"/>
          <w:sz w:val="44"/>
          <w:szCs w:val="44"/>
          <w:highlight w:val="none"/>
        </w:rPr>
      </w:pPr>
    </w:p>
    <w:p w14:paraId="57C3311F">
      <w:pPr>
        <w:pStyle w:val="2"/>
        <w:ind w:firstLine="880"/>
        <w:rPr>
          <w:rFonts w:ascii="仿宋_GB2312" w:hAnsi="仿宋" w:eastAsia="仿宋_GB2312"/>
          <w:color w:val="auto"/>
          <w:sz w:val="44"/>
          <w:szCs w:val="44"/>
          <w:highlight w:val="none"/>
        </w:rPr>
      </w:pPr>
    </w:p>
    <w:p w14:paraId="3BE4E8DE">
      <w:pPr>
        <w:pStyle w:val="2"/>
        <w:ind w:firstLine="880"/>
        <w:rPr>
          <w:rFonts w:ascii="仿宋_GB2312" w:hAnsi="仿宋" w:eastAsia="仿宋_GB2312"/>
          <w:color w:val="auto"/>
          <w:sz w:val="44"/>
          <w:szCs w:val="44"/>
          <w:highlight w:val="none"/>
        </w:rPr>
      </w:pPr>
    </w:p>
    <w:p w14:paraId="5D5F8CAE">
      <w:pPr>
        <w:pStyle w:val="2"/>
        <w:rPr>
          <w:rFonts w:ascii="仿宋_GB2312" w:hAnsi="仿宋" w:eastAsia="仿宋_GB2312"/>
          <w:color w:val="auto"/>
          <w:sz w:val="44"/>
          <w:szCs w:val="44"/>
          <w:highlight w:val="none"/>
        </w:rPr>
      </w:pPr>
    </w:p>
    <w:p w14:paraId="35A4D4F7">
      <w:pPr>
        <w:jc w:val="center"/>
        <w:rPr>
          <w:rFonts w:ascii="仿宋_GB2312" w:hAnsi="仿宋" w:eastAsia="仿宋_GB2312"/>
          <w:b/>
          <w:color w:val="auto"/>
          <w:sz w:val="44"/>
          <w:szCs w:val="44"/>
          <w:highlight w:val="none"/>
        </w:rPr>
      </w:pPr>
      <w:r>
        <w:rPr>
          <w:rFonts w:hint="eastAsia" w:ascii="仿宋_GB2312" w:hAnsi="仿宋" w:eastAsia="仿宋_GB2312"/>
          <w:b/>
          <w:color w:val="auto"/>
          <w:sz w:val="44"/>
          <w:szCs w:val="44"/>
          <w:highlight w:val="none"/>
          <w:lang w:eastAsia="zh-CN"/>
        </w:rPr>
        <w:t>乳山市市政建设工程有限公司</w:t>
      </w:r>
    </w:p>
    <w:p w14:paraId="0F8AD4D6">
      <w:pPr>
        <w:ind w:firstLine="883" w:firstLineChars="200"/>
        <w:rPr>
          <w:rFonts w:ascii="仿宋_GB2312" w:hAnsi="仿宋" w:eastAsia="仿宋_GB2312"/>
          <w:b/>
          <w:color w:val="auto"/>
          <w:sz w:val="44"/>
          <w:szCs w:val="44"/>
          <w:highlight w:val="none"/>
        </w:rPr>
      </w:pPr>
    </w:p>
    <w:p w14:paraId="5C13C5B2">
      <w:pPr>
        <w:jc w:val="center"/>
        <w:rPr>
          <w:rFonts w:ascii="仿宋_GB2312" w:hAnsi="仿宋" w:eastAsia="仿宋_GB2312"/>
          <w:b/>
          <w:color w:val="auto"/>
          <w:sz w:val="44"/>
          <w:szCs w:val="44"/>
          <w:highlight w:val="none"/>
        </w:rPr>
      </w:pPr>
      <w:r>
        <w:rPr>
          <w:rFonts w:hint="eastAsia" w:ascii="仿宋_GB2312" w:hAnsi="仿宋" w:eastAsia="仿宋_GB2312"/>
          <w:b/>
          <w:color w:val="auto"/>
          <w:sz w:val="44"/>
          <w:szCs w:val="44"/>
          <w:highlight w:val="none"/>
          <w:lang w:eastAsia="zh-CN"/>
        </w:rPr>
        <w:t>路沿石、人行道板采购</w:t>
      </w:r>
      <w:r>
        <w:rPr>
          <w:rFonts w:hint="eastAsia" w:ascii="仿宋_GB2312" w:hAnsi="仿宋" w:eastAsia="仿宋_GB2312"/>
          <w:b/>
          <w:color w:val="auto"/>
          <w:sz w:val="44"/>
          <w:szCs w:val="44"/>
          <w:highlight w:val="none"/>
        </w:rPr>
        <w:t>合同</w:t>
      </w:r>
    </w:p>
    <w:p w14:paraId="7D942117">
      <w:pPr>
        <w:ind w:firstLine="3080" w:firstLineChars="700"/>
        <w:rPr>
          <w:rFonts w:ascii="仿宋_GB2312" w:hAnsi="仿宋" w:eastAsia="仿宋_GB2312"/>
          <w:color w:val="auto"/>
          <w:sz w:val="44"/>
          <w:szCs w:val="44"/>
          <w:highlight w:val="none"/>
        </w:rPr>
      </w:pPr>
    </w:p>
    <w:p w14:paraId="5772C696">
      <w:pPr>
        <w:pStyle w:val="2"/>
        <w:rPr>
          <w:rFonts w:ascii="仿宋_GB2312" w:hAnsi="仿宋" w:eastAsia="仿宋_GB2312"/>
          <w:color w:val="auto"/>
          <w:sz w:val="44"/>
          <w:szCs w:val="44"/>
          <w:highlight w:val="none"/>
        </w:rPr>
      </w:pPr>
    </w:p>
    <w:p w14:paraId="1468B60A">
      <w:pPr>
        <w:pStyle w:val="2"/>
        <w:rPr>
          <w:rFonts w:ascii="仿宋_GB2312" w:hAnsi="仿宋" w:eastAsia="仿宋_GB2312"/>
          <w:color w:val="auto"/>
          <w:sz w:val="44"/>
          <w:szCs w:val="44"/>
          <w:highlight w:val="none"/>
        </w:rPr>
      </w:pPr>
    </w:p>
    <w:p w14:paraId="36C670FB">
      <w:pPr>
        <w:pStyle w:val="2"/>
        <w:ind w:left="0" w:leftChars="0" w:firstLine="880"/>
        <w:rPr>
          <w:rFonts w:ascii="仿宋_GB2312" w:hAnsi="仿宋" w:eastAsia="仿宋_GB2312"/>
          <w:color w:val="auto"/>
          <w:sz w:val="44"/>
          <w:szCs w:val="44"/>
          <w:highlight w:val="none"/>
        </w:rPr>
      </w:pPr>
    </w:p>
    <w:p w14:paraId="75E93050">
      <w:pPr>
        <w:ind w:firstLine="2080" w:firstLineChars="650"/>
        <w:rPr>
          <w:rFonts w:hint="eastAsia" w:ascii="仿宋_GB2312" w:hAnsi="仿宋" w:eastAsia="仿宋_GB2312"/>
          <w:color w:val="auto"/>
          <w:sz w:val="32"/>
          <w:szCs w:val="32"/>
          <w:highlight w:val="none"/>
          <w:lang w:eastAsia="zh-CN"/>
        </w:rPr>
      </w:pPr>
      <w:r>
        <w:rPr>
          <w:rFonts w:hint="eastAsia" w:ascii="仿宋_GB2312" w:hAnsi="仿宋" w:eastAsia="仿宋_GB2312"/>
          <w:color w:val="auto"/>
          <w:sz w:val="32"/>
          <w:szCs w:val="32"/>
          <w:highlight w:val="none"/>
        </w:rPr>
        <w:t xml:space="preserve">甲    方: </w:t>
      </w:r>
      <w:r>
        <w:rPr>
          <w:rFonts w:hint="eastAsia" w:ascii="仿宋_GB2312" w:hAnsi="仿宋" w:eastAsia="仿宋_GB2312"/>
          <w:color w:val="auto"/>
          <w:sz w:val="32"/>
          <w:szCs w:val="32"/>
          <w:highlight w:val="none"/>
          <w:lang w:eastAsia="zh-CN"/>
        </w:rPr>
        <w:t>乳山市市政建设工程有限公司</w:t>
      </w:r>
    </w:p>
    <w:p w14:paraId="0DEF52D2">
      <w:pPr>
        <w:ind w:firstLine="2080" w:firstLineChars="650"/>
        <w:rPr>
          <w:rFonts w:ascii="仿宋_GB2312" w:hAnsi="仿宋" w:eastAsia="仿宋_GB2312"/>
          <w:color w:val="auto"/>
          <w:sz w:val="32"/>
          <w:szCs w:val="32"/>
          <w:highlight w:val="none"/>
        </w:rPr>
      </w:pPr>
    </w:p>
    <w:p w14:paraId="3148E92E">
      <w:pPr>
        <w:ind w:firstLine="2080" w:firstLineChars="65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乙    方: </w:t>
      </w:r>
    </w:p>
    <w:p w14:paraId="5526479A">
      <w:pPr>
        <w:pStyle w:val="20"/>
        <w:ind w:firstLine="2728" w:firstLineChars="620"/>
        <w:rPr>
          <w:rFonts w:ascii="仿宋_GB2312" w:hAnsi="仿宋" w:eastAsia="仿宋_GB2312"/>
          <w:color w:val="auto"/>
          <w:sz w:val="44"/>
          <w:szCs w:val="44"/>
          <w:highlight w:val="none"/>
        </w:rPr>
      </w:pPr>
    </w:p>
    <w:p w14:paraId="3895BA22">
      <w:pPr>
        <w:pStyle w:val="20"/>
        <w:ind w:firstLine="1984" w:firstLineChars="62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签订日期:    年   月  日</w:t>
      </w:r>
    </w:p>
    <w:p w14:paraId="6312865D">
      <w:pPr>
        <w:spacing w:line="360" w:lineRule="auto"/>
        <w:ind w:firstLine="624" w:firstLineChars="200"/>
        <w:rPr>
          <w:rFonts w:ascii="仿宋_GB2312" w:hAnsi="仿宋" w:eastAsia="仿宋_GB2312"/>
          <w:color w:val="auto"/>
          <w:sz w:val="30"/>
          <w:szCs w:val="30"/>
          <w:highlight w:val="none"/>
        </w:rPr>
      </w:pPr>
      <w:r>
        <w:rPr>
          <w:rFonts w:hint="eastAsia" w:ascii="仿宋_GB2312" w:hAnsi="仿宋" w:eastAsia="仿宋_GB2312" w:cs="宋体"/>
          <w:color w:val="auto"/>
          <w:spacing w:val="6"/>
          <w:sz w:val="30"/>
          <w:szCs w:val="30"/>
          <w:highlight w:val="none"/>
        </w:rPr>
        <w:br w:type="page"/>
      </w:r>
      <w:r>
        <w:rPr>
          <w:rFonts w:hint="eastAsia" w:ascii="仿宋_GB2312" w:hAnsi="仿宋" w:eastAsia="仿宋_GB2312"/>
          <w:color w:val="auto"/>
          <w:sz w:val="30"/>
          <w:szCs w:val="30"/>
          <w:highlight w:val="none"/>
        </w:rPr>
        <w:t>本合同于20</w:t>
      </w:r>
      <w:r>
        <w:rPr>
          <w:rFonts w:hint="eastAsia" w:ascii="仿宋_GB2312" w:hAnsi="仿宋" w:eastAsia="仿宋_GB2312"/>
          <w:color w:val="auto"/>
          <w:sz w:val="30"/>
          <w:szCs w:val="30"/>
          <w:highlight w:val="none"/>
          <w:u w:val="single"/>
        </w:rPr>
        <w:t xml:space="preserve">  </w:t>
      </w:r>
      <w:r>
        <w:rPr>
          <w:rFonts w:hint="eastAsia" w:ascii="仿宋_GB2312" w:hAnsi="仿宋" w:eastAsia="仿宋_GB2312"/>
          <w:color w:val="auto"/>
          <w:sz w:val="30"/>
          <w:szCs w:val="30"/>
          <w:highlight w:val="none"/>
        </w:rPr>
        <w:t>年</w:t>
      </w:r>
      <w:r>
        <w:rPr>
          <w:rFonts w:hint="eastAsia" w:ascii="仿宋_GB2312" w:hAnsi="仿宋" w:eastAsia="仿宋_GB2312"/>
          <w:color w:val="auto"/>
          <w:sz w:val="30"/>
          <w:szCs w:val="30"/>
          <w:highlight w:val="none"/>
          <w:u w:val="single"/>
        </w:rPr>
        <w:t xml:space="preserve">   </w:t>
      </w:r>
      <w:r>
        <w:rPr>
          <w:rFonts w:hint="eastAsia" w:ascii="仿宋_GB2312" w:hAnsi="仿宋" w:eastAsia="仿宋_GB2312"/>
          <w:color w:val="auto"/>
          <w:sz w:val="30"/>
          <w:szCs w:val="30"/>
          <w:highlight w:val="none"/>
        </w:rPr>
        <w:t>月</w:t>
      </w:r>
      <w:r>
        <w:rPr>
          <w:rFonts w:hint="eastAsia" w:ascii="仿宋_GB2312" w:hAnsi="仿宋" w:eastAsia="仿宋_GB2312"/>
          <w:color w:val="auto"/>
          <w:sz w:val="30"/>
          <w:szCs w:val="30"/>
          <w:highlight w:val="none"/>
          <w:u w:val="single"/>
        </w:rPr>
        <w:t xml:space="preserve">   </w:t>
      </w:r>
      <w:r>
        <w:rPr>
          <w:rFonts w:hint="eastAsia" w:ascii="仿宋_GB2312" w:hAnsi="仿宋" w:eastAsia="仿宋_GB2312"/>
          <w:color w:val="auto"/>
          <w:sz w:val="30"/>
          <w:szCs w:val="30"/>
          <w:highlight w:val="none"/>
        </w:rPr>
        <w:t>日由甲、乙两方共同签订。甲方为用户单位</w:t>
      </w:r>
      <w:r>
        <w:rPr>
          <w:rFonts w:hint="eastAsia" w:ascii="仿宋_GB2312" w:hAnsi="仿宋" w:eastAsia="仿宋_GB2312"/>
          <w:bCs/>
          <w:color w:val="auto"/>
          <w:sz w:val="30"/>
          <w:szCs w:val="30"/>
          <w:highlight w:val="none"/>
        </w:rPr>
        <w:t xml:space="preserve"> </w:t>
      </w:r>
      <w:r>
        <w:rPr>
          <w:rFonts w:hint="eastAsia" w:ascii="仿宋_GB2312" w:hAnsi="仿宋" w:eastAsia="仿宋_GB2312"/>
          <w:color w:val="auto"/>
          <w:sz w:val="30"/>
          <w:szCs w:val="30"/>
          <w:highlight w:val="none"/>
        </w:rPr>
        <w:t>、乙方为成交供应商。合同各方必须遵守《中华人民共和国民法典》，并各自履行应负的全部责任。本合同书共四份。</w:t>
      </w:r>
    </w:p>
    <w:p w14:paraId="58B979B9">
      <w:pPr>
        <w:pStyle w:val="20"/>
        <w:spacing w:line="360" w:lineRule="auto"/>
        <w:ind w:firstLine="560"/>
        <w:rPr>
          <w:rFonts w:ascii="仿宋_GB2312" w:hAnsi="仿宋" w:eastAsia="仿宋_GB2312" w:cs="宋体"/>
          <w:b/>
          <w:color w:val="auto"/>
          <w:spacing w:val="6"/>
          <w:sz w:val="30"/>
          <w:szCs w:val="30"/>
          <w:highlight w:val="none"/>
        </w:rPr>
      </w:pPr>
      <w:r>
        <w:rPr>
          <w:rFonts w:hint="eastAsia" w:ascii="仿宋_GB2312" w:hAnsi="仿宋" w:eastAsia="仿宋_GB2312" w:cs="宋体"/>
          <w:b/>
          <w:color w:val="auto"/>
          <w:spacing w:val="6"/>
          <w:sz w:val="30"/>
          <w:szCs w:val="30"/>
          <w:highlight w:val="none"/>
        </w:rPr>
        <w:t>一、合同的组成部分</w:t>
      </w:r>
    </w:p>
    <w:p w14:paraId="5E7F832D">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1、成交通知书</w:t>
      </w:r>
    </w:p>
    <w:p w14:paraId="5CD82E70">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2、本合同书</w:t>
      </w:r>
    </w:p>
    <w:p w14:paraId="6C7A5766">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3、乙方在评审过程中补充、修改或澄清的文件</w:t>
      </w:r>
    </w:p>
    <w:p w14:paraId="2C77E6A8">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4、</w:t>
      </w:r>
      <w:r>
        <w:rPr>
          <w:rFonts w:hint="eastAsia" w:ascii="仿宋_GB2312" w:hAnsi="仿宋" w:eastAsia="仿宋_GB2312" w:cs="宋体"/>
          <w:color w:val="auto"/>
          <w:spacing w:val="6"/>
          <w:sz w:val="30"/>
          <w:szCs w:val="30"/>
          <w:highlight w:val="none"/>
          <w:lang w:eastAsia="zh-CN"/>
        </w:rPr>
        <w:t>WHJX-ZB-2026-030</w:t>
      </w:r>
      <w:r>
        <w:rPr>
          <w:rFonts w:hint="eastAsia" w:ascii="仿宋_GB2312" w:hAnsi="仿宋" w:eastAsia="仿宋_GB2312" w:cs="宋体"/>
          <w:color w:val="auto"/>
          <w:spacing w:val="6"/>
          <w:sz w:val="30"/>
          <w:szCs w:val="30"/>
          <w:highlight w:val="none"/>
        </w:rPr>
        <w:t>竞争谈判文件</w:t>
      </w:r>
    </w:p>
    <w:p w14:paraId="0ED88597">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5、乙方的响应文件</w:t>
      </w:r>
    </w:p>
    <w:p w14:paraId="23899B11">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6、本合同附件</w:t>
      </w:r>
    </w:p>
    <w:p w14:paraId="710EB144">
      <w:pPr>
        <w:pStyle w:val="20"/>
        <w:spacing w:line="360" w:lineRule="auto"/>
        <w:ind w:firstLine="560"/>
        <w:rPr>
          <w:rFonts w:ascii="仿宋_GB2312" w:hAnsi="仿宋" w:eastAsia="仿宋_GB2312" w:cs="宋体"/>
          <w:color w:val="auto"/>
          <w:spacing w:val="6"/>
          <w:sz w:val="30"/>
          <w:szCs w:val="30"/>
          <w:highlight w:val="none"/>
        </w:rPr>
      </w:pPr>
      <w:r>
        <w:rPr>
          <w:rFonts w:hint="eastAsia" w:ascii="仿宋_GB2312" w:hAnsi="仿宋" w:eastAsia="仿宋_GB2312" w:cs="宋体"/>
          <w:color w:val="auto"/>
          <w:spacing w:val="6"/>
          <w:sz w:val="30"/>
          <w:szCs w:val="30"/>
          <w:highlight w:val="none"/>
        </w:rPr>
        <w:t>上述文件将相互补充，合同各方必须予以遵守执行。若有不明确或不一致之处，以上列次序在先者为准。</w:t>
      </w:r>
    </w:p>
    <w:p w14:paraId="5BB37297">
      <w:pPr>
        <w:pStyle w:val="20"/>
        <w:spacing w:line="360" w:lineRule="auto"/>
        <w:ind w:firstLine="560"/>
        <w:rPr>
          <w:rFonts w:ascii="仿宋_GB2312" w:hAnsi="仿宋" w:eastAsia="仿宋_GB2312" w:cs="宋体"/>
          <w:b/>
          <w:color w:val="auto"/>
          <w:spacing w:val="6"/>
          <w:sz w:val="30"/>
          <w:szCs w:val="30"/>
          <w:highlight w:val="none"/>
        </w:rPr>
      </w:pPr>
      <w:r>
        <w:rPr>
          <w:rFonts w:hint="eastAsia" w:ascii="仿宋_GB2312" w:hAnsi="仿宋" w:eastAsia="仿宋_GB2312" w:cs="宋体"/>
          <w:b/>
          <w:color w:val="auto"/>
          <w:spacing w:val="6"/>
          <w:sz w:val="30"/>
          <w:szCs w:val="30"/>
          <w:highlight w:val="none"/>
        </w:rPr>
        <w:t>二、标的物及数量：</w:t>
      </w:r>
    </w:p>
    <w:p w14:paraId="0E3FF27C">
      <w:pPr>
        <w:pStyle w:val="20"/>
        <w:spacing w:line="360" w:lineRule="auto"/>
        <w:ind w:firstLine="560"/>
        <w:rPr>
          <w:rFonts w:ascii="仿宋_GB2312" w:hAnsi="仿宋" w:eastAsia="仿宋_GB2312" w:cs="宋体"/>
          <w:b/>
          <w:color w:val="auto"/>
          <w:spacing w:val="6"/>
          <w:sz w:val="30"/>
          <w:szCs w:val="30"/>
          <w:highlight w:val="none"/>
        </w:rPr>
      </w:pPr>
      <w:r>
        <w:rPr>
          <w:rFonts w:hint="eastAsia" w:ascii="仿宋_GB2312" w:hAnsi="仿宋" w:eastAsia="仿宋_GB2312" w:cs="宋体"/>
          <w:b/>
          <w:color w:val="auto"/>
          <w:spacing w:val="6"/>
          <w:sz w:val="30"/>
          <w:szCs w:val="30"/>
          <w:highlight w:val="none"/>
        </w:rPr>
        <w:t>三、价款：</w:t>
      </w:r>
    </w:p>
    <w:p w14:paraId="46463A8A">
      <w:pPr>
        <w:pStyle w:val="20"/>
        <w:spacing w:line="360" w:lineRule="auto"/>
        <w:ind w:firstLine="560"/>
        <w:rPr>
          <w:rFonts w:ascii="仿宋_GB2312" w:hAnsi="仿宋" w:eastAsia="仿宋_GB2312"/>
          <w:bCs/>
          <w:color w:val="auto"/>
          <w:sz w:val="30"/>
          <w:szCs w:val="30"/>
          <w:highlight w:val="none"/>
        </w:rPr>
      </w:pPr>
      <w:r>
        <w:rPr>
          <w:rFonts w:hint="eastAsia" w:ascii="仿宋_GB2312" w:hAnsi="仿宋" w:eastAsia="仿宋_GB2312"/>
          <w:bCs/>
          <w:color w:val="auto"/>
          <w:sz w:val="30"/>
          <w:szCs w:val="30"/>
          <w:highlight w:val="none"/>
        </w:rPr>
        <w:t>本合同总价款为人民币</w:t>
      </w:r>
      <w:r>
        <w:rPr>
          <w:rFonts w:hint="eastAsia" w:ascii="仿宋_GB2312" w:hAnsi="仿宋" w:eastAsia="仿宋_GB2312"/>
          <w:bCs/>
          <w:color w:val="auto"/>
          <w:sz w:val="30"/>
          <w:szCs w:val="30"/>
          <w:highlight w:val="none"/>
          <w:u w:val="single"/>
        </w:rPr>
        <w:t xml:space="preserve">         </w:t>
      </w:r>
      <w:r>
        <w:rPr>
          <w:rFonts w:hint="eastAsia" w:ascii="仿宋_GB2312" w:hAnsi="仿宋" w:eastAsia="仿宋_GB2312"/>
          <w:bCs/>
          <w:color w:val="auto"/>
          <w:sz w:val="30"/>
          <w:szCs w:val="30"/>
          <w:highlight w:val="none"/>
        </w:rPr>
        <w:t>元整（￥</w:t>
      </w:r>
      <w:r>
        <w:rPr>
          <w:rFonts w:hint="eastAsia" w:ascii="仿宋_GB2312" w:hAnsi="仿宋" w:eastAsia="仿宋_GB2312"/>
          <w:bCs/>
          <w:color w:val="auto"/>
          <w:sz w:val="30"/>
          <w:szCs w:val="30"/>
          <w:highlight w:val="none"/>
          <w:u w:val="single"/>
        </w:rPr>
        <w:t xml:space="preserve">    </w:t>
      </w:r>
      <w:r>
        <w:rPr>
          <w:rFonts w:hint="eastAsia" w:ascii="仿宋_GB2312" w:hAnsi="仿宋" w:eastAsia="仿宋_GB2312"/>
          <w:bCs/>
          <w:color w:val="auto"/>
          <w:sz w:val="30"/>
          <w:szCs w:val="30"/>
          <w:highlight w:val="none"/>
        </w:rPr>
        <w:t>元）。</w:t>
      </w:r>
    </w:p>
    <w:p w14:paraId="0F40A284">
      <w:pPr>
        <w:spacing w:line="360" w:lineRule="auto"/>
        <w:ind w:firstLine="600" w:firstLineChars="200"/>
        <w:rPr>
          <w:rFonts w:ascii="仿宋_GB2312" w:hAnsi="仿宋" w:eastAsia="仿宋_GB2312"/>
          <w:b/>
          <w:bCs/>
          <w:color w:val="auto"/>
          <w:sz w:val="30"/>
          <w:szCs w:val="30"/>
          <w:highlight w:val="none"/>
        </w:rPr>
      </w:pPr>
      <w:r>
        <w:rPr>
          <w:rFonts w:hint="eastAsia" w:ascii="仿宋_GB2312" w:hAnsi="仿宋" w:eastAsia="仿宋_GB2312"/>
          <w:color w:val="auto"/>
          <w:sz w:val="30"/>
          <w:szCs w:val="30"/>
          <w:highlight w:val="none"/>
        </w:rPr>
        <w:t>四、质量及专利权</w:t>
      </w:r>
    </w:p>
    <w:p w14:paraId="3DA76863">
      <w:pPr>
        <w:spacing w:line="360" w:lineRule="auto"/>
        <w:ind w:firstLine="600" w:firstLineChars="200"/>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１.乙方提供的标的物的技术参数必须符合该项目的采购文件的要求、乙方响应文件的承诺及乙方在评审过程中做出的澄清、说明或者补正内容。</w:t>
      </w:r>
    </w:p>
    <w:p w14:paraId="5A5C6DE9">
      <w:pPr>
        <w:widowControl/>
        <w:tabs>
          <w:tab w:val="left" w:pos="1080"/>
          <w:tab w:val="left" w:pos="1260"/>
        </w:tabs>
        <w:spacing w:line="360" w:lineRule="auto"/>
        <w:ind w:firstLine="600" w:firstLineChars="200"/>
        <w:jc w:val="left"/>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2.乙方应保证甲方在中华人民共和国境内使用其提供的标的物或标的物的任何一部分时，免受第三方提起的侵犯其专利权、商标权、著作权或其他产权纠纷，否则由乙方承担一切法律责任。</w:t>
      </w:r>
    </w:p>
    <w:p w14:paraId="26F17C95">
      <w:pPr>
        <w:pStyle w:val="20"/>
        <w:tabs>
          <w:tab w:val="left" w:pos="60"/>
        </w:tabs>
        <w:spacing w:line="360" w:lineRule="auto"/>
        <w:ind w:left="665"/>
        <w:rPr>
          <w:rFonts w:ascii="仿宋_GB2312" w:hAnsi="仿宋" w:eastAsia="仿宋_GB2312" w:cs="宋体"/>
          <w:color w:val="auto"/>
          <w:sz w:val="30"/>
          <w:szCs w:val="30"/>
          <w:highlight w:val="none"/>
        </w:rPr>
      </w:pPr>
      <w:r>
        <w:rPr>
          <w:rFonts w:hint="eastAsia" w:ascii="仿宋_GB2312" w:hAnsi="仿宋" w:eastAsia="仿宋_GB2312"/>
          <w:color w:val="auto"/>
          <w:sz w:val="30"/>
          <w:szCs w:val="30"/>
          <w:highlight w:val="none"/>
        </w:rPr>
        <w:t>3.质量保证期：</w:t>
      </w:r>
      <w:r>
        <w:rPr>
          <w:rFonts w:hint="eastAsia" w:ascii="仿宋_GB2312" w:hAnsi="仿宋" w:eastAsia="仿宋_GB2312"/>
          <w:color w:val="auto"/>
          <w:sz w:val="30"/>
          <w:szCs w:val="30"/>
          <w:highlight w:val="none"/>
          <w:u w:val="single"/>
        </w:rPr>
        <w:t xml:space="preserve">         </w:t>
      </w:r>
      <w:r>
        <w:rPr>
          <w:rFonts w:hint="eastAsia" w:ascii="仿宋_GB2312" w:hAnsi="仿宋" w:eastAsia="仿宋_GB2312"/>
          <w:color w:val="auto"/>
          <w:sz w:val="30"/>
          <w:szCs w:val="30"/>
          <w:highlight w:val="none"/>
        </w:rPr>
        <w:t>。</w:t>
      </w:r>
      <w:r>
        <w:rPr>
          <w:rFonts w:hint="eastAsia" w:ascii="仿宋_GB2312" w:hAnsi="仿宋" w:eastAsia="仿宋_GB2312" w:cs="宋体"/>
          <w:color w:val="auto"/>
          <w:sz w:val="30"/>
          <w:szCs w:val="30"/>
          <w:highlight w:val="none"/>
        </w:rPr>
        <w:t xml:space="preserve"> </w:t>
      </w:r>
    </w:p>
    <w:p w14:paraId="19451A0D">
      <w:pPr>
        <w:spacing w:line="360" w:lineRule="auto"/>
        <w:ind w:left="560"/>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五、供货地点及联系人：</w:t>
      </w:r>
    </w:p>
    <w:p w14:paraId="0B0527DD">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供货地点：甲方指定地点。</w:t>
      </w:r>
    </w:p>
    <w:p w14:paraId="5FD6F32B">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联系人：</w:t>
      </w:r>
      <w:r>
        <w:rPr>
          <w:rFonts w:hint="eastAsia" w:ascii="仿宋_GB2312" w:hAnsi="仿宋" w:eastAsia="仿宋_GB2312" w:cs="宋体"/>
          <w:color w:val="auto"/>
          <w:sz w:val="30"/>
          <w:szCs w:val="30"/>
          <w:highlight w:val="none"/>
          <w:u w:val="single"/>
        </w:rPr>
        <w:t xml:space="preserve"> </w:t>
      </w:r>
      <w:r>
        <w:rPr>
          <w:rFonts w:hint="eastAsia" w:ascii="仿宋_GB2312" w:hAnsi="仿宋" w:eastAsia="仿宋_GB2312" w:cs="宋体"/>
          <w:color w:val="auto"/>
          <w:sz w:val="30"/>
          <w:szCs w:val="30"/>
          <w:highlight w:val="none"/>
          <w:u w:val="single"/>
          <w:lang w:eastAsia="zh-CN"/>
        </w:rPr>
        <w:t>任康辉</w:t>
      </w:r>
      <w:r>
        <w:rPr>
          <w:rFonts w:hint="eastAsia" w:ascii="仿宋_GB2312" w:hAnsi="仿宋" w:eastAsia="仿宋_GB2312" w:cs="宋体"/>
          <w:color w:val="auto"/>
          <w:sz w:val="30"/>
          <w:szCs w:val="30"/>
          <w:highlight w:val="none"/>
        </w:rPr>
        <w:t>；</w:t>
      </w:r>
    </w:p>
    <w:p w14:paraId="543BA711">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联系电话：</w:t>
      </w:r>
      <w:r>
        <w:rPr>
          <w:rFonts w:hint="eastAsia" w:ascii="仿宋_GB2312" w:hAnsi="仿宋" w:eastAsia="仿宋_GB2312" w:cs="宋体"/>
          <w:color w:val="auto"/>
          <w:sz w:val="30"/>
          <w:szCs w:val="30"/>
          <w:highlight w:val="none"/>
          <w:u w:val="single"/>
        </w:rPr>
        <w:t xml:space="preserve"> </w:t>
      </w:r>
      <w:r>
        <w:rPr>
          <w:rFonts w:hint="eastAsia" w:ascii="仿宋_GB2312" w:hAnsi="仿宋" w:eastAsia="仿宋_GB2312" w:cs="宋体"/>
          <w:color w:val="auto"/>
          <w:sz w:val="30"/>
          <w:szCs w:val="30"/>
          <w:highlight w:val="none"/>
          <w:u w:val="single"/>
          <w:lang w:eastAsia="zh-CN"/>
        </w:rPr>
        <w:t>18561278337</w:t>
      </w:r>
      <w:r>
        <w:rPr>
          <w:rFonts w:hint="eastAsia" w:ascii="仿宋_GB2312" w:hAnsi="仿宋" w:eastAsia="仿宋_GB2312" w:cs="宋体"/>
          <w:color w:val="auto"/>
          <w:sz w:val="30"/>
          <w:szCs w:val="30"/>
          <w:highlight w:val="none"/>
        </w:rPr>
        <w:t>。</w:t>
      </w:r>
    </w:p>
    <w:p w14:paraId="0F8506FA">
      <w:pPr>
        <w:spacing w:line="360" w:lineRule="auto"/>
        <w:ind w:firstLine="525"/>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六、交货期： 。</w:t>
      </w:r>
    </w:p>
    <w:p w14:paraId="7D696974">
      <w:pPr>
        <w:spacing w:line="360" w:lineRule="auto"/>
        <w:ind w:firstLine="525"/>
        <w:rPr>
          <w:rFonts w:ascii="仿宋_GB2312" w:hAnsi="仿宋" w:eastAsia="仿宋_GB2312" w:cs="宋体"/>
          <w:color w:val="auto"/>
          <w:sz w:val="30"/>
          <w:szCs w:val="30"/>
          <w:highlight w:val="none"/>
        </w:rPr>
      </w:pPr>
      <w:r>
        <w:rPr>
          <w:rFonts w:hint="eastAsia" w:ascii="仿宋_GB2312" w:hAnsi="仿宋" w:eastAsia="仿宋_GB2312" w:cs="宋体"/>
          <w:b/>
          <w:color w:val="auto"/>
          <w:sz w:val="30"/>
          <w:szCs w:val="30"/>
          <w:highlight w:val="none"/>
        </w:rPr>
        <w:t>七、验收</w:t>
      </w:r>
    </w:p>
    <w:p w14:paraId="4FFF6FAA">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1、标的物应按照国家及有关部门的规定进行包装，以确保其安全无损地运抵交货地点。</w:t>
      </w:r>
    </w:p>
    <w:p w14:paraId="156BB596">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2、交货前，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6021F363">
      <w:pPr>
        <w:pStyle w:val="20"/>
        <w:tabs>
          <w:tab w:val="left" w:pos="720"/>
          <w:tab w:val="left" w:pos="900"/>
        </w:tabs>
        <w:spacing w:line="360" w:lineRule="auto"/>
        <w:ind w:left="50" w:leftChars="24" w:firstLine="590" w:firstLineChars="196"/>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八、付款：</w:t>
      </w:r>
    </w:p>
    <w:p w14:paraId="11830A23">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（1）本合同以人民币付款。</w:t>
      </w:r>
    </w:p>
    <w:p w14:paraId="6B28AD24">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 xml:space="preserve">（2）付款方式： </w:t>
      </w:r>
    </w:p>
    <w:p w14:paraId="12872269">
      <w:pPr>
        <w:pStyle w:val="20"/>
        <w:tabs>
          <w:tab w:val="left" w:pos="1040"/>
        </w:tabs>
        <w:spacing w:line="360" w:lineRule="auto"/>
        <w:ind w:left="50" w:firstLine="600" w:firstLineChars="200"/>
        <w:jc w:val="left"/>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（3）付款按以下资信办理</w:t>
      </w:r>
    </w:p>
    <w:p w14:paraId="653FD203">
      <w:pPr>
        <w:pStyle w:val="20"/>
        <w:tabs>
          <w:tab w:val="left" w:pos="1040"/>
        </w:tabs>
        <w:spacing w:line="360" w:lineRule="auto"/>
        <w:ind w:firstLine="1365" w:firstLineChars="455"/>
        <w:jc w:val="left"/>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收 款 人：</w:t>
      </w:r>
    </w:p>
    <w:p w14:paraId="5C689BF3">
      <w:pPr>
        <w:pStyle w:val="20"/>
        <w:tabs>
          <w:tab w:val="left" w:pos="1040"/>
        </w:tabs>
        <w:spacing w:line="360" w:lineRule="auto"/>
        <w:ind w:firstLine="1365" w:firstLineChars="455"/>
        <w:jc w:val="left"/>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开户银行：</w:t>
      </w:r>
    </w:p>
    <w:p w14:paraId="34339178">
      <w:pPr>
        <w:pStyle w:val="20"/>
        <w:tabs>
          <w:tab w:val="left" w:pos="1040"/>
        </w:tabs>
        <w:spacing w:line="360" w:lineRule="auto"/>
        <w:ind w:firstLine="1365" w:firstLineChars="455"/>
        <w:jc w:val="left"/>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银行账号：</w:t>
      </w:r>
    </w:p>
    <w:p w14:paraId="39607A6B">
      <w:pPr>
        <w:spacing w:line="360" w:lineRule="auto"/>
        <w:ind w:firstLine="1365" w:firstLineChars="455"/>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联 系 人：</w:t>
      </w:r>
    </w:p>
    <w:p w14:paraId="45451BD5">
      <w:pPr>
        <w:spacing w:line="360" w:lineRule="auto"/>
        <w:ind w:firstLine="1365" w:firstLineChars="455"/>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联系电话：</w:t>
      </w:r>
    </w:p>
    <w:p w14:paraId="0749A6BB">
      <w:pPr>
        <w:pStyle w:val="20"/>
        <w:spacing w:line="360" w:lineRule="auto"/>
        <w:ind w:left="50" w:firstLine="640"/>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九、售后服务：</w:t>
      </w:r>
    </w:p>
    <w:p w14:paraId="2F8DFA13">
      <w:pPr>
        <w:spacing w:line="360" w:lineRule="auto"/>
        <w:ind w:firstLine="600" w:firstLineChars="200"/>
        <w:rPr>
          <w:rFonts w:ascii="仿宋_GB2312" w:hAnsi="宋体" w:eastAsia="仿宋_GB2312"/>
          <w:color w:val="auto"/>
          <w:sz w:val="30"/>
          <w:szCs w:val="30"/>
          <w:highlight w:val="none"/>
        </w:rPr>
      </w:pPr>
      <w:r>
        <w:rPr>
          <w:rFonts w:hint="eastAsia" w:ascii="仿宋_GB2312" w:hAnsi="宋体" w:eastAsia="仿宋_GB2312"/>
          <w:color w:val="auto"/>
          <w:sz w:val="30"/>
          <w:szCs w:val="30"/>
          <w:highlight w:val="none"/>
        </w:rPr>
        <w:t>1.根据甲方需要，乙方应派技术人员现场服务，处理现场出现的技术问题。</w:t>
      </w:r>
    </w:p>
    <w:p w14:paraId="74BF6FD5">
      <w:pPr>
        <w:spacing w:line="360" w:lineRule="auto"/>
        <w:ind w:firstLine="600" w:firstLineChars="200"/>
        <w:rPr>
          <w:rFonts w:ascii="仿宋_GB2312" w:hAnsi="宋体" w:eastAsia="仿宋_GB2312"/>
          <w:color w:val="auto"/>
          <w:sz w:val="30"/>
          <w:szCs w:val="30"/>
          <w:highlight w:val="none"/>
        </w:rPr>
      </w:pPr>
      <w:r>
        <w:rPr>
          <w:rFonts w:hint="eastAsia" w:ascii="仿宋_GB2312" w:hAnsi="宋体" w:eastAsia="仿宋_GB2312"/>
          <w:color w:val="auto"/>
          <w:sz w:val="30"/>
          <w:szCs w:val="30"/>
          <w:highlight w:val="none"/>
        </w:rPr>
        <w:t>2.乙方要保证提供优质的售后服务，其服务必须达到或超过标的物生产厂提供的承诺。质保期内，免费负责三包（包退、包换、保修）。</w:t>
      </w:r>
    </w:p>
    <w:p w14:paraId="6F3242C6">
      <w:pPr>
        <w:widowControl/>
        <w:spacing w:line="360" w:lineRule="auto"/>
        <w:ind w:firstLine="600" w:firstLineChars="200"/>
        <w:jc w:val="left"/>
        <w:rPr>
          <w:rFonts w:ascii="仿宋_GB2312" w:hAnsi="宋体" w:eastAsia="仿宋_GB2312" w:cs="仿宋_GB2312"/>
          <w:color w:val="auto"/>
          <w:kern w:val="0"/>
          <w:sz w:val="30"/>
          <w:szCs w:val="30"/>
          <w:highlight w:val="none"/>
        </w:rPr>
      </w:pPr>
      <w:r>
        <w:rPr>
          <w:rFonts w:hint="eastAsia" w:ascii="仿宋_GB2312" w:hAnsi="宋体" w:eastAsia="仿宋_GB2312"/>
          <w:color w:val="auto"/>
          <w:kern w:val="0"/>
          <w:sz w:val="30"/>
          <w:szCs w:val="30"/>
          <w:highlight w:val="none"/>
        </w:rPr>
        <w:t>3.</w:t>
      </w:r>
      <w:r>
        <w:rPr>
          <w:rFonts w:hint="eastAsia" w:ascii="仿宋_GB2312" w:hAnsi="宋体" w:eastAsia="仿宋_GB2312" w:cs="仿宋_GB2312"/>
          <w:color w:val="auto"/>
          <w:kern w:val="0"/>
          <w:sz w:val="30"/>
          <w:szCs w:val="30"/>
          <w:highlight w:val="none"/>
        </w:rPr>
        <w:t>标的物出现问题时，无论质保期内外，乙方均须保证</w:t>
      </w:r>
      <w:r>
        <w:rPr>
          <w:rFonts w:hint="eastAsia" w:ascii="仿宋_GB2312" w:hAnsi="宋体" w:eastAsia="仿宋_GB2312" w:cs="仿宋_GB2312"/>
          <w:color w:val="auto"/>
          <w:kern w:val="0"/>
          <w:sz w:val="30"/>
          <w:szCs w:val="30"/>
          <w:highlight w:val="none"/>
          <w:u w:val="single"/>
        </w:rPr>
        <w:t xml:space="preserve">  </w:t>
      </w:r>
      <w:r>
        <w:rPr>
          <w:rFonts w:hint="eastAsia" w:ascii="仿宋_GB2312" w:hAnsi="宋体" w:eastAsia="仿宋_GB2312" w:cs="仿宋_GB2312"/>
          <w:color w:val="auto"/>
          <w:kern w:val="0"/>
          <w:sz w:val="30"/>
          <w:szCs w:val="30"/>
          <w:highlight w:val="none"/>
        </w:rPr>
        <w:t>分钟内响应甲方的要求，</w:t>
      </w:r>
      <w:r>
        <w:rPr>
          <w:rFonts w:hint="eastAsia" w:ascii="仿宋_GB2312" w:hAnsi="宋体" w:eastAsia="仿宋_GB2312" w:cs="仿宋_GB2312"/>
          <w:color w:val="auto"/>
          <w:kern w:val="0"/>
          <w:sz w:val="30"/>
          <w:szCs w:val="30"/>
          <w:highlight w:val="none"/>
          <w:u w:val="single"/>
        </w:rPr>
        <w:t xml:space="preserve">  </w:t>
      </w:r>
      <w:r>
        <w:rPr>
          <w:rFonts w:hint="eastAsia" w:ascii="仿宋_GB2312" w:hAnsi="宋体" w:eastAsia="仿宋_GB2312" w:cs="仿宋_GB2312"/>
          <w:color w:val="auto"/>
          <w:kern w:val="0"/>
          <w:sz w:val="30"/>
          <w:szCs w:val="30"/>
          <w:highlight w:val="none"/>
        </w:rPr>
        <w:t>小时内到达现场，</w:t>
      </w:r>
      <w:r>
        <w:rPr>
          <w:rFonts w:hint="eastAsia" w:ascii="仿宋_GB2312" w:hAnsi="宋体" w:eastAsia="仿宋_GB2312" w:cs="仿宋_GB2312"/>
          <w:color w:val="auto"/>
          <w:kern w:val="0"/>
          <w:sz w:val="30"/>
          <w:szCs w:val="30"/>
          <w:highlight w:val="none"/>
          <w:u w:val="single"/>
        </w:rPr>
        <w:t xml:space="preserve">  </w:t>
      </w:r>
      <w:r>
        <w:rPr>
          <w:rFonts w:hint="eastAsia" w:ascii="仿宋_GB2312" w:hAnsi="宋体" w:eastAsia="仿宋_GB2312" w:cs="仿宋_GB2312"/>
          <w:color w:val="auto"/>
          <w:kern w:val="0"/>
          <w:sz w:val="30"/>
          <w:szCs w:val="30"/>
          <w:highlight w:val="none"/>
        </w:rPr>
        <w:t>内完成修复，以保证甲方工作的正常进行。</w:t>
      </w:r>
    </w:p>
    <w:p w14:paraId="7638A4A1">
      <w:pPr>
        <w:widowControl/>
        <w:spacing w:line="360" w:lineRule="auto"/>
        <w:ind w:firstLine="600" w:firstLineChars="200"/>
        <w:jc w:val="left"/>
        <w:rPr>
          <w:rFonts w:ascii="仿宋_GB2312" w:hAnsi="宋体" w:eastAsia="仿宋_GB2312"/>
          <w:color w:val="auto"/>
          <w:szCs w:val="28"/>
          <w:highlight w:val="none"/>
        </w:rPr>
      </w:pPr>
      <w:r>
        <w:rPr>
          <w:rFonts w:hint="eastAsia" w:ascii="仿宋_GB2312" w:hAnsi="宋体" w:eastAsia="仿宋_GB2312"/>
          <w:color w:val="auto"/>
          <w:sz w:val="30"/>
          <w:szCs w:val="30"/>
          <w:highlight w:val="none"/>
        </w:rPr>
        <w:t>4.乙方应严格履行其在该项目的响应文件中所做出的承诺。</w:t>
      </w:r>
    </w:p>
    <w:p w14:paraId="7610BAAF">
      <w:pPr>
        <w:spacing w:line="360" w:lineRule="auto"/>
        <w:ind w:left="-10" w:firstLine="561"/>
        <w:rPr>
          <w:rFonts w:ascii="仿宋_GB2312" w:hAnsi="仿宋" w:eastAsia="仿宋_GB2312" w:cs="宋体"/>
          <w:b/>
          <w:color w:val="auto"/>
          <w:sz w:val="30"/>
          <w:szCs w:val="30"/>
          <w:highlight w:val="none"/>
        </w:rPr>
      </w:pPr>
      <w:r>
        <w:rPr>
          <w:rFonts w:hint="eastAsia" w:ascii="仿宋_GB2312" w:hAnsi="仿宋" w:eastAsia="仿宋_GB2312" w:cs="宋体"/>
          <w:b/>
          <w:color w:val="auto"/>
          <w:sz w:val="30"/>
          <w:szCs w:val="30"/>
          <w:highlight w:val="none"/>
        </w:rPr>
        <w:t>十、变更与修改</w:t>
      </w:r>
    </w:p>
    <w:p w14:paraId="7AD6B1B3">
      <w:pPr>
        <w:pStyle w:val="20"/>
        <w:spacing w:line="360" w:lineRule="auto"/>
        <w:ind w:left="50" w:firstLine="638"/>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乙方应严格按合同要求供货、安装、调试，未经甲方书面同意，乙方不得擅自就合同标的物的数量、质量、供货或完工日期、技术规格以及其他的合同条款进行变更、修改。</w:t>
      </w:r>
    </w:p>
    <w:p w14:paraId="196C100C">
      <w:pPr>
        <w:spacing w:line="360" w:lineRule="auto"/>
        <w:ind w:firstLine="602" w:firstLineChars="200"/>
        <w:rPr>
          <w:rFonts w:ascii="仿宋_GB2312" w:hAnsi="仿宋" w:eastAsia="仿宋_GB2312" w:cs="宋体"/>
          <w:color w:val="auto"/>
          <w:sz w:val="30"/>
          <w:szCs w:val="30"/>
          <w:highlight w:val="none"/>
        </w:rPr>
      </w:pPr>
      <w:r>
        <w:rPr>
          <w:rFonts w:hint="eastAsia" w:ascii="仿宋_GB2312" w:hAnsi="仿宋" w:eastAsia="仿宋_GB2312" w:cs="宋体"/>
          <w:b/>
          <w:color w:val="auto"/>
          <w:sz w:val="30"/>
          <w:szCs w:val="30"/>
          <w:highlight w:val="none"/>
        </w:rPr>
        <w:t>十一、</w:t>
      </w:r>
      <w:r>
        <w:rPr>
          <w:rFonts w:hint="eastAsia" w:ascii="仿宋_GB2312" w:hAnsi="仿宋" w:eastAsia="仿宋_GB2312" w:cs="宋体"/>
          <w:b/>
          <w:bCs/>
          <w:color w:val="auto"/>
          <w:sz w:val="30"/>
          <w:szCs w:val="30"/>
          <w:highlight w:val="none"/>
        </w:rPr>
        <w:t>合同解除：</w:t>
      </w:r>
    </w:p>
    <w:p w14:paraId="61B0651D">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有下列情况之一的，招标公司经甲方书面同意，可向乙方发出书面通知，解除本合同。</w:t>
      </w:r>
    </w:p>
    <w:p w14:paraId="4723F1AF">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（1）乙方未能在合同约定的限期内履行合同义务的；</w:t>
      </w:r>
    </w:p>
    <w:p w14:paraId="48FBB2D8">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（2）乙方没有按照合同约定的要求交付标的物，或标的物验收不合格的；</w:t>
      </w:r>
    </w:p>
    <w:p w14:paraId="7B08F45D">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（3）乙方未经书面同意部分转让或全部转让其应履行的合同义务；</w:t>
      </w:r>
    </w:p>
    <w:p w14:paraId="21938335">
      <w:pPr>
        <w:spacing w:line="360" w:lineRule="auto"/>
        <w:ind w:firstLine="602" w:firstLineChars="200"/>
        <w:rPr>
          <w:rFonts w:ascii="仿宋_GB2312" w:hAnsi="仿宋" w:eastAsia="仿宋_GB2312" w:cs="宋体"/>
          <w:b/>
          <w:bCs/>
          <w:color w:val="auto"/>
          <w:sz w:val="30"/>
          <w:szCs w:val="30"/>
          <w:highlight w:val="none"/>
        </w:rPr>
      </w:pPr>
      <w:r>
        <w:rPr>
          <w:rFonts w:hint="eastAsia" w:ascii="仿宋_GB2312" w:hAnsi="仿宋" w:eastAsia="仿宋_GB2312" w:cs="宋体"/>
          <w:b/>
          <w:bCs/>
          <w:color w:val="auto"/>
          <w:sz w:val="30"/>
          <w:szCs w:val="30"/>
          <w:highlight w:val="none"/>
        </w:rPr>
        <w:t>十二、违约赔偿：</w:t>
      </w:r>
    </w:p>
    <w:p w14:paraId="331D3FA1">
      <w:pPr>
        <w:spacing w:line="360" w:lineRule="auto"/>
        <w:ind w:firstLine="534"/>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1、除“不可抗力”外，乙方延期交货或验收不合格而造成的损失由乙方承担。“不可抗力”仅限于战争、严重火灾、洪水、台风、地震及甲方认可的其他事件。</w:t>
      </w:r>
    </w:p>
    <w:p w14:paraId="041EBFE2">
      <w:pPr>
        <w:spacing w:line="360" w:lineRule="auto"/>
        <w:ind w:firstLine="534"/>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2、乙方逾期交货的，除甲方书面同意的原因外，每逾期一日按照逾期交货部分合同价款的3‰向甲方交纳违约金，不足一日，按一日计算（下同）。</w:t>
      </w:r>
    </w:p>
    <w:p w14:paraId="2AB40404">
      <w:pPr>
        <w:spacing w:line="360" w:lineRule="auto"/>
        <w:ind w:firstLine="534"/>
        <w:rPr>
          <w:rFonts w:ascii="仿宋_GB2312" w:hAnsi="仿宋" w:eastAsia="仿宋_GB2312" w:cs="宋体"/>
          <w:b/>
          <w:bCs/>
          <w:color w:val="auto"/>
          <w:sz w:val="30"/>
          <w:szCs w:val="30"/>
          <w:highlight w:val="none"/>
        </w:rPr>
      </w:pPr>
      <w:r>
        <w:rPr>
          <w:rFonts w:hint="eastAsia" w:ascii="仿宋_GB2312" w:hAnsi="仿宋" w:eastAsia="仿宋_GB2312" w:cs="宋体"/>
          <w:b/>
          <w:bCs/>
          <w:color w:val="auto"/>
          <w:sz w:val="30"/>
          <w:szCs w:val="30"/>
          <w:highlight w:val="none"/>
        </w:rPr>
        <w:t>十三、争议解决：</w:t>
      </w:r>
    </w:p>
    <w:p w14:paraId="570AC8CC">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1、合同双方应通过友好协商，解决执行本合同中所发生的或与本合同有关的一切争议，如协商不成，可向合同签约地的人民法院提起诉讼；</w:t>
      </w:r>
    </w:p>
    <w:p w14:paraId="53C60E8D">
      <w:pPr>
        <w:spacing w:line="360" w:lineRule="auto"/>
        <w:ind w:firstLine="534"/>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2、在诉讼期间，本合同无争议的部分应继续执行。</w:t>
      </w:r>
    </w:p>
    <w:p w14:paraId="70292C42">
      <w:pPr>
        <w:spacing w:line="360" w:lineRule="auto"/>
        <w:ind w:firstLine="602" w:firstLineChars="200"/>
        <w:rPr>
          <w:rFonts w:ascii="仿宋_GB2312" w:hAnsi="仿宋" w:eastAsia="仿宋_GB2312" w:cs="宋体"/>
          <w:b/>
          <w:bCs/>
          <w:color w:val="auto"/>
          <w:sz w:val="30"/>
          <w:szCs w:val="30"/>
          <w:highlight w:val="none"/>
        </w:rPr>
      </w:pPr>
      <w:r>
        <w:rPr>
          <w:rFonts w:hint="eastAsia" w:ascii="仿宋_GB2312" w:hAnsi="仿宋" w:eastAsia="仿宋_GB2312" w:cs="宋体"/>
          <w:b/>
          <w:bCs/>
          <w:color w:val="auto"/>
          <w:sz w:val="30"/>
          <w:szCs w:val="30"/>
          <w:highlight w:val="none"/>
        </w:rPr>
        <w:t>十四、合同生效：</w:t>
      </w:r>
    </w:p>
    <w:p w14:paraId="7693D589">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本合同由双方代表签字或加盖双方公章或合同章后生效。</w:t>
      </w:r>
    </w:p>
    <w:p w14:paraId="2073E8D3">
      <w:pPr>
        <w:widowControl/>
        <w:spacing w:line="360" w:lineRule="auto"/>
        <w:ind w:firstLine="605" w:firstLineChars="201"/>
        <w:jc w:val="left"/>
        <w:rPr>
          <w:rFonts w:ascii="仿宋_GB2312" w:hAnsi="仿宋" w:eastAsia="仿宋_GB2312" w:cs="宋体"/>
          <w:color w:val="auto"/>
          <w:sz w:val="30"/>
          <w:szCs w:val="30"/>
          <w:highlight w:val="none"/>
          <w:shd w:val="pct10" w:color="auto" w:fill="FFFFFF"/>
        </w:rPr>
      </w:pPr>
      <w:r>
        <w:rPr>
          <w:rFonts w:hint="eastAsia" w:ascii="仿宋_GB2312" w:hAnsi="仿宋" w:eastAsia="仿宋_GB2312" w:cs="宋体"/>
          <w:b/>
          <w:bCs/>
          <w:color w:val="auto"/>
          <w:sz w:val="30"/>
          <w:szCs w:val="30"/>
          <w:highlight w:val="none"/>
        </w:rPr>
        <w:t>十五、签约地点：</w:t>
      </w:r>
      <w:r>
        <w:rPr>
          <w:rFonts w:hint="eastAsia" w:ascii="仿宋_GB2312" w:hAnsi="仿宋" w:eastAsia="仿宋_GB2312" w:cs="宋体"/>
          <w:color w:val="auto"/>
          <w:sz w:val="30"/>
          <w:szCs w:val="30"/>
          <w:highlight w:val="none"/>
        </w:rPr>
        <w:t>山东省乳山市。</w:t>
      </w:r>
    </w:p>
    <w:p w14:paraId="19B7AA77">
      <w:pPr>
        <w:spacing w:line="360" w:lineRule="auto"/>
        <w:ind w:firstLine="605" w:firstLineChars="201"/>
        <w:rPr>
          <w:rFonts w:ascii="仿宋_GB2312" w:hAnsi="仿宋" w:eastAsia="仿宋_GB2312" w:cs="宋体"/>
          <w:b/>
          <w:bCs/>
          <w:color w:val="auto"/>
          <w:sz w:val="30"/>
          <w:szCs w:val="30"/>
          <w:highlight w:val="none"/>
        </w:rPr>
      </w:pPr>
      <w:r>
        <w:rPr>
          <w:rFonts w:hint="eastAsia" w:ascii="仿宋_GB2312" w:hAnsi="仿宋" w:eastAsia="仿宋_GB2312" w:cs="宋体"/>
          <w:b/>
          <w:bCs/>
          <w:color w:val="auto"/>
          <w:sz w:val="30"/>
          <w:szCs w:val="30"/>
          <w:highlight w:val="none"/>
        </w:rPr>
        <w:t>十六、通知与送达</w:t>
      </w:r>
    </w:p>
    <w:p w14:paraId="36135978">
      <w:pPr>
        <w:spacing w:line="360" w:lineRule="auto"/>
        <w:ind w:firstLine="600" w:firstLineChars="200"/>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1F5C19F3">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双方地址与联系方式如下：</w:t>
      </w:r>
    </w:p>
    <w:p w14:paraId="2B5C5273">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如致甲方：【</w:t>
      </w:r>
      <w:r>
        <w:rPr>
          <w:rFonts w:hint="eastAsia" w:ascii="仿宋_GB2312" w:hAnsi="仿宋" w:eastAsia="仿宋_GB2312" w:cs="宋体"/>
          <w:color w:val="auto"/>
          <w:sz w:val="30"/>
          <w:szCs w:val="30"/>
          <w:highlight w:val="none"/>
          <w:lang w:eastAsia="zh-CN"/>
        </w:rPr>
        <w:t>任康辉</w:t>
      </w:r>
      <w:r>
        <w:rPr>
          <w:rFonts w:hint="eastAsia" w:ascii="仿宋_GB2312" w:hAnsi="仿宋" w:eastAsia="仿宋_GB2312" w:cs="宋体"/>
          <w:color w:val="auto"/>
          <w:sz w:val="30"/>
          <w:szCs w:val="30"/>
          <w:highlight w:val="none"/>
        </w:rPr>
        <w:t>】</w:t>
      </w:r>
    </w:p>
    <w:p w14:paraId="0FD3D115">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地址：【</w:t>
      </w:r>
      <w:r>
        <w:rPr>
          <w:rFonts w:hint="eastAsia" w:ascii="仿宋_GB2312" w:hAnsi="宋体" w:eastAsia="仿宋_GB2312"/>
          <w:color w:val="auto"/>
          <w:sz w:val="28"/>
          <w:szCs w:val="21"/>
          <w:highlight w:val="none"/>
          <w:lang w:eastAsia="zh-CN"/>
        </w:rPr>
        <w:t>山东省威海市乳山市深圳路8号</w:t>
      </w:r>
      <w:r>
        <w:rPr>
          <w:rFonts w:hint="eastAsia" w:ascii="仿宋_GB2312" w:hAnsi="仿宋" w:eastAsia="仿宋_GB2312" w:cs="宋体"/>
          <w:color w:val="auto"/>
          <w:sz w:val="30"/>
          <w:szCs w:val="30"/>
          <w:highlight w:val="none"/>
        </w:rPr>
        <w:t>】</w:t>
      </w:r>
    </w:p>
    <w:p w14:paraId="4C08DB29">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电话：【</w:t>
      </w:r>
      <w:r>
        <w:rPr>
          <w:rFonts w:hint="eastAsia" w:ascii="仿宋_GB2312" w:hAnsi="仿宋" w:eastAsia="仿宋_GB2312" w:cs="宋体"/>
          <w:color w:val="auto"/>
          <w:sz w:val="30"/>
          <w:szCs w:val="30"/>
          <w:highlight w:val="none"/>
          <w:lang w:eastAsia="zh-CN"/>
        </w:rPr>
        <w:t>18561278337</w:t>
      </w:r>
      <w:r>
        <w:rPr>
          <w:rFonts w:hint="eastAsia" w:ascii="仿宋_GB2312" w:hAnsi="仿宋" w:eastAsia="仿宋_GB2312" w:cs="宋体"/>
          <w:color w:val="auto"/>
          <w:sz w:val="30"/>
          <w:szCs w:val="30"/>
          <w:highlight w:val="none"/>
        </w:rPr>
        <w:t>】</w:t>
      </w:r>
    </w:p>
    <w:p w14:paraId="0ACC8725">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邮政编码：【】</w:t>
      </w:r>
    </w:p>
    <w:p w14:paraId="63694259">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如致乙方：</w:t>
      </w:r>
    </w:p>
    <w:p w14:paraId="58233B1B">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w:t>
      </w:r>
    </w:p>
    <w:p w14:paraId="5A9F4E6D">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地址：【】</w:t>
      </w:r>
    </w:p>
    <w:p w14:paraId="2C90A0B6">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电话：【】</w:t>
      </w:r>
    </w:p>
    <w:p w14:paraId="43723C49">
      <w:pPr>
        <w:spacing w:line="360" w:lineRule="auto"/>
        <w:rPr>
          <w:rFonts w:ascii="仿宋_GB2312" w:hAnsi="仿宋" w:eastAsia="仿宋_GB2312" w:cs="宋体"/>
          <w:color w:val="auto"/>
          <w:sz w:val="30"/>
          <w:szCs w:val="30"/>
          <w:highlight w:val="none"/>
        </w:rPr>
      </w:pPr>
      <w:r>
        <w:rPr>
          <w:rFonts w:hint="eastAsia" w:ascii="仿宋_GB2312" w:hAnsi="仿宋" w:eastAsia="仿宋_GB2312" w:cs="宋体"/>
          <w:color w:val="auto"/>
          <w:sz w:val="30"/>
          <w:szCs w:val="30"/>
          <w:highlight w:val="none"/>
        </w:rPr>
        <w:t>邮政编码：【】</w:t>
      </w:r>
    </w:p>
    <w:tbl>
      <w:tblPr>
        <w:tblStyle w:val="34"/>
        <w:tblW w:w="0" w:type="auto"/>
        <w:tblInd w:w="0" w:type="dxa"/>
        <w:tblLayout w:type="autofit"/>
        <w:tblCellMar>
          <w:top w:w="0" w:type="dxa"/>
          <w:left w:w="108" w:type="dxa"/>
          <w:bottom w:w="0" w:type="dxa"/>
          <w:right w:w="108" w:type="dxa"/>
        </w:tblCellMar>
      </w:tblPr>
      <w:tblGrid>
        <w:gridCol w:w="4984"/>
        <w:gridCol w:w="4984"/>
      </w:tblGrid>
      <w:tr w14:paraId="7AB38972">
        <w:trPr>
          <w:trHeight w:val="1064" w:hRule="atLeast"/>
        </w:trPr>
        <w:tc>
          <w:tcPr>
            <w:tcW w:w="5035" w:type="dxa"/>
          </w:tcPr>
          <w:p w14:paraId="107F9204">
            <w:pPr>
              <w:pStyle w:val="20"/>
              <w:rPr>
                <w:rFonts w:hint="eastAsia" w:ascii="仿宋_GB2312" w:hAnsi="仿宋" w:eastAsia="仿宋_GB2312" w:cs="宋体"/>
                <w:color w:val="auto"/>
                <w:sz w:val="30"/>
                <w:szCs w:val="30"/>
                <w:highlight w:val="none"/>
                <w:lang w:eastAsia="zh-CN"/>
              </w:rPr>
            </w:pPr>
            <w:r>
              <w:rPr>
                <w:rFonts w:hint="eastAsia" w:ascii="仿宋_GB2312" w:hAnsi="仿宋" w:eastAsia="仿宋_GB2312"/>
                <w:bCs/>
                <w:color w:val="auto"/>
                <w:sz w:val="30"/>
                <w:szCs w:val="30"/>
                <w:highlight w:val="none"/>
              </w:rPr>
              <w:t>甲方:</w:t>
            </w:r>
            <w:r>
              <w:rPr>
                <w:rFonts w:hint="eastAsia" w:ascii="仿宋_GB2312" w:hAnsi="仿宋" w:eastAsia="仿宋_GB2312"/>
                <w:bCs/>
                <w:color w:val="auto"/>
                <w:sz w:val="30"/>
                <w:szCs w:val="30"/>
                <w:highlight w:val="none"/>
                <w:lang w:eastAsia="zh-CN"/>
              </w:rPr>
              <w:t>乳山市市政建设工程有限公司</w:t>
            </w:r>
          </w:p>
        </w:tc>
        <w:tc>
          <w:tcPr>
            <w:tcW w:w="5035" w:type="dxa"/>
          </w:tcPr>
          <w:p w14:paraId="09116099">
            <w:pPr>
              <w:pStyle w:val="20"/>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乙方:</w:t>
            </w:r>
          </w:p>
        </w:tc>
      </w:tr>
      <w:tr w14:paraId="7D484F57">
        <w:tblPrEx>
          <w:tblCellMar>
            <w:top w:w="0" w:type="dxa"/>
            <w:left w:w="108" w:type="dxa"/>
            <w:bottom w:w="0" w:type="dxa"/>
            <w:right w:w="108" w:type="dxa"/>
          </w:tblCellMar>
        </w:tblPrEx>
        <w:trPr>
          <w:trHeight w:val="1681" w:hRule="atLeast"/>
        </w:trPr>
        <w:tc>
          <w:tcPr>
            <w:tcW w:w="5035" w:type="dxa"/>
          </w:tcPr>
          <w:p w14:paraId="54ACDFA3">
            <w:pPr>
              <w:pStyle w:val="20"/>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单位盖章:</w:t>
            </w:r>
          </w:p>
        </w:tc>
        <w:tc>
          <w:tcPr>
            <w:tcW w:w="5035" w:type="dxa"/>
          </w:tcPr>
          <w:p w14:paraId="070C488F">
            <w:pPr>
              <w:pStyle w:val="20"/>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单位盖章:</w:t>
            </w:r>
          </w:p>
        </w:tc>
      </w:tr>
      <w:tr w14:paraId="675A729E">
        <w:tblPrEx>
          <w:tblCellMar>
            <w:top w:w="0" w:type="dxa"/>
            <w:left w:w="108" w:type="dxa"/>
            <w:bottom w:w="0" w:type="dxa"/>
            <w:right w:w="108" w:type="dxa"/>
          </w:tblCellMar>
        </w:tblPrEx>
        <w:trPr>
          <w:trHeight w:val="1713" w:hRule="atLeast"/>
        </w:trPr>
        <w:tc>
          <w:tcPr>
            <w:tcW w:w="5035" w:type="dxa"/>
          </w:tcPr>
          <w:p w14:paraId="5A18C20D">
            <w:pPr>
              <w:pStyle w:val="20"/>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代表签字:</w:t>
            </w:r>
          </w:p>
        </w:tc>
        <w:tc>
          <w:tcPr>
            <w:tcW w:w="5035" w:type="dxa"/>
          </w:tcPr>
          <w:p w14:paraId="02D959E6">
            <w:pPr>
              <w:pStyle w:val="20"/>
              <w:rPr>
                <w:rFonts w:ascii="仿宋_GB2312" w:hAnsi="仿宋" w:eastAsia="仿宋_GB2312" w:cs="宋体"/>
                <w:color w:val="auto"/>
                <w:sz w:val="30"/>
                <w:szCs w:val="30"/>
                <w:highlight w:val="none"/>
              </w:rPr>
            </w:pPr>
            <w:r>
              <w:rPr>
                <w:rFonts w:hint="eastAsia" w:ascii="仿宋_GB2312" w:hAnsi="仿宋" w:eastAsia="仿宋_GB2312"/>
                <w:bCs/>
                <w:color w:val="auto"/>
                <w:sz w:val="30"/>
                <w:szCs w:val="30"/>
                <w:highlight w:val="none"/>
              </w:rPr>
              <w:t>代表签字:</w:t>
            </w:r>
          </w:p>
        </w:tc>
      </w:tr>
    </w:tbl>
    <w:p w14:paraId="13EBFBBC">
      <w:pPr>
        <w:pStyle w:val="20"/>
        <w:ind w:firstLine="560"/>
        <w:rPr>
          <w:rFonts w:ascii="仿宋_GB2312" w:hAnsi="仿宋" w:eastAsia="仿宋_GB2312" w:cs="宋体"/>
          <w:color w:val="auto"/>
          <w:sz w:val="30"/>
          <w:szCs w:val="30"/>
          <w:highlight w:val="none"/>
        </w:rPr>
      </w:pPr>
    </w:p>
    <w:p w14:paraId="5F2507BA">
      <w:pPr>
        <w:spacing w:line="560" w:lineRule="exact"/>
        <w:ind w:firstLine="560" w:firstLineChars="200"/>
        <w:jc w:val="center"/>
        <w:rPr>
          <w:rFonts w:ascii="仿宋_GB2312" w:hAnsi="宋体" w:eastAsia="仿宋_GB2312"/>
          <w:color w:val="auto"/>
          <w:sz w:val="28"/>
          <w:szCs w:val="28"/>
          <w:highlight w:val="none"/>
        </w:rPr>
        <w:sectPr>
          <w:footerReference r:id="rId21" w:type="default"/>
          <w:type w:val="continuous"/>
          <w:pgSz w:w="11906" w:h="16838"/>
          <w:pgMar w:top="1440" w:right="1077" w:bottom="1440" w:left="1077" w:header="851" w:footer="992" w:gutter="0"/>
          <w:cols w:space="720" w:num="1"/>
          <w:docGrid w:type="lines" w:linePitch="312" w:charSpace="0"/>
        </w:sectPr>
      </w:pPr>
    </w:p>
    <w:p w14:paraId="2AA65FC3">
      <w:pPr>
        <w:spacing w:line="560" w:lineRule="exact"/>
        <w:ind w:firstLine="560" w:firstLineChars="2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附表如下：</w:t>
      </w:r>
    </w:p>
    <w:tbl>
      <w:tblPr>
        <w:tblStyle w:val="34"/>
        <w:tblW w:w="5000"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16"/>
        <w:gridCol w:w="1233"/>
        <w:gridCol w:w="1460"/>
        <w:gridCol w:w="4215"/>
        <w:gridCol w:w="2231"/>
        <w:gridCol w:w="1338"/>
        <w:gridCol w:w="1474"/>
        <w:gridCol w:w="1407"/>
      </w:tblGrid>
      <w:tr w14:paraId="7A919D7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288" w:type="pct"/>
            <w:tcBorders>
              <w:top w:val="single" w:color="auto" w:sz="4" w:space="0"/>
            </w:tcBorders>
            <w:vAlign w:val="center"/>
          </w:tcPr>
          <w:p w14:paraId="4BB4729D">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序号</w:t>
            </w:r>
          </w:p>
        </w:tc>
        <w:tc>
          <w:tcPr>
            <w:tcW w:w="435" w:type="pct"/>
            <w:tcBorders>
              <w:top w:val="single" w:color="auto" w:sz="4" w:space="0"/>
            </w:tcBorders>
            <w:vAlign w:val="center"/>
          </w:tcPr>
          <w:p w14:paraId="649DC268">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货物内容</w:t>
            </w:r>
          </w:p>
        </w:tc>
        <w:tc>
          <w:tcPr>
            <w:tcW w:w="515" w:type="pct"/>
            <w:tcBorders>
              <w:top w:val="single" w:color="auto" w:sz="4" w:space="0"/>
              <w:right w:val="single" w:color="auto" w:sz="4" w:space="0"/>
            </w:tcBorders>
            <w:vAlign w:val="center"/>
          </w:tcPr>
          <w:p w14:paraId="1337F3AA">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品牌型号</w:t>
            </w:r>
          </w:p>
        </w:tc>
        <w:tc>
          <w:tcPr>
            <w:tcW w:w="1487" w:type="pct"/>
            <w:tcBorders>
              <w:top w:val="single" w:color="auto" w:sz="4" w:space="0"/>
            </w:tcBorders>
            <w:vAlign w:val="center"/>
          </w:tcPr>
          <w:p w14:paraId="648B791A">
            <w:pPr>
              <w:spacing w:line="560" w:lineRule="exact"/>
              <w:jc w:val="center"/>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详细配置</w:t>
            </w:r>
          </w:p>
        </w:tc>
        <w:tc>
          <w:tcPr>
            <w:tcW w:w="787" w:type="pct"/>
            <w:tcBorders>
              <w:top w:val="single" w:color="auto" w:sz="4" w:space="0"/>
            </w:tcBorders>
            <w:vAlign w:val="center"/>
          </w:tcPr>
          <w:p w14:paraId="55B1CB10">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生产厂家</w:t>
            </w:r>
          </w:p>
        </w:tc>
        <w:tc>
          <w:tcPr>
            <w:tcW w:w="472" w:type="pct"/>
            <w:tcBorders>
              <w:top w:val="single" w:color="auto" w:sz="4" w:space="0"/>
              <w:right w:val="single" w:color="auto" w:sz="4" w:space="0"/>
            </w:tcBorders>
            <w:vAlign w:val="center"/>
          </w:tcPr>
          <w:p w14:paraId="20C7FEE1">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数量</w:t>
            </w:r>
          </w:p>
        </w:tc>
        <w:tc>
          <w:tcPr>
            <w:tcW w:w="520" w:type="pct"/>
            <w:tcBorders>
              <w:top w:val="single" w:color="auto" w:sz="4" w:space="0"/>
              <w:left w:val="single" w:color="auto" w:sz="4" w:space="0"/>
              <w:right w:val="single" w:color="auto" w:sz="4" w:space="0"/>
            </w:tcBorders>
            <w:vAlign w:val="center"/>
          </w:tcPr>
          <w:p w14:paraId="3389BDF4">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单价（元）</w:t>
            </w:r>
          </w:p>
        </w:tc>
        <w:tc>
          <w:tcPr>
            <w:tcW w:w="496" w:type="pct"/>
            <w:tcBorders>
              <w:top w:val="single" w:color="auto" w:sz="4" w:space="0"/>
              <w:left w:val="single" w:color="auto" w:sz="4" w:space="0"/>
            </w:tcBorders>
            <w:vAlign w:val="center"/>
          </w:tcPr>
          <w:p w14:paraId="464906AB">
            <w:pPr>
              <w:spacing w:line="560" w:lineRule="exact"/>
              <w:rPr>
                <w:rFonts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总价（元）</w:t>
            </w:r>
          </w:p>
        </w:tc>
      </w:tr>
      <w:tr w14:paraId="03C174E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288" w:type="pct"/>
            <w:vAlign w:val="center"/>
          </w:tcPr>
          <w:p w14:paraId="3F52EC25">
            <w:pPr>
              <w:rPr>
                <w:rFonts w:ascii="仿宋_GB2312" w:hAnsi="宋体" w:eastAsia="仿宋_GB2312"/>
                <w:color w:val="auto"/>
                <w:sz w:val="24"/>
                <w:szCs w:val="24"/>
                <w:highlight w:val="none"/>
              </w:rPr>
            </w:pPr>
            <w:r>
              <w:rPr>
                <w:rFonts w:hint="eastAsia" w:ascii="仿宋_GB2312" w:hAnsi="宋体" w:eastAsia="仿宋_GB2312"/>
                <w:bCs/>
                <w:color w:val="auto"/>
                <w:sz w:val="24"/>
                <w:szCs w:val="24"/>
                <w:highlight w:val="none"/>
              </w:rPr>
              <w:t>0</w:t>
            </w:r>
          </w:p>
        </w:tc>
        <w:tc>
          <w:tcPr>
            <w:tcW w:w="435" w:type="pct"/>
            <w:vAlign w:val="center"/>
          </w:tcPr>
          <w:p w14:paraId="6B3A227A">
            <w:pPr>
              <w:rPr>
                <w:rFonts w:ascii="仿宋_GB2312" w:hAnsi="宋体" w:eastAsia="仿宋_GB2312"/>
                <w:color w:val="auto"/>
                <w:sz w:val="24"/>
                <w:szCs w:val="24"/>
                <w:highlight w:val="none"/>
              </w:rPr>
            </w:pPr>
          </w:p>
        </w:tc>
        <w:tc>
          <w:tcPr>
            <w:tcW w:w="515" w:type="pct"/>
            <w:tcBorders>
              <w:right w:val="single" w:color="auto" w:sz="4" w:space="0"/>
            </w:tcBorders>
            <w:vAlign w:val="center"/>
          </w:tcPr>
          <w:p w14:paraId="304996C3">
            <w:pPr>
              <w:rPr>
                <w:rFonts w:ascii="仿宋_GB2312" w:hAnsi="宋体" w:eastAsia="仿宋_GB2312"/>
                <w:color w:val="auto"/>
                <w:sz w:val="24"/>
                <w:szCs w:val="24"/>
                <w:highlight w:val="none"/>
              </w:rPr>
            </w:pPr>
          </w:p>
        </w:tc>
        <w:tc>
          <w:tcPr>
            <w:tcW w:w="1487" w:type="pct"/>
            <w:vAlign w:val="center"/>
          </w:tcPr>
          <w:p w14:paraId="122974CF">
            <w:pPr>
              <w:jc w:val="center"/>
              <w:rPr>
                <w:rFonts w:ascii="仿宋_GB2312" w:hAnsi="宋体" w:eastAsia="仿宋_GB2312"/>
                <w:bCs/>
                <w:color w:val="auto"/>
                <w:sz w:val="24"/>
                <w:szCs w:val="24"/>
                <w:highlight w:val="none"/>
              </w:rPr>
            </w:pPr>
          </w:p>
        </w:tc>
        <w:tc>
          <w:tcPr>
            <w:tcW w:w="787" w:type="pct"/>
            <w:vAlign w:val="center"/>
          </w:tcPr>
          <w:p w14:paraId="5B72E4FE">
            <w:pPr>
              <w:rPr>
                <w:rFonts w:ascii="仿宋_GB2312" w:hAnsi="宋体" w:eastAsia="仿宋_GB2312"/>
                <w:color w:val="auto"/>
                <w:sz w:val="24"/>
                <w:szCs w:val="24"/>
                <w:highlight w:val="none"/>
              </w:rPr>
            </w:pPr>
          </w:p>
        </w:tc>
        <w:tc>
          <w:tcPr>
            <w:tcW w:w="472" w:type="pct"/>
            <w:tcBorders>
              <w:right w:val="single" w:color="auto" w:sz="4" w:space="0"/>
            </w:tcBorders>
            <w:vAlign w:val="center"/>
          </w:tcPr>
          <w:p w14:paraId="61C7BC2A">
            <w:pPr>
              <w:rPr>
                <w:rFonts w:ascii="仿宋_GB2312" w:hAnsi="宋体" w:eastAsia="仿宋_GB2312"/>
                <w:color w:val="auto"/>
                <w:sz w:val="24"/>
                <w:szCs w:val="24"/>
                <w:highlight w:val="none"/>
              </w:rPr>
            </w:pPr>
          </w:p>
        </w:tc>
        <w:tc>
          <w:tcPr>
            <w:tcW w:w="520" w:type="pct"/>
            <w:tcBorders>
              <w:left w:val="single" w:color="auto" w:sz="4" w:space="0"/>
              <w:right w:val="single" w:color="auto" w:sz="4" w:space="0"/>
            </w:tcBorders>
            <w:vAlign w:val="center"/>
          </w:tcPr>
          <w:p w14:paraId="468A7392">
            <w:pPr>
              <w:rPr>
                <w:rFonts w:ascii="仿宋_GB2312" w:hAnsi="宋体" w:eastAsia="仿宋_GB2312"/>
                <w:color w:val="auto"/>
                <w:sz w:val="24"/>
                <w:szCs w:val="24"/>
                <w:highlight w:val="none"/>
              </w:rPr>
            </w:pPr>
          </w:p>
        </w:tc>
        <w:tc>
          <w:tcPr>
            <w:tcW w:w="496" w:type="pct"/>
            <w:tcBorders>
              <w:left w:val="single" w:color="auto" w:sz="4" w:space="0"/>
            </w:tcBorders>
            <w:vAlign w:val="center"/>
          </w:tcPr>
          <w:p w14:paraId="4880797C">
            <w:pPr>
              <w:rPr>
                <w:rFonts w:ascii="仿宋_GB2312" w:hAnsi="宋体" w:eastAsia="仿宋_GB2312"/>
                <w:color w:val="auto"/>
                <w:sz w:val="24"/>
                <w:szCs w:val="24"/>
                <w:highlight w:val="none"/>
              </w:rPr>
            </w:pPr>
          </w:p>
        </w:tc>
      </w:tr>
      <w:tr w14:paraId="63C1A50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61" w:hRule="atLeast"/>
          <w:jc w:val="center"/>
        </w:trPr>
        <w:tc>
          <w:tcPr>
            <w:tcW w:w="4504" w:type="pct"/>
            <w:gridSpan w:val="7"/>
            <w:vAlign w:val="center"/>
          </w:tcPr>
          <w:p w14:paraId="2FAE4FC8">
            <w:pPr>
              <w:rPr>
                <w:rFonts w:ascii="仿宋_GB2312" w:hAnsi="宋体" w:eastAsia="仿宋_GB2312"/>
                <w:color w:val="auto"/>
                <w:sz w:val="24"/>
                <w:szCs w:val="24"/>
                <w:highlight w:val="none"/>
              </w:rPr>
            </w:pPr>
            <w:r>
              <w:rPr>
                <w:rFonts w:hint="eastAsia" w:ascii="仿宋_GB2312" w:hAnsi="宋体" w:eastAsia="仿宋_GB2312"/>
                <w:b/>
                <w:bCs/>
                <w:color w:val="auto"/>
                <w:sz w:val="24"/>
                <w:szCs w:val="24"/>
                <w:highlight w:val="none"/>
              </w:rPr>
              <w:t>本表总计</w:t>
            </w:r>
          </w:p>
        </w:tc>
        <w:tc>
          <w:tcPr>
            <w:tcW w:w="496" w:type="pct"/>
            <w:tcBorders>
              <w:left w:val="single" w:color="auto" w:sz="4" w:space="0"/>
            </w:tcBorders>
            <w:vAlign w:val="center"/>
          </w:tcPr>
          <w:p w14:paraId="4D377649">
            <w:pPr>
              <w:rPr>
                <w:rFonts w:ascii="仿宋_GB2312" w:hAnsi="宋体" w:eastAsia="仿宋_GB2312"/>
                <w:color w:val="auto"/>
                <w:sz w:val="24"/>
                <w:szCs w:val="24"/>
                <w:highlight w:val="none"/>
              </w:rPr>
            </w:pPr>
            <w:r>
              <w:rPr>
                <w:rFonts w:hint="eastAsia" w:ascii="仿宋_GB2312" w:hAnsi="宋体" w:eastAsia="仿宋_GB2312"/>
                <w:b/>
                <w:bCs/>
                <w:color w:val="auto"/>
                <w:sz w:val="24"/>
                <w:szCs w:val="24"/>
                <w:highlight w:val="none"/>
              </w:rPr>
              <w:t>0</w:t>
            </w:r>
          </w:p>
        </w:tc>
      </w:tr>
    </w:tbl>
    <w:p w14:paraId="16E628C9">
      <w:pPr>
        <w:spacing w:line="560" w:lineRule="exact"/>
        <w:rPr>
          <w:rFonts w:ascii="仿宋_GB2312" w:hAnsi="宋体" w:eastAsia="仿宋_GB2312"/>
          <w:bCs/>
          <w:color w:val="auto"/>
          <w:sz w:val="28"/>
          <w:szCs w:val="28"/>
          <w:highlight w:val="none"/>
        </w:rPr>
      </w:pPr>
      <w:r>
        <w:rPr>
          <w:rFonts w:hint="eastAsia" w:ascii="仿宋_GB2312" w:hAnsi="宋体" w:eastAsia="仿宋_GB2312"/>
          <w:bCs/>
          <w:color w:val="auto"/>
          <w:sz w:val="28"/>
          <w:szCs w:val="28"/>
          <w:highlight w:val="none"/>
        </w:rPr>
        <w:t xml:space="preserve"> </w:t>
      </w:r>
    </w:p>
    <w:p w14:paraId="16B775EC">
      <w:pPr>
        <w:rPr>
          <w:color w:val="auto"/>
          <w:highlight w:val="none"/>
        </w:rPr>
      </w:pPr>
    </w:p>
    <w:p w14:paraId="17339C7A">
      <w:pPr>
        <w:rPr>
          <w:color w:val="auto"/>
          <w:highlight w:val="none"/>
        </w:rPr>
      </w:pPr>
    </w:p>
    <w:p w14:paraId="3206C193">
      <w:pPr>
        <w:rPr>
          <w:color w:val="auto"/>
          <w:highlight w:val="none"/>
        </w:rPr>
      </w:pPr>
    </w:p>
    <w:p w14:paraId="483CE24B">
      <w:pPr>
        <w:rPr>
          <w:color w:val="auto"/>
          <w:highlight w:val="none"/>
        </w:rPr>
        <w:sectPr>
          <w:pgSz w:w="16838" w:h="11906" w:orient="landscape"/>
          <w:pgMar w:top="1077" w:right="1440" w:bottom="1077" w:left="1440" w:header="851" w:footer="992" w:gutter="0"/>
          <w:cols w:space="720" w:num="1"/>
          <w:docGrid w:type="lines" w:linePitch="312" w:charSpace="0"/>
        </w:sectPr>
      </w:pPr>
    </w:p>
    <w:p w14:paraId="62C2326F">
      <w:pPr>
        <w:rPr>
          <w:color w:val="auto"/>
          <w:highlight w:val="none"/>
        </w:rPr>
      </w:pPr>
    </w:p>
    <w:sectPr>
      <w:type w:val="continuous"/>
      <w:pgSz w:w="16838" w:h="11906" w:orient="landscape"/>
      <w:pgMar w:top="1077" w:right="1440" w:bottom="1077" w:left="144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F68A9879-EDB9-404F-8E39-5AF68949D22F}"/>
  </w:font>
  <w:font w:name="黑体">
    <w:panose1 w:val="02010609060101010101"/>
    <w:charset w:val="86"/>
    <w:family w:val="auto"/>
    <w:pitch w:val="default"/>
    <w:sig w:usb0="800002BF" w:usb1="38CF7CFA" w:usb2="00000016" w:usb3="00000000" w:csb0="00040001" w:csb1="00000000"/>
    <w:embedRegular r:id="rId2" w:fontKey="{DE4B28F1-C83E-4301-9236-2B176C89072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27A1FEE3-3675-4109-BD82-4D360B684538}"/>
  </w:font>
  <w:font w:name="等线">
    <w:panose1 w:val="02010600030101010101"/>
    <w:charset w:val="86"/>
    <w:family w:val="auto"/>
    <w:pitch w:val="default"/>
    <w:sig w:usb0="A00002BF" w:usb1="38CF7CFA" w:usb2="00000016" w:usb3="00000000" w:csb0="0004000F" w:csb1="00000000"/>
    <w:embedRegular r:id="rId4" w:fontKey="{2627E714-899B-4E86-8D99-B5E315121685}"/>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embedRegular r:id="rId5" w:fontKey="{EA9436C5-017A-415E-938A-55C69AA78389}"/>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auto"/>
    <w:pitch w:val="default"/>
    <w:sig w:usb0="00000001" w:usb1="080E0000" w:usb2="00000000" w:usb3="00000000" w:csb0="00040000" w:csb1="00000000"/>
    <w:embedRegular r:id="rId6" w:fontKey="{6A96E0AB-5360-48A0-B671-F32EF7399DE5}"/>
  </w:font>
  <w:font w:name="仿宋">
    <w:panose1 w:val="02010609060101010101"/>
    <w:charset w:val="86"/>
    <w:family w:val="modern"/>
    <w:pitch w:val="default"/>
    <w:sig w:usb0="800002BF" w:usb1="38CF7CFA" w:usb2="00000016" w:usb3="00000000" w:csb0="00040001" w:csb1="00000000"/>
    <w:embedRegular r:id="rId7" w:fontKey="{CD8E7BC2-2546-478E-AE56-5A51272BCA03}"/>
  </w:font>
  <w:font w:name="方正楷体简体">
    <w:panose1 w:val="02000000000000000000"/>
    <w:charset w:val="86"/>
    <w:family w:val="auto"/>
    <w:pitch w:val="default"/>
    <w:sig w:usb0="A00002BF" w:usb1="184F6CFA" w:usb2="00000012" w:usb3="00000000" w:csb0="00040001" w:csb1="00000000"/>
    <w:embedRegular r:id="rId8" w:fontKey="{18201046-1C7B-4F6E-89D6-1EEF37095C56}"/>
  </w:font>
  <w:font w:name="楷体_GB2312">
    <w:altName w:val="楷体"/>
    <w:panose1 w:val="02010609030101010101"/>
    <w:charset w:val="86"/>
    <w:family w:val="modern"/>
    <w:pitch w:val="default"/>
    <w:sig w:usb0="00000000" w:usb1="00000000" w:usb2="00000000" w:usb3="00000000" w:csb0="00040000" w:csb1="00000000"/>
    <w:embedRegular r:id="rId9" w:fontKey="{2F081183-A68E-4A5F-9AE5-2442C36A6DB7}"/>
  </w:font>
  <w:font w:name="楷体">
    <w:panose1 w:val="02010609060101010101"/>
    <w:charset w:val="86"/>
    <w:family w:val="auto"/>
    <w:pitch w:val="default"/>
    <w:sig w:usb0="800002BF" w:usb1="38CF7CFA" w:usb2="00000016" w:usb3="00000000" w:csb0="00040001" w:csb1="00000000"/>
  </w:font>
  <w:font w:name="KSOFF9CC612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F90DA2">
    <w:pPr>
      <w:jc w:val="center"/>
    </w:pPr>
    <w:r>
      <w:fldChar w:fldCharType="begin"/>
    </w:r>
    <w:r>
      <w:instrText xml:space="preserve"> PAGE   \* MERGEFORMAT </w:instrText>
    </w:r>
    <w:r>
      <w:fldChar w:fldCharType="separate"/>
    </w:r>
    <w:r>
      <w:t>2</w:t>
    </w:r>
    <w:r>
      <w:rPr>
        <w:lang w:val="zh-C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B56CFA">
    <w:pPr>
      <w:jc w:val="center"/>
    </w:pPr>
    <w:r>
      <w:fldChar w:fldCharType="begin"/>
    </w:r>
    <w:r>
      <w:instrText xml:space="preserve"> PAGE   \* MERGEFORMAT </w:instrText>
    </w:r>
    <w:r>
      <w:fldChar w:fldCharType="separate"/>
    </w:r>
    <w:r>
      <w:t>1</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CD710F">
    <w:pPr>
      <w:pStyle w:val="24"/>
      <w:ind w:left="420" w:hanging="420"/>
      <w:jc w:val="center"/>
    </w:pPr>
    <w:r>
      <w:fldChar w:fldCharType="begin"/>
    </w:r>
    <w:r>
      <w:instrText xml:space="preserve">PAGE   \* MERGEFORMAT</w:instrText>
    </w:r>
    <w:r>
      <w:fldChar w:fldCharType="separate"/>
    </w:r>
    <w:r>
      <w:rPr>
        <w:lang w:val="zh-CN"/>
      </w:rPr>
      <w:t>2</w:t>
    </w:r>
    <w:r>
      <w:fldChar w:fldCharType="end"/>
    </w:r>
  </w:p>
  <w:p w14:paraId="05771B34"/>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45D481">
    <w:pPr>
      <w:jc w:val="center"/>
    </w:pPr>
    <w:r>
      <w:fldChar w:fldCharType="begin"/>
    </w:r>
    <w:r>
      <w:instrText xml:space="preserve"> PAGE   \* MERGEFORMAT </w:instrText>
    </w:r>
    <w:r>
      <w:fldChar w:fldCharType="separate"/>
    </w:r>
    <w:r>
      <w:t>56</w:t>
    </w:r>
    <w:r>
      <w:rPr>
        <w:lang w:val="zh-C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1AC848">
    <w:pPr>
      <w:pStyle w:val="24"/>
      <w:jc w:val="center"/>
    </w:pPr>
    <w:r>
      <w:fldChar w:fldCharType="begin"/>
    </w:r>
    <w:r>
      <w:instrText xml:space="preserve">PAGE   \* MERGEFORMAT</w:instrText>
    </w:r>
    <w:r>
      <w:fldChar w:fldCharType="separate"/>
    </w:r>
    <w:r>
      <w:rPr>
        <w:lang w:val="zh-CN"/>
      </w:rPr>
      <w:t>2</w:t>
    </w:r>
    <w:r>
      <w:fldChar w:fldCharType="end"/>
    </w:r>
  </w:p>
  <w:p w14:paraId="1A823718">
    <w:pPr>
      <w:pStyle w:val="24"/>
      <w:tabs>
        <w:tab w:val="clear" w:pos="4153"/>
        <w:tab w:val="clear" w:pos="8306"/>
      </w:tabs>
      <w:rPr>
        <w:rFonts w:ascii="宋体" w:hAnsi="宋体"/>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5D3AEE">
    <w:pPr>
      <w:jc w:val="center"/>
    </w:pPr>
    <w:r>
      <w:fldChar w:fldCharType="begin"/>
    </w:r>
    <w:r>
      <w:instrText xml:space="preserve"> PAGE   \* MERGEFORMAT </w:instrText>
    </w:r>
    <w:r>
      <w:fldChar w:fldCharType="separate"/>
    </w:r>
    <w:r>
      <w:t>68</w:t>
    </w:r>
    <w:r>
      <w:rPr>
        <w:lang w:val="zh-CN"/>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844633"/>
  <w:p w14:paraId="7285FF8C">
    <w:pPr>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086CD7">
    <w:pPr>
      <w:pStyle w:val="24"/>
      <w:jc w:val="center"/>
    </w:pPr>
    <w:r>
      <w:fldChar w:fldCharType="begin"/>
    </w:r>
    <w:r>
      <w:instrText xml:space="preserve">PAGE   \* MERGEFORMAT</w:instrText>
    </w:r>
    <w:r>
      <w:fldChar w:fldCharType="separate"/>
    </w:r>
    <w:r>
      <w:rPr>
        <w:rFonts w:hint="eastAsia"/>
        <w:lang w:val="zh-CN"/>
      </w:rPr>
      <w:t>7</w:t>
    </w:r>
    <w:r>
      <w:rPr>
        <w:lang w:val="zh-CN"/>
      </w:rPr>
      <w:fldChar w:fldCharType="end"/>
    </w:r>
  </w:p>
  <w:p w14:paraId="39443D16">
    <w:pPr>
      <w:pStyle w:val="13"/>
      <w:spacing w:line="14" w:lineRule="auto"/>
      <w:jc w:val="center"/>
      <w:rPr>
        <w:sz w:val="20"/>
        <w:szCs w:val="2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4226DD">
    <w:pPr>
      <w:spacing w:after="120" w:afterLines="50" w:line="360" w:lineRule="auto"/>
      <w:jc w:val="left"/>
      <w:rPr>
        <w:rFonts w:ascii="方正小标宋简体" w:hAnsi="黑体" w:eastAsia="方正小标宋简体"/>
        <w:color w:val="80808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C11398"/>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9390E">
    <w:pPr>
      <w:tabs>
        <w:tab w:val="left" w:pos="3135"/>
      </w:tabs>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A03C9B">
    <w:pPr>
      <w:pStyle w:val="2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43393">
    <w:pPr>
      <w:pStyle w:val="2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4DD602">
    <w:pPr>
      <w:pStyle w:val="25"/>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93EA3C">
    <w:pPr>
      <w:pStyle w:val="25"/>
      <w:jc w:val="both"/>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7E0C73">
    <w:pPr>
      <w:pStyle w:val="25"/>
      <w:pBdr>
        <w:bottom w:val="none" w:color="auto" w:sz="0" w:space="0"/>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270728">
    <w:pPr>
      <w:pStyle w:val="25"/>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04CE9D">
    <w:pPr>
      <w:pStyle w:val="25"/>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4D6EE3"/>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B3B"/>
    <w:rsid w:val="00004509"/>
    <w:rsid w:val="0006593B"/>
    <w:rsid w:val="00066DC0"/>
    <w:rsid w:val="00081DC3"/>
    <w:rsid w:val="00095DA2"/>
    <w:rsid w:val="000E1096"/>
    <w:rsid w:val="00134CDC"/>
    <w:rsid w:val="001A31B6"/>
    <w:rsid w:val="001D5DD6"/>
    <w:rsid w:val="00263B3B"/>
    <w:rsid w:val="002A529D"/>
    <w:rsid w:val="00302AAD"/>
    <w:rsid w:val="00356352"/>
    <w:rsid w:val="003E30B9"/>
    <w:rsid w:val="004123D2"/>
    <w:rsid w:val="0043339C"/>
    <w:rsid w:val="004B5521"/>
    <w:rsid w:val="004F7A61"/>
    <w:rsid w:val="00514BFC"/>
    <w:rsid w:val="00524419"/>
    <w:rsid w:val="00525664"/>
    <w:rsid w:val="00544C00"/>
    <w:rsid w:val="00576774"/>
    <w:rsid w:val="0059528B"/>
    <w:rsid w:val="00612CA9"/>
    <w:rsid w:val="006208A5"/>
    <w:rsid w:val="00693C16"/>
    <w:rsid w:val="006C11F2"/>
    <w:rsid w:val="006C16DB"/>
    <w:rsid w:val="006E4D65"/>
    <w:rsid w:val="007333B8"/>
    <w:rsid w:val="0076321E"/>
    <w:rsid w:val="00781E15"/>
    <w:rsid w:val="007B4E47"/>
    <w:rsid w:val="007C0BBA"/>
    <w:rsid w:val="007C5C0D"/>
    <w:rsid w:val="008E5743"/>
    <w:rsid w:val="00921853"/>
    <w:rsid w:val="00934A11"/>
    <w:rsid w:val="00945DD6"/>
    <w:rsid w:val="00954E82"/>
    <w:rsid w:val="00A072A4"/>
    <w:rsid w:val="00A3106A"/>
    <w:rsid w:val="00A3269B"/>
    <w:rsid w:val="00A4374B"/>
    <w:rsid w:val="00A70D97"/>
    <w:rsid w:val="00AB7711"/>
    <w:rsid w:val="00AC79CB"/>
    <w:rsid w:val="00AD0A0D"/>
    <w:rsid w:val="00B746A9"/>
    <w:rsid w:val="00B813D2"/>
    <w:rsid w:val="00BD2457"/>
    <w:rsid w:val="00BE4FD9"/>
    <w:rsid w:val="00C13F1B"/>
    <w:rsid w:val="00C83406"/>
    <w:rsid w:val="00C91EC9"/>
    <w:rsid w:val="00CE2B00"/>
    <w:rsid w:val="00D56EF1"/>
    <w:rsid w:val="00D733D3"/>
    <w:rsid w:val="00DF7166"/>
    <w:rsid w:val="00E006CA"/>
    <w:rsid w:val="00E169D2"/>
    <w:rsid w:val="00E24A6C"/>
    <w:rsid w:val="00E35E1F"/>
    <w:rsid w:val="00E40AB8"/>
    <w:rsid w:val="00E544BA"/>
    <w:rsid w:val="00E90025"/>
    <w:rsid w:val="00EB02DD"/>
    <w:rsid w:val="00EB1E84"/>
    <w:rsid w:val="00EE60C0"/>
    <w:rsid w:val="00F015A7"/>
    <w:rsid w:val="00F212C6"/>
    <w:rsid w:val="00F55BB8"/>
    <w:rsid w:val="00F61AF3"/>
    <w:rsid w:val="00F92CA3"/>
    <w:rsid w:val="00F967F6"/>
    <w:rsid w:val="00FC31FD"/>
    <w:rsid w:val="00FF37FD"/>
    <w:rsid w:val="0A6461C7"/>
    <w:rsid w:val="0ABB4D47"/>
    <w:rsid w:val="1CAC5CD3"/>
    <w:rsid w:val="1E59000C"/>
    <w:rsid w:val="28CD65D8"/>
    <w:rsid w:val="2B4D3342"/>
    <w:rsid w:val="413E4331"/>
    <w:rsid w:val="42B15B0D"/>
    <w:rsid w:val="42C11821"/>
    <w:rsid w:val="4F344AEC"/>
    <w:rsid w:val="5D441C96"/>
    <w:rsid w:val="63BA47E8"/>
    <w:rsid w:val="64067F39"/>
    <w:rsid w:val="6A590DE0"/>
    <w:rsid w:val="6C500C0A"/>
    <w:rsid w:val="721310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99"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99"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4">
    <w:name w:val="heading 1"/>
    <w:basedOn w:val="1"/>
    <w:next w:val="1"/>
    <w:link w:val="42"/>
    <w:qFormat/>
    <w:uiPriority w:val="0"/>
    <w:pPr>
      <w:keepNext/>
      <w:keepLines/>
      <w:spacing w:before="340" w:after="330" w:line="578" w:lineRule="auto"/>
      <w:outlineLvl w:val="0"/>
    </w:pPr>
    <w:rPr>
      <w:b/>
      <w:bCs/>
      <w:kern w:val="44"/>
      <w:sz w:val="44"/>
      <w:szCs w:val="44"/>
    </w:rPr>
  </w:style>
  <w:style w:type="paragraph" w:styleId="5">
    <w:name w:val="heading 2"/>
    <w:basedOn w:val="1"/>
    <w:next w:val="1"/>
    <w:link w:val="43"/>
    <w:qFormat/>
    <w:uiPriority w:val="0"/>
    <w:pPr>
      <w:keepNext/>
      <w:keepLines/>
      <w:spacing w:before="260" w:after="260" w:line="416" w:lineRule="auto"/>
      <w:outlineLvl w:val="1"/>
    </w:pPr>
    <w:rPr>
      <w:rFonts w:ascii="Cambria" w:hAnsi="Cambria"/>
      <w:b/>
      <w:bCs/>
      <w:kern w:val="0"/>
      <w:sz w:val="28"/>
      <w:szCs w:val="28"/>
    </w:rPr>
  </w:style>
  <w:style w:type="paragraph" w:styleId="6">
    <w:name w:val="heading 3"/>
    <w:basedOn w:val="1"/>
    <w:next w:val="1"/>
    <w:link w:val="44"/>
    <w:qFormat/>
    <w:uiPriority w:val="0"/>
    <w:pPr>
      <w:keepNext/>
      <w:keepLines/>
      <w:spacing w:before="260" w:after="260" w:line="416" w:lineRule="auto"/>
      <w:outlineLvl w:val="2"/>
    </w:pPr>
    <w:rPr>
      <w:b/>
      <w:bCs/>
      <w:kern w:val="0"/>
      <w:sz w:val="32"/>
      <w:szCs w:val="32"/>
    </w:rPr>
  </w:style>
  <w:style w:type="paragraph" w:styleId="7">
    <w:name w:val="heading 4"/>
    <w:basedOn w:val="1"/>
    <w:next w:val="1"/>
    <w:link w:val="45"/>
    <w:qFormat/>
    <w:uiPriority w:val="0"/>
    <w:pPr>
      <w:keepNext/>
      <w:keepLines/>
      <w:spacing w:before="280" w:after="290" w:line="376" w:lineRule="auto"/>
      <w:outlineLvl w:val="3"/>
    </w:pPr>
    <w:rPr>
      <w:rFonts w:ascii="Cambria" w:hAnsi="Cambria"/>
      <w:b/>
      <w:bCs/>
      <w:kern w:val="0"/>
      <w:sz w:val="28"/>
      <w:szCs w:val="28"/>
    </w:rPr>
  </w:style>
  <w:style w:type="paragraph" w:styleId="8">
    <w:name w:val="heading 5"/>
    <w:basedOn w:val="1"/>
    <w:next w:val="1"/>
    <w:link w:val="46"/>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9">
    <w:name w:val="heading 6"/>
    <w:basedOn w:val="1"/>
    <w:next w:val="1"/>
    <w:link w:val="47"/>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10">
    <w:name w:val="heading 7"/>
    <w:basedOn w:val="1"/>
    <w:next w:val="1"/>
    <w:link w:val="48"/>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1">
    <w:name w:val="heading 8"/>
    <w:basedOn w:val="1"/>
    <w:next w:val="1"/>
    <w:link w:val="49"/>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2">
    <w:name w:val="heading 9"/>
    <w:basedOn w:val="1"/>
    <w:next w:val="1"/>
    <w:link w:val="50"/>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6">
    <w:name w:val="Default Paragraph Font"/>
    <w:semiHidden/>
    <w:unhideWhenUsed/>
    <w:qFormat/>
    <w:uiPriority w:val="1"/>
  </w:style>
  <w:style w:type="table" w:default="1" w:styleId="34">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link w:val="66"/>
    <w:unhideWhenUsed/>
    <w:qFormat/>
    <w:uiPriority w:val="99"/>
    <w:pPr>
      <w:spacing w:after="120"/>
      <w:ind w:left="420" w:leftChars="200" w:firstLine="420" w:firstLineChars="200"/>
    </w:pPr>
    <w:rPr>
      <w:kern w:val="2"/>
      <w:sz w:val="21"/>
      <w:szCs w:val="22"/>
    </w:rPr>
  </w:style>
  <w:style w:type="paragraph" w:styleId="3">
    <w:name w:val="Body Text Indent"/>
    <w:basedOn w:val="1"/>
    <w:link w:val="55"/>
    <w:qFormat/>
    <w:uiPriority w:val="99"/>
    <w:pPr>
      <w:ind w:firstLine="600"/>
    </w:pPr>
    <w:rPr>
      <w:kern w:val="0"/>
      <w:sz w:val="20"/>
      <w:szCs w:val="20"/>
    </w:rPr>
  </w:style>
  <w:style w:type="paragraph" w:styleId="13">
    <w:name w:val="Normal Indent"/>
    <w:basedOn w:val="1"/>
    <w:link w:val="51"/>
    <w:qFormat/>
    <w:uiPriority w:val="0"/>
    <w:pPr>
      <w:ind w:firstLine="420"/>
    </w:pPr>
    <w:rPr>
      <w:szCs w:val="21"/>
    </w:rPr>
  </w:style>
  <w:style w:type="paragraph" w:styleId="14">
    <w:name w:val="List Bullet"/>
    <w:basedOn w:val="1"/>
    <w:qFormat/>
    <w:uiPriority w:val="0"/>
    <w:pPr>
      <w:tabs>
        <w:tab w:val="left" w:pos="360"/>
      </w:tabs>
      <w:ind w:left="360" w:hanging="200" w:hangingChars="200"/>
    </w:pPr>
    <w:rPr>
      <w:szCs w:val="21"/>
    </w:rPr>
  </w:style>
  <w:style w:type="paragraph" w:styleId="15">
    <w:name w:val="Document Map"/>
    <w:basedOn w:val="1"/>
    <w:link w:val="52"/>
    <w:qFormat/>
    <w:uiPriority w:val="0"/>
    <w:rPr>
      <w:rFonts w:ascii="宋体"/>
      <w:sz w:val="18"/>
      <w:szCs w:val="18"/>
    </w:rPr>
  </w:style>
  <w:style w:type="paragraph" w:styleId="16">
    <w:name w:val="annotation text"/>
    <w:basedOn w:val="1"/>
    <w:link w:val="53"/>
    <w:qFormat/>
    <w:uiPriority w:val="0"/>
    <w:pPr>
      <w:jc w:val="left"/>
    </w:pPr>
    <w:rPr>
      <w:kern w:val="0"/>
      <w:sz w:val="28"/>
      <w:szCs w:val="28"/>
    </w:rPr>
  </w:style>
  <w:style w:type="paragraph" w:styleId="17">
    <w:name w:val="Body Text"/>
    <w:basedOn w:val="1"/>
    <w:link w:val="54"/>
    <w:qFormat/>
    <w:uiPriority w:val="0"/>
    <w:pPr>
      <w:spacing w:line="420" w:lineRule="auto"/>
    </w:pPr>
    <w:rPr>
      <w:kern w:val="0"/>
      <w:sz w:val="24"/>
      <w:szCs w:val="24"/>
    </w:rPr>
  </w:style>
  <w:style w:type="paragraph" w:styleId="18">
    <w:name w:val="Block Text"/>
    <w:basedOn w:val="1"/>
    <w:qFormat/>
    <w:uiPriority w:val="0"/>
    <w:pPr>
      <w:autoSpaceDE w:val="0"/>
      <w:autoSpaceDN w:val="0"/>
      <w:adjustRightInd w:val="0"/>
      <w:spacing w:line="500" w:lineRule="exact"/>
      <w:ind w:left="391" w:right="246"/>
    </w:pPr>
    <w:rPr>
      <w:rFonts w:ascii="仿宋_GB2312" w:eastAsia="仿宋_GB2312" w:cs="仿宋_GB2312"/>
      <w:kern w:val="0"/>
      <w:sz w:val="24"/>
      <w:szCs w:val="24"/>
    </w:rPr>
  </w:style>
  <w:style w:type="paragraph" w:styleId="19">
    <w:name w:val="toc 3"/>
    <w:basedOn w:val="1"/>
    <w:next w:val="1"/>
    <w:qFormat/>
    <w:uiPriority w:val="0"/>
    <w:pPr>
      <w:ind w:left="840" w:leftChars="400"/>
    </w:pPr>
    <w:rPr>
      <w:szCs w:val="21"/>
    </w:rPr>
  </w:style>
  <w:style w:type="paragraph" w:styleId="20">
    <w:name w:val="Plain Text"/>
    <w:basedOn w:val="1"/>
    <w:link w:val="56"/>
    <w:qFormat/>
    <w:uiPriority w:val="0"/>
    <w:rPr>
      <w:rFonts w:ascii="宋体" w:hAnsi="Courier New"/>
      <w:kern w:val="0"/>
      <w:szCs w:val="21"/>
    </w:rPr>
  </w:style>
  <w:style w:type="paragraph" w:styleId="21">
    <w:name w:val="Date"/>
    <w:basedOn w:val="1"/>
    <w:next w:val="1"/>
    <w:link w:val="57"/>
    <w:qFormat/>
    <w:uiPriority w:val="0"/>
    <w:pPr>
      <w:ind w:left="100" w:leftChars="2500"/>
    </w:pPr>
    <w:rPr>
      <w:rFonts w:eastAsia="等线"/>
      <w:szCs w:val="21"/>
    </w:rPr>
  </w:style>
  <w:style w:type="paragraph" w:styleId="22">
    <w:name w:val="Body Text Indent 2"/>
    <w:basedOn w:val="1"/>
    <w:link w:val="58"/>
    <w:qFormat/>
    <w:uiPriority w:val="0"/>
    <w:pPr>
      <w:spacing w:after="120" w:line="480" w:lineRule="auto"/>
      <w:ind w:left="420" w:leftChars="200"/>
    </w:pPr>
    <w:rPr>
      <w:rFonts w:eastAsia="等线"/>
      <w:szCs w:val="21"/>
    </w:rPr>
  </w:style>
  <w:style w:type="paragraph" w:styleId="23">
    <w:name w:val="Balloon Text"/>
    <w:basedOn w:val="1"/>
    <w:link w:val="59"/>
    <w:qFormat/>
    <w:uiPriority w:val="0"/>
    <w:rPr>
      <w:kern w:val="0"/>
      <w:sz w:val="18"/>
      <w:szCs w:val="18"/>
    </w:rPr>
  </w:style>
  <w:style w:type="paragraph" w:styleId="24">
    <w:name w:val="footer"/>
    <w:basedOn w:val="1"/>
    <w:link w:val="60"/>
    <w:qFormat/>
    <w:uiPriority w:val="99"/>
    <w:pPr>
      <w:tabs>
        <w:tab w:val="center" w:pos="4153"/>
        <w:tab w:val="right" w:pos="8306"/>
      </w:tabs>
      <w:snapToGrid w:val="0"/>
      <w:jc w:val="left"/>
    </w:pPr>
    <w:rPr>
      <w:kern w:val="0"/>
      <w:sz w:val="18"/>
      <w:szCs w:val="18"/>
    </w:rPr>
  </w:style>
  <w:style w:type="paragraph" w:styleId="25">
    <w:name w:val="header"/>
    <w:basedOn w:val="1"/>
    <w:link w:val="61"/>
    <w:qFormat/>
    <w:uiPriority w:val="0"/>
    <w:pPr>
      <w:pBdr>
        <w:bottom w:val="single" w:color="auto" w:sz="6" w:space="1"/>
      </w:pBdr>
      <w:tabs>
        <w:tab w:val="center" w:pos="4153"/>
        <w:tab w:val="right" w:pos="8306"/>
      </w:tabs>
      <w:snapToGrid w:val="0"/>
      <w:jc w:val="center"/>
    </w:pPr>
    <w:rPr>
      <w:kern w:val="0"/>
      <w:sz w:val="18"/>
      <w:szCs w:val="18"/>
    </w:rPr>
  </w:style>
  <w:style w:type="paragraph" w:styleId="26">
    <w:name w:val="toc 1"/>
    <w:basedOn w:val="1"/>
    <w:next w:val="1"/>
    <w:qFormat/>
    <w:uiPriority w:val="0"/>
    <w:rPr>
      <w:szCs w:val="21"/>
    </w:rPr>
  </w:style>
  <w:style w:type="paragraph" w:styleId="27">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8">
    <w:name w:val="Body Text Indent 3"/>
    <w:basedOn w:val="1"/>
    <w:link w:val="62"/>
    <w:qFormat/>
    <w:uiPriority w:val="0"/>
    <w:pPr>
      <w:spacing w:after="120"/>
      <w:ind w:left="420" w:leftChars="200"/>
    </w:pPr>
    <w:rPr>
      <w:kern w:val="0"/>
      <w:sz w:val="16"/>
      <w:szCs w:val="16"/>
    </w:rPr>
  </w:style>
  <w:style w:type="paragraph" w:styleId="29">
    <w:name w:val="Body Text 2"/>
    <w:basedOn w:val="1"/>
    <w:link w:val="63"/>
    <w:qFormat/>
    <w:uiPriority w:val="0"/>
    <w:pPr>
      <w:spacing w:after="120" w:line="480" w:lineRule="auto"/>
    </w:pPr>
    <w:rPr>
      <w:kern w:val="0"/>
      <w:sz w:val="24"/>
      <w:szCs w:val="24"/>
    </w:rPr>
  </w:style>
  <w:style w:type="paragraph" w:styleId="30">
    <w:name w:val="Normal (Web)"/>
    <w:basedOn w:val="1"/>
    <w:qFormat/>
    <w:uiPriority w:val="0"/>
    <w:rPr>
      <w:sz w:val="24"/>
      <w:szCs w:val="24"/>
    </w:rPr>
  </w:style>
  <w:style w:type="paragraph" w:styleId="31">
    <w:name w:val="index 1"/>
    <w:basedOn w:val="1"/>
    <w:next w:val="1"/>
    <w:unhideWhenUsed/>
    <w:qFormat/>
    <w:uiPriority w:val="99"/>
  </w:style>
  <w:style w:type="paragraph" w:styleId="32">
    <w:name w:val="Title"/>
    <w:basedOn w:val="1"/>
    <w:next w:val="1"/>
    <w:link w:val="64"/>
    <w:qFormat/>
    <w:uiPriority w:val="0"/>
    <w:pPr>
      <w:spacing w:before="240" w:after="60"/>
      <w:jc w:val="center"/>
      <w:outlineLvl w:val="0"/>
    </w:pPr>
    <w:rPr>
      <w:rFonts w:ascii="Cambria" w:hAnsi="Cambria"/>
      <w:b/>
      <w:bCs/>
      <w:kern w:val="0"/>
      <w:sz w:val="32"/>
      <w:szCs w:val="32"/>
    </w:rPr>
  </w:style>
  <w:style w:type="paragraph" w:styleId="33">
    <w:name w:val="annotation subject"/>
    <w:basedOn w:val="16"/>
    <w:next w:val="16"/>
    <w:link w:val="65"/>
    <w:qFormat/>
    <w:uiPriority w:val="0"/>
    <w:rPr>
      <w:rFonts w:eastAsia="等线"/>
      <w:b/>
      <w:bCs/>
      <w:kern w:val="2"/>
      <w:sz w:val="24"/>
      <w:szCs w:val="24"/>
    </w:rPr>
  </w:style>
  <w:style w:type="table" w:styleId="35">
    <w:name w:val="Table Grid"/>
    <w:basedOn w:val="34"/>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7">
    <w:name w:val="Strong"/>
    <w:qFormat/>
    <w:uiPriority w:val="0"/>
    <w:rPr>
      <w:b/>
      <w:bCs/>
    </w:rPr>
  </w:style>
  <w:style w:type="character" w:styleId="38">
    <w:name w:val="page number"/>
    <w:qFormat/>
    <w:uiPriority w:val="0"/>
  </w:style>
  <w:style w:type="character" w:styleId="39">
    <w:name w:val="FollowedHyperlink"/>
    <w:qFormat/>
    <w:uiPriority w:val="99"/>
    <w:rPr>
      <w:color w:val="800080"/>
      <w:u w:val="single"/>
    </w:rPr>
  </w:style>
  <w:style w:type="character" w:styleId="40">
    <w:name w:val="Hyperlink"/>
    <w:qFormat/>
    <w:uiPriority w:val="0"/>
    <w:rPr>
      <w:color w:val="0000FF"/>
      <w:u w:val="single"/>
    </w:rPr>
  </w:style>
  <w:style w:type="character" w:styleId="41">
    <w:name w:val="annotation reference"/>
    <w:qFormat/>
    <w:uiPriority w:val="0"/>
    <w:rPr>
      <w:sz w:val="21"/>
      <w:szCs w:val="21"/>
    </w:rPr>
  </w:style>
  <w:style w:type="character" w:customStyle="1" w:styleId="42">
    <w:name w:val="标题 1 字符"/>
    <w:link w:val="4"/>
    <w:qFormat/>
    <w:uiPriority w:val="0"/>
    <w:rPr>
      <w:rFonts w:ascii="Times New Roman" w:hAnsi="Times New Roman" w:eastAsia="宋体" w:cs="Times New Roman"/>
      <w:b/>
      <w:bCs/>
      <w:kern w:val="44"/>
      <w:sz w:val="44"/>
      <w:szCs w:val="44"/>
    </w:rPr>
  </w:style>
  <w:style w:type="character" w:customStyle="1" w:styleId="43">
    <w:name w:val="标题 2 字符"/>
    <w:link w:val="5"/>
    <w:qFormat/>
    <w:uiPriority w:val="0"/>
    <w:rPr>
      <w:rFonts w:ascii="Cambria" w:hAnsi="Cambria" w:eastAsia="宋体" w:cs="Times New Roman"/>
      <w:b/>
      <w:bCs/>
      <w:kern w:val="0"/>
      <w:sz w:val="28"/>
      <w:szCs w:val="28"/>
    </w:rPr>
  </w:style>
  <w:style w:type="character" w:customStyle="1" w:styleId="44">
    <w:name w:val="标题 3 字符"/>
    <w:link w:val="6"/>
    <w:qFormat/>
    <w:uiPriority w:val="0"/>
    <w:rPr>
      <w:rFonts w:ascii="Times New Roman" w:hAnsi="Times New Roman" w:eastAsia="宋体" w:cs="Times New Roman"/>
      <w:b/>
      <w:bCs/>
      <w:kern w:val="0"/>
      <w:sz w:val="32"/>
      <w:szCs w:val="32"/>
    </w:rPr>
  </w:style>
  <w:style w:type="character" w:customStyle="1" w:styleId="45">
    <w:name w:val="标题 4 字符"/>
    <w:link w:val="7"/>
    <w:qFormat/>
    <w:uiPriority w:val="0"/>
    <w:rPr>
      <w:rFonts w:ascii="Cambria" w:hAnsi="Cambria" w:eastAsia="宋体" w:cs="Times New Roman"/>
      <w:b/>
      <w:bCs/>
      <w:kern w:val="0"/>
      <w:sz w:val="28"/>
      <w:szCs w:val="28"/>
    </w:rPr>
  </w:style>
  <w:style w:type="character" w:customStyle="1" w:styleId="46">
    <w:name w:val="标题 5 字符"/>
    <w:link w:val="8"/>
    <w:qFormat/>
    <w:uiPriority w:val="0"/>
    <w:rPr>
      <w:rFonts w:ascii="Times New Roman" w:hAnsi="Times New Roman" w:eastAsia="宋体" w:cs="Times New Roman"/>
      <w:b/>
      <w:bCs/>
      <w:kern w:val="0"/>
      <w:sz w:val="28"/>
      <w:szCs w:val="28"/>
    </w:rPr>
  </w:style>
  <w:style w:type="character" w:customStyle="1" w:styleId="47">
    <w:name w:val="标题 6 字符"/>
    <w:link w:val="9"/>
    <w:qFormat/>
    <w:uiPriority w:val="9"/>
    <w:rPr>
      <w:rFonts w:ascii="Arial" w:hAnsi="Arial" w:eastAsia="黑体" w:cs="Times New Roman"/>
      <w:b/>
      <w:bCs/>
      <w:kern w:val="0"/>
      <w:sz w:val="24"/>
      <w:szCs w:val="24"/>
    </w:rPr>
  </w:style>
  <w:style w:type="character" w:customStyle="1" w:styleId="48">
    <w:name w:val="标题 7 字符"/>
    <w:link w:val="10"/>
    <w:qFormat/>
    <w:uiPriority w:val="0"/>
    <w:rPr>
      <w:rFonts w:ascii="Times New Roman" w:hAnsi="Times New Roman" w:eastAsia="宋体" w:cs="Times New Roman"/>
      <w:b/>
      <w:bCs/>
      <w:kern w:val="0"/>
      <w:sz w:val="24"/>
      <w:szCs w:val="24"/>
    </w:rPr>
  </w:style>
  <w:style w:type="character" w:customStyle="1" w:styleId="49">
    <w:name w:val="标题 8 字符"/>
    <w:link w:val="11"/>
    <w:qFormat/>
    <w:uiPriority w:val="0"/>
    <w:rPr>
      <w:rFonts w:ascii="Arial" w:hAnsi="Arial" w:eastAsia="黑体" w:cs="Times New Roman"/>
      <w:kern w:val="0"/>
      <w:sz w:val="24"/>
      <w:szCs w:val="24"/>
    </w:rPr>
  </w:style>
  <w:style w:type="character" w:customStyle="1" w:styleId="50">
    <w:name w:val="标题 9 字符"/>
    <w:link w:val="12"/>
    <w:qFormat/>
    <w:uiPriority w:val="0"/>
    <w:rPr>
      <w:rFonts w:ascii="Arial" w:hAnsi="Arial" w:eastAsia="黑体" w:cs="Times New Roman"/>
      <w:kern w:val="0"/>
      <w:sz w:val="20"/>
      <w:szCs w:val="20"/>
    </w:rPr>
  </w:style>
  <w:style w:type="character" w:customStyle="1" w:styleId="51">
    <w:name w:val="正文缩进 字符"/>
    <w:link w:val="13"/>
    <w:qFormat/>
    <w:locked/>
    <w:uiPriority w:val="0"/>
    <w:rPr>
      <w:rFonts w:ascii="Times New Roman" w:hAnsi="Times New Roman" w:eastAsia="宋体" w:cs="Times New Roman"/>
      <w:szCs w:val="21"/>
    </w:rPr>
  </w:style>
  <w:style w:type="character" w:customStyle="1" w:styleId="52">
    <w:name w:val="文档结构图 字符"/>
    <w:link w:val="15"/>
    <w:qFormat/>
    <w:uiPriority w:val="0"/>
    <w:rPr>
      <w:rFonts w:ascii="宋体" w:hAnsi="Times New Roman" w:eastAsia="宋体" w:cs="Times New Roman"/>
      <w:sz w:val="18"/>
      <w:szCs w:val="18"/>
    </w:rPr>
  </w:style>
  <w:style w:type="character" w:customStyle="1" w:styleId="53">
    <w:name w:val="批注文字 字符"/>
    <w:link w:val="16"/>
    <w:qFormat/>
    <w:uiPriority w:val="0"/>
    <w:rPr>
      <w:rFonts w:ascii="Times New Roman" w:hAnsi="Times New Roman" w:eastAsia="宋体" w:cs="Times New Roman"/>
      <w:kern w:val="0"/>
      <w:sz w:val="28"/>
      <w:szCs w:val="28"/>
    </w:rPr>
  </w:style>
  <w:style w:type="character" w:customStyle="1" w:styleId="54">
    <w:name w:val="正文文本 字符"/>
    <w:link w:val="17"/>
    <w:qFormat/>
    <w:uiPriority w:val="0"/>
    <w:rPr>
      <w:rFonts w:ascii="Times New Roman" w:hAnsi="Times New Roman" w:eastAsia="宋体" w:cs="Times New Roman"/>
      <w:kern w:val="0"/>
      <w:sz w:val="24"/>
      <w:szCs w:val="24"/>
    </w:rPr>
  </w:style>
  <w:style w:type="character" w:customStyle="1" w:styleId="55">
    <w:name w:val="正文文本缩进 字符"/>
    <w:link w:val="3"/>
    <w:qFormat/>
    <w:uiPriority w:val="99"/>
    <w:rPr>
      <w:rFonts w:ascii="Times New Roman" w:hAnsi="Times New Roman" w:eastAsia="宋体" w:cs="Times New Roman"/>
      <w:kern w:val="0"/>
      <w:sz w:val="20"/>
      <w:szCs w:val="20"/>
    </w:rPr>
  </w:style>
  <w:style w:type="character" w:customStyle="1" w:styleId="56">
    <w:name w:val="纯文本 字符"/>
    <w:link w:val="20"/>
    <w:qFormat/>
    <w:uiPriority w:val="0"/>
    <w:rPr>
      <w:rFonts w:ascii="宋体" w:hAnsi="Courier New" w:eastAsia="宋体" w:cs="Times New Roman"/>
      <w:kern w:val="0"/>
      <w:szCs w:val="21"/>
    </w:rPr>
  </w:style>
  <w:style w:type="character" w:customStyle="1" w:styleId="57">
    <w:name w:val="日期 字符"/>
    <w:link w:val="21"/>
    <w:qFormat/>
    <w:locked/>
    <w:uiPriority w:val="0"/>
    <w:rPr>
      <w:rFonts w:ascii="Times New Roman" w:hAnsi="Times New Roman"/>
      <w:szCs w:val="21"/>
    </w:rPr>
  </w:style>
  <w:style w:type="character" w:customStyle="1" w:styleId="58">
    <w:name w:val="正文文本缩进 2 字符"/>
    <w:link w:val="22"/>
    <w:qFormat/>
    <w:locked/>
    <w:uiPriority w:val="0"/>
    <w:rPr>
      <w:rFonts w:ascii="Times New Roman" w:hAnsi="Times New Roman"/>
      <w:szCs w:val="21"/>
    </w:rPr>
  </w:style>
  <w:style w:type="character" w:customStyle="1" w:styleId="59">
    <w:name w:val="批注框文本 字符"/>
    <w:link w:val="23"/>
    <w:qFormat/>
    <w:uiPriority w:val="0"/>
    <w:rPr>
      <w:rFonts w:ascii="Times New Roman" w:hAnsi="Times New Roman" w:eastAsia="宋体" w:cs="Times New Roman"/>
      <w:kern w:val="0"/>
      <w:sz w:val="18"/>
      <w:szCs w:val="18"/>
    </w:rPr>
  </w:style>
  <w:style w:type="character" w:customStyle="1" w:styleId="60">
    <w:name w:val="页脚 字符"/>
    <w:link w:val="24"/>
    <w:qFormat/>
    <w:uiPriority w:val="99"/>
    <w:rPr>
      <w:rFonts w:ascii="Times New Roman" w:hAnsi="Times New Roman" w:eastAsia="宋体" w:cs="Times New Roman"/>
      <w:kern w:val="0"/>
      <w:sz w:val="18"/>
      <w:szCs w:val="18"/>
    </w:rPr>
  </w:style>
  <w:style w:type="character" w:customStyle="1" w:styleId="61">
    <w:name w:val="页眉 字符"/>
    <w:link w:val="25"/>
    <w:qFormat/>
    <w:uiPriority w:val="0"/>
    <w:rPr>
      <w:rFonts w:ascii="Times New Roman" w:hAnsi="Times New Roman" w:eastAsia="宋体" w:cs="Times New Roman"/>
      <w:kern w:val="0"/>
      <w:sz w:val="18"/>
      <w:szCs w:val="18"/>
    </w:rPr>
  </w:style>
  <w:style w:type="character" w:customStyle="1" w:styleId="62">
    <w:name w:val="正文文本缩进 3 字符"/>
    <w:link w:val="28"/>
    <w:qFormat/>
    <w:uiPriority w:val="0"/>
    <w:rPr>
      <w:rFonts w:ascii="Times New Roman" w:hAnsi="Times New Roman" w:eastAsia="宋体" w:cs="Times New Roman"/>
      <w:kern w:val="0"/>
      <w:sz w:val="16"/>
      <w:szCs w:val="16"/>
    </w:rPr>
  </w:style>
  <w:style w:type="character" w:customStyle="1" w:styleId="63">
    <w:name w:val="正文文本 2 字符"/>
    <w:link w:val="29"/>
    <w:qFormat/>
    <w:uiPriority w:val="0"/>
    <w:rPr>
      <w:rFonts w:ascii="Times New Roman" w:hAnsi="Times New Roman" w:eastAsia="宋体" w:cs="Times New Roman"/>
      <w:kern w:val="0"/>
      <w:sz w:val="24"/>
      <w:szCs w:val="24"/>
    </w:rPr>
  </w:style>
  <w:style w:type="character" w:customStyle="1" w:styleId="64">
    <w:name w:val="标题 字符"/>
    <w:link w:val="32"/>
    <w:qFormat/>
    <w:uiPriority w:val="0"/>
    <w:rPr>
      <w:rFonts w:ascii="Cambria" w:hAnsi="Cambria" w:eastAsia="宋体" w:cs="Times New Roman"/>
      <w:b/>
      <w:bCs/>
      <w:kern w:val="0"/>
      <w:sz w:val="32"/>
      <w:szCs w:val="32"/>
    </w:rPr>
  </w:style>
  <w:style w:type="character" w:customStyle="1" w:styleId="65">
    <w:name w:val="批注主题 字符"/>
    <w:link w:val="33"/>
    <w:qFormat/>
    <w:locked/>
    <w:uiPriority w:val="0"/>
    <w:rPr>
      <w:rFonts w:ascii="Times New Roman" w:hAnsi="Times New Roman"/>
      <w:b/>
      <w:bCs/>
      <w:sz w:val="24"/>
      <w:szCs w:val="24"/>
    </w:rPr>
  </w:style>
  <w:style w:type="character" w:customStyle="1" w:styleId="66">
    <w:name w:val="正文文本首行缩进 2 字符"/>
    <w:link w:val="2"/>
    <w:semiHidden/>
    <w:qFormat/>
    <w:uiPriority w:val="99"/>
  </w:style>
  <w:style w:type="paragraph" w:styleId="67">
    <w:name w:val="List Paragraph"/>
    <w:basedOn w:val="1"/>
    <w:qFormat/>
    <w:uiPriority w:val="0"/>
    <w:pPr>
      <w:ind w:firstLine="420" w:firstLineChars="200"/>
    </w:pPr>
    <w:rPr>
      <w:sz w:val="28"/>
      <w:szCs w:val="28"/>
    </w:rPr>
  </w:style>
  <w:style w:type="character" w:customStyle="1" w:styleId="68">
    <w:name w:val="标题 4 Char"/>
    <w:qFormat/>
    <w:uiPriority w:val="0"/>
    <w:rPr>
      <w:rFonts w:ascii="Cambria" w:hAnsi="Cambria" w:cs="宋体"/>
      <w:b/>
      <w:bCs/>
      <w:kern w:val="2"/>
      <w:sz w:val="28"/>
      <w:szCs w:val="28"/>
    </w:rPr>
  </w:style>
  <w:style w:type="table" w:customStyle="1" w:styleId="69">
    <w:name w:val="网格型1"/>
    <w:basedOn w:val="34"/>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0">
    <w:name w:val="列出段落1"/>
    <w:basedOn w:val="1"/>
    <w:qFormat/>
    <w:uiPriority w:val="0"/>
    <w:pPr>
      <w:ind w:firstLine="420" w:firstLineChars="200"/>
    </w:pPr>
    <w:rPr>
      <w:rFonts w:cs="Calibri"/>
      <w:szCs w:val="21"/>
    </w:rPr>
  </w:style>
  <w:style w:type="paragraph" w:customStyle="1" w:styleId="71">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72">
    <w:name w:val="Char Char"/>
    <w:basedOn w:val="1"/>
    <w:qFormat/>
    <w:uiPriority w:val="0"/>
    <w:rPr>
      <w:rFonts w:ascii="Tahoma" w:hAnsi="Tahoma" w:cs="Tahoma"/>
      <w:sz w:val="24"/>
      <w:szCs w:val="24"/>
    </w:rPr>
  </w:style>
  <w:style w:type="paragraph" w:customStyle="1" w:styleId="73">
    <w:name w:val="大汉方案正文"/>
    <w:basedOn w:val="1"/>
    <w:qFormat/>
    <w:uiPriority w:val="0"/>
    <w:pPr>
      <w:spacing w:line="360" w:lineRule="auto"/>
      <w:ind w:firstLine="200" w:firstLineChars="200"/>
    </w:pPr>
    <w:rPr>
      <w:rFonts w:ascii="Arial" w:hAnsi="Arial" w:cs="Arial"/>
      <w:sz w:val="24"/>
      <w:szCs w:val="24"/>
    </w:rPr>
  </w:style>
  <w:style w:type="character" w:customStyle="1" w:styleId="74">
    <w:name w:val="纯文本 Char1"/>
    <w:qFormat/>
    <w:uiPriority w:val="0"/>
    <w:rPr>
      <w:rFonts w:ascii="宋体" w:hAnsi="Courier New" w:cs="宋体"/>
      <w:kern w:val="2"/>
      <w:sz w:val="21"/>
      <w:szCs w:val="21"/>
    </w:rPr>
  </w:style>
  <w:style w:type="character" w:customStyle="1" w:styleId="75">
    <w:name w:val="批注文字 Char1"/>
    <w:qFormat/>
    <w:uiPriority w:val="0"/>
    <w:rPr>
      <w:rFonts w:ascii="Times New Roman" w:hAnsi="Times New Roman" w:eastAsia="宋体" w:cs="Times New Roman"/>
      <w:sz w:val="24"/>
      <w:szCs w:val="24"/>
    </w:rPr>
  </w:style>
  <w:style w:type="paragraph" w:customStyle="1" w:styleId="76">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7">
    <w:name w:val="apple-converted-space"/>
    <w:qFormat/>
    <w:uiPriority w:val="0"/>
  </w:style>
  <w:style w:type="paragraph" w:customStyle="1" w:styleId="78">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80">
    <w:name w:val="列出段落2"/>
    <w:basedOn w:val="1"/>
    <w:qFormat/>
    <w:uiPriority w:val="0"/>
    <w:pPr>
      <w:ind w:firstLine="420" w:firstLineChars="200"/>
    </w:pPr>
    <w:rPr>
      <w:rFonts w:cs="Calibri"/>
      <w:szCs w:val="21"/>
    </w:rPr>
  </w:style>
  <w:style w:type="paragraph" w:customStyle="1" w:styleId="81">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82">
    <w:name w:val="标题 3 Char1"/>
    <w:qFormat/>
    <w:uiPriority w:val="0"/>
    <w:rPr>
      <w:rFonts w:ascii="Times New Roman" w:hAnsi="Times New Roman" w:eastAsia="宋体" w:cs="Times New Roman"/>
      <w:sz w:val="20"/>
      <w:szCs w:val="20"/>
    </w:rPr>
  </w:style>
  <w:style w:type="paragraph" w:customStyle="1" w:styleId="83">
    <w:name w:val="Char Char11 Char Char Char Char"/>
    <w:basedOn w:val="1"/>
    <w:qFormat/>
    <w:uiPriority w:val="0"/>
    <w:pPr>
      <w:tabs>
        <w:tab w:val="left" w:pos="360"/>
      </w:tabs>
    </w:pPr>
    <w:rPr>
      <w:szCs w:val="21"/>
    </w:rPr>
  </w:style>
  <w:style w:type="paragraph" w:customStyle="1" w:styleId="84">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5">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6">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7">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1">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2">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3">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4">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5">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6">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7">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8">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9">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100">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02">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3">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5">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6">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7">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9">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0">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1">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2">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4">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5">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6">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7">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8">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9">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20">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21">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22">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23">
    <w:name w:val="纯文本 Char3"/>
    <w:qFormat/>
    <w:uiPriority w:val="0"/>
    <w:rPr>
      <w:rFonts w:ascii="宋体" w:hAnsi="Courier New"/>
      <w:sz w:val="21"/>
      <w:szCs w:val="21"/>
    </w:rPr>
  </w:style>
  <w:style w:type="character" w:customStyle="1" w:styleId="124">
    <w:name w:val="正文文本缩进 2 字符1"/>
    <w:semiHidden/>
    <w:qFormat/>
    <w:uiPriority w:val="99"/>
    <w:rPr>
      <w:rFonts w:ascii="Times New Roman" w:hAnsi="Times New Roman" w:eastAsia="宋体" w:cs="Times New Roman"/>
    </w:rPr>
  </w:style>
  <w:style w:type="character" w:customStyle="1" w:styleId="125">
    <w:name w:val="正文文本缩进 2 Char1"/>
    <w:qFormat/>
    <w:uiPriority w:val="0"/>
    <w:rPr>
      <w:kern w:val="2"/>
      <w:sz w:val="21"/>
      <w:szCs w:val="22"/>
    </w:rPr>
  </w:style>
  <w:style w:type="character" w:customStyle="1" w:styleId="126">
    <w:name w:val="日期 字符1"/>
    <w:semiHidden/>
    <w:qFormat/>
    <w:uiPriority w:val="99"/>
    <w:rPr>
      <w:rFonts w:ascii="Times New Roman" w:hAnsi="Times New Roman" w:eastAsia="宋体" w:cs="Times New Roman"/>
    </w:rPr>
  </w:style>
  <w:style w:type="character" w:customStyle="1" w:styleId="127">
    <w:name w:val="日期 Char1"/>
    <w:qFormat/>
    <w:uiPriority w:val="0"/>
    <w:rPr>
      <w:kern w:val="2"/>
      <w:sz w:val="21"/>
      <w:szCs w:val="22"/>
    </w:rPr>
  </w:style>
  <w:style w:type="character" w:customStyle="1" w:styleId="128">
    <w:name w:val="标题 Char1"/>
    <w:qFormat/>
    <w:uiPriority w:val="0"/>
    <w:rPr>
      <w:rFonts w:ascii="Cambria" w:hAnsi="Cambria" w:cs="Times New Roman"/>
      <w:b/>
      <w:bCs/>
      <w:kern w:val="2"/>
      <w:sz w:val="32"/>
      <w:szCs w:val="32"/>
    </w:rPr>
  </w:style>
  <w:style w:type="character" w:customStyle="1" w:styleId="129">
    <w:name w:val="纯文本 字符1"/>
    <w:semiHidden/>
    <w:qFormat/>
    <w:uiPriority w:val="99"/>
    <w:rPr>
      <w:rFonts w:ascii="等线" w:hAnsi="Courier New" w:eastAsia="等线" w:cs="Courier New"/>
      <w:kern w:val="2"/>
      <w:sz w:val="21"/>
      <w:szCs w:val="22"/>
    </w:rPr>
  </w:style>
  <w:style w:type="character" w:customStyle="1" w:styleId="130">
    <w:name w:val="批注主题 字符1"/>
    <w:semiHidden/>
    <w:qFormat/>
    <w:uiPriority w:val="99"/>
    <w:rPr>
      <w:rFonts w:ascii="Times New Roman" w:hAnsi="Times New Roman" w:eastAsia="宋体" w:cs="Times New Roman"/>
      <w:b/>
      <w:bCs/>
      <w:kern w:val="0"/>
      <w:sz w:val="28"/>
      <w:szCs w:val="28"/>
    </w:rPr>
  </w:style>
  <w:style w:type="character" w:customStyle="1" w:styleId="131">
    <w:name w:val="批注主题 Char1"/>
    <w:qFormat/>
    <w:uiPriority w:val="0"/>
    <w:rPr>
      <w:b/>
      <w:bCs/>
      <w:kern w:val="2"/>
      <w:sz w:val="21"/>
      <w:szCs w:val="22"/>
    </w:rPr>
  </w:style>
  <w:style w:type="character" w:customStyle="1" w:styleId="132">
    <w:name w:val="纯文本 Char2"/>
    <w:qFormat/>
    <w:uiPriority w:val="0"/>
    <w:rPr>
      <w:rFonts w:ascii="宋体" w:hAnsi="Courier New"/>
      <w:sz w:val="21"/>
      <w:szCs w:val="21"/>
    </w:rPr>
  </w:style>
  <w:style w:type="character" w:customStyle="1" w:styleId="133">
    <w:name w:val="Unresolved Mention"/>
    <w:unhideWhenUsed/>
    <w:qFormat/>
    <w:uiPriority w:val="99"/>
    <w:rPr>
      <w:color w:val="605E5C"/>
      <w:shd w:val="clear" w:color="auto" w:fill="E1DFDD"/>
    </w:rPr>
  </w:style>
  <w:style w:type="paragraph" w:customStyle="1" w:styleId="134">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paragraph" w:styleId="135">
    <w:name w:val="No Spacing"/>
    <w:qFormat/>
    <w:uiPriority w:val="0"/>
    <w:pPr>
      <w:widowControl w:val="0"/>
      <w:jc w:val="both"/>
    </w:pPr>
    <w:rPr>
      <w:rFonts w:ascii="Times New Roman" w:hAnsi="Times New Roman"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5.xml"/><Relationship Id="rId7" Type="http://schemas.openxmlformats.org/officeDocument/2006/relationships/footer" Target="footer1.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theme" Target="theme/theme1.xml"/><Relationship Id="rId21" Type="http://schemas.openxmlformats.org/officeDocument/2006/relationships/footer" Target="footer8.xml"/><Relationship Id="rId20" Type="http://schemas.openxmlformats.org/officeDocument/2006/relationships/footer" Target="footer7.xml"/><Relationship Id="rId2" Type="http://schemas.openxmlformats.org/officeDocument/2006/relationships/settings" Target="settings.xml"/><Relationship Id="rId19" Type="http://schemas.openxmlformats.org/officeDocument/2006/relationships/header" Target="header11.xml"/><Relationship Id="rId18" Type="http://schemas.openxmlformats.org/officeDocument/2006/relationships/footer" Target="footer6.xml"/><Relationship Id="rId17" Type="http://schemas.openxmlformats.org/officeDocument/2006/relationships/header" Target="header10.xml"/><Relationship Id="rId16" Type="http://schemas.openxmlformats.org/officeDocument/2006/relationships/footer" Target="footer5.xml"/><Relationship Id="rId15" Type="http://schemas.openxmlformats.org/officeDocument/2006/relationships/header" Target="header9.xml"/><Relationship Id="rId14" Type="http://schemas.openxmlformats.org/officeDocument/2006/relationships/footer" Target="footer4.xml"/><Relationship Id="rId13" Type="http://schemas.openxmlformats.org/officeDocument/2006/relationships/header" Target="header8.xml"/><Relationship Id="rId12" Type="http://schemas.openxmlformats.org/officeDocument/2006/relationships/header" Target="header7.xml"/><Relationship Id="rId11" Type="http://schemas.openxmlformats.org/officeDocument/2006/relationships/footer" Target="footer3.xml"/><Relationship Id="rId10" Type="http://schemas.openxmlformats.org/officeDocument/2006/relationships/header" Target="header6.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86</Pages>
  <Words>23698</Words>
  <Characters>25512</Characters>
  <Lines>326</Lines>
  <Paragraphs>1239</Paragraphs>
  <TotalTime>1</TotalTime>
  <ScaleCrop>false</ScaleCrop>
  <LinksUpToDate>false</LinksUpToDate>
  <CharactersWithSpaces>25641</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2026-03-11T08:00:00Z</dcterms:created>
  <dc:creator>耀辉</dc:creator>
  <cp:lastModifiedBy>__阳光未必暖人心。</cp:lastModifiedBy>
  <dcterms:modified xsi:type="dcterms:W3CDTF">2026-04-24T00:57:42Z</dcterms:modified>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91069B538A284716B210C280269F4E2B</vt:lpwstr>
  </property>
  <property fmtid="{D5CDD505-2E9C-101B-9397-08002B2CF9AE}" pid="4" name="KSOTemplateDocerSaveRecord">
    <vt:lpwstr>eyJoZGlkIjoiZjY0MTQ2NDk3NTNiNjJkMTBiNTBhNzNkOTJmMjVmOWIiLCJ1c2VySWQiOiI4NTE2NTIxOTAifQ==</vt:lpwstr>
  </property>
</Properties>
</file>