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520" w:type="dxa"/>
        <w:tblInd w:w="-72" w:type="dxa"/>
        <w:tblLayout w:type="fixed"/>
        <w:tblCellMar>
          <w:top w:w="0" w:type="dxa"/>
          <w:left w:w="108" w:type="dxa"/>
          <w:bottom w:w="0" w:type="dxa"/>
          <w:right w:w="108" w:type="dxa"/>
        </w:tblCellMar>
      </w:tblPr>
      <w:tblGrid>
        <w:gridCol w:w="9520"/>
      </w:tblGrid>
      <w:tr>
        <w:tblPrEx>
          <w:tblCellMar>
            <w:top w:w="0" w:type="dxa"/>
            <w:left w:w="108" w:type="dxa"/>
            <w:bottom w:w="0" w:type="dxa"/>
            <w:right w:w="108" w:type="dxa"/>
          </w:tblCellMar>
        </w:tblPrEx>
        <w:trPr>
          <w:trHeight w:val="13055" w:hRule="atLeast"/>
        </w:trPr>
        <w:tc>
          <w:tcPr>
            <w:tcW w:w="9520" w:type="dxa"/>
            <w:tcBorders>
              <w:top w:val="single" w:color="auto" w:sz="4" w:space="0"/>
              <w:left w:val="single" w:color="auto" w:sz="4" w:space="0"/>
              <w:bottom w:val="single" w:color="auto" w:sz="4" w:space="0"/>
              <w:right w:val="single" w:color="auto" w:sz="4" w:space="0"/>
            </w:tcBorders>
          </w:tcPr>
          <w:p>
            <w:pPr>
              <w:snapToGrid w:val="0"/>
              <w:spacing w:line="460" w:lineRule="exact"/>
              <w:ind w:left="480" w:hanging="480" w:hangingChars="200"/>
              <w:rPr>
                <w:rFonts w:ascii="宋体" w:hAnsi="宋体"/>
                <w:sz w:val="24"/>
              </w:rPr>
            </w:pPr>
            <w:r>
              <w:rPr>
                <w:rFonts w:hint="eastAsia" w:ascii="宋体" w:hAnsi="宋体"/>
                <w:sz w:val="24"/>
              </w:rPr>
              <w:t>一、报价人须知:</w:t>
            </w:r>
          </w:p>
          <w:p>
            <w:pPr>
              <w:snapToGrid w:val="0"/>
              <w:spacing w:line="460" w:lineRule="exact"/>
              <w:ind w:left="479" w:leftChars="228"/>
              <w:rPr>
                <w:rFonts w:ascii="宋体" w:hAnsi="宋体"/>
                <w:sz w:val="24"/>
              </w:rPr>
            </w:pPr>
            <w:r>
              <w:rPr>
                <w:rFonts w:hint="eastAsia" w:ascii="宋体" w:hAnsi="宋体"/>
                <w:sz w:val="24"/>
              </w:rPr>
              <w:t>1.应按工程量清单及其计价格式规定的内容进行编制、填写、签字、盖章；</w:t>
            </w:r>
          </w:p>
          <w:p>
            <w:pPr>
              <w:snapToGrid w:val="0"/>
              <w:spacing w:line="460" w:lineRule="exact"/>
              <w:ind w:left="479" w:leftChars="228"/>
              <w:rPr>
                <w:rFonts w:ascii="宋体" w:hAnsi="宋体"/>
                <w:sz w:val="24"/>
              </w:rPr>
            </w:pPr>
            <w:r>
              <w:rPr>
                <w:rFonts w:hint="eastAsia" w:ascii="宋体" w:hAnsi="宋体"/>
                <w:sz w:val="24"/>
              </w:rPr>
              <w:t>2.工程量清单及其计价格式中的任何内容不得随意删除或涂改；</w:t>
            </w:r>
          </w:p>
          <w:p>
            <w:pPr>
              <w:snapToGrid w:val="0"/>
              <w:spacing w:line="460" w:lineRule="exact"/>
              <w:ind w:left="479" w:leftChars="228"/>
              <w:rPr>
                <w:rFonts w:ascii="宋体" w:hAnsi="宋体"/>
                <w:sz w:val="24"/>
              </w:rPr>
            </w:pPr>
            <w:r>
              <w:rPr>
                <w:rFonts w:hint="eastAsia" w:ascii="宋体" w:hAnsi="宋体"/>
                <w:sz w:val="24"/>
              </w:rPr>
              <w:t>3.工程量清单计价格式中列明的所有需要填报的单价和合价，投标单位均应填报，未填报的单价和合价，视为此项费用已包含在工程量清单的其他单价和合价内；</w:t>
            </w:r>
          </w:p>
          <w:p>
            <w:pPr>
              <w:snapToGrid w:val="0"/>
              <w:spacing w:line="460" w:lineRule="exact"/>
              <w:ind w:left="479" w:leftChars="228"/>
              <w:rPr>
                <w:rFonts w:ascii="宋体" w:hAnsi="宋体"/>
                <w:sz w:val="24"/>
              </w:rPr>
            </w:pPr>
            <w:r>
              <w:rPr>
                <w:rFonts w:hint="eastAsia" w:ascii="宋体" w:hAnsi="宋体"/>
                <w:sz w:val="24"/>
              </w:rPr>
              <w:t>4.金额（价格）均以人民币表示。</w:t>
            </w:r>
          </w:p>
          <w:p>
            <w:pPr>
              <w:snapToGrid w:val="0"/>
              <w:spacing w:line="460" w:lineRule="exact"/>
              <w:ind w:left="480" w:hanging="480" w:hangingChars="200"/>
              <w:rPr>
                <w:rFonts w:hint="eastAsia" w:ascii="宋体" w:hAnsi="宋体"/>
                <w:sz w:val="24"/>
              </w:rPr>
            </w:pPr>
            <w:r>
              <w:rPr>
                <w:rFonts w:hint="eastAsia" w:ascii="宋体" w:hAnsi="宋体"/>
                <w:sz w:val="24"/>
              </w:rPr>
              <w:t>二、工程名称: 威海高区智能制造产业园区一期及基础设施配套项目辇子山石方爆破外运工程</w:t>
            </w:r>
          </w:p>
          <w:p>
            <w:pPr>
              <w:adjustRightInd w:val="0"/>
              <w:snapToGrid w:val="0"/>
              <w:spacing w:line="520" w:lineRule="exact"/>
              <w:rPr>
                <w:rFonts w:ascii="宋体" w:hAnsi="宋体"/>
                <w:sz w:val="24"/>
              </w:rPr>
            </w:pPr>
            <w:r>
              <w:rPr>
                <w:rFonts w:hint="eastAsia" w:ascii="宋体" w:hAnsi="宋体"/>
                <w:sz w:val="24"/>
              </w:rPr>
              <w:t>三、工程</w:t>
            </w:r>
            <w:r>
              <w:rPr>
                <w:rFonts w:ascii="宋体" w:hAnsi="宋体"/>
                <w:sz w:val="24"/>
              </w:rPr>
              <w:t>地点</w:t>
            </w:r>
            <w:r>
              <w:rPr>
                <w:rFonts w:hint="eastAsia" w:ascii="宋体" w:hAnsi="宋体"/>
                <w:sz w:val="24"/>
              </w:rPr>
              <w:t>:本项目位于初村镇山海路以西、石岭路以南</w:t>
            </w:r>
          </w:p>
          <w:p>
            <w:pPr>
              <w:snapToGrid w:val="0"/>
              <w:spacing w:line="460" w:lineRule="exact"/>
              <w:ind w:left="480" w:hanging="480" w:hangingChars="200"/>
              <w:rPr>
                <w:rFonts w:ascii="宋体" w:hAnsi="宋体"/>
                <w:sz w:val="24"/>
              </w:rPr>
            </w:pPr>
            <w:r>
              <w:rPr>
                <w:rFonts w:hint="eastAsia" w:ascii="宋体" w:hAnsi="宋体"/>
                <w:sz w:val="24"/>
              </w:rPr>
              <w:t xml:space="preserve">四、工程招标范围: </w:t>
            </w:r>
            <w:r>
              <w:rPr>
                <w:rFonts w:hint="eastAsia" w:ascii="宋体" w:hAnsi="宋体"/>
                <w:sz w:val="24"/>
                <w:lang w:val="en-US" w:eastAsia="zh-CN"/>
              </w:rPr>
              <w:t>石方爆破及开挖外运至指定地点</w:t>
            </w:r>
            <w:r>
              <w:rPr>
                <w:rFonts w:hint="eastAsia" w:ascii="宋体" w:hAnsi="宋体"/>
                <w:sz w:val="24"/>
              </w:rPr>
              <w:t>。</w:t>
            </w:r>
          </w:p>
          <w:p>
            <w:pPr>
              <w:snapToGrid w:val="0"/>
              <w:spacing w:line="460" w:lineRule="exact"/>
              <w:rPr>
                <w:rFonts w:ascii="宋体" w:hAnsi="宋体"/>
                <w:sz w:val="24"/>
              </w:rPr>
            </w:pPr>
            <w:r>
              <w:rPr>
                <w:rFonts w:hint="eastAsia" w:ascii="宋体" w:hAnsi="宋体"/>
                <w:sz w:val="24"/>
              </w:rPr>
              <w:t>五、编制依据:</w:t>
            </w:r>
          </w:p>
          <w:p>
            <w:pPr>
              <w:snapToGrid w:val="0"/>
              <w:spacing w:line="460" w:lineRule="exact"/>
              <w:ind w:left="479" w:leftChars="228"/>
              <w:jc w:val="left"/>
              <w:rPr>
                <w:rFonts w:ascii="宋体" w:hAnsi="宋体"/>
                <w:sz w:val="24"/>
              </w:rPr>
            </w:pPr>
            <w:r>
              <w:rPr>
                <w:rFonts w:hint="eastAsia" w:ascii="宋体" w:hAnsi="宋体"/>
                <w:sz w:val="24"/>
              </w:rPr>
              <w:t>1.招标单位提供的</w:t>
            </w:r>
            <w:r>
              <w:rPr>
                <w:rFonts w:hint="eastAsia" w:ascii="宋体" w:hAnsi="宋体"/>
                <w:sz w:val="24"/>
                <w:lang w:val="en-US" w:eastAsia="zh-CN"/>
              </w:rPr>
              <w:t>爆破方案</w:t>
            </w:r>
            <w:r>
              <w:rPr>
                <w:rFonts w:hint="eastAsia" w:ascii="宋体" w:hAnsi="宋体"/>
                <w:sz w:val="24"/>
              </w:rPr>
              <w:t xml:space="preserve">等资料； </w:t>
            </w:r>
          </w:p>
          <w:p>
            <w:pPr>
              <w:snapToGrid w:val="0"/>
              <w:spacing w:line="460" w:lineRule="exact"/>
              <w:ind w:left="479" w:leftChars="228"/>
              <w:jc w:val="left"/>
              <w:rPr>
                <w:rFonts w:ascii="宋体" w:hAnsi="宋体"/>
                <w:sz w:val="24"/>
              </w:rPr>
            </w:pPr>
            <w:r>
              <w:rPr>
                <w:rFonts w:hint="eastAsia" w:ascii="宋体" w:hAnsi="宋体"/>
                <w:sz w:val="24"/>
              </w:rPr>
              <w:t>2.与</w:t>
            </w:r>
            <w:r>
              <w:rPr>
                <w:rFonts w:hint="eastAsia" w:ascii="宋体" w:hAnsi="宋体"/>
                <w:sz w:val="24"/>
                <w:lang w:val="en-US" w:eastAsia="zh-CN"/>
              </w:rPr>
              <w:t>爆破</w:t>
            </w:r>
            <w:r>
              <w:rPr>
                <w:rFonts w:hint="eastAsia" w:ascii="宋体" w:hAnsi="宋体"/>
                <w:sz w:val="24"/>
              </w:rPr>
              <w:t>项目相关的标准、规范、技术资料等。</w:t>
            </w:r>
            <w:bookmarkStart w:id="0" w:name="_GoBack"/>
            <w:bookmarkEnd w:id="0"/>
          </w:p>
          <w:p>
            <w:pPr>
              <w:snapToGrid w:val="0"/>
              <w:spacing w:line="460" w:lineRule="exact"/>
              <w:ind w:left="480" w:hanging="480" w:hangingChars="200"/>
              <w:jc w:val="left"/>
              <w:rPr>
                <w:rFonts w:ascii="宋体" w:hAnsi="宋体"/>
                <w:sz w:val="24"/>
              </w:rPr>
            </w:pPr>
            <w:r>
              <w:rPr>
                <w:rFonts w:hint="eastAsia" w:ascii="宋体" w:hAnsi="宋体"/>
                <w:sz w:val="24"/>
              </w:rPr>
              <w:t>六、清单项目中凡注明“以下、以内、小于”字样者，均包括本身；注明“以上、以外、大于”字样者，均不包括本身。</w:t>
            </w:r>
          </w:p>
          <w:p>
            <w:pPr>
              <w:snapToGrid w:val="0"/>
              <w:spacing w:line="460" w:lineRule="exact"/>
              <w:ind w:left="480" w:hanging="480" w:hangingChars="200"/>
              <w:jc w:val="left"/>
              <w:rPr>
                <w:rFonts w:ascii="宋体" w:hAnsi="宋体"/>
                <w:sz w:val="24"/>
              </w:rPr>
            </w:pPr>
            <w:r>
              <w:rPr>
                <w:rFonts w:hint="eastAsia" w:ascii="宋体" w:hAnsi="宋体"/>
                <w:sz w:val="24"/>
              </w:rPr>
              <w:t>七、投标单位参与投标视为已考察工程现场，对现场情况（包括工地位置情况、临设、道路、存贮空间、装运限制及任何其他足以影响报价的情况）已较为了解和充分预计，并能根据已了解情况合理组织完成施工。现场原有工程的实际情况（包括与其他专业施工单位交接过程中的各种因素）视为在报价中已充分考虑，任何因忽视或误解工地情况而导致的索赔或工期延长将不被批准。</w:t>
            </w:r>
          </w:p>
          <w:p>
            <w:pPr>
              <w:snapToGrid w:val="0"/>
              <w:spacing w:line="460" w:lineRule="exact"/>
              <w:ind w:left="480" w:hanging="480" w:hangingChars="200"/>
              <w:jc w:val="left"/>
              <w:rPr>
                <w:rFonts w:ascii="宋体" w:hAnsi="宋体"/>
                <w:sz w:val="24"/>
              </w:rPr>
            </w:pPr>
            <w:r>
              <w:rPr>
                <w:rFonts w:hint="eastAsia" w:ascii="宋体" w:hAnsi="宋体"/>
                <w:sz w:val="24"/>
              </w:rPr>
              <w:t>八、投标单位在投标报价时，应根据现场条件、招标文件要求，按照本清单说明及子目规定的计算规则，结合施工方案、技术规范、技术装备、技术能力、施工管理经验及市场行情等规定综合分析及测算进行报价。</w:t>
            </w:r>
          </w:p>
          <w:p>
            <w:pPr>
              <w:snapToGrid w:val="0"/>
              <w:spacing w:line="460" w:lineRule="exact"/>
              <w:ind w:left="480" w:hanging="480" w:hangingChars="200"/>
              <w:jc w:val="left"/>
              <w:rPr>
                <w:rFonts w:ascii="宋体" w:hAnsi="宋体"/>
                <w:sz w:val="24"/>
              </w:rPr>
            </w:pPr>
            <w:r>
              <w:rPr>
                <w:rFonts w:hint="eastAsia" w:ascii="宋体" w:hAnsi="宋体"/>
                <w:sz w:val="24"/>
              </w:rPr>
              <w:t>九、投标单位在投标报价时，应考虑本工程的招标范围、工期要求与承包方式、以及不同专业交叉作业影响，并将与此有关的可能产生的费用考虑在相应的投标报价中。</w:t>
            </w:r>
          </w:p>
          <w:p>
            <w:pPr>
              <w:snapToGrid w:val="0"/>
              <w:spacing w:line="460" w:lineRule="exact"/>
              <w:ind w:left="480" w:hanging="480" w:hangingChars="200"/>
              <w:jc w:val="left"/>
              <w:rPr>
                <w:rFonts w:ascii="宋体" w:hAnsi="宋体"/>
                <w:sz w:val="24"/>
              </w:rPr>
            </w:pPr>
            <w:r>
              <w:rPr>
                <w:rFonts w:hint="eastAsia" w:ascii="宋体" w:hAnsi="宋体"/>
                <w:sz w:val="24"/>
              </w:rPr>
              <w:t>十、投标单位在投标报价时，应根据企业自身实力结合市场信息，充分考虑市场竞争因素和市场风险进行自主报价。投标人应按清单的要求填写全费用综合单价和合价</w:t>
            </w:r>
            <w:r>
              <w:rPr>
                <w:rFonts w:hint="eastAsia" w:ascii="宋体" w:hAnsi="宋体"/>
                <w:sz w:val="24"/>
                <w:lang w:val="zh-CN"/>
              </w:rPr>
              <w:t>。</w:t>
            </w:r>
            <w:r>
              <w:rPr>
                <w:rFonts w:hint="eastAsia" w:ascii="宋体" w:hAnsi="宋体"/>
                <w:sz w:val="24"/>
              </w:rPr>
              <w:t>工程量清单计价表中的全费用综合单价应包括人工费、材料费、机械使用费、运输费（场内、场外）、</w:t>
            </w:r>
            <w:r>
              <w:rPr>
                <w:rFonts w:hint="eastAsia" w:ascii="宋体" w:hAnsi="宋体"/>
                <w:sz w:val="24"/>
                <w:lang w:val="en-US" w:eastAsia="zh-CN"/>
              </w:rPr>
              <w:t>设备进出场费、</w:t>
            </w:r>
            <w:r>
              <w:rPr>
                <w:rFonts w:hint="eastAsia" w:ascii="宋体" w:hAnsi="宋体"/>
                <w:sz w:val="24"/>
              </w:rPr>
              <w:t>装卸费、</w:t>
            </w:r>
            <w:r>
              <w:rPr>
                <w:rFonts w:hint="eastAsia" w:ascii="宋体" w:hAnsi="宋体"/>
                <w:sz w:val="24"/>
                <w:lang w:val="en-US" w:eastAsia="zh-CN"/>
              </w:rPr>
              <w:t>设备安拆费</w:t>
            </w:r>
            <w:r>
              <w:rPr>
                <w:rFonts w:hint="eastAsia" w:ascii="宋体" w:hAnsi="宋体"/>
                <w:sz w:val="24"/>
              </w:rPr>
              <w:t>、保险费、</w:t>
            </w:r>
            <w:r>
              <w:rPr>
                <w:rFonts w:hint="eastAsia" w:ascii="宋体" w:hAnsi="宋体"/>
                <w:sz w:val="24"/>
                <w:lang w:val="en-US" w:eastAsia="zh-CN"/>
              </w:rPr>
              <w:t>安全措施费</w:t>
            </w:r>
            <w:r>
              <w:rPr>
                <w:rFonts w:hint="eastAsia" w:ascii="宋体" w:hAnsi="宋体"/>
                <w:sz w:val="24"/>
              </w:rPr>
              <w:t>、扬尘处理费、</w:t>
            </w:r>
            <w:r>
              <w:rPr>
                <w:rFonts w:hint="eastAsia" w:ascii="宋体" w:hAnsi="宋体"/>
                <w:sz w:val="24"/>
                <w:lang w:val="en-US" w:eastAsia="zh-CN"/>
              </w:rPr>
              <w:t>安全防护费</w:t>
            </w:r>
            <w:r>
              <w:rPr>
                <w:rFonts w:hint="eastAsia" w:ascii="宋体" w:hAnsi="宋体"/>
                <w:sz w:val="24"/>
              </w:rPr>
              <w:t>、验收、管理费、利润、措施费、规费、税金以及损耗风险、一切政府行政性收费及专业分包所需缴纳的政府行政性收费等全部费用，一个有经验的承包商所能够预料到的施工过程中有可能发生的所有费用。</w:t>
            </w:r>
          </w:p>
          <w:p>
            <w:pPr>
              <w:snapToGrid w:val="0"/>
              <w:spacing w:line="460" w:lineRule="exact"/>
              <w:ind w:left="480" w:hanging="480" w:hangingChars="200"/>
              <w:jc w:val="left"/>
              <w:rPr>
                <w:rFonts w:ascii="宋体" w:hAnsi="宋体"/>
                <w:sz w:val="24"/>
              </w:rPr>
            </w:pPr>
            <w:r>
              <w:rPr>
                <w:rFonts w:hint="eastAsia" w:ascii="宋体" w:hAnsi="宋体"/>
                <w:sz w:val="24"/>
              </w:rPr>
              <w:t>十一、</w:t>
            </w:r>
            <w:r>
              <w:rPr>
                <w:rFonts w:hint="eastAsia" w:ascii="宋体" w:hAnsi="宋体"/>
                <w:color w:val="000000"/>
                <w:sz w:val="24"/>
              </w:rPr>
              <w:t>投标单位应详细填写工程量清单计价表中的每一项综合单价及合价，如某一项没有填写视为已包括在其它项目清单的综合单价及总价内。</w:t>
            </w:r>
          </w:p>
          <w:p>
            <w:pPr>
              <w:snapToGrid w:val="0"/>
              <w:spacing w:line="460" w:lineRule="exact"/>
              <w:ind w:left="480" w:hanging="480" w:hangingChars="200"/>
              <w:rPr>
                <w:rFonts w:ascii="宋体" w:hAnsi="宋体"/>
                <w:sz w:val="24"/>
              </w:rPr>
            </w:pPr>
            <w:r>
              <w:rPr>
                <w:rFonts w:hint="eastAsia" w:ascii="宋体" w:hAnsi="宋体"/>
                <w:sz w:val="24"/>
              </w:rPr>
              <w:t>十二、</w:t>
            </w:r>
            <w:r>
              <w:rPr>
                <w:rFonts w:hint="eastAsia" w:ascii="宋体" w:hAnsi="宋体"/>
                <w:color w:val="000000"/>
                <w:sz w:val="24"/>
              </w:rPr>
              <w:t>投标单位按照本清单填报工程量清单计价表中的综合单价，不得恶意降低报价扰乱市场，评标委员会有权对不合理报价进行质疑，投标单位应给予合理的答复。否则，经评标委员会评定为不合理报价的投标文件将否决其投标。如中标人编制的部分工程量清单单价与市场价偏离较大，招标人有权要求中标单位在签订合同时调整至合理价格。</w:t>
            </w:r>
          </w:p>
          <w:p>
            <w:pPr>
              <w:snapToGrid w:val="0"/>
              <w:spacing w:line="460" w:lineRule="exact"/>
              <w:ind w:left="480" w:hanging="480" w:hangingChars="200"/>
              <w:jc w:val="left"/>
              <w:rPr>
                <w:rFonts w:ascii="宋体" w:hAnsi="宋体"/>
                <w:sz w:val="24"/>
              </w:rPr>
            </w:pPr>
            <w:r>
              <w:rPr>
                <w:rFonts w:hint="eastAsia" w:ascii="宋体" w:hAnsi="宋体"/>
                <w:sz w:val="24"/>
              </w:rPr>
              <w:t>十三、投标单位必须完成所有按国家相关法律法规、行业规范等文件要求的检验、检测和验收工作；本工程承包范围内竣工验收所有的检验检测费用在报价时须综合考虑，结算时不增加此部分费用。</w:t>
            </w:r>
          </w:p>
          <w:p>
            <w:pPr>
              <w:snapToGrid w:val="0"/>
              <w:spacing w:line="460" w:lineRule="exact"/>
              <w:ind w:left="480" w:hanging="480" w:hangingChars="200"/>
              <w:jc w:val="left"/>
              <w:rPr>
                <w:rFonts w:ascii="宋体" w:hAnsi="宋体"/>
                <w:sz w:val="24"/>
              </w:rPr>
            </w:pPr>
            <w:r>
              <w:rPr>
                <w:rFonts w:hint="eastAsia" w:ascii="宋体" w:hAnsi="宋体"/>
                <w:sz w:val="24"/>
              </w:rPr>
              <w:t>十四、工程施工中，为保证工程质量，施工单位自行采取的施工工艺措施项目，均由投标单位在报价时自行考虑，结算时不增加此部分费用。</w:t>
            </w:r>
          </w:p>
          <w:p>
            <w:pPr>
              <w:snapToGrid w:val="0"/>
              <w:spacing w:line="460" w:lineRule="exact"/>
              <w:ind w:left="480" w:hanging="480" w:hangingChars="200"/>
              <w:jc w:val="left"/>
              <w:rPr>
                <w:rFonts w:ascii="宋体" w:hAnsi="宋体"/>
                <w:sz w:val="24"/>
              </w:rPr>
            </w:pPr>
            <w:r>
              <w:rPr>
                <w:rFonts w:hint="eastAsia" w:ascii="宋体" w:hAnsi="宋体"/>
                <w:sz w:val="24"/>
              </w:rPr>
              <w:t>十五、</w:t>
            </w:r>
            <w:r>
              <w:rPr>
                <w:rFonts w:hint="eastAsia" w:ascii="宋体" w:hAnsi="宋体"/>
                <w:color w:val="000000"/>
                <w:sz w:val="24"/>
              </w:rPr>
              <w:t>税金执行鲁建标字[2019]10号文规定的9%计取，中标后需按此税率开具增值税专用发票。规费执行鲁建办字[2016]20号文,规费中的社会保障费按鲁标定字[2016]33号文中增值税一般的相关规定1.52%计取。若出现因中标单位纳税资格所开具的增值税专用发票税率与投标税率不一致的情况，最终结算和过程结算时按照中标单位实际开具的增值税专用发票税率调整。</w:t>
            </w:r>
          </w:p>
          <w:p>
            <w:pPr>
              <w:snapToGrid w:val="0"/>
              <w:spacing w:line="460" w:lineRule="exact"/>
              <w:ind w:left="480" w:hanging="480" w:hangingChars="200"/>
              <w:jc w:val="left"/>
              <w:rPr>
                <w:rFonts w:ascii="宋体" w:hAnsi="宋体"/>
                <w:sz w:val="24"/>
              </w:rPr>
            </w:pPr>
            <w:r>
              <w:rPr>
                <w:rFonts w:hint="eastAsia" w:ascii="宋体" w:hAnsi="宋体"/>
                <w:sz w:val="24"/>
              </w:rPr>
              <w:t>十</w:t>
            </w:r>
            <w:r>
              <w:rPr>
                <w:rFonts w:hint="eastAsia" w:ascii="宋体" w:hAnsi="宋体"/>
                <w:sz w:val="24"/>
                <w:lang w:val="en-US" w:eastAsia="zh-CN"/>
              </w:rPr>
              <w:t>六</w:t>
            </w:r>
            <w:r>
              <w:rPr>
                <w:rFonts w:hint="eastAsia" w:ascii="宋体" w:hAnsi="宋体"/>
                <w:sz w:val="24"/>
              </w:rPr>
              <w:t>、投标单位在投标报价时，应综合考虑以下费用：</w:t>
            </w:r>
          </w:p>
          <w:p>
            <w:pPr>
              <w:snapToGrid w:val="0"/>
              <w:spacing w:line="460" w:lineRule="exact"/>
              <w:ind w:left="483" w:leftChars="230"/>
              <w:jc w:val="left"/>
              <w:rPr>
                <w:rFonts w:ascii="宋体" w:hAnsi="宋体"/>
                <w:sz w:val="24"/>
              </w:rPr>
            </w:pPr>
            <w:r>
              <w:rPr>
                <w:rFonts w:hint="eastAsia" w:ascii="宋体" w:hAnsi="宋体"/>
                <w:sz w:val="24"/>
              </w:rPr>
              <w:t>1.工程量清单中的工作内容和项目特征描述，均为清单项目的主要内容。若有未列全的其他内容由投标单位按照招标文件、规范等资料要求综合考虑；规范等资料未明确的由投标单位根据现场考察、施工经验和相关资料综合考虑；或于答疑前书面提出，在答疑时统一解决。所有工程量清单均以完成该清单项目的所有内容为准考虑到报价中，结算时不予调整。结算时对清单特征描述中未施工的部分予以相应的扣除。</w:t>
            </w:r>
          </w:p>
          <w:p>
            <w:pPr>
              <w:snapToGrid w:val="0"/>
              <w:spacing w:line="460" w:lineRule="exact"/>
              <w:ind w:firstLine="480" w:firstLineChars="200"/>
              <w:jc w:val="left"/>
              <w:rPr>
                <w:rFonts w:ascii="宋体" w:hAnsi="宋体"/>
                <w:sz w:val="24"/>
              </w:rPr>
            </w:pPr>
            <w:r>
              <w:rPr>
                <w:rFonts w:hint="eastAsia" w:ascii="宋体" w:hAnsi="宋体"/>
                <w:sz w:val="24"/>
                <w:lang w:val="en-US" w:eastAsia="zh-CN"/>
              </w:rPr>
              <w:t>2</w:t>
            </w:r>
            <w:r>
              <w:rPr>
                <w:rFonts w:hint="eastAsia" w:ascii="宋体" w:hAnsi="宋体"/>
                <w:sz w:val="24"/>
              </w:rPr>
              <w:t>.在施工过程中可能产生的扬尘、噪音、车辆进出等因素，不得对周围居民的安全、财产及正常生活等造成影响，需采取的措施及费用均需考虑在投标报价当中，结算时不再增加此部分费用，若因此引起纠纷及损失，均由投标单位自行解决。其中施工扬尘治理应达到威住建通字【2017】9号、威住建通字【2017】38号文的要求。</w:t>
            </w:r>
          </w:p>
          <w:p>
            <w:pPr>
              <w:snapToGrid w:val="0"/>
              <w:spacing w:line="460" w:lineRule="exact"/>
              <w:ind w:firstLine="480" w:firstLineChars="200"/>
              <w:jc w:val="left"/>
              <w:rPr>
                <w:rFonts w:ascii="宋体" w:hAnsi="宋体"/>
                <w:sz w:val="24"/>
              </w:rPr>
            </w:pPr>
            <w:r>
              <w:rPr>
                <w:rFonts w:hint="eastAsia" w:ascii="宋体" w:hAnsi="宋体"/>
                <w:sz w:val="24"/>
                <w:lang w:val="en-US" w:eastAsia="zh-CN"/>
              </w:rPr>
              <w:t>3</w:t>
            </w:r>
            <w:r>
              <w:rPr>
                <w:rFonts w:hint="eastAsia" w:ascii="宋体" w:hAnsi="宋体"/>
                <w:sz w:val="24"/>
              </w:rPr>
              <w:t>.中标单位为本工程提供的各类车辆及机械设备费用，包括机械设备的进出场、装卸、拼装、交通标示牌、警示牌等所有费用，应包括在清单报价中，投标单位应充分考虑施工过程中发生的各种机械的多次进出场和机械停滞的费用及风险费用。</w:t>
            </w:r>
          </w:p>
          <w:p>
            <w:pPr>
              <w:snapToGrid w:val="0"/>
              <w:spacing w:line="460" w:lineRule="exact"/>
              <w:ind w:left="483" w:leftChars="230"/>
              <w:jc w:val="left"/>
              <w:rPr>
                <w:rFonts w:ascii="宋体" w:hAnsi="宋体"/>
                <w:sz w:val="24"/>
              </w:rPr>
            </w:pPr>
            <w:r>
              <w:rPr>
                <w:rFonts w:hint="eastAsia" w:ascii="宋体" w:hAnsi="宋体"/>
                <w:sz w:val="24"/>
                <w:lang w:val="en-US" w:eastAsia="zh-CN"/>
              </w:rPr>
              <w:t>4</w:t>
            </w:r>
            <w:r>
              <w:rPr>
                <w:rFonts w:hint="eastAsia" w:ascii="宋体" w:hAnsi="宋体"/>
                <w:sz w:val="24"/>
              </w:rPr>
              <w:t>.投标报价要充分考虑施工过程中不可避免的赶工期增加费。</w:t>
            </w:r>
          </w:p>
          <w:p>
            <w:pPr>
              <w:snapToGrid w:val="0"/>
              <w:spacing w:line="460" w:lineRule="exact"/>
              <w:ind w:left="483" w:leftChars="230"/>
              <w:jc w:val="left"/>
              <w:rPr>
                <w:rFonts w:ascii="宋体" w:hAnsi="宋体"/>
                <w:sz w:val="24"/>
              </w:rPr>
            </w:pPr>
            <w:r>
              <w:rPr>
                <w:rFonts w:hint="eastAsia" w:ascii="宋体" w:hAnsi="宋体"/>
                <w:sz w:val="24"/>
                <w:lang w:val="en-US" w:eastAsia="zh-CN"/>
              </w:rPr>
              <w:t>5</w:t>
            </w:r>
            <w:r>
              <w:rPr>
                <w:rFonts w:hint="eastAsia" w:ascii="宋体" w:hAnsi="宋体"/>
                <w:sz w:val="24"/>
              </w:rPr>
              <w:t>.报价单位应根据现场实际情况，自行考虑临时设施的搭设位置，但必须符合规定。</w:t>
            </w:r>
          </w:p>
          <w:p>
            <w:pPr>
              <w:tabs>
                <w:tab w:val="left" w:pos="1276"/>
              </w:tabs>
              <w:snapToGrid w:val="0"/>
              <w:spacing w:line="460" w:lineRule="exact"/>
              <w:ind w:firstLine="480" w:firstLineChars="200"/>
              <w:jc w:val="left"/>
              <w:rPr>
                <w:rFonts w:ascii="宋体" w:hAnsi="宋体"/>
                <w:sz w:val="24"/>
              </w:rPr>
            </w:pPr>
            <w:r>
              <w:rPr>
                <w:rFonts w:hint="eastAsia" w:ascii="宋体" w:hAnsi="宋体"/>
                <w:sz w:val="24"/>
                <w:lang w:val="en-US" w:eastAsia="zh-CN"/>
              </w:rPr>
              <w:t>6</w:t>
            </w:r>
            <w:r>
              <w:rPr>
                <w:rFonts w:hint="eastAsia" w:ascii="宋体" w:hAnsi="宋体"/>
                <w:sz w:val="24"/>
              </w:rPr>
              <w:t>.投标单位中标后，负责收集整理中标范围内的工程施工资料并在规定的时间内移交</w:t>
            </w:r>
            <w:r>
              <w:rPr>
                <w:rFonts w:hint="eastAsia" w:ascii="宋体" w:hAnsi="宋体"/>
                <w:sz w:val="24"/>
                <w:lang w:val="en-US" w:eastAsia="zh-CN"/>
              </w:rPr>
              <w:t>建设</w:t>
            </w:r>
            <w:r>
              <w:rPr>
                <w:rFonts w:hint="eastAsia" w:ascii="宋体" w:hAnsi="宋体"/>
                <w:sz w:val="24"/>
              </w:rPr>
              <w:t>单位，其他相应费用也应充分考虑在投标报价中。</w:t>
            </w:r>
          </w:p>
          <w:p>
            <w:pPr>
              <w:snapToGrid w:val="0"/>
              <w:spacing w:line="460" w:lineRule="exact"/>
              <w:jc w:val="left"/>
              <w:rPr>
                <w:rFonts w:ascii="宋体" w:hAnsi="宋体"/>
                <w:sz w:val="24"/>
              </w:rPr>
            </w:pPr>
          </w:p>
        </w:tc>
      </w:tr>
    </w:tbl>
    <w:p/>
    <w:sectPr>
      <w:headerReference r:id="rId3" w:type="default"/>
      <w:pgSz w:w="11906" w:h="16838"/>
      <w:pgMar w:top="1440" w:right="1134" w:bottom="1440" w:left="1440" w:header="850"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文星简小标宋">
    <w:altName w:val="宋体"/>
    <w:panose1 w:val="00000000000000000000"/>
    <w:charset w:val="86"/>
    <w:family w:val="modern"/>
    <w:pitch w:val="default"/>
    <w:sig w:usb0="00000000" w:usb1="00000000" w:usb2="00000000"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jc w:val="center"/>
      <w:rPr>
        <w:rFonts w:ascii="文星简小标宋" w:eastAsia="文星简小标宋"/>
        <w:sz w:val="42"/>
        <w:szCs w:val="42"/>
      </w:rPr>
    </w:pPr>
    <w:r>
      <w:rPr>
        <w:rFonts w:hint="eastAsia" w:ascii="文星简小标宋" w:eastAsia="文星简小标宋"/>
        <w:sz w:val="42"/>
        <w:szCs w:val="42"/>
      </w:rPr>
      <w:t>总  说  明</w:t>
    </w:r>
  </w:p>
  <w:p>
    <w:pPr>
      <w:pStyle w:val="3"/>
      <w:pBdr>
        <w:bottom w:val="none" w:color="auto" w:sz="0" w:space="0"/>
      </w:pBdr>
      <w:tabs>
        <w:tab w:val="left" w:pos="2680"/>
      </w:tabs>
      <w:jc w:val="left"/>
      <w:rPr>
        <w:rFonts w:hint="eastAsia"/>
        <w:sz w:val="24"/>
      </w:rPr>
    </w:pPr>
    <w:r>
      <w:rPr>
        <w:rFonts w:hint="eastAsia"/>
        <w:sz w:val="24"/>
      </w:rPr>
      <w:t>工程名称：威海高区智能制造产业园区一期及基础设施配套项目辇子山石方爆破外运工程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3ODFhZTAxN2MwNDlkYTIyMmYxYmFiZmQ0ZDUxMGYifQ=="/>
  </w:docVars>
  <w:rsids>
    <w:rsidRoot w:val="004337EF"/>
    <w:rsid w:val="004337EF"/>
    <w:rsid w:val="00463930"/>
    <w:rsid w:val="00FC56EB"/>
    <w:rsid w:val="0104530C"/>
    <w:rsid w:val="01225FBF"/>
    <w:rsid w:val="03515A11"/>
    <w:rsid w:val="03635530"/>
    <w:rsid w:val="03E95D2B"/>
    <w:rsid w:val="097E7AC3"/>
    <w:rsid w:val="0D222E5C"/>
    <w:rsid w:val="1AB0336B"/>
    <w:rsid w:val="1BE16273"/>
    <w:rsid w:val="1F98029C"/>
    <w:rsid w:val="25B6018D"/>
    <w:rsid w:val="31DB1765"/>
    <w:rsid w:val="34835472"/>
    <w:rsid w:val="3B005CDB"/>
    <w:rsid w:val="44D54ED2"/>
    <w:rsid w:val="4DD007BB"/>
    <w:rsid w:val="50E7572E"/>
    <w:rsid w:val="5E031AAF"/>
    <w:rsid w:val="62A92F16"/>
    <w:rsid w:val="63C77A09"/>
    <w:rsid w:val="63DD49C6"/>
    <w:rsid w:val="7AF719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2002</Words>
  <Characters>2047</Characters>
  <Lines>20</Lines>
  <Paragraphs>5</Paragraphs>
  <TotalTime>21</TotalTime>
  <ScaleCrop>false</ScaleCrop>
  <LinksUpToDate>false</LinksUpToDate>
  <CharactersWithSpaces>2050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2023-08-15T08:39:00Z</dcterms:created>
  <dc:creator>Administrator</dc:creator>
  <cp:lastModifiedBy>鱼龙</cp:lastModifiedBy>
  <dcterms:modified xsi:type="dcterms:W3CDTF">2025-11-28T02:53:01Z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2BF2969FECEA4E6CB60238BCE405C080_12</vt:lpwstr>
  </property>
  <property fmtid="{D5CDD505-2E9C-101B-9397-08002B2CF9AE}" pid="4" name="KSOTemplateDocerSaveRecord">
    <vt:lpwstr>eyJoZGlkIjoiZWQ4ZmJjYzJkNmZlODM1Nzc2YjVlODYxMDg5MmI4YWQifQ==</vt:lpwstr>
  </property>
</Properties>
</file>