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CC8CD">
      <w:pPr>
        <w:wordWrap w:val="0"/>
        <w:spacing w:line="360" w:lineRule="exact"/>
        <w:jc w:val="right"/>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招标编号：TYZB-202612</w:t>
      </w:r>
    </w:p>
    <w:p w14:paraId="67B05AFA">
      <w:pPr>
        <w:rPr>
          <w:rFonts w:hint="eastAsia" w:ascii="仿宋" w:hAnsi="仿宋" w:eastAsia="仿宋" w:cs="仿宋"/>
          <w:color w:val="000000" w:themeColor="text1"/>
          <w:highlight w:val="none"/>
          <w14:textFill>
            <w14:solidFill>
              <w14:schemeClr w14:val="tx1"/>
            </w14:solidFill>
          </w14:textFill>
        </w:rPr>
      </w:pPr>
    </w:p>
    <w:p w14:paraId="739F2858">
      <w:pPr>
        <w:pStyle w:val="2"/>
        <w:rPr>
          <w:rFonts w:hint="eastAsia" w:ascii="仿宋" w:hAnsi="仿宋" w:eastAsia="仿宋" w:cs="仿宋"/>
          <w:color w:val="000000" w:themeColor="text1"/>
          <w:highlight w:val="none"/>
          <w14:textFill>
            <w14:solidFill>
              <w14:schemeClr w14:val="tx1"/>
            </w14:solidFill>
          </w14:textFill>
        </w:rPr>
      </w:pPr>
    </w:p>
    <w:p w14:paraId="3BDBBE04">
      <w:pPr>
        <w:pStyle w:val="3"/>
        <w:ind w:left="5250"/>
        <w:rPr>
          <w:rFonts w:hint="eastAsia" w:ascii="仿宋" w:hAnsi="仿宋" w:eastAsia="仿宋" w:cs="仿宋"/>
          <w:color w:val="000000" w:themeColor="text1"/>
          <w:highlight w:val="none"/>
          <w14:textFill>
            <w14:solidFill>
              <w14:schemeClr w14:val="tx1"/>
            </w14:solidFill>
          </w14:textFill>
        </w:rPr>
      </w:pPr>
    </w:p>
    <w:p w14:paraId="781577A4">
      <w:pPr>
        <w:rPr>
          <w:rFonts w:hint="eastAsia" w:ascii="仿宋" w:hAnsi="仿宋" w:eastAsia="仿宋" w:cs="仿宋"/>
          <w:color w:val="000000" w:themeColor="text1"/>
          <w:highlight w:val="none"/>
          <w14:textFill>
            <w14:solidFill>
              <w14:schemeClr w14:val="tx1"/>
            </w14:solidFill>
          </w14:textFill>
        </w:rPr>
      </w:pPr>
    </w:p>
    <w:p w14:paraId="6A9BC6C3">
      <w:pPr>
        <w:rPr>
          <w:rFonts w:hint="eastAsia" w:ascii="仿宋" w:hAnsi="仿宋" w:eastAsia="仿宋" w:cs="仿宋"/>
          <w:color w:val="000000" w:themeColor="text1"/>
          <w:highlight w:val="none"/>
          <w14:textFill>
            <w14:solidFill>
              <w14:schemeClr w14:val="tx1"/>
            </w14:solidFill>
          </w14:textFill>
        </w:rPr>
      </w:pPr>
    </w:p>
    <w:p w14:paraId="75250E2A">
      <w:pPr>
        <w:rPr>
          <w:rFonts w:hint="eastAsia" w:ascii="仿宋" w:hAnsi="仿宋" w:eastAsia="仿宋" w:cs="仿宋"/>
          <w:color w:val="000000" w:themeColor="text1"/>
          <w:highlight w:val="none"/>
          <w14:textFill>
            <w14:solidFill>
              <w14:schemeClr w14:val="tx1"/>
            </w14:solidFill>
          </w14:textFill>
        </w:rPr>
      </w:pPr>
    </w:p>
    <w:p w14:paraId="299D4D9B">
      <w:pPr>
        <w:rPr>
          <w:rFonts w:hint="eastAsia" w:ascii="仿宋" w:hAnsi="仿宋" w:eastAsia="仿宋" w:cs="仿宋"/>
          <w:color w:val="000000" w:themeColor="text1"/>
          <w:highlight w:val="none"/>
          <w14:textFill>
            <w14:solidFill>
              <w14:schemeClr w14:val="tx1"/>
            </w14:solidFill>
          </w14:textFill>
        </w:rPr>
      </w:pPr>
    </w:p>
    <w:p w14:paraId="12B6FFF7">
      <w:pPr>
        <w:pStyle w:val="51"/>
        <w:ind w:left="363" w:leftChars="-135" w:hanging="646" w:hangingChars="134"/>
        <w:jc w:val="center"/>
        <w:rPr>
          <w:rFonts w:hint="eastAsia" w:ascii="仿宋" w:hAnsi="仿宋" w:eastAsia="仿宋" w:cs="仿宋"/>
          <w:b/>
          <w:color w:val="000000" w:themeColor="text1"/>
          <w:sz w:val="48"/>
          <w:szCs w:val="48"/>
          <w:highlight w:val="none"/>
          <w14:textFill>
            <w14:solidFill>
              <w14:schemeClr w14:val="tx1"/>
            </w14:solidFill>
          </w14:textFill>
        </w:rPr>
      </w:pPr>
      <w:r>
        <w:rPr>
          <w:rFonts w:hint="eastAsia" w:ascii="仿宋" w:hAnsi="仿宋" w:eastAsia="仿宋" w:cs="仿宋"/>
          <w:b/>
          <w:color w:val="000000" w:themeColor="text1"/>
          <w:sz w:val="48"/>
          <w:szCs w:val="48"/>
          <w:highlight w:val="none"/>
          <w14:textFill>
            <w14:solidFill>
              <w14:schemeClr w14:val="tx1"/>
            </w14:solidFill>
          </w14:textFill>
        </w:rPr>
        <w:t>采购专有云资源服务项目</w:t>
      </w:r>
    </w:p>
    <w:p w14:paraId="1186533E">
      <w:pPr>
        <w:rPr>
          <w:rFonts w:hint="eastAsia" w:ascii="仿宋" w:hAnsi="仿宋" w:eastAsia="仿宋" w:cs="仿宋"/>
          <w:color w:val="000000" w:themeColor="text1"/>
          <w:highlight w:val="none"/>
          <w14:textFill>
            <w14:solidFill>
              <w14:schemeClr w14:val="tx1"/>
            </w14:solidFill>
          </w14:textFill>
        </w:rPr>
      </w:pPr>
    </w:p>
    <w:p w14:paraId="693420F3">
      <w:pPr>
        <w:rPr>
          <w:rFonts w:hint="eastAsia" w:ascii="仿宋" w:hAnsi="仿宋" w:eastAsia="仿宋" w:cs="仿宋"/>
          <w:color w:val="000000" w:themeColor="text1"/>
          <w:highlight w:val="none"/>
          <w14:textFill>
            <w14:solidFill>
              <w14:schemeClr w14:val="tx1"/>
            </w14:solidFill>
          </w14:textFill>
        </w:rPr>
      </w:pPr>
    </w:p>
    <w:p w14:paraId="0FE109A9">
      <w:pPr>
        <w:spacing w:before="156" w:beforeLines="50" w:line="360" w:lineRule="auto"/>
        <w:jc w:val="center"/>
        <w:rPr>
          <w:rFonts w:hint="eastAsia" w:ascii="仿宋" w:hAnsi="仿宋" w:eastAsia="仿宋" w:cs="仿宋"/>
          <w:b/>
          <w:color w:val="000000" w:themeColor="text1"/>
          <w:sz w:val="52"/>
          <w:szCs w:val="52"/>
          <w:highlight w:val="none"/>
          <w14:textFill>
            <w14:solidFill>
              <w14:schemeClr w14:val="tx1"/>
            </w14:solidFill>
          </w14:textFill>
        </w:rPr>
      </w:pPr>
      <w:r>
        <w:rPr>
          <w:rFonts w:hint="eastAsia" w:ascii="仿宋" w:hAnsi="仿宋" w:eastAsia="仿宋" w:cs="仿宋"/>
          <w:b/>
          <w:color w:val="000000" w:themeColor="text1"/>
          <w:sz w:val="52"/>
          <w:szCs w:val="52"/>
          <w:highlight w:val="none"/>
          <w14:textFill>
            <w14:solidFill>
              <w14:schemeClr w14:val="tx1"/>
            </w14:solidFill>
          </w14:textFill>
        </w:rPr>
        <w:t>招标文件</w:t>
      </w:r>
    </w:p>
    <w:p w14:paraId="473C43C7">
      <w:pPr>
        <w:spacing w:line="360" w:lineRule="auto"/>
        <w:jc w:val="left"/>
        <w:rPr>
          <w:rFonts w:hint="eastAsia" w:ascii="仿宋" w:hAnsi="仿宋" w:eastAsia="仿宋" w:cs="仿宋"/>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52"/>
          <w:szCs w:val="52"/>
          <w:highlight w:val="none"/>
          <w14:textFill>
            <w14:solidFill>
              <w14:schemeClr w14:val="tx1"/>
            </w14:solidFill>
          </w14:textFill>
        </w:rPr>
        <w:drawing>
          <wp:anchor distT="0" distB="0" distL="114300" distR="114300" simplePos="0" relativeHeight="251659264" behindDoc="0" locked="0" layoutInCell="1" allowOverlap="1">
            <wp:simplePos x="0" y="0"/>
            <wp:positionH relativeFrom="column">
              <wp:posOffset>1746885</wp:posOffset>
            </wp:positionH>
            <wp:positionV relativeFrom="paragraph">
              <wp:posOffset>107950</wp:posOffset>
            </wp:positionV>
            <wp:extent cx="2590800" cy="2352675"/>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590800" cy="2352675"/>
                    </a:xfrm>
                    <a:prstGeom prst="rect">
                      <a:avLst/>
                    </a:prstGeom>
                    <a:noFill/>
                    <a:ln>
                      <a:noFill/>
                    </a:ln>
                  </pic:spPr>
                </pic:pic>
              </a:graphicData>
            </a:graphic>
          </wp:anchor>
        </w:drawing>
      </w:r>
    </w:p>
    <w:p w14:paraId="6E0109A6">
      <w:pPr>
        <w:spacing w:line="360" w:lineRule="auto"/>
        <w:jc w:val="left"/>
        <w:rPr>
          <w:rFonts w:hint="eastAsia" w:ascii="仿宋" w:hAnsi="仿宋" w:eastAsia="仿宋" w:cs="仿宋"/>
          <w:color w:val="000000" w:themeColor="text1"/>
          <w:sz w:val="36"/>
          <w:szCs w:val="36"/>
          <w:highlight w:val="none"/>
          <w14:textFill>
            <w14:solidFill>
              <w14:schemeClr w14:val="tx1"/>
            </w14:solidFill>
          </w14:textFill>
        </w:rPr>
      </w:pPr>
    </w:p>
    <w:p w14:paraId="38DC15C6">
      <w:pPr>
        <w:spacing w:line="360" w:lineRule="auto"/>
        <w:rPr>
          <w:rFonts w:hint="eastAsia" w:ascii="仿宋" w:hAnsi="仿宋" w:eastAsia="仿宋" w:cs="仿宋"/>
          <w:b/>
          <w:color w:val="000000" w:themeColor="text1"/>
          <w:sz w:val="16"/>
          <w:szCs w:val="36"/>
          <w:highlight w:val="none"/>
          <w14:textFill>
            <w14:solidFill>
              <w14:schemeClr w14:val="tx1"/>
            </w14:solidFill>
          </w14:textFill>
        </w:rPr>
      </w:pPr>
    </w:p>
    <w:p w14:paraId="6E3C1921">
      <w:pPr>
        <w:pStyle w:val="204"/>
        <w:rPr>
          <w:rFonts w:hint="eastAsia" w:ascii="仿宋" w:hAnsi="仿宋" w:eastAsia="仿宋" w:cs="仿宋"/>
          <w:color w:val="000000" w:themeColor="text1"/>
          <w:highlight w:val="none"/>
          <w14:textFill>
            <w14:solidFill>
              <w14:schemeClr w14:val="tx1"/>
            </w14:solidFill>
          </w14:textFill>
        </w:rPr>
      </w:pPr>
    </w:p>
    <w:p w14:paraId="129CFCC7">
      <w:pPr>
        <w:rPr>
          <w:rFonts w:hint="eastAsia" w:ascii="仿宋" w:hAnsi="仿宋" w:eastAsia="仿宋" w:cs="仿宋"/>
          <w:color w:val="000000" w:themeColor="text1"/>
          <w:highlight w:val="none"/>
          <w14:textFill>
            <w14:solidFill>
              <w14:schemeClr w14:val="tx1"/>
            </w14:solidFill>
          </w14:textFill>
        </w:rPr>
      </w:pPr>
    </w:p>
    <w:p w14:paraId="2B9A2673">
      <w:pPr>
        <w:spacing w:line="360" w:lineRule="auto"/>
        <w:rPr>
          <w:rFonts w:hint="eastAsia" w:ascii="仿宋" w:hAnsi="仿宋" w:eastAsia="仿宋" w:cs="仿宋"/>
          <w:b/>
          <w:color w:val="000000" w:themeColor="text1"/>
          <w:sz w:val="16"/>
          <w:szCs w:val="36"/>
          <w:highlight w:val="none"/>
          <w14:textFill>
            <w14:solidFill>
              <w14:schemeClr w14:val="tx1"/>
            </w14:solidFill>
          </w14:textFill>
        </w:rPr>
      </w:pPr>
    </w:p>
    <w:p w14:paraId="53C1E08B">
      <w:pPr>
        <w:pStyle w:val="2"/>
        <w:rPr>
          <w:rFonts w:hint="eastAsia" w:ascii="仿宋" w:hAnsi="仿宋" w:eastAsia="仿宋" w:cs="仿宋"/>
          <w:color w:val="000000" w:themeColor="text1"/>
          <w:highlight w:val="none"/>
          <w14:textFill>
            <w14:solidFill>
              <w14:schemeClr w14:val="tx1"/>
            </w14:solidFill>
          </w14:textFill>
        </w:rPr>
      </w:pPr>
    </w:p>
    <w:p w14:paraId="4FD01B5F">
      <w:pPr>
        <w:spacing w:line="360" w:lineRule="auto"/>
        <w:rPr>
          <w:rFonts w:hint="eastAsia" w:ascii="仿宋" w:hAnsi="仿宋" w:eastAsia="仿宋" w:cs="仿宋"/>
          <w:b/>
          <w:color w:val="000000" w:themeColor="text1"/>
          <w:sz w:val="16"/>
          <w:szCs w:val="36"/>
          <w:highlight w:val="none"/>
          <w14:textFill>
            <w14:solidFill>
              <w14:schemeClr w14:val="tx1"/>
            </w14:solidFill>
          </w14:textFill>
        </w:rPr>
      </w:pPr>
    </w:p>
    <w:p w14:paraId="7DB6F468">
      <w:pPr>
        <w:pStyle w:val="204"/>
        <w:rPr>
          <w:rFonts w:hint="eastAsia" w:ascii="仿宋" w:hAnsi="仿宋" w:eastAsia="仿宋" w:cs="仿宋"/>
          <w:color w:val="000000" w:themeColor="text1"/>
          <w:highlight w:val="none"/>
          <w14:textFill>
            <w14:solidFill>
              <w14:schemeClr w14:val="tx1"/>
            </w14:solidFill>
          </w14:textFill>
        </w:rPr>
      </w:pPr>
    </w:p>
    <w:p w14:paraId="6ECB455F">
      <w:pPr>
        <w:spacing w:before="156" w:beforeLines="50" w:line="360" w:lineRule="auto"/>
        <w:ind w:firstLine="726" w:firstLineChars="201"/>
        <w:jc w:val="center"/>
        <w:rPr>
          <w:rFonts w:hint="eastAsia" w:ascii="仿宋" w:hAnsi="仿宋" w:eastAsia="仿宋" w:cs="仿宋"/>
          <w:b/>
          <w:color w:val="000000" w:themeColor="text1"/>
          <w:sz w:val="36"/>
          <w:szCs w:val="36"/>
          <w:highlight w:val="none"/>
          <w14:textFill>
            <w14:solidFill>
              <w14:schemeClr w14:val="tx1"/>
            </w14:solidFill>
          </w14:textFill>
        </w:rPr>
      </w:pPr>
      <w:bookmarkStart w:id="0" w:name="_Hlk154665901"/>
    </w:p>
    <w:p w14:paraId="073136A4">
      <w:pPr>
        <w:spacing w:before="156" w:beforeLines="50" w:line="360" w:lineRule="auto"/>
        <w:ind w:firstLine="726" w:firstLineChars="201"/>
        <w:jc w:val="center"/>
        <w:rPr>
          <w:rFonts w:hint="eastAsia" w:ascii="仿宋" w:hAnsi="仿宋" w:eastAsia="仿宋" w:cs="仿宋"/>
          <w:b/>
          <w:color w:val="000000" w:themeColor="text1"/>
          <w:sz w:val="36"/>
          <w:szCs w:val="36"/>
          <w:highlight w:val="none"/>
          <w14:textFill>
            <w14:solidFill>
              <w14:schemeClr w14:val="tx1"/>
            </w14:solidFill>
          </w14:textFill>
        </w:rPr>
      </w:pPr>
    </w:p>
    <w:p w14:paraId="0609DF10">
      <w:pPr>
        <w:spacing w:before="156" w:beforeLines="50" w:line="360" w:lineRule="auto"/>
        <w:jc w:val="center"/>
        <w:rPr>
          <w:rFonts w:hint="eastAsia" w:ascii="仿宋" w:hAnsi="仿宋" w:eastAsia="仿宋" w:cs="仿宋"/>
          <w:b/>
          <w:bCs/>
          <w:color w:val="000000" w:themeColor="text1"/>
          <w:kern w:val="0"/>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代理机构：威海市天垣工程咨询管理有限公司</w:t>
      </w:r>
    </w:p>
    <w:p w14:paraId="43BF261B">
      <w:pPr>
        <w:spacing w:line="360" w:lineRule="auto"/>
        <w:jc w:val="center"/>
        <w:rPr>
          <w:rFonts w:hint="eastAsia" w:ascii="仿宋" w:hAnsi="仿宋" w:eastAsia="仿宋" w:cs="仿宋"/>
          <w:b/>
          <w:color w:val="000000" w:themeColor="text1"/>
          <w:sz w:val="36"/>
          <w:szCs w:val="36"/>
          <w:highlight w:val="none"/>
          <w14:textFill>
            <w14:solidFill>
              <w14:schemeClr w14:val="tx1"/>
            </w14:solidFill>
          </w14:textFill>
        </w:rPr>
      </w:pPr>
      <w:r>
        <w:rPr>
          <w:rFonts w:hint="eastAsia" w:ascii="仿宋" w:hAnsi="仿宋" w:eastAsia="仿宋" w:cs="仿宋"/>
          <w:b/>
          <w:color w:val="000000" w:themeColor="text1"/>
          <w:sz w:val="36"/>
          <w:szCs w:val="36"/>
          <w:highlight w:val="none"/>
          <w14:textFill>
            <w14:solidFill>
              <w14:schemeClr w14:val="tx1"/>
            </w14:solidFill>
          </w14:textFill>
        </w:rPr>
        <w:t>编制时间：2026年</w:t>
      </w:r>
      <w:r>
        <w:rPr>
          <w:rFonts w:hint="eastAsia" w:ascii="仿宋" w:hAnsi="仿宋" w:eastAsia="仿宋" w:cs="仿宋"/>
          <w:b/>
          <w:color w:val="000000" w:themeColor="text1"/>
          <w:sz w:val="36"/>
          <w:szCs w:val="36"/>
          <w:highlight w:val="none"/>
          <w:lang w:val="en-US" w:eastAsia="zh-CN"/>
          <w14:textFill>
            <w14:solidFill>
              <w14:schemeClr w14:val="tx1"/>
            </w14:solidFill>
          </w14:textFill>
        </w:rPr>
        <w:t>3</w:t>
      </w:r>
      <w:r>
        <w:rPr>
          <w:rFonts w:hint="eastAsia" w:ascii="仿宋" w:hAnsi="仿宋" w:eastAsia="仿宋" w:cs="仿宋"/>
          <w:b/>
          <w:color w:val="000000" w:themeColor="text1"/>
          <w:sz w:val="36"/>
          <w:szCs w:val="36"/>
          <w:highlight w:val="none"/>
          <w14:textFill>
            <w14:solidFill>
              <w14:schemeClr w14:val="tx1"/>
            </w14:solidFill>
          </w14:textFill>
        </w:rPr>
        <w:t>月</w:t>
      </w:r>
    </w:p>
    <w:bookmarkEnd w:id="0"/>
    <w:p w14:paraId="1725A39E">
      <w:pPr>
        <w:rPr>
          <w:rFonts w:hint="eastAsia" w:ascii="仿宋" w:hAnsi="仿宋" w:eastAsia="仿宋" w:cs="仿宋"/>
          <w:color w:val="000000" w:themeColor="text1"/>
          <w:highlight w:val="none"/>
          <w14:textFill>
            <w14:solidFill>
              <w14:schemeClr w14:val="tx1"/>
            </w14:solidFill>
          </w14:textFill>
        </w:rPr>
      </w:pPr>
    </w:p>
    <w:sdt>
      <w:sdtPr>
        <w:rPr>
          <w:rFonts w:hint="eastAsia" w:ascii="仿宋" w:hAnsi="仿宋" w:eastAsia="仿宋" w:cs="仿宋"/>
          <w:b w:val="0"/>
          <w:bCs w:val="0"/>
          <w:caps/>
          <w:color w:val="000000" w:themeColor="text1"/>
          <w:kern w:val="2"/>
          <w:sz w:val="21"/>
          <w:szCs w:val="24"/>
          <w:highlight w:val="none"/>
          <w:lang w:val="zh-CN"/>
          <w14:textFill>
            <w14:solidFill>
              <w14:schemeClr w14:val="tx1"/>
            </w14:solidFill>
          </w14:textFill>
        </w:rPr>
        <w:id w:val="984660636"/>
        <w:docPartObj>
          <w:docPartGallery w:val="Table of Contents"/>
          <w:docPartUnique/>
        </w:docPartObj>
      </w:sdtPr>
      <w:sdtEndPr>
        <w:rPr>
          <w:rFonts w:hint="eastAsia" w:ascii="仿宋" w:hAnsi="仿宋" w:eastAsia="仿宋" w:cs="仿宋"/>
          <w:b/>
          <w:bCs/>
          <w:caps/>
          <w:color w:val="000000" w:themeColor="text1"/>
          <w:kern w:val="2"/>
          <w:sz w:val="28"/>
          <w:szCs w:val="28"/>
          <w:highlight w:val="none"/>
          <w:lang w:val="zh-CN"/>
          <w14:textFill>
            <w14:solidFill>
              <w14:schemeClr w14:val="tx1"/>
            </w14:solidFill>
          </w14:textFill>
        </w:rPr>
      </w:sdtEndPr>
      <w:sdtContent>
        <w:p w14:paraId="1A0294A8">
          <w:pPr>
            <w:pStyle w:val="388"/>
            <w:jc w:val="center"/>
            <w:rPr>
              <w:rFonts w:hint="eastAsia" w:ascii="仿宋" w:hAnsi="仿宋" w:eastAsia="仿宋" w:cs="仿宋"/>
              <w:color w:val="000000" w:themeColor="text1"/>
              <w:sz w:val="44"/>
              <w:szCs w:val="44"/>
              <w:highlight w:val="none"/>
              <w14:textFill>
                <w14:solidFill>
                  <w14:schemeClr w14:val="tx1"/>
                </w14:solidFill>
              </w14:textFill>
            </w:rPr>
          </w:pPr>
          <w:bookmarkStart w:id="1" w:name="_Hlk130651888"/>
          <w:bookmarkStart w:id="2" w:name="_Toc413596380"/>
          <w:bookmarkStart w:id="3" w:name="_Toc382129898"/>
          <w:r>
            <w:rPr>
              <w:rFonts w:hint="eastAsia" w:ascii="仿宋" w:hAnsi="仿宋" w:eastAsia="仿宋" w:cs="仿宋"/>
              <w:color w:val="000000" w:themeColor="text1"/>
              <w:sz w:val="44"/>
              <w:szCs w:val="44"/>
              <w:highlight w:val="none"/>
              <w:lang w:val="zh-CN"/>
              <w14:textFill>
                <w14:solidFill>
                  <w14:schemeClr w14:val="tx1"/>
                </w14:solidFill>
              </w14:textFill>
            </w:rPr>
            <w:t>目录</w:t>
          </w:r>
        </w:p>
        <w:p w14:paraId="53041D70">
          <w:pPr>
            <w:pStyle w:val="33"/>
            <w:keepNext w:val="0"/>
            <w:keepLines w:val="0"/>
            <w:pageBreakBefore w:val="0"/>
            <w:widowControl w:val="0"/>
            <w:tabs>
              <w:tab w:val="right" w:leader="dot" w:pos="9746"/>
              <w:tab w:val="clear" w:pos="8834"/>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Style w:val="59"/>
              <w:rFonts w:hint="eastAsia" w:ascii="仿宋" w:hAnsi="仿宋" w:eastAsia="仿宋" w:cs="仿宋"/>
              <w:color w:val="000000" w:themeColor="text1"/>
              <w:highlight w:val="none"/>
              <w14:textFill>
                <w14:solidFill>
                  <w14:schemeClr w14:val="tx1"/>
                </w14:solidFill>
              </w14:textFill>
            </w:rPr>
            <w:fldChar w:fldCharType="begin"/>
          </w:r>
          <w:r>
            <w:rPr>
              <w:rStyle w:val="59"/>
              <w:rFonts w:hint="eastAsia" w:ascii="仿宋" w:hAnsi="仿宋" w:eastAsia="仿宋" w:cs="仿宋"/>
              <w:color w:val="000000" w:themeColor="text1"/>
              <w:highlight w:val="none"/>
              <w14:textFill>
                <w14:solidFill>
                  <w14:schemeClr w14:val="tx1"/>
                </w14:solidFill>
              </w14:textFill>
            </w:rPr>
            <w:instrText xml:space="preserve"> TOC \o "1-3" \h \z \u </w:instrText>
          </w:r>
          <w:r>
            <w:rPr>
              <w:rStyle w:val="59"/>
              <w:rFonts w:hint="eastAsia" w:ascii="仿宋" w:hAnsi="仿宋" w:eastAsia="仿宋" w:cs="仿宋"/>
              <w:color w:val="000000" w:themeColor="text1"/>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_Toc18234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第一章  招标公告</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_Toc18234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- 3 -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0E20FF80">
          <w:pPr>
            <w:pStyle w:val="33"/>
            <w:keepNext w:val="0"/>
            <w:keepLines w:val="0"/>
            <w:pageBreakBefore w:val="0"/>
            <w:widowControl w:val="0"/>
            <w:tabs>
              <w:tab w:val="right" w:leader="dot" w:pos="9746"/>
              <w:tab w:val="clear" w:pos="8834"/>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_Toc18302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第二章  投标须知</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_Toc18302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- 7 -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3547470A">
          <w:pPr>
            <w:pStyle w:val="41"/>
            <w:keepNext w:val="0"/>
            <w:keepLines w:val="0"/>
            <w:pageBreakBefore w:val="0"/>
            <w:widowControl w:val="0"/>
            <w:tabs>
              <w:tab w:val="right" w:leader="dot" w:pos="9746"/>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_Toc7676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bCs/>
              <w:color w:val="000000" w:themeColor="text1"/>
              <w:kern w:val="2"/>
              <w:sz w:val="28"/>
              <w:szCs w:val="28"/>
              <w:highlight w:val="none"/>
              <w14:textFill>
                <w14:solidFill>
                  <w14:schemeClr w14:val="tx1"/>
                </w14:solidFill>
              </w14:textFill>
            </w:rPr>
            <w:t>一、说明</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_Toc7676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- 13 -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5608C8E4">
          <w:pPr>
            <w:pStyle w:val="41"/>
            <w:keepNext w:val="0"/>
            <w:keepLines w:val="0"/>
            <w:pageBreakBefore w:val="0"/>
            <w:widowControl w:val="0"/>
            <w:tabs>
              <w:tab w:val="right" w:leader="dot" w:pos="9746"/>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_Toc2833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bCs/>
              <w:color w:val="000000" w:themeColor="text1"/>
              <w:kern w:val="2"/>
              <w:sz w:val="28"/>
              <w:szCs w:val="28"/>
              <w:highlight w:val="none"/>
              <w14:textFill>
                <w14:solidFill>
                  <w14:schemeClr w14:val="tx1"/>
                </w14:solidFill>
              </w14:textFill>
            </w:rPr>
            <w:t>二、招标文件</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_Toc2833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- 15 -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39BEA418">
          <w:pPr>
            <w:pStyle w:val="41"/>
            <w:keepNext w:val="0"/>
            <w:keepLines w:val="0"/>
            <w:pageBreakBefore w:val="0"/>
            <w:widowControl w:val="0"/>
            <w:tabs>
              <w:tab w:val="right" w:leader="dot" w:pos="9746"/>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_Toc20180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bCs/>
              <w:color w:val="000000" w:themeColor="text1"/>
              <w:kern w:val="2"/>
              <w:sz w:val="28"/>
              <w:szCs w:val="28"/>
              <w:highlight w:val="none"/>
              <w14:textFill>
                <w14:solidFill>
                  <w14:schemeClr w14:val="tx1"/>
                </w14:solidFill>
              </w14:textFill>
            </w:rPr>
            <w:t>三、投标文件的编制</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_Toc20180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- 17 -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3E115AF5">
          <w:pPr>
            <w:pStyle w:val="41"/>
            <w:keepNext w:val="0"/>
            <w:keepLines w:val="0"/>
            <w:pageBreakBefore w:val="0"/>
            <w:widowControl w:val="0"/>
            <w:tabs>
              <w:tab w:val="right" w:leader="dot" w:pos="9746"/>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_Toc3190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bCs/>
              <w:color w:val="000000" w:themeColor="text1"/>
              <w:kern w:val="2"/>
              <w:sz w:val="28"/>
              <w:szCs w:val="28"/>
              <w:highlight w:val="none"/>
              <w14:textFill>
                <w14:solidFill>
                  <w14:schemeClr w14:val="tx1"/>
                </w14:solidFill>
              </w14:textFill>
            </w:rPr>
            <w:t>四、投标文件的提交</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_Toc3190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- 26 -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0EB129D1">
          <w:pPr>
            <w:pStyle w:val="41"/>
            <w:keepNext w:val="0"/>
            <w:keepLines w:val="0"/>
            <w:pageBreakBefore w:val="0"/>
            <w:widowControl w:val="0"/>
            <w:tabs>
              <w:tab w:val="right" w:leader="dot" w:pos="9746"/>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_Toc31486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bCs/>
              <w:color w:val="000000" w:themeColor="text1"/>
              <w:kern w:val="2"/>
              <w:sz w:val="28"/>
              <w:szCs w:val="28"/>
              <w:highlight w:val="none"/>
              <w14:textFill>
                <w14:solidFill>
                  <w14:schemeClr w14:val="tx1"/>
                </w14:solidFill>
              </w14:textFill>
            </w:rPr>
            <w:t>五、开标与评审</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_Toc31486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- 28 -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61D5B973">
          <w:pPr>
            <w:pStyle w:val="41"/>
            <w:keepNext w:val="0"/>
            <w:keepLines w:val="0"/>
            <w:pageBreakBefore w:val="0"/>
            <w:widowControl w:val="0"/>
            <w:tabs>
              <w:tab w:val="right" w:leader="dot" w:pos="9746"/>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_Toc12935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bCs/>
              <w:color w:val="000000" w:themeColor="text1"/>
              <w:kern w:val="2"/>
              <w:sz w:val="28"/>
              <w:szCs w:val="28"/>
              <w:highlight w:val="none"/>
              <w14:textFill>
                <w14:solidFill>
                  <w14:schemeClr w14:val="tx1"/>
                </w14:solidFill>
              </w14:textFill>
            </w:rPr>
            <w:t>六、定标</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_Toc12935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- 39 -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357382CD">
          <w:pPr>
            <w:pStyle w:val="41"/>
            <w:keepNext w:val="0"/>
            <w:keepLines w:val="0"/>
            <w:pageBreakBefore w:val="0"/>
            <w:widowControl w:val="0"/>
            <w:tabs>
              <w:tab w:val="right" w:leader="dot" w:pos="9746"/>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_Toc22073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bCs/>
              <w:color w:val="000000" w:themeColor="text1"/>
              <w:kern w:val="2"/>
              <w:sz w:val="28"/>
              <w:szCs w:val="28"/>
              <w:highlight w:val="none"/>
              <w14:textFill>
                <w14:solidFill>
                  <w14:schemeClr w14:val="tx1"/>
                </w14:solidFill>
              </w14:textFill>
            </w:rPr>
            <w:t>七、结果公告</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_Toc22073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- 41 -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02FD1535">
          <w:pPr>
            <w:pStyle w:val="41"/>
            <w:keepNext w:val="0"/>
            <w:keepLines w:val="0"/>
            <w:pageBreakBefore w:val="0"/>
            <w:widowControl w:val="0"/>
            <w:tabs>
              <w:tab w:val="right" w:leader="dot" w:pos="9746"/>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_Toc20782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bCs/>
              <w:color w:val="000000" w:themeColor="text1"/>
              <w:kern w:val="2"/>
              <w:sz w:val="28"/>
              <w:szCs w:val="28"/>
              <w:highlight w:val="none"/>
              <w14:textFill>
                <w14:solidFill>
                  <w14:schemeClr w14:val="tx1"/>
                </w14:solidFill>
              </w14:textFill>
            </w:rPr>
            <w:t>八、质疑</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_Toc20782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- 41 -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4FDAFC1D">
          <w:pPr>
            <w:pStyle w:val="41"/>
            <w:keepNext w:val="0"/>
            <w:keepLines w:val="0"/>
            <w:pageBreakBefore w:val="0"/>
            <w:widowControl w:val="0"/>
            <w:tabs>
              <w:tab w:val="right" w:leader="dot" w:pos="9746"/>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_Toc8033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bCs/>
              <w:color w:val="000000" w:themeColor="text1"/>
              <w:kern w:val="2"/>
              <w:sz w:val="28"/>
              <w:szCs w:val="28"/>
              <w:highlight w:val="none"/>
              <w14:textFill>
                <w14:solidFill>
                  <w14:schemeClr w14:val="tx1"/>
                </w14:solidFill>
              </w14:textFill>
            </w:rPr>
            <w:t>九、签订合同</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_Toc8033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- 43 -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5FF391D4">
          <w:pPr>
            <w:pStyle w:val="33"/>
            <w:keepNext w:val="0"/>
            <w:keepLines w:val="0"/>
            <w:pageBreakBefore w:val="0"/>
            <w:widowControl w:val="0"/>
            <w:tabs>
              <w:tab w:val="right" w:leader="dot" w:pos="9746"/>
              <w:tab w:val="clear" w:pos="8834"/>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_Toc25607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第三章  开标、评标、定标</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_Toc25607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- 44 -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0375508A">
          <w:pPr>
            <w:pStyle w:val="41"/>
            <w:keepNext w:val="0"/>
            <w:keepLines w:val="0"/>
            <w:pageBreakBefore w:val="0"/>
            <w:widowControl w:val="0"/>
            <w:tabs>
              <w:tab w:val="right" w:leader="dot" w:pos="9746"/>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_Toc776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bCs/>
              <w:color w:val="000000" w:themeColor="text1"/>
              <w:kern w:val="2"/>
              <w:sz w:val="28"/>
              <w:szCs w:val="28"/>
              <w:highlight w:val="none"/>
              <w14:textFill>
                <w14:solidFill>
                  <w14:schemeClr w14:val="tx1"/>
                </w14:solidFill>
              </w14:textFill>
            </w:rPr>
            <w:t>一、开标</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_Toc776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- 44 -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71AFFC42">
          <w:pPr>
            <w:pStyle w:val="41"/>
            <w:keepNext w:val="0"/>
            <w:keepLines w:val="0"/>
            <w:pageBreakBefore w:val="0"/>
            <w:widowControl w:val="0"/>
            <w:tabs>
              <w:tab w:val="right" w:leader="dot" w:pos="9746"/>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_Toc12057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bCs/>
              <w:color w:val="000000" w:themeColor="text1"/>
              <w:kern w:val="2"/>
              <w:sz w:val="28"/>
              <w:szCs w:val="28"/>
              <w:highlight w:val="none"/>
              <w14:textFill>
                <w14:solidFill>
                  <w14:schemeClr w14:val="tx1"/>
                </w14:solidFill>
              </w14:textFill>
            </w:rPr>
            <w:t>二、评标</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_Toc12057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- 45 -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67F818E9">
          <w:pPr>
            <w:pStyle w:val="41"/>
            <w:keepNext w:val="0"/>
            <w:keepLines w:val="0"/>
            <w:pageBreakBefore w:val="0"/>
            <w:widowControl w:val="0"/>
            <w:tabs>
              <w:tab w:val="right" w:leader="dot" w:pos="9746"/>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_Toc24532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bCs/>
              <w:color w:val="000000" w:themeColor="text1"/>
              <w:kern w:val="2"/>
              <w:sz w:val="28"/>
              <w:szCs w:val="28"/>
              <w:highlight w:val="none"/>
              <w14:textFill>
                <w14:solidFill>
                  <w14:schemeClr w14:val="tx1"/>
                </w14:solidFill>
              </w14:textFill>
            </w:rPr>
            <w:t>三、编写评标报告</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_Toc24532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- 50 -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74953C22">
          <w:pPr>
            <w:pStyle w:val="41"/>
            <w:keepNext w:val="0"/>
            <w:keepLines w:val="0"/>
            <w:pageBreakBefore w:val="0"/>
            <w:widowControl w:val="0"/>
            <w:tabs>
              <w:tab w:val="right" w:leader="dot" w:pos="9746"/>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_Toc32332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bCs/>
              <w:color w:val="000000" w:themeColor="text1"/>
              <w:kern w:val="2"/>
              <w:sz w:val="28"/>
              <w:szCs w:val="28"/>
              <w:highlight w:val="none"/>
              <w14:textFill>
                <w14:solidFill>
                  <w14:schemeClr w14:val="tx1"/>
                </w14:solidFill>
              </w14:textFill>
            </w:rPr>
            <w:t>四、定标</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_Toc32332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- 50 -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01DC8EE8">
          <w:pPr>
            <w:pStyle w:val="41"/>
            <w:keepNext w:val="0"/>
            <w:keepLines w:val="0"/>
            <w:pageBreakBefore w:val="0"/>
            <w:widowControl w:val="0"/>
            <w:tabs>
              <w:tab w:val="right" w:leader="dot" w:pos="9746"/>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_Toc25242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bCs/>
              <w:color w:val="000000" w:themeColor="text1"/>
              <w:kern w:val="2"/>
              <w:sz w:val="28"/>
              <w:szCs w:val="28"/>
              <w:highlight w:val="none"/>
              <w14:textFill>
                <w14:solidFill>
                  <w14:schemeClr w14:val="tx1"/>
                </w14:solidFill>
              </w14:textFill>
            </w:rPr>
            <w:t>五、结果公告</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_Toc25242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- 50 -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5863BFCC">
          <w:pPr>
            <w:pStyle w:val="41"/>
            <w:keepNext w:val="0"/>
            <w:keepLines w:val="0"/>
            <w:pageBreakBefore w:val="0"/>
            <w:widowControl w:val="0"/>
            <w:tabs>
              <w:tab w:val="right" w:leader="dot" w:pos="9746"/>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_Toc16767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bCs/>
              <w:color w:val="000000" w:themeColor="text1"/>
              <w:kern w:val="2"/>
              <w:sz w:val="28"/>
              <w:szCs w:val="28"/>
              <w:highlight w:val="none"/>
              <w14:textFill>
                <w14:solidFill>
                  <w14:schemeClr w14:val="tx1"/>
                </w14:solidFill>
              </w14:textFill>
            </w:rPr>
            <w:t>六、签发中标通知书</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_Toc16767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- 50 -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2A7D7D8D">
          <w:pPr>
            <w:pStyle w:val="41"/>
            <w:keepNext w:val="0"/>
            <w:keepLines w:val="0"/>
            <w:pageBreakBefore w:val="0"/>
            <w:widowControl w:val="0"/>
            <w:tabs>
              <w:tab w:val="right" w:leader="dot" w:pos="9746"/>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_Toc24725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bCs/>
              <w:color w:val="000000" w:themeColor="text1"/>
              <w:kern w:val="2"/>
              <w:sz w:val="28"/>
              <w:szCs w:val="28"/>
              <w:highlight w:val="none"/>
              <w14:textFill>
                <w14:solidFill>
                  <w14:schemeClr w14:val="tx1"/>
                </w14:solidFill>
              </w14:textFill>
            </w:rPr>
            <w:t>七、签订合同</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_Toc24725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- 51 -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15826918">
          <w:pPr>
            <w:pStyle w:val="33"/>
            <w:keepNext w:val="0"/>
            <w:keepLines w:val="0"/>
            <w:pageBreakBefore w:val="0"/>
            <w:widowControl w:val="0"/>
            <w:tabs>
              <w:tab w:val="right" w:leader="dot" w:pos="9746"/>
              <w:tab w:val="clear" w:pos="8834"/>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_Toc29296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第四章  采购项目说明</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_Toc29296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- 52 -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38F82CC9">
          <w:pPr>
            <w:pStyle w:val="33"/>
            <w:keepNext w:val="0"/>
            <w:keepLines w:val="0"/>
            <w:pageBreakBefore w:val="0"/>
            <w:widowControl w:val="0"/>
            <w:tabs>
              <w:tab w:val="right" w:leader="dot" w:pos="9746"/>
              <w:tab w:val="clear" w:pos="8834"/>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_Toc18484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第五章  投标文件格式</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_Toc18484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- 54 -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7212B1FA">
          <w:pPr>
            <w:pStyle w:val="33"/>
            <w:keepNext w:val="0"/>
            <w:keepLines w:val="0"/>
            <w:pageBreakBefore w:val="0"/>
            <w:widowControl w:val="0"/>
            <w:tabs>
              <w:tab w:val="right" w:leader="dot" w:pos="9746"/>
              <w:tab w:val="clear" w:pos="8834"/>
            </w:tabs>
            <w:kinsoku/>
            <w:wordWrap/>
            <w:overflowPunct/>
            <w:topLinePunct w:val="0"/>
            <w:autoSpaceDE/>
            <w:autoSpaceDN/>
            <w:bidi w:val="0"/>
            <w:adjustRightInd/>
            <w:snapToGrid/>
            <w:spacing w:line="440" w:lineRule="exact"/>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HYPERLINK \l _Toc23258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第六章  合同（范本）</w:t>
          </w:r>
          <w:r>
            <w:rPr>
              <w:rFonts w:hint="eastAsia" w:ascii="仿宋" w:hAnsi="仿宋" w:eastAsia="仿宋" w:cs="仿宋"/>
              <w:color w:val="000000" w:themeColor="text1"/>
              <w:sz w:val="28"/>
              <w:szCs w:val="28"/>
              <w:highlight w:val="none"/>
              <w14:textFill>
                <w14:solidFill>
                  <w14:schemeClr w14:val="tx1"/>
                </w14:solidFill>
              </w14:textFill>
            </w:rPr>
            <w:tab/>
          </w:r>
          <w:r>
            <w:rPr>
              <w:rFonts w:hint="eastAsia" w:ascii="仿宋" w:hAnsi="仿宋" w:eastAsia="仿宋" w:cs="仿宋"/>
              <w:color w:val="000000" w:themeColor="text1"/>
              <w:sz w:val="28"/>
              <w:szCs w:val="28"/>
              <w:highlight w:val="none"/>
              <w14:textFill>
                <w14:solidFill>
                  <w14:schemeClr w14:val="tx1"/>
                </w14:solidFill>
              </w14:textFill>
            </w:rPr>
            <w:fldChar w:fldCharType="begin"/>
          </w:r>
          <w:r>
            <w:rPr>
              <w:rFonts w:hint="eastAsia" w:ascii="仿宋" w:hAnsi="仿宋" w:eastAsia="仿宋" w:cs="仿宋"/>
              <w:color w:val="000000" w:themeColor="text1"/>
              <w:sz w:val="28"/>
              <w:szCs w:val="28"/>
              <w:highlight w:val="none"/>
              <w14:textFill>
                <w14:solidFill>
                  <w14:schemeClr w14:val="tx1"/>
                </w14:solidFill>
              </w14:textFill>
            </w:rPr>
            <w:instrText xml:space="preserve"> PAGEREF _Toc23258 \h </w:instrText>
          </w:r>
          <w:r>
            <w:rPr>
              <w:rFonts w:hint="eastAsia" w:ascii="仿宋" w:hAnsi="仿宋" w:eastAsia="仿宋" w:cs="仿宋"/>
              <w:color w:val="000000" w:themeColor="text1"/>
              <w:sz w:val="28"/>
              <w:szCs w:val="28"/>
              <w:highlight w:val="none"/>
              <w14:textFill>
                <w14:solidFill>
                  <w14:schemeClr w14:val="tx1"/>
                </w14:solidFill>
              </w14:textFill>
            </w:rPr>
            <w:fldChar w:fldCharType="separate"/>
          </w:r>
          <w:r>
            <w:rPr>
              <w:rFonts w:hint="eastAsia" w:ascii="仿宋" w:hAnsi="仿宋" w:eastAsia="仿宋" w:cs="仿宋"/>
              <w:color w:val="000000" w:themeColor="text1"/>
              <w:sz w:val="28"/>
              <w:szCs w:val="28"/>
              <w:highlight w:val="none"/>
              <w14:textFill>
                <w14:solidFill>
                  <w14:schemeClr w14:val="tx1"/>
                </w14:solidFill>
              </w14:textFill>
            </w:rPr>
            <w:t>- 73 -</w:t>
          </w:r>
          <w:r>
            <w:rPr>
              <w:rFonts w:hint="eastAsia" w:ascii="仿宋" w:hAnsi="仿宋" w:eastAsia="仿宋" w:cs="仿宋"/>
              <w:color w:val="000000" w:themeColor="text1"/>
              <w:sz w:val="28"/>
              <w:szCs w:val="28"/>
              <w:highlight w:val="none"/>
              <w14:textFill>
                <w14:solidFill>
                  <w14:schemeClr w14:val="tx1"/>
                </w14:solidFill>
              </w14:textFill>
            </w:rPr>
            <w:fldChar w:fldCharType="end"/>
          </w:r>
          <w:r>
            <w:rPr>
              <w:rFonts w:hint="eastAsia" w:ascii="仿宋" w:hAnsi="仿宋" w:eastAsia="仿宋" w:cs="仿宋"/>
              <w:color w:val="000000" w:themeColor="text1"/>
              <w:sz w:val="28"/>
              <w:szCs w:val="28"/>
              <w:highlight w:val="none"/>
              <w14:textFill>
                <w14:solidFill>
                  <w14:schemeClr w14:val="tx1"/>
                </w14:solidFill>
              </w14:textFill>
            </w:rPr>
            <w:fldChar w:fldCharType="end"/>
          </w:r>
        </w:p>
        <w:p w14:paraId="1B42B13B">
          <w:pPr>
            <w:pStyle w:val="33"/>
            <w:spacing w:line="56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fldChar w:fldCharType="end"/>
          </w:r>
        </w:p>
      </w:sdtContent>
    </w:sdt>
    <w:bookmarkEnd w:id="1"/>
    <w:p w14:paraId="6895EC70">
      <w:pPr>
        <w:rPr>
          <w:rFonts w:hint="eastAsia" w:ascii="仿宋" w:hAnsi="仿宋" w:eastAsia="仿宋" w:cs="仿宋"/>
          <w:color w:val="000000" w:themeColor="text1"/>
          <w:kern w:val="0"/>
          <w:highlight w:val="none"/>
          <w14:textFill>
            <w14:solidFill>
              <w14:schemeClr w14:val="tx1"/>
            </w14:solidFill>
          </w14:textFill>
        </w:rPr>
      </w:pPr>
    </w:p>
    <w:p w14:paraId="5A9C73E1">
      <w:pPr>
        <w:rPr>
          <w:rFonts w:hint="eastAsia" w:ascii="仿宋" w:hAnsi="仿宋" w:eastAsia="仿宋" w:cs="仿宋"/>
          <w:color w:val="000000" w:themeColor="text1"/>
          <w:highlight w:val="none"/>
          <w14:textFill>
            <w14:solidFill>
              <w14:schemeClr w14:val="tx1"/>
            </w14:solidFill>
          </w14:textFill>
        </w:rPr>
        <w:sectPr>
          <w:footerReference r:id="rId5" w:type="first"/>
          <w:headerReference r:id="rId3" w:type="default"/>
          <w:footerReference r:id="rId4" w:type="default"/>
          <w:pgSz w:w="11906" w:h="16838"/>
          <w:pgMar w:top="1440" w:right="1080" w:bottom="1440" w:left="1080" w:header="851" w:footer="992" w:gutter="0"/>
          <w:pgNumType w:start="1"/>
          <w:cols w:space="720" w:num="1"/>
          <w:titlePg/>
          <w:docGrid w:type="lines" w:linePitch="312" w:charSpace="0"/>
        </w:sectPr>
      </w:pPr>
    </w:p>
    <w:bookmarkEnd w:id="2"/>
    <w:bookmarkEnd w:id="3"/>
    <w:p w14:paraId="3F166DDB">
      <w:pPr>
        <w:pStyle w:val="4"/>
        <w:jc w:val="center"/>
        <w:rPr>
          <w:rFonts w:hint="eastAsia" w:ascii="仿宋" w:hAnsi="仿宋" w:eastAsia="仿宋" w:cs="仿宋"/>
          <w:color w:val="000000" w:themeColor="text1"/>
          <w:highlight w:val="none"/>
          <w14:textFill>
            <w14:solidFill>
              <w14:schemeClr w14:val="tx1"/>
            </w14:solidFill>
          </w14:textFill>
        </w:rPr>
      </w:pPr>
      <w:bookmarkStart w:id="4" w:name="_Toc66864040"/>
      <w:bookmarkStart w:id="5" w:name="_Toc18234"/>
      <w:bookmarkStart w:id="6" w:name="_Toc266431116"/>
      <w:bookmarkStart w:id="7" w:name="_Toc253045125"/>
      <w:r>
        <w:rPr>
          <w:rFonts w:hint="eastAsia" w:ascii="仿宋" w:hAnsi="仿宋" w:eastAsia="仿宋" w:cs="仿宋"/>
          <w:color w:val="000000" w:themeColor="text1"/>
          <w:highlight w:val="none"/>
          <w14:textFill>
            <w14:solidFill>
              <w14:schemeClr w14:val="tx1"/>
            </w14:solidFill>
          </w14:textFill>
        </w:rPr>
        <w:t>第一章  招标公告</w:t>
      </w:r>
      <w:bookmarkEnd w:id="4"/>
      <w:bookmarkEnd w:id="5"/>
    </w:p>
    <w:p w14:paraId="5A8152B5">
      <w:pPr>
        <w:pStyle w:val="7"/>
        <w:rPr>
          <w:rFonts w:hint="eastAsia" w:ascii="仿宋" w:hAnsi="仿宋" w:eastAsia="仿宋" w:cs="仿宋"/>
          <w:b/>
          <w:color w:val="000000" w:themeColor="text1"/>
          <w:spacing w:val="8"/>
          <w:kern w:val="0"/>
          <w:sz w:val="32"/>
          <w:szCs w:val="32"/>
          <w:highlight w:val="none"/>
          <w14:textFill>
            <w14:solidFill>
              <w14:schemeClr w14:val="tx1"/>
            </w14:solidFill>
          </w14:textFill>
        </w:rPr>
      </w:pPr>
      <w:bookmarkStart w:id="8" w:name="_Hlk192680109"/>
      <w:r>
        <w:rPr>
          <w:rFonts w:hint="eastAsia" w:ascii="仿宋" w:hAnsi="仿宋" w:eastAsia="仿宋" w:cs="仿宋"/>
          <w:b/>
          <w:color w:val="000000" w:themeColor="text1"/>
          <w:spacing w:val="8"/>
          <w:kern w:val="0"/>
          <w:sz w:val="32"/>
          <w:szCs w:val="32"/>
          <w:highlight w:val="none"/>
          <w14:textFill>
            <w14:solidFill>
              <w14:schemeClr w14:val="tx1"/>
            </w14:solidFill>
          </w14:textFill>
        </w:rPr>
        <w:t>采购专有云资源服务项目</w:t>
      </w:r>
    </w:p>
    <w:p w14:paraId="2E4ED607">
      <w:pPr>
        <w:pStyle w:val="7"/>
        <w:rPr>
          <w:rFonts w:hint="eastAsia" w:ascii="仿宋" w:hAnsi="仿宋" w:eastAsia="仿宋" w:cs="仿宋"/>
          <w:b/>
          <w:color w:val="000000" w:themeColor="text1"/>
          <w:spacing w:val="8"/>
          <w:kern w:val="0"/>
          <w:sz w:val="32"/>
          <w:szCs w:val="32"/>
          <w:highlight w:val="none"/>
          <w14:textFill>
            <w14:solidFill>
              <w14:schemeClr w14:val="tx1"/>
            </w14:solidFill>
          </w14:textFill>
        </w:rPr>
      </w:pPr>
      <w:r>
        <w:rPr>
          <w:rFonts w:hint="eastAsia" w:ascii="仿宋" w:hAnsi="仿宋" w:eastAsia="仿宋" w:cs="仿宋"/>
          <w:b/>
          <w:color w:val="000000" w:themeColor="text1"/>
          <w:spacing w:val="8"/>
          <w:kern w:val="0"/>
          <w:sz w:val="32"/>
          <w:szCs w:val="32"/>
          <w:highlight w:val="none"/>
          <w14:textFill>
            <w14:solidFill>
              <w14:schemeClr w14:val="tx1"/>
            </w14:solidFill>
          </w14:textFill>
        </w:rPr>
        <w:t>招标公告</w:t>
      </w:r>
    </w:p>
    <w:p w14:paraId="21759014">
      <w:pPr>
        <w:pStyle w:val="7"/>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（招标编号：TYZB-202612）</w:t>
      </w:r>
    </w:p>
    <w:p w14:paraId="36251852">
      <w:pPr>
        <w:rPr>
          <w:rFonts w:hint="eastAsia" w:ascii="仿宋" w:hAnsi="仿宋" w:eastAsia="仿宋" w:cs="仿宋"/>
          <w:color w:val="000000" w:themeColor="text1"/>
          <w:highlight w:val="none"/>
          <w14:textFill>
            <w14:solidFill>
              <w14:schemeClr w14:val="tx1"/>
            </w14:solidFill>
          </w14:textFill>
        </w:rPr>
      </w:pPr>
    </w:p>
    <w:p w14:paraId="4822DF73">
      <w:pPr>
        <w:widowControl/>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一、招标条件</w:t>
      </w:r>
    </w:p>
    <w:p w14:paraId="7CE31A90">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本招标项目采购专有云资源服务项目，招标申请已经相关部门批准，招标人为威海文旅发展集团有限公司，项目资金来源为自筹资金，出资比例为100%。项目已具备招标条件，现对该项目进行公开招标。</w:t>
      </w:r>
    </w:p>
    <w:p w14:paraId="2F7EF3B6">
      <w:pPr>
        <w:widowControl/>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二、招标内容</w:t>
      </w:r>
    </w:p>
    <w:p w14:paraId="458EEDEC">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1.项目名称：采购专有云资源服务项目</w:t>
      </w:r>
    </w:p>
    <w:p w14:paraId="174A4D34">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2.项目概况</w:t>
      </w:r>
      <w:bookmarkStart w:id="9" w:name="_Hlk192661141"/>
      <w:r>
        <w:rPr>
          <w:rFonts w:hint="eastAsia" w:ascii="仿宋" w:hAnsi="仿宋" w:eastAsia="仿宋" w:cs="仿宋"/>
          <w:bCs/>
          <w:color w:val="000000" w:themeColor="text1"/>
          <w:spacing w:val="8"/>
          <w:kern w:val="0"/>
          <w:sz w:val="28"/>
          <w:szCs w:val="28"/>
          <w:highlight w:val="none"/>
          <w14:textFill>
            <w14:solidFill>
              <w14:schemeClr w14:val="tx1"/>
            </w14:solidFill>
          </w14:textFill>
        </w:rPr>
        <w:t>：为确保刘公岛景区售检票系统及智慧大脑等关键业务能够稳定运行，拟采购专有云资源服务。</w:t>
      </w:r>
    </w:p>
    <w:p w14:paraId="4C998640">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3.交付时间：自合同签</w:t>
      </w:r>
      <w:bookmarkStart w:id="129" w:name="_GoBack"/>
      <w:bookmarkEnd w:id="129"/>
      <w:r>
        <w:rPr>
          <w:rFonts w:hint="eastAsia" w:ascii="仿宋" w:hAnsi="仿宋" w:eastAsia="仿宋" w:cs="仿宋"/>
          <w:bCs/>
          <w:color w:val="000000" w:themeColor="text1"/>
          <w:spacing w:val="8"/>
          <w:kern w:val="0"/>
          <w:sz w:val="28"/>
          <w:szCs w:val="28"/>
          <w:highlight w:val="none"/>
          <w14:textFill>
            <w14:solidFill>
              <w14:schemeClr w14:val="tx1"/>
            </w14:solidFill>
          </w14:textFill>
        </w:rPr>
        <w:t>订之日起10日内交付。</w:t>
      </w:r>
    </w:p>
    <w:bookmarkEnd w:id="9"/>
    <w:p w14:paraId="18808EE6">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4.最高限价：1360000.00元。</w:t>
      </w:r>
      <w:bookmarkStart w:id="10" w:name="_Hlk192661151"/>
    </w:p>
    <w:bookmarkEnd w:id="10"/>
    <w:p w14:paraId="16F6BA37">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5.服务期限：1年。</w:t>
      </w:r>
    </w:p>
    <w:p w14:paraId="4002C668">
      <w:pPr>
        <w:widowControl/>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三、投标人资格要求</w:t>
      </w:r>
    </w:p>
    <w:p w14:paraId="2E224F9B">
      <w:pPr>
        <w:widowControl/>
        <w:adjustRightInd w:val="0"/>
        <w:spacing w:line="56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w:t>
      </w:r>
      <w:r>
        <w:rPr>
          <w:rFonts w:hint="eastAsia" w:ascii="仿宋" w:hAnsi="仿宋" w:eastAsia="仿宋" w:cs="仿宋"/>
          <w:bCs/>
          <w:color w:val="000000" w:themeColor="text1"/>
          <w:spacing w:val="8"/>
          <w:kern w:val="0"/>
          <w:sz w:val="28"/>
          <w:szCs w:val="28"/>
          <w:highlight w:val="none"/>
          <w14:textFill>
            <w14:solidFill>
              <w14:schemeClr w14:val="tx1"/>
            </w14:solidFill>
          </w14:textFill>
        </w:rPr>
        <w:t>.</w:t>
      </w:r>
      <w:r>
        <w:rPr>
          <w:rFonts w:hint="eastAsia" w:ascii="仿宋" w:hAnsi="仿宋" w:eastAsia="仿宋" w:cs="仿宋"/>
          <w:color w:val="000000" w:themeColor="text1"/>
          <w:spacing w:val="8"/>
          <w:kern w:val="0"/>
          <w:sz w:val="28"/>
          <w:szCs w:val="28"/>
          <w:highlight w:val="none"/>
          <w14:textFill>
            <w14:solidFill>
              <w14:schemeClr w14:val="tx1"/>
            </w14:solidFill>
          </w14:textFill>
        </w:rPr>
        <w:t>具有独立承担民事责任的能力（分公司参与投标的，须提供总公司授权）；</w:t>
      </w:r>
    </w:p>
    <w:p w14:paraId="7554A9B3">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2.参加本次招标活动前三年内，在经营活动中没有重大违法记录；</w:t>
      </w:r>
    </w:p>
    <w:p w14:paraId="4BFF214D">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3.投标人、法定代表人、委托代理人未被最高法院列入失信被执行人；</w:t>
      </w:r>
    </w:p>
    <w:p w14:paraId="15AD68C2">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4.</w:t>
      </w:r>
      <w:bookmarkStart w:id="11" w:name="_Hlk169104633"/>
      <w:bookmarkStart w:id="12" w:name="_Hlk169101970"/>
      <w:r>
        <w:rPr>
          <w:rFonts w:hint="eastAsia" w:ascii="仿宋" w:hAnsi="仿宋" w:eastAsia="仿宋" w:cs="仿宋"/>
          <w:color w:val="000000" w:themeColor="text1"/>
          <w:spacing w:val="8"/>
          <w:kern w:val="0"/>
          <w:sz w:val="28"/>
          <w:szCs w:val="28"/>
          <w:highlight w:val="none"/>
          <w14:textFill>
            <w14:solidFill>
              <w14:schemeClr w14:val="tx1"/>
            </w14:solidFill>
          </w14:textFill>
        </w:rPr>
        <w:t>投标人近一年在“信用中国”或“信用中国（山东）”无严重失信记录；</w:t>
      </w:r>
      <w:bookmarkEnd w:id="11"/>
    </w:p>
    <w:p w14:paraId="38988F87">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5.</w:t>
      </w:r>
      <w:bookmarkStart w:id="13" w:name="OLE_LINK4"/>
      <w:r>
        <w:rPr>
          <w:rFonts w:hint="eastAsia" w:ascii="仿宋" w:hAnsi="仿宋" w:eastAsia="仿宋" w:cs="仿宋"/>
          <w:color w:val="000000" w:themeColor="text1"/>
          <w:spacing w:val="8"/>
          <w:kern w:val="0"/>
          <w:sz w:val="28"/>
          <w:szCs w:val="28"/>
          <w:highlight w:val="none"/>
          <w14:textFill>
            <w14:solidFill>
              <w14:schemeClr w14:val="tx1"/>
            </w14:solidFill>
          </w14:textFill>
        </w:rPr>
        <w:t>投标人、法定代表人、委托代理人近三年无行贿犯罪记录；</w:t>
      </w:r>
    </w:p>
    <w:bookmarkEnd w:id="12"/>
    <w:bookmarkEnd w:id="13"/>
    <w:p w14:paraId="253AD158">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6.本次招标不接受联合体投标。</w:t>
      </w:r>
    </w:p>
    <w:p w14:paraId="5C7DF023">
      <w:pPr>
        <w:widowControl/>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四、获取文件时间及地点</w:t>
      </w:r>
    </w:p>
    <w:p w14:paraId="66726061">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1.获取时间：2026年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24</w:t>
      </w:r>
      <w:r>
        <w:rPr>
          <w:rFonts w:hint="eastAsia" w:ascii="仿宋" w:hAnsi="仿宋" w:eastAsia="仿宋" w:cs="仿宋"/>
          <w:color w:val="000000" w:themeColor="text1"/>
          <w:spacing w:val="8"/>
          <w:kern w:val="0"/>
          <w:sz w:val="28"/>
          <w:szCs w:val="28"/>
          <w:highlight w:val="none"/>
          <w14:textFill>
            <w14:solidFill>
              <w14:schemeClr w14:val="tx1"/>
            </w14:solidFill>
          </w14:textFill>
        </w:rPr>
        <w:t>日17时30分至2026年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31</w:t>
      </w:r>
      <w:r>
        <w:rPr>
          <w:rFonts w:hint="eastAsia" w:ascii="仿宋" w:hAnsi="仿宋" w:eastAsia="仿宋" w:cs="仿宋"/>
          <w:color w:val="000000" w:themeColor="text1"/>
          <w:spacing w:val="8"/>
          <w:kern w:val="0"/>
          <w:sz w:val="28"/>
          <w:szCs w:val="28"/>
          <w:highlight w:val="none"/>
          <w14:textFill>
            <w14:solidFill>
              <w14:schemeClr w14:val="tx1"/>
            </w14:solidFill>
          </w14:textFill>
        </w:rPr>
        <w:t>日17时30分（北京时间）。</w:t>
      </w:r>
    </w:p>
    <w:p w14:paraId="16139DB0">
      <w:pPr>
        <w:widowControl/>
        <w:shd w:val="clear" w:color="auto" w:fill="FFFFFF"/>
        <w:spacing w:line="520" w:lineRule="exact"/>
        <w:ind w:firstLine="539"/>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获取地点：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采购文件的报价单位将无法提交电子投标文件。交易服务一网通办系统技术支持电话：4009980000（受理问题：系统登录、CA锁绑定、平台切换），一网通办技术支持QQ群：1143439694；CA锁办理咨询电话：0631-5172975；国企采购技术支持电话：17863029936，国企技术支持QQ群（投标人）：1046971257。</w:t>
      </w:r>
    </w:p>
    <w:p w14:paraId="0889E39A">
      <w:pPr>
        <w:widowControl/>
        <w:shd w:val="clear" w:color="auto" w:fill="FFFFFF"/>
        <w:spacing w:line="520" w:lineRule="exact"/>
        <w:ind w:firstLine="539"/>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注：未注册用户请先免费注册。在“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14:paraId="2CED36DB">
      <w:pPr>
        <w:widowControl/>
        <w:shd w:val="clear" w:color="auto" w:fill="FFFFFF"/>
        <w:spacing w:line="520" w:lineRule="exact"/>
        <w:ind w:firstLine="539"/>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五、投标文件提交</w:t>
      </w:r>
    </w:p>
    <w:p w14:paraId="235E33F8">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提交投标文件截止时间：2026年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13</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14</w:t>
      </w:r>
      <w:r>
        <w:rPr>
          <w:rFonts w:hint="eastAsia" w:ascii="仿宋" w:hAnsi="仿宋" w:eastAsia="仿宋" w:cs="仿宋"/>
          <w:color w:val="000000" w:themeColor="text1"/>
          <w:spacing w:val="8"/>
          <w:kern w:val="0"/>
          <w:sz w:val="28"/>
          <w:szCs w:val="28"/>
          <w:highlight w:val="none"/>
          <w14:textFill>
            <w14:solidFill>
              <w14:schemeClr w14:val="tx1"/>
            </w14:solidFill>
          </w14:textFill>
        </w:rPr>
        <w:t xml:space="preserve">时00分 </w:t>
      </w:r>
    </w:p>
    <w:p w14:paraId="339115F5">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点：登录“威海市公共资源交易网”首页右侧“交易服务一网通办系统-（新版）一网通办系统”进行“平台切换”点击“国企采购”进入国企阳光采购平台进行提交。已在国企阳光采购平台获取文件的投标人在规定时间内提交电子投标文件。</w:t>
      </w:r>
    </w:p>
    <w:p w14:paraId="457C2F3B">
      <w:pPr>
        <w:widowControl/>
        <w:wordWrap w:val="0"/>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六、开启时间及地点</w:t>
      </w:r>
    </w:p>
    <w:p w14:paraId="482CC0AD">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时间：2026年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13</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14</w:t>
      </w:r>
      <w:r>
        <w:rPr>
          <w:rFonts w:hint="eastAsia" w:ascii="仿宋" w:hAnsi="仿宋" w:eastAsia="仿宋" w:cs="仿宋"/>
          <w:color w:val="000000" w:themeColor="text1"/>
          <w:spacing w:val="8"/>
          <w:kern w:val="0"/>
          <w:sz w:val="28"/>
          <w:szCs w:val="28"/>
          <w:highlight w:val="none"/>
          <w14:textFill>
            <w14:solidFill>
              <w14:schemeClr w14:val="tx1"/>
            </w14:solidFill>
          </w14:textFill>
        </w:rPr>
        <w:t>时00分（北京时间）；</w:t>
      </w:r>
    </w:p>
    <w:p w14:paraId="77E8894E">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地点：</w:t>
      </w:r>
      <w:bookmarkStart w:id="14" w:name="OLE_LINK3"/>
      <w:r>
        <w:rPr>
          <w:rFonts w:hint="eastAsia" w:ascii="仿宋" w:hAnsi="仿宋" w:eastAsia="仿宋" w:cs="仿宋"/>
          <w:color w:val="000000" w:themeColor="text1"/>
          <w:spacing w:val="8"/>
          <w:kern w:val="0"/>
          <w:sz w:val="28"/>
          <w:szCs w:val="28"/>
          <w:highlight w:val="none"/>
          <w14:textFill>
            <w14:solidFill>
              <w14:schemeClr w14:val="tx1"/>
            </w14:solidFill>
          </w14:textFill>
        </w:rPr>
        <w:t>威海市公共资源交易中心交易</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六</w:t>
      </w:r>
      <w:r>
        <w:rPr>
          <w:rFonts w:hint="eastAsia" w:ascii="仿宋" w:hAnsi="仿宋" w:eastAsia="仿宋" w:cs="仿宋"/>
          <w:color w:val="000000" w:themeColor="text1"/>
          <w:spacing w:val="8"/>
          <w:kern w:val="0"/>
          <w:sz w:val="28"/>
          <w:szCs w:val="28"/>
          <w:highlight w:val="none"/>
          <w14:textFill>
            <w14:solidFill>
              <w14:schemeClr w14:val="tx1"/>
            </w14:solidFill>
          </w14:textFill>
        </w:rPr>
        <w:t>厅（威海市环翠区塔山中路317号市政务服务中心四楼）</w:t>
      </w:r>
      <w:bookmarkEnd w:id="14"/>
      <w:r>
        <w:rPr>
          <w:rFonts w:hint="eastAsia" w:ascii="仿宋" w:hAnsi="仿宋" w:eastAsia="仿宋" w:cs="仿宋"/>
          <w:color w:val="000000" w:themeColor="text1"/>
          <w:spacing w:val="8"/>
          <w:kern w:val="0"/>
          <w:sz w:val="28"/>
          <w:szCs w:val="28"/>
          <w:highlight w:val="none"/>
          <w14:textFill>
            <w14:solidFill>
              <w14:schemeClr w14:val="tx1"/>
            </w14:solidFill>
          </w14:textFill>
        </w:rPr>
        <w:t>。</w:t>
      </w:r>
    </w:p>
    <w:p w14:paraId="2EE87B16">
      <w:pPr>
        <w:widowControl/>
        <w:wordWrap w:val="0"/>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七、发布公告的媒介</w:t>
      </w:r>
    </w:p>
    <w:p w14:paraId="27C6B750">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本次公告在</w:t>
      </w:r>
      <w:r>
        <w:rPr>
          <w:rFonts w:hint="eastAsia" w:ascii="仿宋" w:hAnsi="仿宋" w:eastAsia="仿宋" w:cs="仿宋"/>
          <w:color w:val="000000" w:themeColor="text1"/>
          <w:spacing w:val="8"/>
          <w:sz w:val="28"/>
          <w:szCs w:val="28"/>
          <w:highlight w:val="none"/>
          <w:lang w:val="en"/>
          <w14:textFill>
            <w14:solidFill>
              <w14:schemeClr w14:val="tx1"/>
            </w14:solidFill>
          </w14:textFill>
        </w:rPr>
        <w:t>中国招标投标公共服务平台（www.cebpubservice.com）、威海市公共资源交易网（http://ggzyjy.weihai.cn/）</w:t>
      </w:r>
      <w:r>
        <w:rPr>
          <w:rFonts w:hint="eastAsia" w:ascii="仿宋" w:hAnsi="仿宋" w:eastAsia="仿宋" w:cs="仿宋"/>
          <w:color w:val="000000" w:themeColor="text1"/>
          <w:spacing w:val="8"/>
          <w:kern w:val="0"/>
          <w:sz w:val="28"/>
          <w:szCs w:val="28"/>
          <w:highlight w:val="none"/>
          <w14:textFill>
            <w14:solidFill>
              <w14:schemeClr w14:val="tx1"/>
            </w14:solidFill>
          </w14:textFill>
        </w:rPr>
        <w:t>上发布。</w:t>
      </w:r>
    </w:p>
    <w:p w14:paraId="0D733402">
      <w:pPr>
        <w:widowControl/>
        <w:wordWrap w:val="0"/>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八、其它补充事宜</w:t>
      </w:r>
    </w:p>
    <w:p w14:paraId="179EF032">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1.本项目实行全流程电子化，提交投标文件截止时间前，随时关注威海市公共资源交易网（变更公告栏）内变更提醒。</w:t>
      </w:r>
    </w:p>
    <w:p w14:paraId="47715BDF">
      <w:pPr>
        <w:keepLines/>
        <w:widowControl/>
        <w:shd w:val="clear" w:color="auto" w:fill="FFFFFF"/>
        <w:wordWrap w:val="0"/>
        <w:spacing w:line="520" w:lineRule="exact"/>
        <w:ind w:firstLine="592" w:firstLineChars="200"/>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2.投标人自行准备电脑，提前在个人电脑上进行测试确保音频、视频功能、CA 签章功能可正常使用。远程开标，不接受投标人到现场参加开标活动；投标人提前熟悉交易系统（国企采购投标人操作手册网址：https://ggzyjy.weihai.cn/bszn/005005/20260109/eb4ba418-4b35-4f05-aa69-44fd7d8a7ffb.html），通过交易系统线上参加开标活动，不熟悉系统操作产生的风险由投标人承担。</w:t>
      </w:r>
    </w:p>
    <w:p w14:paraId="62DE4C35">
      <w:pPr>
        <w:widowControl/>
        <w:wordWrap w:val="0"/>
        <w:adjustRightInd w:val="0"/>
        <w:spacing w:line="520" w:lineRule="exact"/>
        <w:ind w:firstLine="594" w:firstLineChars="200"/>
        <w:jc w:val="left"/>
        <w:rPr>
          <w:rFonts w:hint="eastAsia" w:ascii="仿宋" w:hAnsi="仿宋" w:eastAsia="仿宋" w:cs="仿宋"/>
          <w:b/>
          <w:color w:val="000000" w:themeColor="text1"/>
          <w:spacing w:val="8"/>
          <w:kern w:val="0"/>
          <w:sz w:val="28"/>
          <w:szCs w:val="28"/>
          <w:highlight w:val="none"/>
          <w14:textFill>
            <w14:solidFill>
              <w14:schemeClr w14:val="tx1"/>
            </w14:solidFill>
          </w14:textFill>
        </w:rPr>
      </w:pPr>
      <w:r>
        <w:rPr>
          <w:rFonts w:hint="eastAsia" w:ascii="仿宋" w:hAnsi="仿宋" w:eastAsia="仿宋" w:cs="仿宋"/>
          <w:b/>
          <w:color w:val="000000" w:themeColor="text1"/>
          <w:spacing w:val="8"/>
          <w:kern w:val="0"/>
          <w:sz w:val="28"/>
          <w:szCs w:val="28"/>
          <w:highlight w:val="none"/>
          <w14:textFill>
            <w14:solidFill>
              <w14:schemeClr w14:val="tx1"/>
            </w14:solidFill>
          </w14:textFill>
        </w:rPr>
        <w:t>九、联系方式</w:t>
      </w:r>
    </w:p>
    <w:p w14:paraId="6D721D9D">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1.招标人：威海文旅发展集团有限公司</w:t>
      </w:r>
    </w:p>
    <w:p w14:paraId="4DE707FF">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地址：威海市环翠区海滨北路101-2号</w:t>
      </w:r>
    </w:p>
    <w:p w14:paraId="332A9422">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bookmarkStart w:id="15" w:name="_Hlk192660907"/>
      <w:r>
        <w:rPr>
          <w:rFonts w:hint="eastAsia" w:ascii="仿宋" w:hAnsi="仿宋" w:eastAsia="仿宋" w:cs="仿宋"/>
          <w:color w:val="000000" w:themeColor="text1"/>
          <w:spacing w:val="8"/>
          <w:kern w:val="0"/>
          <w:sz w:val="28"/>
          <w:szCs w:val="28"/>
          <w:highlight w:val="none"/>
          <w14:textFill>
            <w14:solidFill>
              <w14:schemeClr w14:val="tx1"/>
            </w14:solidFill>
          </w14:textFill>
        </w:rPr>
        <w:t>联系人：袁工</w:t>
      </w:r>
    </w:p>
    <w:p w14:paraId="0381B5AC">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联系电话：</w:t>
      </w:r>
      <w:bookmarkEnd w:id="15"/>
      <w:r>
        <w:rPr>
          <w:rFonts w:hint="eastAsia" w:ascii="仿宋" w:hAnsi="仿宋" w:eastAsia="仿宋" w:cs="仿宋"/>
          <w:color w:val="000000" w:themeColor="text1"/>
          <w:spacing w:val="8"/>
          <w:kern w:val="0"/>
          <w:sz w:val="28"/>
          <w:szCs w:val="28"/>
          <w:highlight w:val="none"/>
          <w14:textFill>
            <w14:solidFill>
              <w14:schemeClr w14:val="tx1"/>
            </w14:solidFill>
          </w14:textFill>
        </w:rPr>
        <w:t>0631-5323816</w:t>
      </w:r>
    </w:p>
    <w:p w14:paraId="2A36C530">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2.招标代理机构：威海市天垣工程咨询管理有限公司</w:t>
      </w:r>
    </w:p>
    <w:p w14:paraId="12377C83">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地址：山东省威海市火炬高技术产业开发区文化中路-78-3号</w:t>
      </w:r>
    </w:p>
    <w:p w14:paraId="75B0584C">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联系人：李艳菁、王颖</w:t>
      </w:r>
    </w:p>
    <w:p w14:paraId="093849FC">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联系电话：0631-5819542</w:t>
      </w:r>
    </w:p>
    <w:p w14:paraId="4F7AEB17">
      <w:pPr>
        <w:widowControl/>
        <w:wordWrap w:val="0"/>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电子邮箱：whtyzb@126.com</w:t>
      </w:r>
    </w:p>
    <w:p w14:paraId="3999A114">
      <w:pPr>
        <w:widowControl/>
        <w:wordWrap w:val="0"/>
        <w:adjustRightInd w:val="0"/>
        <w:spacing w:line="520" w:lineRule="exact"/>
        <w:ind w:firstLine="592" w:firstLineChars="200"/>
        <w:jc w:val="right"/>
        <w:rPr>
          <w:rFonts w:hint="eastAsia" w:ascii="仿宋" w:hAnsi="仿宋" w:eastAsia="仿宋" w:cs="仿宋"/>
          <w:color w:val="000000" w:themeColor="text1"/>
          <w:spacing w:val="8"/>
          <w:kern w:val="0"/>
          <w:sz w:val="28"/>
          <w:szCs w:val="28"/>
          <w:highlight w:val="none"/>
          <w14:textFill>
            <w14:solidFill>
              <w14:schemeClr w14:val="tx1"/>
            </w14:solidFill>
          </w14:textFill>
        </w:rPr>
      </w:pPr>
    </w:p>
    <w:p w14:paraId="55C5604B">
      <w:pPr>
        <w:widowControl/>
        <w:adjustRightInd w:val="0"/>
        <w:spacing w:line="520" w:lineRule="exact"/>
        <w:ind w:firstLine="592" w:firstLineChars="200"/>
        <w:jc w:val="righ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发布人：威海市天垣工程咨询管理有限公司</w:t>
      </w:r>
    </w:p>
    <w:p w14:paraId="100C09E5">
      <w:pPr>
        <w:widowControl/>
        <w:wordWrap w:val="0"/>
        <w:adjustRightInd w:val="0"/>
        <w:spacing w:line="520" w:lineRule="exact"/>
        <w:ind w:firstLine="592" w:firstLineChars="200"/>
        <w:jc w:val="righ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发布时间：2026年</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pacing w:val="8"/>
          <w:kern w:val="0"/>
          <w:sz w:val="28"/>
          <w:szCs w:val="28"/>
          <w:highlight w:val="none"/>
          <w14:textFill>
            <w14:solidFill>
              <w14:schemeClr w14:val="tx1"/>
            </w14:solidFill>
          </w14:textFill>
        </w:rPr>
        <w:t>月</w:t>
      </w:r>
      <w:r>
        <w:rPr>
          <w:rFonts w:hint="eastAsia" w:ascii="仿宋" w:hAnsi="仿宋" w:eastAsia="仿宋" w:cs="仿宋"/>
          <w:color w:val="000000" w:themeColor="text1"/>
          <w:spacing w:val="8"/>
          <w:kern w:val="0"/>
          <w:sz w:val="28"/>
          <w:szCs w:val="28"/>
          <w:highlight w:val="none"/>
          <w:lang w:val="en-US" w:eastAsia="zh-CN"/>
          <w14:textFill>
            <w14:solidFill>
              <w14:schemeClr w14:val="tx1"/>
            </w14:solidFill>
          </w14:textFill>
        </w:rPr>
        <w:t>24</w:t>
      </w:r>
      <w:r>
        <w:rPr>
          <w:rFonts w:hint="eastAsia" w:ascii="仿宋" w:hAnsi="仿宋" w:eastAsia="仿宋" w:cs="仿宋"/>
          <w:color w:val="000000" w:themeColor="text1"/>
          <w:spacing w:val="8"/>
          <w:kern w:val="0"/>
          <w:sz w:val="28"/>
          <w:szCs w:val="28"/>
          <w:highlight w:val="none"/>
          <w14:textFill>
            <w14:solidFill>
              <w14:schemeClr w14:val="tx1"/>
            </w14:solidFill>
          </w14:textFill>
        </w:rPr>
        <w:t>日</w:t>
      </w:r>
    </w:p>
    <w:bookmarkEnd w:id="6"/>
    <w:bookmarkEnd w:id="7"/>
    <w:bookmarkEnd w:id="8"/>
    <w:p w14:paraId="28E3CA7A">
      <w:pPr>
        <w:widowControl/>
        <w:jc w:val="left"/>
        <w:rPr>
          <w:rFonts w:hint="eastAsia" w:ascii="仿宋" w:hAnsi="仿宋" w:eastAsia="仿宋" w:cs="仿宋"/>
          <w:b/>
          <w:bCs/>
          <w:color w:val="000000" w:themeColor="text1"/>
          <w:kern w:val="44"/>
          <w:sz w:val="44"/>
          <w:szCs w:val="44"/>
          <w:highlight w:val="none"/>
          <w14:textFill>
            <w14:solidFill>
              <w14:schemeClr w14:val="tx1"/>
            </w14:solidFill>
          </w14:textFill>
        </w:rPr>
      </w:pPr>
      <w:bookmarkStart w:id="16" w:name="_Toc66864041"/>
      <w:bookmarkStart w:id="17" w:name="_Toc266431126"/>
      <w:bookmarkStart w:id="18" w:name="_Toc382129913"/>
      <w:bookmarkStart w:id="19" w:name="_Toc413596395"/>
      <w:r>
        <w:rPr>
          <w:rFonts w:hint="eastAsia" w:ascii="仿宋" w:hAnsi="仿宋" w:eastAsia="仿宋" w:cs="仿宋"/>
          <w:color w:val="000000" w:themeColor="text1"/>
          <w:highlight w:val="none"/>
          <w14:textFill>
            <w14:solidFill>
              <w14:schemeClr w14:val="tx1"/>
            </w14:solidFill>
          </w14:textFill>
        </w:rPr>
        <w:br w:type="page"/>
      </w:r>
    </w:p>
    <w:p w14:paraId="2B189DB5">
      <w:pPr>
        <w:pStyle w:val="4"/>
        <w:jc w:val="center"/>
        <w:rPr>
          <w:rFonts w:hint="eastAsia" w:ascii="仿宋" w:hAnsi="仿宋" w:eastAsia="仿宋" w:cs="仿宋"/>
          <w:color w:val="000000" w:themeColor="text1"/>
          <w:highlight w:val="none"/>
          <w14:textFill>
            <w14:solidFill>
              <w14:schemeClr w14:val="tx1"/>
            </w14:solidFill>
          </w14:textFill>
        </w:rPr>
      </w:pPr>
      <w:bookmarkStart w:id="20" w:name="_Toc18302"/>
      <w:r>
        <w:rPr>
          <w:rFonts w:hint="eastAsia" w:ascii="仿宋" w:hAnsi="仿宋" w:eastAsia="仿宋" w:cs="仿宋"/>
          <w:color w:val="000000" w:themeColor="text1"/>
          <w:highlight w:val="none"/>
          <w14:textFill>
            <w14:solidFill>
              <w14:schemeClr w14:val="tx1"/>
            </w14:solidFill>
          </w14:textFill>
        </w:rPr>
        <w:t>第二章  投标须知</w:t>
      </w:r>
      <w:bookmarkEnd w:id="16"/>
      <w:bookmarkEnd w:id="20"/>
    </w:p>
    <w:p w14:paraId="6A66E1EC">
      <w:pPr>
        <w:jc w:val="center"/>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32"/>
          <w:szCs w:val="32"/>
          <w:highlight w:val="none"/>
          <w14:textFill>
            <w14:solidFill>
              <w14:schemeClr w14:val="tx1"/>
            </w14:solidFill>
          </w14:textFill>
        </w:rPr>
        <w:t>投标须知前附表</w:t>
      </w:r>
    </w:p>
    <w:tbl>
      <w:tblPr>
        <w:tblStyle w:val="52"/>
        <w:tblW w:w="1020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2181"/>
        <w:gridCol w:w="7169"/>
      </w:tblGrid>
      <w:tr w14:paraId="0589C7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07F60B48">
            <w:pPr>
              <w:snapToGrid w:val="0"/>
              <w:spacing w:line="520" w:lineRule="exact"/>
              <w:jc w:val="center"/>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序号</w:t>
            </w:r>
          </w:p>
        </w:tc>
        <w:tc>
          <w:tcPr>
            <w:tcW w:w="2181" w:type="dxa"/>
            <w:tcBorders>
              <w:top w:val="single" w:color="auto" w:sz="4" w:space="0"/>
              <w:left w:val="single" w:color="auto" w:sz="4" w:space="0"/>
              <w:bottom w:val="single" w:color="auto" w:sz="4" w:space="0"/>
              <w:right w:val="single" w:color="auto" w:sz="4" w:space="0"/>
            </w:tcBorders>
            <w:vAlign w:val="center"/>
          </w:tcPr>
          <w:p w14:paraId="051B75E4">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    目</w:t>
            </w:r>
          </w:p>
        </w:tc>
        <w:tc>
          <w:tcPr>
            <w:tcW w:w="7169" w:type="dxa"/>
            <w:tcBorders>
              <w:top w:val="single" w:color="auto" w:sz="4" w:space="0"/>
              <w:left w:val="single" w:color="auto" w:sz="4" w:space="0"/>
              <w:bottom w:val="single" w:color="auto" w:sz="4" w:space="0"/>
            </w:tcBorders>
            <w:vAlign w:val="center"/>
          </w:tcPr>
          <w:p w14:paraId="0986702B">
            <w:pPr>
              <w:snapToGrid w:val="0"/>
              <w:spacing w:line="520" w:lineRule="exact"/>
              <w:ind w:left="57"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内           容</w:t>
            </w:r>
          </w:p>
        </w:tc>
      </w:tr>
      <w:tr w14:paraId="13A446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851" w:type="dxa"/>
            <w:tcBorders>
              <w:top w:val="single" w:color="auto" w:sz="4" w:space="0"/>
              <w:bottom w:val="single" w:color="auto" w:sz="4" w:space="0"/>
              <w:right w:val="single" w:color="auto" w:sz="4" w:space="0"/>
            </w:tcBorders>
            <w:vAlign w:val="center"/>
          </w:tcPr>
          <w:p w14:paraId="11C70885">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p>
        </w:tc>
        <w:tc>
          <w:tcPr>
            <w:tcW w:w="2181" w:type="dxa"/>
            <w:tcBorders>
              <w:top w:val="single" w:color="auto" w:sz="4" w:space="0"/>
              <w:left w:val="single" w:color="auto" w:sz="4" w:space="0"/>
              <w:bottom w:val="single" w:color="auto" w:sz="4" w:space="0"/>
              <w:right w:val="single" w:color="auto" w:sz="4" w:space="0"/>
            </w:tcBorders>
            <w:vAlign w:val="center"/>
          </w:tcPr>
          <w:p w14:paraId="1B9E85C0">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w:t>
            </w:r>
          </w:p>
        </w:tc>
        <w:tc>
          <w:tcPr>
            <w:tcW w:w="7169" w:type="dxa"/>
            <w:tcBorders>
              <w:top w:val="single" w:color="auto" w:sz="4" w:space="0"/>
              <w:left w:val="single" w:color="auto" w:sz="4" w:space="0"/>
              <w:bottom w:val="single" w:color="auto" w:sz="4" w:space="0"/>
            </w:tcBorders>
            <w:vAlign w:val="center"/>
          </w:tcPr>
          <w:p w14:paraId="2B7DC967">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采购专有云资源服务项目</w:t>
            </w:r>
          </w:p>
        </w:tc>
      </w:tr>
      <w:tr w14:paraId="1259E4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2024999E">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p>
        </w:tc>
        <w:tc>
          <w:tcPr>
            <w:tcW w:w="2181" w:type="dxa"/>
            <w:tcBorders>
              <w:top w:val="single" w:color="auto" w:sz="4" w:space="0"/>
              <w:left w:val="single" w:color="auto" w:sz="4" w:space="0"/>
              <w:bottom w:val="single" w:color="auto" w:sz="4" w:space="0"/>
              <w:right w:val="single" w:color="auto" w:sz="4" w:space="0"/>
            </w:tcBorders>
            <w:vAlign w:val="center"/>
          </w:tcPr>
          <w:p w14:paraId="37260C81">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招标编号</w:t>
            </w:r>
          </w:p>
        </w:tc>
        <w:tc>
          <w:tcPr>
            <w:tcW w:w="7169" w:type="dxa"/>
            <w:tcBorders>
              <w:top w:val="single" w:color="auto" w:sz="4" w:space="0"/>
              <w:left w:val="single" w:color="auto" w:sz="4" w:space="0"/>
              <w:bottom w:val="single" w:color="auto" w:sz="4" w:space="0"/>
            </w:tcBorders>
            <w:vAlign w:val="center"/>
          </w:tcPr>
          <w:p w14:paraId="49BA7CFD">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TYZB-202612</w:t>
            </w:r>
          </w:p>
        </w:tc>
      </w:tr>
      <w:tr w14:paraId="4B8F9A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1DA8A637">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p>
        </w:tc>
        <w:tc>
          <w:tcPr>
            <w:tcW w:w="2181" w:type="dxa"/>
            <w:tcBorders>
              <w:top w:val="single" w:color="auto" w:sz="4" w:space="0"/>
              <w:left w:val="single" w:color="auto" w:sz="4" w:space="0"/>
              <w:bottom w:val="single" w:color="auto" w:sz="4" w:space="0"/>
              <w:right w:val="single" w:color="auto" w:sz="4" w:space="0"/>
            </w:tcBorders>
            <w:vAlign w:val="center"/>
          </w:tcPr>
          <w:p w14:paraId="69FD3C02">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w:t>
            </w:r>
          </w:p>
        </w:tc>
        <w:tc>
          <w:tcPr>
            <w:tcW w:w="7169" w:type="dxa"/>
            <w:tcBorders>
              <w:top w:val="single" w:color="auto" w:sz="4" w:space="0"/>
              <w:left w:val="single" w:color="auto" w:sz="4" w:space="0"/>
              <w:bottom w:val="single" w:color="auto" w:sz="4" w:space="0"/>
            </w:tcBorders>
            <w:vAlign w:val="center"/>
          </w:tcPr>
          <w:p w14:paraId="5ACD430B">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招标人：威海文旅发展集团有限公司</w:t>
            </w:r>
          </w:p>
          <w:p w14:paraId="0F91ED04">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地址：威海市环翠区海滨北路101-2号</w:t>
            </w:r>
          </w:p>
          <w:p w14:paraId="6C3E7B22">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联系人：袁工</w:t>
            </w:r>
          </w:p>
          <w:p w14:paraId="7CD67D3D">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联系电话：0631-5323816</w:t>
            </w:r>
          </w:p>
        </w:tc>
      </w:tr>
      <w:tr w14:paraId="18D175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89" w:hRule="atLeast"/>
          <w:jc w:val="center"/>
        </w:trPr>
        <w:tc>
          <w:tcPr>
            <w:tcW w:w="851" w:type="dxa"/>
            <w:tcBorders>
              <w:top w:val="single" w:color="auto" w:sz="4" w:space="0"/>
              <w:bottom w:val="single" w:color="auto" w:sz="4" w:space="0"/>
              <w:right w:val="single" w:color="auto" w:sz="4" w:space="0"/>
            </w:tcBorders>
            <w:vAlign w:val="center"/>
          </w:tcPr>
          <w:p w14:paraId="5F2EA383">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w:t>
            </w:r>
          </w:p>
        </w:tc>
        <w:tc>
          <w:tcPr>
            <w:tcW w:w="2181" w:type="dxa"/>
            <w:tcBorders>
              <w:top w:val="single" w:color="auto" w:sz="4" w:space="0"/>
              <w:left w:val="single" w:color="auto" w:sz="4" w:space="0"/>
              <w:bottom w:val="single" w:color="auto" w:sz="4" w:space="0"/>
              <w:right w:val="single" w:color="auto" w:sz="4" w:space="0"/>
            </w:tcBorders>
            <w:vAlign w:val="center"/>
          </w:tcPr>
          <w:p w14:paraId="1B43B44E">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招标代理机构</w:t>
            </w:r>
          </w:p>
        </w:tc>
        <w:tc>
          <w:tcPr>
            <w:tcW w:w="7169" w:type="dxa"/>
            <w:tcBorders>
              <w:top w:val="single" w:color="auto" w:sz="4" w:space="0"/>
              <w:left w:val="single" w:color="auto" w:sz="4" w:space="0"/>
              <w:bottom w:val="single" w:color="auto" w:sz="4" w:space="0"/>
            </w:tcBorders>
            <w:vAlign w:val="center"/>
          </w:tcPr>
          <w:p w14:paraId="0F68D467">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代理机构：威海市天垣工程咨询管理有限公司</w:t>
            </w:r>
          </w:p>
          <w:p w14:paraId="43A93282">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地址：山东省威海市火炬高技术产业开发区文化中路-78-3号</w:t>
            </w:r>
          </w:p>
          <w:p w14:paraId="4D037CD1">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联系人：李艳菁、王颖</w:t>
            </w:r>
          </w:p>
          <w:p w14:paraId="19D844BB">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联系电话：0631-5819542</w:t>
            </w:r>
          </w:p>
        </w:tc>
      </w:tr>
      <w:tr w14:paraId="2BCEBC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jc w:val="center"/>
        </w:trPr>
        <w:tc>
          <w:tcPr>
            <w:tcW w:w="851" w:type="dxa"/>
            <w:tcBorders>
              <w:top w:val="single" w:color="auto" w:sz="4" w:space="0"/>
              <w:bottom w:val="single" w:color="auto" w:sz="4" w:space="0"/>
              <w:right w:val="single" w:color="auto" w:sz="4" w:space="0"/>
            </w:tcBorders>
            <w:vAlign w:val="center"/>
          </w:tcPr>
          <w:p w14:paraId="369598DA">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w:t>
            </w:r>
          </w:p>
        </w:tc>
        <w:tc>
          <w:tcPr>
            <w:tcW w:w="2181" w:type="dxa"/>
            <w:tcBorders>
              <w:top w:val="single" w:color="auto" w:sz="4" w:space="0"/>
              <w:left w:val="single" w:color="auto" w:sz="4" w:space="0"/>
              <w:bottom w:val="single" w:color="auto" w:sz="4" w:space="0"/>
              <w:right w:val="single" w:color="auto" w:sz="4" w:space="0"/>
            </w:tcBorders>
            <w:vAlign w:val="center"/>
          </w:tcPr>
          <w:p w14:paraId="2415A582">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项目情况</w:t>
            </w:r>
          </w:p>
        </w:tc>
        <w:tc>
          <w:tcPr>
            <w:tcW w:w="7169" w:type="dxa"/>
            <w:tcBorders>
              <w:top w:val="single" w:color="auto" w:sz="4" w:space="0"/>
              <w:left w:val="single" w:color="auto" w:sz="4" w:space="0"/>
              <w:bottom w:val="single" w:color="auto" w:sz="4" w:space="0"/>
            </w:tcBorders>
            <w:vAlign w:val="center"/>
          </w:tcPr>
          <w:p w14:paraId="6D7B3C8C">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详见“第一章 招标公告”</w:t>
            </w:r>
          </w:p>
        </w:tc>
      </w:tr>
      <w:tr w14:paraId="490F6D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1" w:hRule="atLeast"/>
          <w:jc w:val="center"/>
        </w:trPr>
        <w:tc>
          <w:tcPr>
            <w:tcW w:w="851" w:type="dxa"/>
            <w:tcBorders>
              <w:top w:val="single" w:color="auto" w:sz="4" w:space="0"/>
              <w:bottom w:val="single" w:color="auto" w:sz="4" w:space="0"/>
              <w:right w:val="single" w:color="auto" w:sz="4" w:space="0"/>
            </w:tcBorders>
            <w:vAlign w:val="center"/>
          </w:tcPr>
          <w:p w14:paraId="3519952F">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w:t>
            </w:r>
          </w:p>
        </w:tc>
        <w:tc>
          <w:tcPr>
            <w:tcW w:w="2181" w:type="dxa"/>
            <w:tcBorders>
              <w:top w:val="single" w:color="auto" w:sz="4" w:space="0"/>
              <w:left w:val="single" w:color="auto" w:sz="4" w:space="0"/>
              <w:bottom w:val="single" w:color="auto" w:sz="4" w:space="0"/>
              <w:right w:val="single" w:color="auto" w:sz="4" w:space="0"/>
            </w:tcBorders>
            <w:vAlign w:val="center"/>
          </w:tcPr>
          <w:p w14:paraId="317CF80D">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资金来源及比例</w:t>
            </w:r>
          </w:p>
        </w:tc>
        <w:tc>
          <w:tcPr>
            <w:tcW w:w="7169" w:type="dxa"/>
            <w:tcBorders>
              <w:top w:val="single" w:color="auto" w:sz="4" w:space="0"/>
              <w:left w:val="single" w:color="auto" w:sz="4" w:space="0"/>
              <w:bottom w:val="single" w:color="auto" w:sz="4" w:space="0"/>
            </w:tcBorders>
            <w:vAlign w:val="center"/>
          </w:tcPr>
          <w:p w14:paraId="2244EB9B">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自筹资金</w:t>
            </w:r>
            <w:r>
              <w:rPr>
                <w:rFonts w:hint="eastAsia" w:ascii="仿宋" w:hAnsi="仿宋" w:eastAsia="仿宋" w:cs="仿宋"/>
                <w:color w:val="000000" w:themeColor="text1"/>
                <w:sz w:val="28"/>
                <w:szCs w:val="28"/>
                <w:highlight w:val="none"/>
                <w14:textFill>
                  <w14:solidFill>
                    <w14:schemeClr w14:val="tx1"/>
                  </w14:solidFill>
                </w14:textFill>
              </w:rPr>
              <w:t>100%</w:t>
            </w:r>
          </w:p>
        </w:tc>
      </w:tr>
      <w:tr w14:paraId="2E6F9F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6" w:hRule="atLeast"/>
          <w:jc w:val="center"/>
        </w:trPr>
        <w:tc>
          <w:tcPr>
            <w:tcW w:w="851" w:type="dxa"/>
            <w:tcBorders>
              <w:top w:val="single" w:color="auto" w:sz="4" w:space="0"/>
              <w:bottom w:val="single" w:color="auto" w:sz="4" w:space="0"/>
              <w:right w:val="single" w:color="auto" w:sz="4" w:space="0"/>
            </w:tcBorders>
            <w:vAlign w:val="center"/>
          </w:tcPr>
          <w:p w14:paraId="6FF533A8">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w:t>
            </w:r>
          </w:p>
        </w:tc>
        <w:tc>
          <w:tcPr>
            <w:tcW w:w="2181" w:type="dxa"/>
            <w:tcBorders>
              <w:top w:val="single" w:color="auto" w:sz="4" w:space="0"/>
              <w:left w:val="single" w:color="auto" w:sz="4" w:space="0"/>
              <w:bottom w:val="single" w:color="auto" w:sz="4" w:space="0"/>
              <w:right w:val="single" w:color="auto" w:sz="4" w:space="0"/>
            </w:tcBorders>
            <w:vAlign w:val="center"/>
          </w:tcPr>
          <w:p w14:paraId="2CCBA579">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落实情况</w:t>
            </w:r>
          </w:p>
        </w:tc>
        <w:tc>
          <w:tcPr>
            <w:tcW w:w="7169" w:type="dxa"/>
            <w:tcBorders>
              <w:top w:val="single" w:color="auto" w:sz="4" w:space="0"/>
              <w:left w:val="single" w:color="auto" w:sz="4" w:space="0"/>
              <w:bottom w:val="single" w:color="auto" w:sz="4" w:space="0"/>
            </w:tcBorders>
            <w:vAlign w:val="center"/>
          </w:tcPr>
          <w:p w14:paraId="1B97ED19">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已落实</w:t>
            </w:r>
          </w:p>
        </w:tc>
      </w:tr>
      <w:tr w14:paraId="1C3B84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0B3DBC9D">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w:t>
            </w:r>
          </w:p>
        </w:tc>
        <w:tc>
          <w:tcPr>
            <w:tcW w:w="2181" w:type="dxa"/>
            <w:tcBorders>
              <w:top w:val="single" w:color="auto" w:sz="4" w:space="0"/>
              <w:left w:val="single" w:color="auto" w:sz="4" w:space="0"/>
              <w:bottom w:val="single" w:color="auto" w:sz="4" w:space="0"/>
              <w:right w:val="single" w:color="auto" w:sz="4" w:space="0"/>
            </w:tcBorders>
            <w:vAlign w:val="center"/>
          </w:tcPr>
          <w:p w14:paraId="5A797C65">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电子投标</w:t>
            </w:r>
          </w:p>
          <w:p w14:paraId="01A612BA">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特别提示</w:t>
            </w:r>
          </w:p>
        </w:tc>
        <w:tc>
          <w:tcPr>
            <w:tcW w:w="7169" w:type="dxa"/>
            <w:tcBorders>
              <w:top w:val="single" w:color="auto" w:sz="4" w:space="0"/>
              <w:left w:val="single" w:color="auto" w:sz="4" w:space="0"/>
              <w:bottom w:val="single" w:color="auto" w:sz="4" w:space="0"/>
            </w:tcBorders>
            <w:vAlign w:val="center"/>
          </w:tcPr>
          <w:p w14:paraId="6F83C8B2">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1.登录“威海市公共资源交易网”首页右侧“交易服务一网通办系统”进行注册，取得用户名和密码（已经完成注册的投标人无须重复注册）；首次注册的投标人应及时办理安全证书（CA锁）及电子签章。</w:t>
            </w:r>
          </w:p>
          <w:p w14:paraId="2DB73A6B">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登录威海市公共资源交易网（http://ggzyjy.weihai.cn/）首页右侧“交易服务一网通办系统-（新版）一网通办系统”进行“平台切换”点击“国企采购”进入“威海市国有企业阳光采购服务平台”获取招标文件，如跳转国企阳光采购平台时，提示用户不存在，可拨打技术支持电话（17863029936）咨询。</w:t>
            </w:r>
          </w:p>
          <w:p w14:paraId="505DE8C9">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2．本项目必须网上提交投标文件，</w:t>
            </w:r>
            <w:r>
              <w:rPr>
                <w:rFonts w:hint="eastAsia" w:ascii="仿宋" w:hAnsi="仿宋" w:eastAsia="仿宋" w:cs="仿宋"/>
                <w:color w:val="000000" w:themeColor="text1"/>
                <w:sz w:val="28"/>
                <w:szCs w:val="28"/>
                <w:highlight w:val="none"/>
                <w14:textFill>
                  <w14:solidFill>
                    <w14:schemeClr w14:val="tx1"/>
                  </w14:solidFill>
                </w14:textFill>
              </w:rPr>
              <w:t>参与本项目投标人应利用办理好的CA锁登录</w:t>
            </w:r>
            <w:r>
              <w:rPr>
                <w:rFonts w:hint="eastAsia" w:ascii="仿宋" w:hAnsi="仿宋" w:eastAsia="仿宋" w:cs="仿宋"/>
                <w:color w:val="000000" w:themeColor="text1"/>
                <w:spacing w:val="8"/>
                <w:kern w:val="0"/>
                <w:sz w:val="28"/>
                <w:szCs w:val="28"/>
                <w:highlight w:val="none"/>
                <w14:textFill>
                  <w14:solidFill>
                    <w14:schemeClr w14:val="tx1"/>
                  </w14:solidFill>
                </w14:textFill>
              </w:rPr>
              <w:t>国企阳光采购平台</w:t>
            </w:r>
            <w:r>
              <w:rPr>
                <w:rFonts w:hint="eastAsia" w:ascii="仿宋" w:hAnsi="仿宋" w:eastAsia="仿宋" w:cs="仿宋"/>
                <w:color w:val="000000" w:themeColor="text1"/>
                <w:sz w:val="28"/>
                <w:szCs w:val="28"/>
                <w:highlight w:val="none"/>
                <w14:textFill>
                  <w14:solidFill>
                    <w14:schemeClr w14:val="tx1"/>
                  </w14:solidFill>
                </w14:textFill>
              </w:rPr>
              <w:t>进行招标文件的获取、文件下载和网上提交投标文件，且安全证书（CA锁）在有效期内。</w:t>
            </w:r>
          </w:p>
          <w:p w14:paraId="751F0A48">
            <w:pPr>
              <w:snapToGrid w:val="0"/>
              <w:spacing w:line="520" w:lineRule="exact"/>
              <w:ind w:right="-105" w:rightChars="-50"/>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w:t>
            </w:r>
            <w:r>
              <w:rPr>
                <w:rFonts w:hint="eastAsia" w:ascii="仿宋" w:hAnsi="仿宋" w:eastAsia="仿宋" w:cs="仿宋"/>
                <w:color w:val="000000" w:themeColor="text1"/>
                <w:kern w:val="0"/>
                <w:sz w:val="28"/>
                <w:szCs w:val="28"/>
                <w:highlight w:val="none"/>
                <w14:textFill>
                  <w14:solidFill>
                    <w14:schemeClr w14:val="tx1"/>
                  </w14:solidFill>
                </w14:textFill>
              </w:rPr>
              <w:t>电子投标文件的制作及提交等有关操作见本文件及威海市公共资源交易网）办事指南栏目-国企采购专区-《新版威海市国有企业阳光采购服务平台操作演示视频（供应商）》，网址: https://ggzyjy.weihai.cn/bszn/005005/20260109/315a049e-0d75-4f85-8634-00d90a843936.html。投标文件制作及系统使用咨询电话：17863029936；QQ服务群：1046971257。</w:t>
            </w:r>
          </w:p>
          <w:p w14:paraId="5EE36D13">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4．网上提交投标文件时，登录交易平台的电脑须满足环境要求（详见新版威海市国有企业阳光采购服务平台供应商用户手册https://ggzyjy.weihai.cn/bszn/005005/20260109/eb4ba418-4b35-4f05-aa69-44fd7d8a7ffb.html）。</w:t>
            </w:r>
          </w:p>
          <w:p w14:paraId="052E8F76">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5．投标人提交的电子投标文件应参照本招标文件《第五章 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14:paraId="6642618E">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电子投标文件必需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14:paraId="1BA56D90">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7．投标人投标文件中的相关扫描件应保证清晰度，无法辨认的评审时受到影响的，由投标人承担相应责任。</w:t>
            </w:r>
          </w:p>
          <w:p w14:paraId="3468F326">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8．除网上提交电子投标文件外，如有要求递交相关资质证明文件原件的，还须按其要求独立密封递交（被授权人身份证原件除外）。</w:t>
            </w:r>
          </w:p>
          <w:p w14:paraId="3944B75F">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9．投标人应充分考虑到网上提交投标文件会发生的故障和风险。对发生的任何故障和风险造成投标人报价内容不一致或利益受损或投标失败的，招标人及招标代理机构不承担任何责任。</w:t>
            </w:r>
          </w:p>
        </w:tc>
      </w:tr>
      <w:tr w14:paraId="18E9722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325E3139">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w:t>
            </w:r>
          </w:p>
        </w:tc>
        <w:tc>
          <w:tcPr>
            <w:tcW w:w="2181" w:type="dxa"/>
            <w:tcBorders>
              <w:top w:val="single" w:color="auto" w:sz="4" w:space="0"/>
              <w:left w:val="single" w:color="auto" w:sz="4" w:space="0"/>
              <w:bottom w:val="single" w:color="auto" w:sz="4" w:space="0"/>
              <w:right w:val="single" w:color="auto" w:sz="4" w:space="0"/>
            </w:tcBorders>
            <w:vAlign w:val="center"/>
          </w:tcPr>
          <w:p w14:paraId="62933704">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资质证明文件</w:t>
            </w:r>
          </w:p>
          <w:p w14:paraId="44B27017">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原件</w:t>
            </w:r>
          </w:p>
        </w:tc>
        <w:tc>
          <w:tcPr>
            <w:tcW w:w="7169" w:type="dxa"/>
            <w:tcBorders>
              <w:top w:val="single" w:color="auto" w:sz="4" w:space="0"/>
              <w:left w:val="single" w:color="auto" w:sz="4" w:space="0"/>
              <w:bottom w:val="single" w:color="auto" w:sz="4" w:space="0"/>
            </w:tcBorders>
            <w:vAlign w:val="center"/>
          </w:tcPr>
          <w:p w14:paraId="0C8301D1">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无需提供资质证明文件原件</w:t>
            </w:r>
          </w:p>
        </w:tc>
      </w:tr>
      <w:tr w14:paraId="75C5C1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851" w:type="dxa"/>
            <w:tcBorders>
              <w:top w:val="single" w:color="auto" w:sz="4" w:space="0"/>
              <w:bottom w:val="single" w:color="auto" w:sz="4" w:space="0"/>
              <w:right w:val="single" w:color="auto" w:sz="4" w:space="0"/>
            </w:tcBorders>
            <w:vAlign w:val="center"/>
          </w:tcPr>
          <w:p w14:paraId="4ECC7FEE">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w:t>
            </w:r>
          </w:p>
        </w:tc>
        <w:tc>
          <w:tcPr>
            <w:tcW w:w="2181" w:type="dxa"/>
            <w:tcBorders>
              <w:top w:val="single" w:color="auto" w:sz="4" w:space="0"/>
              <w:left w:val="single" w:color="auto" w:sz="4" w:space="0"/>
              <w:bottom w:val="single" w:color="auto" w:sz="4" w:space="0"/>
              <w:right w:val="single" w:color="auto" w:sz="4" w:space="0"/>
            </w:tcBorders>
            <w:vAlign w:val="center"/>
          </w:tcPr>
          <w:p w14:paraId="1654B7C9">
            <w:pPr>
              <w:snapToGrid w:val="0"/>
              <w:spacing w:line="52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投标文件份数</w:t>
            </w:r>
          </w:p>
        </w:tc>
        <w:tc>
          <w:tcPr>
            <w:tcW w:w="7169" w:type="dxa"/>
            <w:tcBorders>
              <w:top w:val="single" w:color="auto" w:sz="4" w:space="0"/>
              <w:left w:val="single" w:color="auto" w:sz="4" w:space="0"/>
              <w:bottom w:val="single" w:color="auto" w:sz="4" w:space="0"/>
            </w:tcBorders>
            <w:vAlign w:val="center"/>
          </w:tcPr>
          <w:p w14:paraId="4B1B6A31">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网上按时提交电子投标文件</w:t>
            </w:r>
          </w:p>
        </w:tc>
      </w:tr>
      <w:tr w14:paraId="2EDC10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3E9494B7">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w:t>
            </w:r>
          </w:p>
        </w:tc>
        <w:tc>
          <w:tcPr>
            <w:tcW w:w="2181" w:type="dxa"/>
            <w:tcBorders>
              <w:top w:val="single" w:color="auto" w:sz="4" w:space="0"/>
              <w:left w:val="single" w:color="auto" w:sz="4" w:space="0"/>
              <w:bottom w:val="single" w:color="auto" w:sz="4" w:space="0"/>
              <w:right w:val="single" w:color="auto" w:sz="4" w:space="0"/>
            </w:tcBorders>
            <w:vAlign w:val="center"/>
          </w:tcPr>
          <w:p w14:paraId="6519F4BD">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实物样品</w:t>
            </w:r>
          </w:p>
        </w:tc>
        <w:tc>
          <w:tcPr>
            <w:tcW w:w="7169" w:type="dxa"/>
            <w:tcBorders>
              <w:top w:val="single" w:color="auto" w:sz="4" w:space="0"/>
              <w:left w:val="single" w:color="auto" w:sz="4" w:space="0"/>
              <w:bottom w:val="single" w:color="auto" w:sz="4" w:space="0"/>
            </w:tcBorders>
            <w:vAlign w:val="center"/>
          </w:tcPr>
          <w:p w14:paraId="2FCEE2B5">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w:t>
            </w:r>
          </w:p>
        </w:tc>
      </w:tr>
      <w:tr w14:paraId="71027D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4B7B44CE">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w:t>
            </w:r>
          </w:p>
        </w:tc>
        <w:tc>
          <w:tcPr>
            <w:tcW w:w="2181" w:type="dxa"/>
            <w:tcBorders>
              <w:top w:val="single" w:color="auto" w:sz="4" w:space="0"/>
              <w:left w:val="single" w:color="auto" w:sz="4" w:space="0"/>
              <w:bottom w:val="single" w:color="auto" w:sz="4" w:space="0"/>
              <w:right w:val="single" w:color="auto" w:sz="4" w:space="0"/>
            </w:tcBorders>
            <w:vAlign w:val="center"/>
          </w:tcPr>
          <w:p w14:paraId="530B6F5F">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现场踏勘</w:t>
            </w:r>
          </w:p>
        </w:tc>
        <w:tc>
          <w:tcPr>
            <w:tcW w:w="7169" w:type="dxa"/>
            <w:tcBorders>
              <w:top w:val="single" w:color="auto" w:sz="4" w:space="0"/>
              <w:left w:val="single" w:color="auto" w:sz="4" w:space="0"/>
              <w:bottom w:val="single" w:color="auto" w:sz="4" w:space="0"/>
            </w:tcBorders>
            <w:vAlign w:val="center"/>
          </w:tcPr>
          <w:p w14:paraId="78BC75DC">
            <w:pPr>
              <w:snapToGrid w:val="0"/>
              <w:spacing w:line="520" w:lineRule="exact"/>
              <w:ind w:right="-105" w:rightChars="-5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不组织</w:t>
            </w:r>
          </w:p>
        </w:tc>
      </w:tr>
      <w:tr w14:paraId="229BF4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851" w:type="dxa"/>
            <w:tcBorders>
              <w:top w:val="single" w:color="auto" w:sz="4" w:space="0"/>
              <w:bottom w:val="single" w:color="auto" w:sz="4" w:space="0"/>
              <w:right w:val="single" w:color="auto" w:sz="4" w:space="0"/>
            </w:tcBorders>
            <w:vAlign w:val="center"/>
          </w:tcPr>
          <w:p w14:paraId="079FCA5B">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w:t>
            </w:r>
          </w:p>
        </w:tc>
        <w:tc>
          <w:tcPr>
            <w:tcW w:w="2181" w:type="dxa"/>
            <w:tcBorders>
              <w:top w:val="single" w:color="auto" w:sz="4" w:space="0"/>
              <w:left w:val="single" w:color="auto" w:sz="4" w:space="0"/>
              <w:bottom w:val="single" w:color="auto" w:sz="4" w:space="0"/>
              <w:right w:val="single" w:color="auto" w:sz="4" w:space="0"/>
            </w:tcBorders>
            <w:vAlign w:val="center"/>
          </w:tcPr>
          <w:p w14:paraId="1822CC2B">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投标预备会</w:t>
            </w:r>
          </w:p>
        </w:tc>
        <w:tc>
          <w:tcPr>
            <w:tcW w:w="7169" w:type="dxa"/>
            <w:tcBorders>
              <w:top w:val="single" w:color="auto" w:sz="4" w:space="0"/>
              <w:left w:val="single" w:color="auto" w:sz="4" w:space="0"/>
              <w:bottom w:val="single" w:color="auto" w:sz="4" w:space="0"/>
            </w:tcBorders>
            <w:vAlign w:val="center"/>
          </w:tcPr>
          <w:p w14:paraId="09FF4F90">
            <w:pPr>
              <w:spacing w:line="520" w:lineRule="exact"/>
              <w:textAlignment w:val="top"/>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不召开</w:t>
            </w:r>
          </w:p>
        </w:tc>
      </w:tr>
      <w:tr w14:paraId="3F9006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jc w:val="center"/>
        </w:trPr>
        <w:tc>
          <w:tcPr>
            <w:tcW w:w="851" w:type="dxa"/>
            <w:tcBorders>
              <w:top w:val="single" w:color="auto" w:sz="4" w:space="0"/>
              <w:bottom w:val="single" w:color="auto" w:sz="4" w:space="0"/>
              <w:right w:val="single" w:color="auto" w:sz="4" w:space="0"/>
            </w:tcBorders>
            <w:vAlign w:val="center"/>
          </w:tcPr>
          <w:p w14:paraId="540AF366">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w:t>
            </w:r>
          </w:p>
        </w:tc>
        <w:tc>
          <w:tcPr>
            <w:tcW w:w="2181" w:type="dxa"/>
            <w:tcBorders>
              <w:top w:val="single" w:color="auto" w:sz="4" w:space="0"/>
              <w:left w:val="single" w:color="auto" w:sz="4" w:space="0"/>
              <w:bottom w:val="single" w:color="auto" w:sz="4" w:space="0"/>
              <w:right w:val="single" w:color="auto" w:sz="4" w:space="0"/>
            </w:tcBorders>
            <w:vAlign w:val="center"/>
          </w:tcPr>
          <w:p w14:paraId="43288039">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投标有效期</w:t>
            </w:r>
          </w:p>
        </w:tc>
        <w:tc>
          <w:tcPr>
            <w:tcW w:w="7169" w:type="dxa"/>
            <w:tcBorders>
              <w:top w:val="single" w:color="auto" w:sz="4" w:space="0"/>
              <w:left w:val="single" w:color="auto" w:sz="4" w:space="0"/>
              <w:bottom w:val="single" w:color="auto" w:sz="4" w:space="0"/>
            </w:tcBorders>
            <w:vAlign w:val="center"/>
          </w:tcPr>
          <w:p w14:paraId="03CBE154">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开标之日起90天</w:t>
            </w:r>
          </w:p>
        </w:tc>
      </w:tr>
      <w:tr w14:paraId="7BF7A6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851" w:type="dxa"/>
            <w:tcBorders>
              <w:top w:val="single" w:color="auto" w:sz="4" w:space="0"/>
              <w:bottom w:val="single" w:color="auto" w:sz="4" w:space="0"/>
              <w:right w:val="single" w:color="auto" w:sz="4" w:space="0"/>
            </w:tcBorders>
            <w:vAlign w:val="center"/>
          </w:tcPr>
          <w:p w14:paraId="13469180">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w:t>
            </w:r>
          </w:p>
        </w:tc>
        <w:tc>
          <w:tcPr>
            <w:tcW w:w="2181" w:type="dxa"/>
            <w:tcBorders>
              <w:top w:val="single" w:color="auto" w:sz="4" w:space="0"/>
              <w:left w:val="single" w:color="auto" w:sz="4" w:space="0"/>
              <w:bottom w:val="single" w:color="auto" w:sz="4" w:space="0"/>
              <w:right w:val="single" w:color="auto" w:sz="4" w:space="0"/>
            </w:tcBorders>
            <w:vAlign w:val="center"/>
          </w:tcPr>
          <w:p w14:paraId="1548999E">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投标文件提交时间及地点</w:t>
            </w:r>
          </w:p>
        </w:tc>
        <w:tc>
          <w:tcPr>
            <w:tcW w:w="7169" w:type="dxa"/>
            <w:tcBorders>
              <w:top w:val="single" w:color="auto" w:sz="4" w:space="0"/>
              <w:left w:val="single" w:color="auto" w:sz="4" w:space="0"/>
              <w:bottom w:val="single" w:color="auto" w:sz="4" w:space="0"/>
            </w:tcBorders>
            <w:vAlign w:val="center"/>
          </w:tcPr>
          <w:p w14:paraId="1D3A0C21">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电子投标文件提交时间：2026年</w:t>
            </w:r>
            <w:r>
              <w:rPr>
                <w:rFonts w:hint="eastAsia" w:ascii="仿宋" w:hAnsi="仿宋" w:eastAsia="仿宋" w:cs="仿宋"/>
                <w:color w:val="000000" w:themeColor="text1"/>
                <w:sz w:val="28"/>
                <w:szCs w:val="28"/>
                <w:highlight w:val="none"/>
                <w:lang w:val="en-US" w:eastAsia="zh-CN"/>
                <w14:textFill>
                  <w14:solidFill>
                    <w14:schemeClr w14:val="tx1"/>
                  </w14:solidFill>
                </w14:textFill>
              </w:rPr>
              <w:t>3</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lang w:val="en-US" w:eastAsia="zh-CN"/>
                <w14:textFill>
                  <w14:solidFill>
                    <w14:schemeClr w14:val="tx1"/>
                  </w14:solidFill>
                </w14:textFill>
              </w:rPr>
              <w:t>24</w:t>
            </w:r>
            <w:r>
              <w:rPr>
                <w:rFonts w:hint="eastAsia" w:ascii="仿宋" w:hAnsi="仿宋" w:eastAsia="仿宋" w:cs="仿宋"/>
                <w:color w:val="000000" w:themeColor="text1"/>
                <w:sz w:val="28"/>
                <w:szCs w:val="28"/>
                <w:highlight w:val="none"/>
                <w14:textFill>
                  <w14:solidFill>
                    <w14:schemeClr w14:val="tx1"/>
                  </w14:solidFill>
                </w14:textFill>
              </w:rPr>
              <w:t>日18时30分至2026年</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lang w:val="en-US" w:eastAsia="zh-CN"/>
                <w14:textFill>
                  <w14:solidFill>
                    <w14:schemeClr w14:val="tx1"/>
                  </w14:solidFill>
                </w14:textFill>
              </w:rPr>
              <w:t>13</w:t>
            </w:r>
            <w:r>
              <w:rPr>
                <w:rFonts w:hint="eastAsia" w:ascii="仿宋" w:hAnsi="仿宋" w:eastAsia="仿宋" w:cs="仿宋"/>
                <w:color w:val="000000" w:themeColor="text1"/>
                <w:sz w:val="28"/>
                <w:szCs w:val="28"/>
                <w:highlight w:val="none"/>
                <w14:textFill>
                  <w14:solidFill>
                    <w14:schemeClr w14:val="tx1"/>
                  </w14:solidFill>
                </w14:textFill>
              </w:rPr>
              <w:t>日</w:t>
            </w:r>
            <w:r>
              <w:rPr>
                <w:rFonts w:hint="eastAsia" w:ascii="仿宋" w:hAnsi="仿宋" w:eastAsia="仿宋" w:cs="仿宋"/>
                <w:color w:val="000000" w:themeColor="text1"/>
                <w:sz w:val="28"/>
                <w:szCs w:val="28"/>
                <w:highlight w:val="none"/>
                <w:lang w:val="en-US" w:eastAsia="zh-CN"/>
                <w14:textFill>
                  <w14:solidFill>
                    <w14:schemeClr w14:val="tx1"/>
                  </w14:solidFill>
                </w14:textFill>
              </w:rPr>
              <w:t>14</w:t>
            </w:r>
            <w:r>
              <w:rPr>
                <w:rFonts w:hint="eastAsia" w:ascii="仿宋" w:hAnsi="仿宋" w:eastAsia="仿宋" w:cs="仿宋"/>
                <w:color w:val="000000" w:themeColor="text1"/>
                <w:sz w:val="28"/>
                <w:szCs w:val="28"/>
                <w:highlight w:val="none"/>
                <w14:textFill>
                  <w14:solidFill>
                    <w14:schemeClr w14:val="tx1"/>
                  </w14:solidFill>
                </w14:textFill>
              </w:rPr>
              <w:t>时00分（以国企阳光采购平台具体显示时间为准）提交网址：https://www.whgqcg.cn/login?redirect=%2Findex</w:t>
            </w:r>
          </w:p>
          <w:p w14:paraId="56F01DA3">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15.1纸质投标文件提交方式：</w:t>
            </w:r>
          </w:p>
          <w:p w14:paraId="54ADD346">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基于项目资料归档的要求，纸质投标文件递交应在提交电子投标文件截止后三个工作日内，邮寄或送至招标代理处。</w:t>
            </w:r>
          </w:p>
          <w:p w14:paraId="2B8F1533">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15.2纸质投标文件共2份，将纸质投标文件密封在密封袋中，并在封口处粘贴封条。</w:t>
            </w:r>
          </w:p>
          <w:p w14:paraId="2B2D072B">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15.3封套内容：</w:t>
            </w:r>
          </w:p>
          <w:p w14:paraId="7978B497">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（1）代理机构：威海市天垣工程咨询管理有限公司</w:t>
            </w:r>
          </w:p>
          <w:p w14:paraId="26B4F8FF">
            <w:pPr>
              <w:snapToGrid w:val="0"/>
              <w:spacing w:line="520" w:lineRule="exact"/>
              <w:ind w:right="-105" w:rightChars="-5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（2）项目名称：</w:t>
            </w:r>
            <w:r>
              <w:rPr>
                <w:rFonts w:hint="eastAsia" w:ascii="仿宋" w:hAnsi="仿宋" w:eastAsia="仿宋" w:cs="仿宋"/>
                <w:bCs/>
                <w:color w:val="000000" w:themeColor="text1"/>
                <w:spacing w:val="8"/>
                <w:kern w:val="0"/>
                <w:sz w:val="28"/>
                <w:szCs w:val="28"/>
                <w:highlight w:val="none"/>
                <w14:textFill>
                  <w14:solidFill>
                    <w14:schemeClr w14:val="tx1"/>
                  </w14:solidFill>
                </w14:textFill>
              </w:rPr>
              <w:t>采购专有云资源服务项目</w:t>
            </w:r>
          </w:p>
          <w:p w14:paraId="07C11719">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（3）招标编号：TYZB-202612</w:t>
            </w:r>
          </w:p>
          <w:p w14:paraId="159FC000">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w:t>
            </w:r>
          </w:p>
          <w:p w14:paraId="2C957008">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（5）注明“公开开标前不得启封”字样。</w:t>
            </w:r>
          </w:p>
        </w:tc>
      </w:tr>
      <w:tr w14:paraId="4757D9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6" w:hRule="atLeast"/>
          <w:jc w:val="center"/>
        </w:trPr>
        <w:tc>
          <w:tcPr>
            <w:tcW w:w="851" w:type="dxa"/>
            <w:tcBorders>
              <w:top w:val="single" w:color="auto" w:sz="4" w:space="0"/>
              <w:bottom w:val="single" w:color="auto" w:sz="4" w:space="0"/>
              <w:right w:val="single" w:color="auto" w:sz="4" w:space="0"/>
            </w:tcBorders>
            <w:vAlign w:val="center"/>
          </w:tcPr>
          <w:p w14:paraId="66CC42B1">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w:t>
            </w:r>
          </w:p>
        </w:tc>
        <w:tc>
          <w:tcPr>
            <w:tcW w:w="2181" w:type="dxa"/>
            <w:tcBorders>
              <w:top w:val="single" w:color="auto" w:sz="4" w:space="0"/>
              <w:left w:val="single" w:color="auto" w:sz="4" w:space="0"/>
              <w:bottom w:val="single" w:color="auto" w:sz="4" w:space="0"/>
              <w:right w:val="single" w:color="auto" w:sz="4" w:space="0"/>
            </w:tcBorders>
            <w:vAlign w:val="center"/>
          </w:tcPr>
          <w:p w14:paraId="452763BB">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开标时间</w:t>
            </w:r>
          </w:p>
        </w:tc>
        <w:tc>
          <w:tcPr>
            <w:tcW w:w="7169" w:type="dxa"/>
            <w:tcBorders>
              <w:top w:val="single" w:color="auto" w:sz="4" w:space="0"/>
              <w:left w:val="single" w:color="auto" w:sz="4" w:space="0"/>
              <w:bottom w:val="single" w:color="auto" w:sz="4" w:space="0"/>
            </w:tcBorders>
            <w:vAlign w:val="center"/>
          </w:tcPr>
          <w:p w14:paraId="1329D833">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2026年</w:t>
            </w:r>
            <w:r>
              <w:rPr>
                <w:rFonts w:hint="eastAsia" w:ascii="仿宋" w:hAnsi="仿宋" w:eastAsia="仿宋" w:cs="仿宋"/>
                <w:color w:val="000000" w:themeColor="text1"/>
                <w:sz w:val="28"/>
                <w:szCs w:val="28"/>
                <w:highlight w:val="none"/>
                <w:lang w:val="en-US" w:eastAsia="zh-CN"/>
                <w14:textFill>
                  <w14:solidFill>
                    <w14:schemeClr w14:val="tx1"/>
                  </w14:solidFill>
                </w14:textFill>
              </w:rPr>
              <w:t>4</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lang w:val="en-US" w:eastAsia="zh-CN"/>
                <w14:textFill>
                  <w14:solidFill>
                    <w14:schemeClr w14:val="tx1"/>
                  </w14:solidFill>
                </w14:textFill>
              </w:rPr>
              <w:t>13</w:t>
            </w:r>
            <w:r>
              <w:rPr>
                <w:rFonts w:hint="eastAsia" w:ascii="仿宋" w:hAnsi="仿宋" w:eastAsia="仿宋" w:cs="仿宋"/>
                <w:color w:val="000000" w:themeColor="text1"/>
                <w:sz w:val="28"/>
                <w:szCs w:val="28"/>
                <w:highlight w:val="none"/>
                <w14:textFill>
                  <w14:solidFill>
                    <w14:schemeClr w14:val="tx1"/>
                  </w14:solidFill>
                </w14:textFill>
              </w:rPr>
              <w:t>日</w:t>
            </w:r>
            <w:r>
              <w:rPr>
                <w:rFonts w:hint="eastAsia" w:ascii="仿宋" w:hAnsi="仿宋" w:eastAsia="仿宋" w:cs="仿宋"/>
                <w:color w:val="000000" w:themeColor="text1"/>
                <w:sz w:val="28"/>
                <w:szCs w:val="28"/>
                <w:highlight w:val="none"/>
                <w:lang w:val="en-US" w:eastAsia="zh-CN"/>
                <w14:textFill>
                  <w14:solidFill>
                    <w14:schemeClr w14:val="tx1"/>
                  </w14:solidFill>
                </w14:textFill>
              </w:rPr>
              <w:t>14</w:t>
            </w:r>
            <w:r>
              <w:rPr>
                <w:rFonts w:hint="eastAsia" w:ascii="仿宋" w:hAnsi="仿宋" w:eastAsia="仿宋" w:cs="仿宋"/>
                <w:color w:val="000000" w:themeColor="text1"/>
                <w:sz w:val="28"/>
                <w:szCs w:val="28"/>
                <w:highlight w:val="none"/>
                <w14:textFill>
                  <w14:solidFill>
                    <w14:schemeClr w14:val="tx1"/>
                  </w14:solidFill>
                </w14:textFill>
              </w:rPr>
              <w:t>时00分</w:t>
            </w:r>
          </w:p>
        </w:tc>
      </w:tr>
      <w:tr w14:paraId="74FC29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10323843">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17</w:t>
            </w:r>
          </w:p>
        </w:tc>
        <w:tc>
          <w:tcPr>
            <w:tcW w:w="2181" w:type="dxa"/>
            <w:tcBorders>
              <w:top w:val="single" w:color="auto" w:sz="4" w:space="0"/>
              <w:left w:val="single" w:color="auto" w:sz="4" w:space="0"/>
              <w:bottom w:val="single" w:color="auto" w:sz="4" w:space="0"/>
              <w:right w:val="single" w:color="auto" w:sz="4" w:space="0"/>
            </w:tcBorders>
            <w:vAlign w:val="center"/>
          </w:tcPr>
          <w:p w14:paraId="71A51151">
            <w:pPr>
              <w:snapToGrid w:val="0"/>
              <w:spacing w:line="520" w:lineRule="exact"/>
              <w:ind w:right="-105" w:rightChars="-5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开标地点</w:t>
            </w:r>
          </w:p>
        </w:tc>
        <w:tc>
          <w:tcPr>
            <w:tcW w:w="7169" w:type="dxa"/>
            <w:tcBorders>
              <w:top w:val="single" w:color="auto" w:sz="4" w:space="0"/>
              <w:left w:val="single" w:color="auto" w:sz="4" w:space="0"/>
              <w:bottom w:val="single" w:color="auto" w:sz="4" w:space="0"/>
            </w:tcBorders>
            <w:vAlign w:val="center"/>
          </w:tcPr>
          <w:p w14:paraId="64964C5B">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威海市公共资源交易中心交易</w:t>
            </w:r>
            <w:r>
              <w:rPr>
                <w:rFonts w:hint="eastAsia" w:ascii="仿宋" w:hAnsi="仿宋" w:eastAsia="仿宋" w:cs="仿宋"/>
                <w:color w:val="000000" w:themeColor="text1"/>
                <w:sz w:val="28"/>
                <w:szCs w:val="28"/>
                <w:highlight w:val="none"/>
                <w:lang w:val="en-US" w:eastAsia="zh-CN"/>
                <w14:textFill>
                  <w14:solidFill>
                    <w14:schemeClr w14:val="tx1"/>
                  </w14:solidFill>
                </w14:textFill>
              </w:rPr>
              <w:t>六</w:t>
            </w:r>
            <w:r>
              <w:rPr>
                <w:rFonts w:hint="eastAsia" w:ascii="仿宋" w:hAnsi="仿宋" w:eastAsia="仿宋" w:cs="仿宋"/>
                <w:color w:val="000000" w:themeColor="text1"/>
                <w:sz w:val="28"/>
                <w:szCs w:val="28"/>
                <w:highlight w:val="none"/>
                <w14:textFill>
                  <w14:solidFill>
                    <w14:schemeClr w14:val="tx1"/>
                  </w14:solidFill>
                </w14:textFill>
              </w:rPr>
              <w:t>厅（威海市环翠区塔山中路317号市政务服务中心四楼）</w:t>
            </w:r>
          </w:p>
        </w:tc>
      </w:tr>
      <w:tr w14:paraId="593272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08D7E443">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18</w:t>
            </w:r>
          </w:p>
        </w:tc>
        <w:tc>
          <w:tcPr>
            <w:tcW w:w="2181" w:type="dxa"/>
            <w:tcBorders>
              <w:top w:val="single" w:color="auto" w:sz="4" w:space="0"/>
              <w:left w:val="single" w:color="auto" w:sz="4" w:space="0"/>
              <w:bottom w:val="single" w:color="auto" w:sz="4" w:space="0"/>
              <w:right w:val="single" w:color="auto" w:sz="4" w:space="0"/>
            </w:tcBorders>
            <w:vAlign w:val="center"/>
          </w:tcPr>
          <w:p w14:paraId="5D5C8F1E">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开标方式</w:t>
            </w:r>
          </w:p>
        </w:tc>
        <w:tc>
          <w:tcPr>
            <w:tcW w:w="7169" w:type="dxa"/>
            <w:tcBorders>
              <w:top w:val="single" w:color="auto" w:sz="4" w:space="0"/>
              <w:left w:val="single" w:color="auto" w:sz="4" w:space="0"/>
              <w:bottom w:val="single" w:color="auto" w:sz="4" w:space="0"/>
            </w:tcBorders>
            <w:vAlign w:val="center"/>
          </w:tcPr>
          <w:p w14:paraId="42EB5541">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投标人无需到现场参与开标，但开、评标期间需实时关注交易系统相关通知，且被授权人的联络方式应保持畅通。</w:t>
            </w:r>
          </w:p>
        </w:tc>
      </w:tr>
      <w:tr w14:paraId="5519BB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3" w:hRule="atLeast"/>
          <w:jc w:val="center"/>
        </w:trPr>
        <w:tc>
          <w:tcPr>
            <w:tcW w:w="851" w:type="dxa"/>
            <w:tcBorders>
              <w:top w:val="single" w:color="auto" w:sz="4" w:space="0"/>
              <w:bottom w:val="single" w:color="auto" w:sz="4" w:space="0"/>
              <w:right w:val="single" w:color="auto" w:sz="4" w:space="0"/>
            </w:tcBorders>
            <w:vAlign w:val="center"/>
          </w:tcPr>
          <w:p w14:paraId="7F6F1561">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19</w:t>
            </w:r>
          </w:p>
        </w:tc>
        <w:tc>
          <w:tcPr>
            <w:tcW w:w="2181" w:type="dxa"/>
            <w:tcBorders>
              <w:top w:val="single" w:color="auto" w:sz="4" w:space="0"/>
              <w:left w:val="single" w:color="auto" w:sz="4" w:space="0"/>
              <w:bottom w:val="single" w:color="auto" w:sz="4" w:space="0"/>
              <w:right w:val="single" w:color="auto" w:sz="4" w:space="0"/>
            </w:tcBorders>
            <w:vAlign w:val="center"/>
          </w:tcPr>
          <w:p w14:paraId="6394280B">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开标程序</w:t>
            </w:r>
          </w:p>
        </w:tc>
        <w:tc>
          <w:tcPr>
            <w:tcW w:w="7169" w:type="dxa"/>
            <w:tcBorders>
              <w:top w:val="single" w:color="auto" w:sz="4" w:space="0"/>
              <w:left w:val="single" w:color="auto" w:sz="4" w:space="0"/>
              <w:bottom w:val="single" w:color="auto" w:sz="4" w:space="0"/>
            </w:tcBorders>
            <w:vAlign w:val="center"/>
          </w:tcPr>
          <w:p w14:paraId="45D106F0">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签到时间：递交投标文件截止时间前完成</w:t>
            </w:r>
          </w:p>
          <w:p w14:paraId="7F03EFF6">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解密时间：开始解密后15分钟内完成</w:t>
            </w:r>
          </w:p>
        </w:tc>
      </w:tr>
      <w:tr w14:paraId="2C1BFA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65" w:hRule="atLeast"/>
          <w:jc w:val="center"/>
        </w:trPr>
        <w:tc>
          <w:tcPr>
            <w:tcW w:w="851" w:type="dxa"/>
            <w:tcBorders>
              <w:top w:val="single" w:color="auto" w:sz="4" w:space="0"/>
              <w:bottom w:val="single" w:color="auto" w:sz="4" w:space="0"/>
              <w:right w:val="single" w:color="auto" w:sz="4" w:space="0"/>
            </w:tcBorders>
            <w:vAlign w:val="center"/>
          </w:tcPr>
          <w:p w14:paraId="572FD06C">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w:t>
            </w:r>
          </w:p>
        </w:tc>
        <w:tc>
          <w:tcPr>
            <w:tcW w:w="2181" w:type="dxa"/>
            <w:tcBorders>
              <w:top w:val="single" w:color="auto" w:sz="4" w:space="0"/>
              <w:left w:val="single" w:color="auto" w:sz="4" w:space="0"/>
              <w:bottom w:val="single" w:color="auto" w:sz="4" w:space="0"/>
              <w:right w:val="single" w:color="auto" w:sz="4" w:space="0"/>
            </w:tcBorders>
            <w:vAlign w:val="center"/>
          </w:tcPr>
          <w:p w14:paraId="605B95DA">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资格审查方式</w:t>
            </w:r>
          </w:p>
        </w:tc>
        <w:tc>
          <w:tcPr>
            <w:tcW w:w="7169" w:type="dxa"/>
            <w:tcBorders>
              <w:top w:val="single" w:color="auto" w:sz="4" w:space="0"/>
              <w:left w:val="single" w:color="auto" w:sz="4" w:space="0"/>
              <w:bottom w:val="single" w:color="auto" w:sz="4" w:space="0"/>
            </w:tcBorders>
            <w:vAlign w:val="center"/>
          </w:tcPr>
          <w:p w14:paraId="3490A523">
            <w:pPr>
              <w:snapToGrid w:val="0"/>
              <w:spacing w:line="520" w:lineRule="exact"/>
              <w:ind w:right="-105" w:rightChars="-5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资格后审</w:t>
            </w:r>
          </w:p>
        </w:tc>
      </w:tr>
      <w:tr w14:paraId="7F8724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7" w:hRule="atLeast"/>
          <w:jc w:val="center"/>
        </w:trPr>
        <w:tc>
          <w:tcPr>
            <w:tcW w:w="851" w:type="dxa"/>
            <w:tcBorders>
              <w:top w:val="single" w:color="auto" w:sz="4" w:space="0"/>
              <w:bottom w:val="single" w:color="auto" w:sz="4" w:space="0"/>
              <w:right w:val="single" w:color="auto" w:sz="4" w:space="0"/>
            </w:tcBorders>
            <w:vAlign w:val="center"/>
          </w:tcPr>
          <w:p w14:paraId="48659841">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w:t>
            </w:r>
          </w:p>
        </w:tc>
        <w:tc>
          <w:tcPr>
            <w:tcW w:w="2181" w:type="dxa"/>
            <w:tcBorders>
              <w:top w:val="single" w:color="auto" w:sz="4" w:space="0"/>
              <w:left w:val="single" w:color="auto" w:sz="4" w:space="0"/>
              <w:bottom w:val="single" w:color="auto" w:sz="4" w:space="0"/>
              <w:right w:val="single" w:color="auto" w:sz="4" w:space="0"/>
            </w:tcBorders>
            <w:vAlign w:val="center"/>
          </w:tcPr>
          <w:p w14:paraId="7C8EBF57">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评审办法</w:t>
            </w:r>
          </w:p>
        </w:tc>
        <w:tc>
          <w:tcPr>
            <w:tcW w:w="7169" w:type="dxa"/>
            <w:tcBorders>
              <w:top w:val="single" w:color="auto" w:sz="4" w:space="0"/>
              <w:left w:val="single" w:color="auto" w:sz="4" w:space="0"/>
              <w:bottom w:val="single" w:color="auto" w:sz="4" w:space="0"/>
            </w:tcBorders>
            <w:vAlign w:val="center"/>
          </w:tcPr>
          <w:p w14:paraId="0B4F629F">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综合评分法</w:t>
            </w:r>
          </w:p>
        </w:tc>
      </w:tr>
      <w:tr w14:paraId="1A5AB46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7E916D23">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w:t>
            </w:r>
          </w:p>
        </w:tc>
        <w:tc>
          <w:tcPr>
            <w:tcW w:w="2181" w:type="dxa"/>
            <w:tcBorders>
              <w:top w:val="single" w:color="auto" w:sz="4" w:space="0"/>
              <w:left w:val="single" w:color="auto" w:sz="4" w:space="0"/>
              <w:bottom w:val="single" w:color="auto" w:sz="4" w:space="0"/>
              <w:right w:val="single" w:color="auto" w:sz="4" w:space="0"/>
            </w:tcBorders>
            <w:vAlign w:val="center"/>
          </w:tcPr>
          <w:p w14:paraId="2C14E21C">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联合体报价</w:t>
            </w:r>
          </w:p>
        </w:tc>
        <w:tc>
          <w:tcPr>
            <w:tcW w:w="7169" w:type="dxa"/>
            <w:tcBorders>
              <w:top w:val="single" w:color="auto" w:sz="4" w:space="0"/>
              <w:left w:val="single" w:color="auto" w:sz="4" w:space="0"/>
              <w:bottom w:val="single" w:color="auto" w:sz="4" w:space="0"/>
            </w:tcBorders>
            <w:vAlign w:val="center"/>
          </w:tcPr>
          <w:p w14:paraId="38331288">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不允许</w:t>
            </w:r>
          </w:p>
        </w:tc>
      </w:tr>
      <w:tr w14:paraId="05CE66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24C710A9">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w:t>
            </w:r>
          </w:p>
        </w:tc>
        <w:tc>
          <w:tcPr>
            <w:tcW w:w="2181" w:type="dxa"/>
            <w:tcBorders>
              <w:top w:val="single" w:color="auto" w:sz="4" w:space="0"/>
              <w:left w:val="single" w:color="auto" w:sz="4" w:space="0"/>
              <w:bottom w:val="single" w:color="auto" w:sz="4" w:space="0"/>
              <w:right w:val="single" w:color="auto" w:sz="4" w:space="0"/>
            </w:tcBorders>
            <w:vAlign w:val="center"/>
          </w:tcPr>
          <w:p w14:paraId="03D6DCF2">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分（转）包</w:t>
            </w:r>
          </w:p>
        </w:tc>
        <w:tc>
          <w:tcPr>
            <w:tcW w:w="7169" w:type="dxa"/>
            <w:tcBorders>
              <w:top w:val="single" w:color="auto" w:sz="4" w:space="0"/>
              <w:left w:val="single" w:color="auto" w:sz="4" w:space="0"/>
              <w:bottom w:val="single" w:color="auto" w:sz="4" w:space="0"/>
            </w:tcBorders>
            <w:vAlign w:val="center"/>
          </w:tcPr>
          <w:p w14:paraId="64E6D035">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不允许</w:t>
            </w:r>
          </w:p>
        </w:tc>
      </w:tr>
      <w:tr w14:paraId="65F8D8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5" w:hRule="atLeast"/>
          <w:jc w:val="center"/>
        </w:trPr>
        <w:tc>
          <w:tcPr>
            <w:tcW w:w="851" w:type="dxa"/>
            <w:tcBorders>
              <w:top w:val="single" w:color="auto" w:sz="4" w:space="0"/>
              <w:bottom w:val="single" w:color="auto" w:sz="4" w:space="0"/>
              <w:right w:val="single" w:color="auto" w:sz="4" w:space="0"/>
            </w:tcBorders>
            <w:vAlign w:val="center"/>
          </w:tcPr>
          <w:p w14:paraId="5A300661">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24</w:t>
            </w:r>
          </w:p>
        </w:tc>
        <w:tc>
          <w:tcPr>
            <w:tcW w:w="2181" w:type="dxa"/>
            <w:tcBorders>
              <w:top w:val="single" w:color="auto" w:sz="4" w:space="0"/>
              <w:left w:val="single" w:color="auto" w:sz="4" w:space="0"/>
              <w:bottom w:val="single" w:color="auto" w:sz="4" w:space="0"/>
              <w:right w:val="single" w:color="auto" w:sz="4" w:space="0"/>
            </w:tcBorders>
            <w:vAlign w:val="center"/>
          </w:tcPr>
          <w:p w14:paraId="7F7198A4">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投标保证金</w:t>
            </w:r>
          </w:p>
        </w:tc>
        <w:tc>
          <w:tcPr>
            <w:tcW w:w="7169" w:type="dxa"/>
            <w:tcBorders>
              <w:top w:val="single" w:color="auto" w:sz="4" w:space="0"/>
              <w:left w:val="single" w:color="auto" w:sz="4" w:space="0"/>
              <w:bottom w:val="single" w:color="auto" w:sz="4" w:space="0"/>
            </w:tcBorders>
            <w:vAlign w:val="center"/>
          </w:tcPr>
          <w:p w14:paraId="6AF0B9DE">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bookmarkStart w:id="21" w:name="_Hlk58068062"/>
            <w:r>
              <w:rPr>
                <w:rFonts w:hint="eastAsia" w:ascii="仿宋" w:hAnsi="仿宋" w:eastAsia="仿宋" w:cs="仿宋"/>
                <w:color w:val="000000" w:themeColor="text1"/>
                <w:sz w:val="28"/>
                <w:szCs w:val="28"/>
                <w:highlight w:val="none"/>
                <w14:textFill>
                  <w14:solidFill>
                    <w14:schemeClr w14:val="tx1"/>
                  </w14:solidFill>
                </w14:textFill>
              </w:rPr>
              <w:t>1.</w:t>
            </w:r>
            <w:bookmarkStart w:id="22" w:name="_Hlk191971653"/>
            <w:r>
              <w:rPr>
                <w:rFonts w:hint="eastAsia" w:ascii="仿宋" w:hAnsi="仿宋" w:eastAsia="仿宋" w:cs="仿宋"/>
                <w:color w:val="000000" w:themeColor="text1"/>
                <w:sz w:val="28"/>
                <w:szCs w:val="28"/>
                <w:highlight w:val="none"/>
                <w14:textFill>
                  <w14:solidFill>
                    <w14:schemeClr w14:val="tx1"/>
                  </w14:solidFill>
                </w14:textFill>
              </w:rPr>
              <w:t>本项目投标保证金：</w:t>
            </w:r>
          </w:p>
          <w:p w14:paraId="43F9D0E0">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人民币壹万叁仟元整（小写13000.00元）。</w:t>
            </w:r>
          </w:p>
          <w:bookmarkEnd w:id="22"/>
          <w:p w14:paraId="61CF009B">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bookmarkStart w:id="23" w:name="_Hlk191971666"/>
            <w:r>
              <w:rPr>
                <w:rFonts w:hint="eastAsia" w:ascii="仿宋" w:hAnsi="仿宋" w:eastAsia="仿宋" w:cs="仿宋"/>
                <w:color w:val="000000" w:themeColor="text1"/>
                <w:sz w:val="28"/>
                <w:szCs w:val="28"/>
                <w:highlight w:val="none"/>
                <w14:textFill>
                  <w14:solidFill>
                    <w14:schemeClr w14:val="tx1"/>
                  </w14:solidFill>
                </w14:textFill>
              </w:rPr>
              <w:t>交纳截止时间：同电子投标文件提交截止时间。</w:t>
            </w:r>
            <w:bookmarkEnd w:id="23"/>
          </w:p>
          <w:p w14:paraId="5D573557">
            <w:pPr>
              <w:snapToGrid w:val="0"/>
              <w:spacing w:line="520" w:lineRule="exact"/>
              <w:jc w:val="left"/>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3.投标保证金的交纳单位必须与投标人名称一致，投标保证金须从其基本账户转出，否则其投标无效。</w:t>
            </w:r>
          </w:p>
          <w:p w14:paraId="75A62E2F">
            <w:pPr>
              <w:snapToGrid w:val="0"/>
              <w:spacing w:line="520" w:lineRule="exact"/>
              <w:jc w:val="left"/>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4.本项目的投标保证金必须通过威海市国有企业阳光采购电子化服务平台交纳，使用说明参见威海市公共资源交易网（http://ggzyjy.weihai.cn）的“办事指南—国企采购专区”中《威海市国有企业阳光采购电子化服务平台线上投标保证金操作手册》。</w:t>
            </w:r>
          </w:p>
          <w:p w14:paraId="0346AA47">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5.为确保投标工作有序进行，投标保证金应当在提交投标文件截止时间前（以到账时间为准）到达</w:t>
            </w:r>
            <w:r>
              <w:rPr>
                <w:rFonts w:hint="eastAsia" w:ascii="仿宋" w:hAnsi="仿宋" w:eastAsia="仿宋" w:cs="仿宋"/>
                <w:b/>
                <w:bCs/>
                <w:color w:val="000000" w:themeColor="text1"/>
                <w:sz w:val="28"/>
                <w:szCs w:val="28"/>
                <w:highlight w:val="none"/>
                <w14:textFill>
                  <w14:solidFill>
                    <w14:schemeClr w14:val="tx1"/>
                  </w14:solidFill>
                </w14:textFill>
              </w:rPr>
              <w:t>威海公共资源交易服务有限公司</w:t>
            </w:r>
            <w:r>
              <w:rPr>
                <w:rFonts w:hint="eastAsia" w:ascii="仿宋" w:hAnsi="仿宋" w:eastAsia="仿宋" w:cs="仿宋"/>
                <w:color w:val="000000" w:themeColor="text1"/>
                <w:sz w:val="28"/>
                <w:szCs w:val="28"/>
                <w:highlight w:val="none"/>
                <w14:textFill>
                  <w14:solidFill>
                    <w14:schemeClr w14:val="tx1"/>
                  </w14:solidFill>
                </w14:textFill>
              </w:rPr>
              <w:t>账户，以网银、电汇等方式一次性足额交纳保证金，不接受支付宝等第三方平台转账。禁止第三方代交。投标保证金交纳单位应与提交投标文件的投标人名称一致。</w:t>
            </w:r>
          </w:p>
          <w:p w14:paraId="48FF1A2B">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为确保投标人投标保证金及时足额到账，请尽量提前交纳保证金，由于银行系统原因，请至少在提交投标文件截止时间前12小时将保证金汇出。如不按招标文件和系统使用指南操作，导致开标过程中国企阳光采购平台未出现投标人名称或者显示投标保证金未按时到账，视为其未按照招标文件的规定提交投标保证金，投标人对此应有明确的认识，自行承担后果。投标人可以使用国企阳光采购平台查询并及时更新交纳情况。</w:t>
            </w:r>
            <w:bookmarkEnd w:id="21"/>
          </w:p>
          <w:p w14:paraId="534A5702">
            <w:pPr>
              <w:snapToGrid w:val="0"/>
              <w:spacing w:line="520" w:lineRule="exact"/>
              <w:jc w:val="lef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7.退还保证金：</w:t>
            </w:r>
            <w:r>
              <w:rPr>
                <w:rFonts w:hint="eastAsia" w:ascii="仿宋" w:hAnsi="仿宋" w:eastAsia="仿宋" w:cs="仿宋"/>
                <w:color w:val="000000" w:themeColor="text1"/>
                <w:sz w:val="28"/>
                <w:szCs w:val="28"/>
                <w:highlight w:val="none"/>
                <w14:textFill>
                  <w14:solidFill>
                    <w14:schemeClr w14:val="tx1"/>
                  </w14:solidFill>
                </w14:textFill>
              </w:rPr>
              <w:t>目前系统采用自动退还保证金操作，分为未中标人退还和中标人退还。代理机构向中标人发送中标通知书后，系统自动退还未中标人保证金；招标人和中标人签署完合同后，系统自动退还中标人保证金。</w:t>
            </w:r>
          </w:p>
        </w:tc>
      </w:tr>
      <w:tr w14:paraId="5408E7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1687E26C">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25</w:t>
            </w:r>
          </w:p>
        </w:tc>
        <w:tc>
          <w:tcPr>
            <w:tcW w:w="2181" w:type="dxa"/>
            <w:tcBorders>
              <w:top w:val="single" w:color="auto" w:sz="4" w:space="0"/>
              <w:left w:val="single" w:color="auto" w:sz="4" w:space="0"/>
              <w:bottom w:val="single" w:color="auto" w:sz="4" w:space="0"/>
              <w:right w:val="single" w:color="auto" w:sz="4" w:space="0"/>
            </w:tcBorders>
            <w:vAlign w:val="center"/>
          </w:tcPr>
          <w:p w14:paraId="760615CF">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履约保证金</w:t>
            </w:r>
          </w:p>
        </w:tc>
        <w:tc>
          <w:tcPr>
            <w:tcW w:w="7169" w:type="dxa"/>
            <w:tcBorders>
              <w:top w:val="single" w:color="auto" w:sz="4" w:space="0"/>
              <w:left w:val="single" w:color="auto" w:sz="4" w:space="0"/>
              <w:bottom w:val="single" w:color="auto" w:sz="4" w:space="0"/>
            </w:tcBorders>
            <w:vAlign w:val="center"/>
          </w:tcPr>
          <w:p w14:paraId="627F9877">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本项目不收取履约保证金</w:t>
            </w:r>
          </w:p>
        </w:tc>
      </w:tr>
      <w:tr w14:paraId="7915C1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49B2EF3">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26</w:t>
            </w:r>
          </w:p>
        </w:tc>
        <w:tc>
          <w:tcPr>
            <w:tcW w:w="2181" w:type="dxa"/>
            <w:tcBorders>
              <w:top w:val="single" w:color="auto" w:sz="4" w:space="0"/>
              <w:left w:val="single" w:color="auto" w:sz="4" w:space="0"/>
              <w:bottom w:val="single" w:color="auto" w:sz="4" w:space="0"/>
              <w:right w:val="single" w:color="auto" w:sz="4" w:space="0"/>
            </w:tcBorders>
            <w:vAlign w:val="center"/>
          </w:tcPr>
          <w:p w14:paraId="006517CB">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付款方式</w:t>
            </w:r>
          </w:p>
        </w:tc>
        <w:tc>
          <w:tcPr>
            <w:tcW w:w="7169" w:type="dxa"/>
            <w:tcBorders>
              <w:top w:val="single" w:color="auto" w:sz="4" w:space="0"/>
              <w:left w:val="single" w:color="auto" w:sz="4" w:space="0"/>
              <w:bottom w:val="single" w:color="auto" w:sz="4" w:space="0"/>
            </w:tcBorders>
            <w:vAlign w:val="center"/>
          </w:tcPr>
          <w:p w14:paraId="414E6F6F">
            <w:pPr>
              <w:spacing w:line="52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详见合同范本</w:t>
            </w:r>
          </w:p>
        </w:tc>
      </w:tr>
      <w:tr w14:paraId="0D69489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15535361">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27</w:t>
            </w:r>
          </w:p>
        </w:tc>
        <w:tc>
          <w:tcPr>
            <w:tcW w:w="2181" w:type="dxa"/>
            <w:tcBorders>
              <w:top w:val="single" w:color="auto" w:sz="4" w:space="0"/>
              <w:left w:val="single" w:color="auto" w:sz="4" w:space="0"/>
              <w:bottom w:val="single" w:color="auto" w:sz="4" w:space="0"/>
              <w:right w:val="single" w:color="auto" w:sz="4" w:space="0"/>
            </w:tcBorders>
            <w:vAlign w:val="center"/>
          </w:tcPr>
          <w:p w14:paraId="38B2783F">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最高限价</w:t>
            </w:r>
          </w:p>
        </w:tc>
        <w:tc>
          <w:tcPr>
            <w:tcW w:w="7169" w:type="dxa"/>
            <w:tcBorders>
              <w:top w:val="single" w:color="auto" w:sz="4" w:space="0"/>
              <w:left w:val="single" w:color="auto" w:sz="4" w:space="0"/>
              <w:bottom w:val="single" w:color="auto" w:sz="4" w:space="0"/>
            </w:tcBorders>
            <w:vAlign w:val="center"/>
          </w:tcPr>
          <w:p w14:paraId="31BBD1B8">
            <w:pPr>
              <w:spacing w:line="52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136</w:t>
            </w:r>
            <w:r>
              <w:rPr>
                <w:rFonts w:hint="eastAsia" w:ascii="仿宋" w:hAnsi="仿宋" w:eastAsia="仿宋" w:cs="仿宋"/>
                <w:color w:val="000000" w:themeColor="text1"/>
                <w:sz w:val="28"/>
                <w:szCs w:val="28"/>
                <w:highlight w:val="none"/>
                <w14:textFill>
                  <w14:solidFill>
                    <w14:schemeClr w14:val="tx1"/>
                  </w14:solidFill>
                </w14:textFill>
              </w:rPr>
              <w:t>万元，</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投标报价不得超过最高限价，否则报价无效。</w:t>
            </w:r>
          </w:p>
        </w:tc>
      </w:tr>
      <w:tr w14:paraId="616B27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4" w:hRule="atLeast"/>
          <w:jc w:val="center"/>
        </w:trPr>
        <w:tc>
          <w:tcPr>
            <w:tcW w:w="851" w:type="dxa"/>
            <w:tcBorders>
              <w:top w:val="single" w:color="auto" w:sz="4" w:space="0"/>
              <w:bottom w:val="single" w:color="auto" w:sz="4" w:space="0"/>
              <w:right w:val="single" w:color="auto" w:sz="4" w:space="0"/>
            </w:tcBorders>
            <w:vAlign w:val="center"/>
          </w:tcPr>
          <w:p w14:paraId="7BAA089E">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28</w:t>
            </w:r>
          </w:p>
        </w:tc>
        <w:tc>
          <w:tcPr>
            <w:tcW w:w="2181" w:type="dxa"/>
            <w:tcBorders>
              <w:top w:val="single" w:color="auto" w:sz="4" w:space="0"/>
              <w:left w:val="single" w:color="auto" w:sz="4" w:space="0"/>
              <w:bottom w:val="single" w:color="auto" w:sz="4" w:space="0"/>
              <w:right w:val="single" w:color="auto" w:sz="4" w:space="0"/>
            </w:tcBorders>
            <w:vAlign w:val="center"/>
          </w:tcPr>
          <w:p w14:paraId="45198B8F">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其他</w:t>
            </w:r>
          </w:p>
        </w:tc>
        <w:tc>
          <w:tcPr>
            <w:tcW w:w="7169" w:type="dxa"/>
            <w:tcBorders>
              <w:top w:val="single" w:color="auto" w:sz="4" w:space="0"/>
              <w:left w:val="single" w:color="auto" w:sz="4" w:space="0"/>
              <w:bottom w:val="single" w:color="auto" w:sz="4" w:space="0"/>
            </w:tcBorders>
            <w:vAlign w:val="center"/>
          </w:tcPr>
          <w:p w14:paraId="000BD807">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本项目按服务类以公开招标方式实施采购。</w:t>
            </w:r>
          </w:p>
        </w:tc>
      </w:tr>
      <w:tr w14:paraId="677ABA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851" w:type="dxa"/>
            <w:vMerge w:val="restart"/>
            <w:tcBorders>
              <w:top w:val="single" w:color="auto" w:sz="4" w:space="0"/>
              <w:right w:val="single" w:color="auto" w:sz="4" w:space="0"/>
            </w:tcBorders>
            <w:vAlign w:val="center"/>
          </w:tcPr>
          <w:p w14:paraId="66CFE654">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29</w:t>
            </w:r>
          </w:p>
        </w:tc>
        <w:tc>
          <w:tcPr>
            <w:tcW w:w="2181" w:type="dxa"/>
            <w:tcBorders>
              <w:top w:val="single" w:color="auto" w:sz="4" w:space="0"/>
              <w:left w:val="single" w:color="auto" w:sz="4" w:space="0"/>
              <w:bottom w:val="single" w:color="auto" w:sz="4" w:space="0"/>
              <w:right w:val="single" w:color="auto" w:sz="4" w:space="0"/>
            </w:tcBorders>
            <w:vAlign w:val="center"/>
          </w:tcPr>
          <w:p w14:paraId="50C409D1">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代理服务费</w:t>
            </w:r>
          </w:p>
        </w:tc>
        <w:tc>
          <w:tcPr>
            <w:tcW w:w="7169" w:type="dxa"/>
            <w:tcBorders>
              <w:top w:val="single" w:color="auto" w:sz="4" w:space="0"/>
              <w:left w:val="single" w:color="auto" w:sz="4" w:space="0"/>
              <w:bottom w:val="single" w:color="auto" w:sz="4" w:space="0"/>
            </w:tcBorders>
            <w:vAlign w:val="center"/>
          </w:tcPr>
          <w:p w14:paraId="0BB986F2">
            <w:pPr>
              <w:snapToGrid w:val="0"/>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代理服务费全部由中标单位支付，此费用包含在投标报价中，招标人不再另行考虑。具体以中标金额为基数参照原国家发展计划委员会规定的标准（详见《招标代理服务收费管理暂行办法》计价格［2002］1980号)文件“服务类”标准收取。</w:t>
            </w:r>
          </w:p>
        </w:tc>
      </w:tr>
      <w:tr w14:paraId="064EA6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4" w:hRule="atLeast"/>
          <w:jc w:val="center"/>
        </w:trPr>
        <w:tc>
          <w:tcPr>
            <w:tcW w:w="851" w:type="dxa"/>
            <w:vMerge w:val="continue"/>
            <w:tcBorders>
              <w:right w:val="single" w:color="auto" w:sz="4" w:space="0"/>
            </w:tcBorders>
            <w:vAlign w:val="center"/>
          </w:tcPr>
          <w:p w14:paraId="6A553A66">
            <w:pPr>
              <w:snapToGrid w:val="0"/>
              <w:spacing w:line="52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81" w:type="dxa"/>
            <w:tcBorders>
              <w:top w:val="single" w:color="auto" w:sz="4" w:space="0"/>
              <w:left w:val="single" w:color="auto" w:sz="4" w:space="0"/>
              <w:bottom w:val="single" w:color="auto" w:sz="4" w:space="0"/>
              <w:right w:val="single" w:color="auto" w:sz="4" w:space="0"/>
            </w:tcBorders>
            <w:vAlign w:val="center"/>
          </w:tcPr>
          <w:p w14:paraId="62AE4B72">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专家评审费</w:t>
            </w:r>
          </w:p>
        </w:tc>
        <w:tc>
          <w:tcPr>
            <w:tcW w:w="7169" w:type="dxa"/>
            <w:tcBorders>
              <w:top w:val="single" w:color="auto" w:sz="4" w:space="0"/>
              <w:left w:val="single" w:color="auto" w:sz="4" w:space="0"/>
              <w:bottom w:val="single" w:color="auto" w:sz="4" w:space="0"/>
            </w:tcBorders>
            <w:vAlign w:val="center"/>
          </w:tcPr>
          <w:p w14:paraId="53913FEF">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专家评审费由中标单位交纳，按实收取。</w:t>
            </w:r>
          </w:p>
        </w:tc>
      </w:tr>
      <w:tr w14:paraId="082F31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851" w:type="dxa"/>
            <w:tcBorders>
              <w:top w:val="single" w:color="auto" w:sz="4" w:space="0"/>
              <w:bottom w:val="single" w:color="auto" w:sz="4" w:space="0"/>
              <w:right w:val="single" w:color="auto" w:sz="4" w:space="0"/>
            </w:tcBorders>
            <w:vAlign w:val="center"/>
          </w:tcPr>
          <w:p w14:paraId="1260791C">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30</w:t>
            </w:r>
          </w:p>
        </w:tc>
        <w:tc>
          <w:tcPr>
            <w:tcW w:w="2181" w:type="dxa"/>
            <w:tcBorders>
              <w:top w:val="single" w:color="auto" w:sz="4" w:space="0"/>
              <w:left w:val="single" w:color="auto" w:sz="4" w:space="0"/>
              <w:bottom w:val="single" w:color="auto" w:sz="4" w:space="0"/>
              <w:right w:val="single" w:color="auto" w:sz="4" w:space="0"/>
            </w:tcBorders>
            <w:vAlign w:val="center"/>
          </w:tcPr>
          <w:p w14:paraId="1A12DABA">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是否委托定标</w:t>
            </w:r>
          </w:p>
        </w:tc>
        <w:tc>
          <w:tcPr>
            <w:tcW w:w="7169" w:type="dxa"/>
            <w:tcBorders>
              <w:top w:val="single" w:color="auto" w:sz="4" w:space="0"/>
              <w:left w:val="single" w:color="auto" w:sz="4" w:space="0"/>
              <w:bottom w:val="single" w:color="auto" w:sz="4" w:space="0"/>
            </w:tcBorders>
            <w:vAlign w:val="center"/>
          </w:tcPr>
          <w:p w14:paraId="605DC3D8">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是</w:t>
            </w:r>
          </w:p>
        </w:tc>
      </w:tr>
    </w:tbl>
    <w:p w14:paraId="157B810C">
      <w:pPr>
        <w:spacing w:line="560" w:lineRule="exact"/>
        <w:ind w:firstLine="643" w:firstLineChars="201"/>
        <w:jc w:val="center"/>
        <w:rPr>
          <w:rFonts w:hint="eastAsia" w:ascii="仿宋" w:hAnsi="仿宋" w:eastAsia="仿宋" w:cs="仿宋"/>
          <w:color w:val="000000" w:themeColor="text1"/>
          <w:sz w:val="32"/>
          <w:szCs w:val="32"/>
          <w:highlight w:val="none"/>
          <w14:textFill>
            <w14:solidFill>
              <w14:schemeClr w14:val="tx1"/>
            </w14:solidFill>
          </w14:textFill>
        </w:rPr>
      </w:pPr>
      <w:bookmarkStart w:id="24" w:name="_Hlk191971690"/>
      <w:r>
        <w:rPr>
          <w:rFonts w:hint="eastAsia" w:ascii="仿宋" w:hAnsi="仿宋" w:eastAsia="仿宋" w:cs="仿宋"/>
          <w:color w:val="000000" w:themeColor="text1"/>
          <w:sz w:val="32"/>
          <w:szCs w:val="32"/>
          <w:highlight w:val="none"/>
          <w14:textFill>
            <w14:solidFill>
              <w14:schemeClr w14:val="tx1"/>
            </w14:solidFill>
          </w14:textFill>
        </w:rPr>
        <w:t>《实质性条款一览表》</w:t>
      </w:r>
    </w:p>
    <w:p w14:paraId="3E127197">
      <w:pPr>
        <w:snapToGrid w:val="0"/>
        <w:ind w:firstLine="56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说明：本表系招标文件及修改性文件中涉及的所有实质性条款的汇总。不允许有任何负偏离，否则投标将被否决。</w:t>
      </w:r>
    </w:p>
    <w:tbl>
      <w:tblPr>
        <w:tblStyle w:val="52"/>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8"/>
        <w:gridCol w:w="1692"/>
        <w:gridCol w:w="7130"/>
      </w:tblGrid>
      <w:tr w14:paraId="72753C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649C8B97">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bookmarkStart w:id="25" w:name="_Hlk207628854"/>
            <w:r>
              <w:rPr>
                <w:rFonts w:hint="eastAsia" w:ascii="仿宋" w:hAnsi="仿宋" w:eastAsia="仿宋" w:cs="仿宋"/>
                <w:color w:val="000000" w:themeColor="text1"/>
                <w:sz w:val="28"/>
                <w:szCs w:val="28"/>
                <w:highlight w:val="none"/>
                <w14:textFill>
                  <w14:solidFill>
                    <w14:schemeClr w14:val="tx1"/>
                  </w14:solidFill>
                </w14:textFill>
              </w:rPr>
              <w:t>序号</w:t>
            </w:r>
          </w:p>
        </w:tc>
        <w:tc>
          <w:tcPr>
            <w:tcW w:w="1692" w:type="dxa"/>
            <w:tcBorders>
              <w:top w:val="single" w:color="auto" w:sz="4" w:space="0"/>
              <w:left w:val="single" w:color="auto" w:sz="4" w:space="0"/>
              <w:bottom w:val="single" w:color="auto" w:sz="4" w:space="0"/>
              <w:right w:val="single" w:color="auto" w:sz="4" w:space="0"/>
            </w:tcBorders>
            <w:vAlign w:val="center"/>
          </w:tcPr>
          <w:p w14:paraId="64A4029C">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w:t>
            </w:r>
          </w:p>
        </w:tc>
        <w:tc>
          <w:tcPr>
            <w:tcW w:w="7130" w:type="dxa"/>
            <w:tcBorders>
              <w:top w:val="single" w:color="auto" w:sz="4" w:space="0"/>
              <w:left w:val="single" w:color="auto" w:sz="4" w:space="0"/>
              <w:bottom w:val="single" w:color="auto" w:sz="4" w:space="0"/>
            </w:tcBorders>
            <w:vAlign w:val="center"/>
          </w:tcPr>
          <w:p w14:paraId="030503F3">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内       容</w:t>
            </w:r>
          </w:p>
        </w:tc>
      </w:tr>
      <w:tr w14:paraId="14DB59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7" w:hRule="atLeast"/>
          <w:jc w:val="center"/>
        </w:trPr>
        <w:tc>
          <w:tcPr>
            <w:tcW w:w="908" w:type="dxa"/>
            <w:tcBorders>
              <w:top w:val="single" w:color="auto" w:sz="4" w:space="0"/>
              <w:bottom w:val="single" w:color="auto" w:sz="4" w:space="0"/>
              <w:right w:val="single" w:color="auto" w:sz="4" w:space="0"/>
            </w:tcBorders>
            <w:vAlign w:val="center"/>
          </w:tcPr>
          <w:p w14:paraId="16A37436">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p>
        </w:tc>
        <w:tc>
          <w:tcPr>
            <w:tcW w:w="1692" w:type="dxa"/>
            <w:tcBorders>
              <w:top w:val="single" w:color="auto" w:sz="4" w:space="0"/>
              <w:left w:val="single" w:color="auto" w:sz="4" w:space="0"/>
              <w:bottom w:val="single" w:color="auto" w:sz="4" w:space="0"/>
              <w:right w:val="single" w:color="auto" w:sz="4" w:space="0"/>
            </w:tcBorders>
            <w:vAlign w:val="center"/>
          </w:tcPr>
          <w:p w14:paraId="17ADFAEF">
            <w:pPr>
              <w:spacing w:line="56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资格性审查</w:t>
            </w:r>
          </w:p>
        </w:tc>
        <w:tc>
          <w:tcPr>
            <w:tcW w:w="7130" w:type="dxa"/>
            <w:tcBorders>
              <w:top w:val="single" w:color="auto" w:sz="4" w:space="0"/>
              <w:left w:val="single" w:color="auto" w:sz="4" w:space="0"/>
              <w:bottom w:val="single" w:color="auto" w:sz="4" w:space="0"/>
            </w:tcBorders>
          </w:tcPr>
          <w:p w14:paraId="088068F6">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bookmarkStart w:id="26" w:name="_Hlk58066797"/>
            <w:r>
              <w:rPr>
                <w:rFonts w:hint="eastAsia" w:ascii="仿宋" w:hAnsi="仿宋" w:eastAsia="仿宋" w:cs="仿宋"/>
                <w:color w:val="000000" w:themeColor="text1"/>
                <w:sz w:val="28"/>
                <w:szCs w:val="28"/>
                <w:highlight w:val="none"/>
                <w14:textFill>
                  <w14:solidFill>
                    <w14:schemeClr w14:val="tx1"/>
                  </w14:solidFill>
                </w14:textFill>
              </w:rPr>
              <w:t>1.投标人有效的营业执照扫描件（分公司参与投标的，须提供总公司授权）；</w:t>
            </w:r>
          </w:p>
          <w:p w14:paraId="36CC1598">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2.法定代表人身份证明、法定代表人身份证扫描件；</w:t>
            </w:r>
          </w:p>
          <w:p w14:paraId="4E653971">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3.法定代表人授权委托书、被授权人身份证扫描件；</w:t>
            </w:r>
          </w:p>
          <w:p w14:paraId="1C5979FF">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4.投标人信用承诺书；</w:t>
            </w:r>
          </w:p>
          <w:p w14:paraId="2FA9EC3A">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5.投标人参与投标的声明函；</w:t>
            </w:r>
          </w:p>
          <w:p w14:paraId="18FB043B">
            <w:pPr>
              <w:snapToGrid w:val="0"/>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6.交纳投标保证金的证明材料（两者缺一不可）：（1）企业银行基本账户开户证明（如开户许可证或银行开户证明等）、（2）电汇凭证或电子汇款截图扫描件</w:t>
            </w:r>
            <w:r>
              <w:rPr>
                <w:rFonts w:hint="eastAsia" w:ascii="仿宋" w:hAnsi="仿宋" w:eastAsia="仿宋" w:cs="仿宋"/>
                <w:color w:val="000000" w:themeColor="text1"/>
                <w:sz w:val="28"/>
                <w:szCs w:val="28"/>
                <w:highlight w:val="none"/>
                <w14:textFill>
                  <w14:solidFill>
                    <w14:schemeClr w14:val="tx1"/>
                  </w14:solidFill>
                </w14:textFill>
              </w:rPr>
              <w:t>。否则，投标无效。</w:t>
            </w:r>
          </w:p>
          <w:p w14:paraId="15B28683">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投标人、法定代表人、委托代理人未被最高法院（查询网址：http://zxgk.court.gov.cn/shixin/）列入失信被执行人。投标文件附通过网站查询信息记录，包含投标人、法定代表人、委托代理人失信被执行人情况网页截图（省份为全部）；</w:t>
            </w:r>
          </w:p>
          <w:p w14:paraId="7CDF12A6">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投标人近一年在“信用中国”或“信用中国（山东）”无严重失信记录，投标文件中需附通过信用中国（查询网址：https://www.creditchina.gov.cn）查询的信用报告或信用中国（山东）（查询网址：https://credit.shandong.gov.cn）查询的信用报告。</w:t>
            </w:r>
            <w:bookmarkEnd w:id="26"/>
          </w:p>
        </w:tc>
      </w:tr>
      <w:tr w14:paraId="52166A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59" w:hRule="atLeast"/>
          <w:jc w:val="center"/>
        </w:trPr>
        <w:tc>
          <w:tcPr>
            <w:tcW w:w="908" w:type="dxa"/>
            <w:tcBorders>
              <w:top w:val="single" w:color="auto" w:sz="4" w:space="0"/>
              <w:bottom w:val="single" w:color="auto" w:sz="4" w:space="0"/>
              <w:right w:val="single" w:color="auto" w:sz="4" w:space="0"/>
            </w:tcBorders>
            <w:vAlign w:val="center"/>
          </w:tcPr>
          <w:p w14:paraId="3E168BA1">
            <w:pPr>
              <w:snapToGrid w:val="0"/>
              <w:spacing w:line="5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p>
        </w:tc>
        <w:tc>
          <w:tcPr>
            <w:tcW w:w="1692" w:type="dxa"/>
            <w:tcBorders>
              <w:top w:val="single" w:color="auto" w:sz="4" w:space="0"/>
              <w:left w:val="single" w:color="auto" w:sz="4" w:space="0"/>
              <w:bottom w:val="single" w:color="auto" w:sz="4" w:space="0"/>
              <w:right w:val="single" w:color="auto" w:sz="4" w:space="0"/>
            </w:tcBorders>
            <w:vAlign w:val="center"/>
          </w:tcPr>
          <w:p w14:paraId="01F77CDA">
            <w:pPr>
              <w:spacing w:line="56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符合性审查</w:t>
            </w:r>
          </w:p>
        </w:tc>
        <w:tc>
          <w:tcPr>
            <w:tcW w:w="7130" w:type="dxa"/>
            <w:tcBorders>
              <w:top w:val="single" w:color="auto" w:sz="4" w:space="0"/>
              <w:left w:val="single" w:color="auto" w:sz="4" w:space="0"/>
              <w:bottom w:val="single" w:color="auto" w:sz="4" w:space="0"/>
            </w:tcBorders>
            <w:vAlign w:val="center"/>
          </w:tcPr>
          <w:p w14:paraId="0E7D771D">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1.报价低于（或等于）最高限价；</w:t>
            </w:r>
          </w:p>
          <w:p w14:paraId="7E4F44B0">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2.投标保证金：按招标文件要求交纳；</w:t>
            </w:r>
          </w:p>
          <w:p w14:paraId="420B0AC6">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3.投标文件按规定签署及盖章；</w:t>
            </w:r>
          </w:p>
          <w:p w14:paraId="3CA92B11">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4.服务期限、交付时间满足招标文件要求；</w:t>
            </w:r>
          </w:p>
          <w:p w14:paraId="40E5FC8C">
            <w:pPr>
              <w:snapToGrid w:val="0"/>
              <w:spacing w:line="56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5.不存在招标文件规定的关于投标人串通投标的情形及其他投标无效的情形。</w:t>
            </w:r>
          </w:p>
        </w:tc>
      </w:tr>
      <w:bookmarkEnd w:id="24"/>
      <w:bookmarkEnd w:id="25"/>
    </w:tbl>
    <w:p w14:paraId="4109B35F">
      <w:pPr>
        <w:pStyle w:val="5"/>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27" w:name="_Toc7676"/>
      <w:bookmarkStart w:id="28" w:name="_Toc66864042"/>
      <w:r>
        <w:rPr>
          <w:rStyle w:val="431"/>
          <w:rFonts w:hint="eastAsia" w:ascii="仿宋" w:hAnsi="仿宋" w:eastAsia="仿宋" w:cs="仿宋"/>
          <w:b/>
          <w:bCs/>
          <w:color w:val="000000" w:themeColor="text1"/>
          <w:kern w:val="2"/>
          <w:sz w:val="28"/>
          <w:szCs w:val="32"/>
          <w:highlight w:val="none"/>
          <w14:textFill>
            <w14:solidFill>
              <w14:schemeClr w14:val="tx1"/>
            </w14:solidFill>
          </w14:textFill>
        </w:rPr>
        <w:t>一、说明</w:t>
      </w:r>
      <w:bookmarkEnd w:id="27"/>
      <w:bookmarkEnd w:id="28"/>
    </w:p>
    <w:p w14:paraId="2C330DC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文件依据《山东省省属企业阳光采购监督管理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14:paraId="3DA3F244">
      <w:pPr>
        <w:snapToGrid w:val="0"/>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29" w:name="_Hlk154667578"/>
      <w:r>
        <w:rPr>
          <w:rFonts w:hint="eastAsia" w:ascii="仿宋" w:hAnsi="仿宋" w:eastAsia="仿宋" w:cs="仿宋"/>
          <w:b/>
          <w:color w:val="000000" w:themeColor="text1"/>
          <w:sz w:val="28"/>
          <w:szCs w:val="28"/>
          <w:highlight w:val="none"/>
          <w14:textFill>
            <w14:solidFill>
              <w14:schemeClr w14:val="tx1"/>
            </w14:solidFill>
          </w14:textFill>
        </w:rPr>
        <w:t>1.适用范围</w:t>
      </w:r>
    </w:p>
    <w:p w14:paraId="5592014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 本招标文件仅适用于本次招标公告中所涉及的项目和内容。</w:t>
      </w:r>
    </w:p>
    <w:p w14:paraId="5D47F42E">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 本招标文件的解释权为招标代理机构，以书面解释为准。</w:t>
      </w:r>
    </w:p>
    <w:p w14:paraId="2C6F7E6D">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1.3本招标文件未做须知明示，而又有相关法律、法规规定的，从其规定。</w:t>
      </w:r>
    </w:p>
    <w:p w14:paraId="4C51DCC9">
      <w:pPr>
        <w:snapToGrid w:val="0"/>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2.相关要求</w:t>
      </w:r>
    </w:p>
    <w:p w14:paraId="7B8FE5E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2.1投标人应承担所有与准备和参加报价的全部费用。不论电子投标结果如何，招标代理机构和招标人均无义务和责任承担这些费用。</w:t>
      </w:r>
    </w:p>
    <w:p w14:paraId="5A73DBC8">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2.2本项目若涉及招标货物，则合格的货物及相应服务应满足以下要求：</w:t>
      </w:r>
    </w:p>
    <w:p w14:paraId="29C3741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（1）必须是全新、未使用过的原装合格正品（包括零部件），如安装或配置了软件的，须为正版软件。</w:t>
      </w:r>
    </w:p>
    <w:p w14:paraId="4A48F6BC">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（2）国产的货物及其有关服务必须符合中华人民共和国的设计和制造生产标准或行业标准。招标公告有其他要求的，亦应符合其要求。</w:t>
      </w:r>
    </w:p>
    <w:p w14:paraId="6C2E7179">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14:paraId="4CC40D5E">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应保证，其所提供的货物在提供给招标人前具有完全的所有权，招标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1841A3E5">
      <w:pPr>
        <w:snapToGrid w:val="0"/>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2.3投标人应通过威海市公共资源交易网登录威海市国有企业阳光采购电子化服务平台获取招标文件，并通过</w:t>
      </w:r>
      <w:bookmarkStart w:id="30" w:name="_Hlk219903548"/>
      <w:r>
        <w:rPr>
          <w:rFonts w:hint="eastAsia" w:ascii="仿宋" w:hAnsi="仿宋" w:eastAsia="仿宋" w:cs="仿宋"/>
          <w:b/>
          <w:color w:val="000000" w:themeColor="text1"/>
          <w:sz w:val="28"/>
          <w:szCs w:val="28"/>
          <w:highlight w:val="none"/>
          <w14:textFill>
            <w14:solidFill>
              <w14:schemeClr w14:val="tx1"/>
            </w14:solidFill>
          </w14:textFill>
        </w:rPr>
        <w:t>国企阳光采购平台</w:t>
      </w:r>
      <w:bookmarkEnd w:id="30"/>
      <w:r>
        <w:rPr>
          <w:rFonts w:hint="eastAsia" w:ascii="仿宋" w:hAnsi="仿宋" w:eastAsia="仿宋" w:cs="仿宋"/>
          <w:b/>
          <w:color w:val="000000" w:themeColor="text1"/>
          <w:sz w:val="28"/>
          <w:szCs w:val="28"/>
          <w:highlight w:val="none"/>
          <w14:textFill>
            <w14:solidFill>
              <w14:schemeClr w14:val="tx1"/>
            </w14:solidFill>
          </w14:textFill>
        </w:rPr>
        <w:t>上传电子投标文件，电子投标文件成功上传后，将会生成投标回执，未通过国企阳光采购平台上传电子投标文件的，为无效投标。获取招标文件的投标人不足3家的，本项目直接废标。</w:t>
      </w:r>
    </w:p>
    <w:bookmarkEnd w:id="29"/>
    <w:p w14:paraId="29394C61">
      <w:pPr>
        <w:pStyle w:val="5"/>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31" w:name="_Toc66864043"/>
      <w:bookmarkStart w:id="32" w:name="_Toc2833"/>
      <w:r>
        <w:rPr>
          <w:rStyle w:val="431"/>
          <w:rFonts w:hint="eastAsia" w:ascii="仿宋" w:hAnsi="仿宋" w:eastAsia="仿宋" w:cs="仿宋"/>
          <w:b/>
          <w:bCs/>
          <w:color w:val="000000" w:themeColor="text1"/>
          <w:kern w:val="2"/>
          <w:sz w:val="28"/>
          <w:szCs w:val="32"/>
          <w:highlight w:val="none"/>
          <w14:textFill>
            <w14:solidFill>
              <w14:schemeClr w14:val="tx1"/>
            </w14:solidFill>
          </w14:textFill>
        </w:rPr>
        <w:t>二、招标文件</w:t>
      </w:r>
      <w:bookmarkEnd w:id="31"/>
      <w:bookmarkEnd w:id="32"/>
    </w:p>
    <w:p w14:paraId="1633E3F5">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33" w:name="_Hlk154667588"/>
      <w:r>
        <w:rPr>
          <w:rFonts w:hint="eastAsia" w:ascii="仿宋" w:hAnsi="仿宋" w:eastAsia="仿宋" w:cs="仿宋"/>
          <w:b/>
          <w:color w:val="000000" w:themeColor="text1"/>
          <w:sz w:val="28"/>
          <w:szCs w:val="28"/>
          <w:highlight w:val="none"/>
          <w14:textFill>
            <w14:solidFill>
              <w14:schemeClr w14:val="tx1"/>
            </w14:solidFill>
          </w14:textFill>
        </w:rPr>
        <w:t>3.招标文件的构成</w:t>
      </w:r>
    </w:p>
    <w:p w14:paraId="5FBCE2C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由各包段本文件（word格式）和各包段的数据文件（excel格式）构成，采用压缩包电子版文件格式提供。</w:t>
      </w:r>
    </w:p>
    <w:p w14:paraId="6C53DB2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3.1 本文件（word格式）由下列文件组成：</w:t>
      </w:r>
    </w:p>
    <w:p w14:paraId="680B6D9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（1）招标公告</w:t>
      </w:r>
    </w:p>
    <w:p w14:paraId="19780E9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（2）投标须知</w:t>
      </w:r>
    </w:p>
    <w:p w14:paraId="2DD4EE2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（3）开标、评标、定标</w:t>
      </w:r>
    </w:p>
    <w:p w14:paraId="5CC04D1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（4）采购项目说明</w:t>
      </w:r>
    </w:p>
    <w:p w14:paraId="5859604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（5）投标文件格式</w:t>
      </w:r>
    </w:p>
    <w:p w14:paraId="77CFCBE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（6）合同（范本）</w:t>
      </w:r>
    </w:p>
    <w:p w14:paraId="79CF232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（7）在招标过程中由招标人或招标代理机构发出的修正和补充文件等（如有）</w:t>
      </w:r>
    </w:p>
    <w:p w14:paraId="1A848A4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3.2 数据文件（excel格式）由下列文件组成：</w:t>
      </w:r>
    </w:p>
    <w:p w14:paraId="69B98A0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（1）封面</w:t>
      </w:r>
    </w:p>
    <w:p w14:paraId="0DF200C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（2）投标报价表（含明细）</w:t>
      </w:r>
    </w:p>
    <w:p w14:paraId="18145C9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（3）需求响应表（如有）</w:t>
      </w:r>
    </w:p>
    <w:p w14:paraId="602FAF5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（4）评审对照表</w:t>
      </w:r>
    </w:p>
    <w:p w14:paraId="206785B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（5）评分对照表（如有）</w:t>
      </w:r>
    </w:p>
    <w:p w14:paraId="3E8070E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3.3 投标人应认真阅读招标文件中所有的事项、格式、条款和技术规范、参数及要求等，如果投标人没有按照招标文件要求提交全部资料，或者投标人没有对招标文件在各方面都做出实质性响应，其风险应由投标人自行承担并根据有关政策和条款规定，其投标有可能被拒绝，或者被认定为无效投标。</w:t>
      </w:r>
    </w:p>
    <w:bookmarkEnd w:id="33"/>
    <w:p w14:paraId="60791295">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4.招标文件的澄清</w:t>
      </w:r>
    </w:p>
    <w:p w14:paraId="1FCAB9D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34" w:name="_Hlk154667598"/>
      <w:r>
        <w:rPr>
          <w:rFonts w:hint="eastAsia" w:ascii="仿宋" w:hAnsi="仿宋" w:eastAsia="仿宋" w:cs="仿宋"/>
          <w:color w:val="000000" w:themeColor="text1"/>
          <w:sz w:val="28"/>
          <w:szCs w:val="28"/>
          <w:highlight w:val="none"/>
          <w14:textFill>
            <w14:solidFill>
              <w14:schemeClr w14:val="tx1"/>
            </w14:solidFill>
          </w14:textFill>
        </w:rPr>
        <w:t>4.1投标人在收到招标文件后，对招标文件若有任何疑问或要求澄清招标文件的，应在投标截止2日以前按“投标须知前附表”提出，必要时招标代理机构将协助招标人组织所有获取招标文件投标人举行答疑会，招标代理机构根据需要主动对招标文件进行必要的澄清或根据投标人的要求对招标文件做出澄清，都将以原网站公开发布形式（包括电子交易系统推送）答复或发送给所有投标人。澄清文件作为招标文件的组成部分，对投标人起约束作用。</w:t>
      </w:r>
    </w:p>
    <w:p w14:paraId="3F48538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4.2投标人在规定的时间内未对招标文件澄清或提出疑问的，招标代理机构将视其为接受招标文件的所有条款，对招标文件没有异议，此后也不再受理对招标文件的相关质疑。</w:t>
      </w:r>
    </w:p>
    <w:bookmarkEnd w:id="34"/>
    <w:p w14:paraId="54B96DDC">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5.招标文件的修改</w:t>
      </w:r>
    </w:p>
    <w:p w14:paraId="68B8688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5.l在投标截止时间2日以前，无论出于何种原因，招标代理机构或招标人可主动或在解答投标人提出的疑问时对招标文件进行修改。</w:t>
      </w:r>
    </w:p>
    <w:p w14:paraId="058E506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5.2修改后的内容是招标文件的组成部分，招标人、招标代理机构将会通过原发布媒体，以更正公告形式（电子交易系统发送更正提醒通知）一并告知所有潜在投标人，并对潜在投标人具有约束力。潜在投标人在收到上述通知后，应立即以书面形式向招标代理机构或招标人确认，如在24小时内无书面回函则视为同意修改内容，并有义务履行相应的义务。</w:t>
      </w:r>
    </w:p>
    <w:p w14:paraId="3FAEEE4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5.3澄清或者修改的内容可能影响投标文件编制的，招标人或招标代理机构将在投标截止时间2日以前，通过原发布媒体发布公告的形式（电子交易系统内发送更正提醒通知）通知所有获取招标文件的潜在投标人（招标文件变更的，投标人必须从电子交易系统中重新下载招标文件，并在新下载文件的基础上编制投标文件）；不足2日的，招标人或者招标代理机构将顺延提交投标文件的截止时间。</w:t>
      </w:r>
    </w:p>
    <w:p w14:paraId="34F74354">
      <w:pPr>
        <w:pStyle w:val="5"/>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35" w:name="_Toc66864044"/>
      <w:bookmarkStart w:id="36" w:name="_Toc20180"/>
      <w:r>
        <w:rPr>
          <w:rStyle w:val="431"/>
          <w:rFonts w:hint="eastAsia" w:ascii="仿宋" w:hAnsi="仿宋" w:eastAsia="仿宋" w:cs="仿宋"/>
          <w:b/>
          <w:bCs/>
          <w:color w:val="000000" w:themeColor="text1"/>
          <w:kern w:val="2"/>
          <w:sz w:val="28"/>
          <w:szCs w:val="32"/>
          <w:highlight w:val="none"/>
          <w14:textFill>
            <w14:solidFill>
              <w14:schemeClr w14:val="tx1"/>
            </w14:solidFill>
          </w14:textFill>
        </w:rPr>
        <w:t>三、投标文件的编制</w:t>
      </w:r>
      <w:bookmarkEnd w:id="35"/>
      <w:bookmarkEnd w:id="36"/>
    </w:p>
    <w:p w14:paraId="0CDEAFD5">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37" w:name="_Hlk154667644"/>
      <w:r>
        <w:rPr>
          <w:rFonts w:hint="eastAsia" w:ascii="仿宋" w:hAnsi="仿宋" w:eastAsia="仿宋" w:cs="仿宋"/>
          <w:b/>
          <w:color w:val="000000" w:themeColor="text1"/>
          <w:sz w:val="28"/>
          <w:szCs w:val="28"/>
          <w:highlight w:val="none"/>
          <w14:textFill>
            <w14:solidFill>
              <w14:schemeClr w14:val="tx1"/>
            </w14:solidFill>
          </w14:textFill>
        </w:rPr>
        <w:t>6.投标文件编制要求</w:t>
      </w:r>
    </w:p>
    <w:p w14:paraId="560C285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6.1投标人编写的文件和往来信件应以简体中文书写。如果投标文件或与投标有关的其它文件、信件及来往函电以其它语言书写的，投标人应将其译成中文，如未翻译该文件为无效文件。</w:t>
      </w:r>
    </w:p>
    <w:p w14:paraId="2B7460A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6.2投标文件中使用的计量单位应使用中华人民共和国法定计量单位。</w:t>
      </w:r>
    </w:p>
    <w:p w14:paraId="2AACD8B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6.3投标人必须保证投标文件所提供的全部资料真实可靠，并接受招标人或招标代理机构对其中任何资料进一步核实的要求。如果因为投标文件填报的内容不详，或没有提供招标文件中所要求的全部资料及数据，或提供虚假文件，由此造成的后果由投标人自负。</w:t>
      </w:r>
    </w:p>
    <w:p w14:paraId="4402832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6.4投标人应参照招标文件中提供的投标文件格式（详见第五章 投标文件格式）按包段编写投标文件。</w:t>
      </w:r>
    </w:p>
    <w:p w14:paraId="2F6D47A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6.5投标人按照招标文件要求所提供的各种证明文件必须真实且合法有效，确保清晰度可辨认，评审时由于无法辨认所产生的后果，由投标人自行承担。</w:t>
      </w:r>
    </w:p>
    <w:p w14:paraId="0E61BFA3">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对于不涉及或无法填写的评审项（评分项）（例如：报价），可在页码索引处填写1。</w:t>
      </w:r>
    </w:p>
    <w:p w14:paraId="5701830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6.7为了保证系统整体效率，系统对所投递的电子文件有大小的限制，因此，投标人应尽可能降低本文件的大小，小尺寸投标文件将使提交更快捷、减少差错发生几率，避免投标截止时间前未能完整上传文件。</w:t>
      </w:r>
    </w:p>
    <w:p w14:paraId="700C102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6.8投标文件具有法律效力，投标人与招标代理机构或招标人任何人的口头协议不影响投标文件的任何条款和内容。</w:t>
      </w:r>
    </w:p>
    <w:p w14:paraId="19D3E6D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6.9招标人或招标代理机构均无义务向投标人解释其中标或未中标的原因，且无论投标人是否中标，投标人所提交的投标文件均不予退还，不提供副本拷贝。</w:t>
      </w:r>
    </w:p>
    <w:bookmarkEnd w:id="37"/>
    <w:p w14:paraId="714B443B">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38" w:name="_Hlk154667652"/>
      <w:r>
        <w:rPr>
          <w:rFonts w:hint="eastAsia" w:ascii="仿宋" w:hAnsi="仿宋" w:eastAsia="仿宋" w:cs="仿宋"/>
          <w:b/>
          <w:color w:val="000000" w:themeColor="text1"/>
          <w:sz w:val="28"/>
          <w:szCs w:val="28"/>
          <w:highlight w:val="none"/>
          <w14:textFill>
            <w14:solidFill>
              <w14:schemeClr w14:val="tx1"/>
            </w14:solidFill>
          </w14:textFill>
        </w:rPr>
        <w:t>7.数据文件编制要求</w:t>
      </w:r>
    </w:p>
    <w:p w14:paraId="6F8576E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7.1投标人须从所投项目的招标文件压缩包内对应包段目录下获取本文件（变更后的数据文件需要重新下载），必须在原文件上严格按照其中要求填写，其内部已约定好固定格式和相关内容，且带有特定的唯一性数字指纹，对采用非该文件基础上编制或对该文件进行任何工作表、表格行、表格列的增减、对工作表先后顺序的变动，以及对锁定区域内的数据进行更改、</w:t>
      </w:r>
      <w:r>
        <w:rPr>
          <w:rFonts w:hint="eastAsia" w:ascii="仿宋" w:hAnsi="仿宋" w:eastAsia="仿宋" w:cs="仿宋"/>
          <w:b/>
          <w:color w:val="000000" w:themeColor="text1"/>
          <w:sz w:val="28"/>
          <w:szCs w:val="28"/>
          <w:highlight w:val="none"/>
          <w14:textFill>
            <w14:solidFill>
              <w14:schemeClr w14:val="tx1"/>
            </w14:solidFill>
          </w14:textFill>
        </w:rPr>
        <w:t>文件另存到其他文件</w:t>
      </w:r>
      <w:r>
        <w:rPr>
          <w:rFonts w:hint="eastAsia" w:ascii="仿宋" w:hAnsi="仿宋" w:eastAsia="仿宋" w:cs="仿宋"/>
          <w:color w:val="000000" w:themeColor="text1"/>
          <w:sz w:val="28"/>
          <w:szCs w:val="28"/>
          <w:highlight w:val="none"/>
          <w14:textFill>
            <w14:solidFill>
              <w14:schemeClr w14:val="tx1"/>
            </w14:solidFill>
          </w14:textFill>
        </w:rPr>
        <w:t>等违规性操作，都会破坏本文件中的数字指纹，导致系统无法接收该文件使其</w:t>
      </w:r>
      <w:r>
        <w:rPr>
          <w:rFonts w:hint="eastAsia" w:ascii="仿宋" w:hAnsi="仿宋" w:eastAsia="仿宋" w:cs="仿宋"/>
          <w:b/>
          <w:color w:val="000000" w:themeColor="text1"/>
          <w:sz w:val="28"/>
          <w:szCs w:val="28"/>
          <w:highlight w:val="none"/>
          <w14:textFill>
            <w14:solidFill>
              <w14:schemeClr w14:val="tx1"/>
            </w14:solidFill>
          </w14:textFill>
        </w:rPr>
        <w:t>投标失败</w:t>
      </w:r>
      <w:r>
        <w:rPr>
          <w:rFonts w:hint="eastAsia" w:ascii="仿宋" w:hAnsi="仿宋" w:eastAsia="仿宋" w:cs="仿宋"/>
          <w:color w:val="000000" w:themeColor="text1"/>
          <w:sz w:val="28"/>
          <w:szCs w:val="28"/>
          <w:highlight w:val="none"/>
          <w14:textFill>
            <w14:solidFill>
              <w14:schemeClr w14:val="tx1"/>
            </w14:solidFill>
          </w14:textFill>
        </w:rPr>
        <w:t>。</w:t>
      </w:r>
    </w:p>
    <w:p w14:paraId="6E2E81D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Pr>
          <w:rFonts w:hint="eastAsia" w:ascii="仿宋" w:hAnsi="仿宋" w:eastAsia="仿宋" w:cs="仿宋"/>
          <w:b/>
          <w:color w:val="000000" w:themeColor="text1"/>
          <w:sz w:val="28"/>
          <w:szCs w:val="28"/>
          <w:highlight w:val="none"/>
          <w14:textFill>
            <w14:solidFill>
              <w14:schemeClr w14:val="tx1"/>
            </w14:solidFill>
          </w14:textFill>
        </w:rPr>
        <w:t>投标失败</w:t>
      </w:r>
      <w:r>
        <w:rPr>
          <w:rFonts w:hint="eastAsia" w:ascii="仿宋" w:hAnsi="仿宋" w:eastAsia="仿宋" w:cs="仿宋"/>
          <w:color w:val="000000" w:themeColor="text1"/>
          <w:sz w:val="28"/>
          <w:szCs w:val="28"/>
          <w:highlight w:val="none"/>
          <w14:textFill>
            <w14:solidFill>
              <w14:schemeClr w14:val="tx1"/>
            </w14:solidFill>
          </w14:textFill>
        </w:rPr>
        <w:t>。</w:t>
      </w:r>
    </w:p>
    <w:p w14:paraId="0938B2F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7.3投标人在对数据文件电子签章前，应按照上述2项的要求进行认真检查、确认。因投标人自身原因所导致其投标失败的，须自行承担相关责任。</w:t>
      </w:r>
    </w:p>
    <w:bookmarkEnd w:id="38"/>
    <w:p w14:paraId="5F363958">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39" w:name="_Hlk154667662"/>
      <w:r>
        <w:rPr>
          <w:rFonts w:hint="eastAsia" w:ascii="仿宋" w:hAnsi="仿宋" w:eastAsia="仿宋" w:cs="仿宋"/>
          <w:b/>
          <w:color w:val="000000" w:themeColor="text1"/>
          <w:sz w:val="28"/>
          <w:szCs w:val="28"/>
          <w:highlight w:val="none"/>
          <w14:textFill>
            <w14:solidFill>
              <w14:schemeClr w14:val="tx1"/>
            </w14:solidFill>
          </w14:textFill>
        </w:rPr>
        <w:t>8.文件构成</w:t>
      </w:r>
    </w:p>
    <w:p w14:paraId="3E42C4B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投标人应按不同包段分别编制投标文件，每个包段的投标文件分两册必须包括：投标文件（pdf格式）（第一册）、数据文件（PDF格式）（第二册），以上内容缺一不可，否则为</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w:t>
      </w:r>
    </w:p>
    <w:p w14:paraId="2281F2A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8.1投标人编制的投标文件（pdf格式）（第一册）应包括但不少于下列内容：</w:t>
      </w:r>
    </w:p>
    <w:p w14:paraId="6E46DDC3">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（1）投标文件封面</w:t>
      </w:r>
    </w:p>
    <w:p w14:paraId="2FB66DAA">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（2）投标文件目录</w:t>
      </w:r>
    </w:p>
    <w:p w14:paraId="0499D4EC">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（3）投标承诺函</w:t>
      </w:r>
    </w:p>
    <w:p w14:paraId="1C8A2420">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（4）投标（报价）一览表</w:t>
      </w:r>
    </w:p>
    <w:p w14:paraId="7A98908D">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（5）投标人资格证明文件</w:t>
      </w:r>
    </w:p>
    <w:bookmarkEnd w:id="39"/>
    <w:p w14:paraId="49EE6284">
      <w:pPr>
        <w:snapToGrid w:val="0"/>
        <w:spacing w:line="560" w:lineRule="exact"/>
        <w:ind w:firstLine="840" w:firstLineChars="300"/>
        <w:rPr>
          <w:rFonts w:hint="eastAsia" w:ascii="仿宋" w:hAnsi="仿宋" w:eastAsia="仿宋" w:cs="仿宋"/>
          <w:color w:val="000000" w:themeColor="text1"/>
          <w:sz w:val="28"/>
          <w:szCs w:val="28"/>
          <w:highlight w:val="none"/>
          <w14:textFill>
            <w14:solidFill>
              <w14:schemeClr w14:val="tx1"/>
            </w14:solidFill>
          </w14:textFill>
        </w:rPr>
      </w:pPr>
      <w:bookmarkStart w:id="40" w:name="_Hlk210808393"/>
      <w:r>
        <w:rPr>
          <w:rFonts w:hint="eastAsia" w:ascii="仿宋" w:hAnsi="仿宋" w:eastAsia="仿宋" w:cs="仿宋"/>
          <w:color w:val="000000" w:themeColor="text1"/>
          <w:sz w:val="28"/>
          <w:szCs w:val="28"/>
          <w:highlight w:val="none"/>
          <w14:textFill>
            <w14:solidFill>
              <w14:schemeClr w14:val="tx1"/>
            </w14:solidFill>
          </w14:textFill>
        </w:rPr>
        <w:t>1）投标人有效的营业执照扫描件（分公司参与投标的，须提供总公司授权）</w:t>
      </w:r>
    </w:p>
    <w:p w14:paraId="18F74262">
      <w:pPr>
        <w:snapToGrid w:val="0"/>
        <w:spacing w:line="560" w:lineRule="exact"/>
        <w:ind w:firstLine="840" w:firstLineChars="3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2）法定代表人身份证明、法定代表人身份证扫描件</w:t>
      </w:r>
    </w:p>
    <w:p w14:paraId="60BA5954">
      <w:pPr>
        <w:snapToGrid w:val="0"/>
        <w:spacing w:line="560" w:lineRule="exact"/>
        <w:ind w:firstLine="840" w:firstLineChars="3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3）法定代表人授权委托书、被授权人身份证扫描件</w:t>
      </w:r>
    </w:p>
    <w:p w14:paraId="6801E067">
      <w:pPr>
        <w:snapToGrid w:val="0"/>
        <w:spacing w:line="560" w:lineRule="exact"/>
        <w:ind w:firstLine="840" w:firstLineChars="3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4）投标人信用承诺书</w:t>
      </w:r>
    </w:p>
    <w:p w14:paraId="2B0AB70C">
      <w:pPr>
        <w:snapToGrid w:val="0"/>
        <w:spacing w:line="560" w:lineRule="exact"/>
        <w:ind w:firstLine="840" w:firstLineChars="3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5）投标人参与投标的声明函</w:t>
      </w:r>
    </w:p>
    <w:p w14:paraId="551D02DA">
      <w:pPr>
        <w:snapToGrid w:val="0"/>
        <w:spacing w:line="520" w:lineRule="exact"/>
        <w:ind w:firstLine="840" w:firstLineChars="3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6）交纳投标保证金的证明材料（两者缺一不可）：a.企业银行基本账户开户证明（如开户许可证或银行开户证明等）、b.电汇凭证或电子汇款截图扫描件</w:t>
      </w:r>
    </w:p>
    <w:p w14:paraId="55034793">
      <w:pPr>
        <w:snapToGrid w:val="0"/>
        <w:spacing w:line="560" w:lineRule="exact"/>
        <w:ind w:firstLine="840" w:firstLineChars="3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投标人、法定代表人、委托代理人未被最高法院（查询网址：http://zxgk.court.gov.cn/shixin/）列入失信被执行人。投标文件附通过网站查询信息记录，包含投标人、法定代表人、委托代理人失信被执行人情况网页截图（省份为全部）</w:t>
      </w:r>
    </w:p>
    <w:p w14:paraId="79DDBF32">
      <w:pPr>
        <w:wordWrap w:val="0"/>
        <w:snapToGrid w:val="0"/>
        <w:spacing w:line="560" w:lineRule="exact"/>
        <w:ind w:firstLine="840" w:firstLineChars="3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投标人近一年在“信用中国”或“信用中国（山东）”无严重失信记录，投标文件中需附通过信用中国（查询网址：https://www.creditchina.gov.cn）查询的信用报告或信用中国（山东）（查询网站：https://credit.shandong.gov.cn）查询的信用报告</w:t>
      </w:r>
    </w:p>
    <w:p w14:paraId="4AFCD77A">
      <w:pPr>
        <w:wordWrap w:val="0"/>
        <w:snapToGrid w:val="0"/>
        <w:spacing w:line="560" w:lineRule="exact"/>
        <w:ind w:firstLine="840" w:firstLineChars="3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9）投标人认为需要提供的资质资格证明文件</w:t>
      </w:r>
    </w:p>
    <w:p w14:paraId="60E335F7">
      <w:pPr>
        <w:snapToGrid w:val="0"/>
        <w:spacing w:line="560" w:lineRule="exact"/>
        <w:ind w:firstLine="565" w:firstLineChars="201"/>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以上所有资质资格证明文件均需加盖投标人签章</w:t>
      </w:r>
    </w:p>
    <w:p w14:paraId="079A2BFC">
      <w:pPr>
        <w:wordWrap w:val="0"/>
        <w:snapToGrid w:val="0"/>
        <w:spacing w:line="560" w:lineRule="exact"/>
        <w:ind w:firstLine="565" w:firstLineChars="202"/>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（6）投标人基本情况表</w:t>
      </w:r>
    </w:p>
    <w:p w14:paraId="4EDB502A">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（7）投标人自2023年1月1日至今承揽的类似项目业绩表</w:t>
      </w:r>
    </w:p>
    <w:p w14:paraId="3CC3F8BF">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（8）技术文件</w:t>
      </w:r>
    </w:p>
    <w:bookmarkEnd w:id="40"/>
    <w:p w14:paraId="452A98F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1" w:name="_Hlk154667818"/>
      <w:r>
        <w:rPr>
          <w:rFonts w:hint="eastAsia" w:ascii="仿宋" w:hAnsi="仿宋" w:eastAsia="仿宋" w:cs="仿宋"/>
          <w:color w:val="000000" w:themeColor="text1"/>
          <w:sz w:val="28"/>
          <w:szCs w:val="28"/>
          <w:highlight w:val="none"/>
          <w14:textFill>
            <w14:solidFill>
              <w14:schemeClr w14:val="tx1"/>
            </w14:solidFill>
          </w14:textFill>
        </w:rPr>
        <w:t>8.2数据文件（PDF格式）（第二册）</w:t>
      </w:r>
    </w:p>
    <w:p w14:paraId="0E3A426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须从本项目招标文件压缩包内获取对应包段的数据文件（EXCEL格式），并严格按照要求填写。填写完成后在国企阳光采购平台中上传该数据文件（EXCEL格式），系统将自动转换为PDF格式，再加盖投标人电子印章，未按要求填写或盖章为</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。数据文件（PDF格式）包含下列内容：</w:t>
      </w:r>
    </w:p>
    <w:p w14:paraId="6C13002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（1）封面</w:t>
      </w:r>
    </w:p>
    <w:p w14:paraId="2FF9A69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（2）投标报价表（含明细）</w:t>
      </w:r>
    </w:p>
    <w:p w14:paraId="1779DC2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（3）需求响应表（如有）</w:t>
      </w:r>
    </w:p>
    <w:bookmarkEnd w:id="41"/>
    <w:p w14:paraId="38FECAEF">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9.投标报价</w:t>
      </w:r>
    </w:p>
    <w:p w14:paraId="21BC10B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9.1投标人所提供的服务均以人民币报价，精确到小数点后两位。</w:t>
      </w:r>
    </w:p>
    <w:p w14:paraId="46D9E07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2" w:name="_Hlk154667840"/>
      <w:r>
        <w:rPr>
          <w:rFonts w:hint="eastAsia" w:ascii="仿宋" w:hAnsi="仿宋" w:eastAsia="仿宋" w:cs="仿宋"/>
          <w:color w:val="000000" w:themeColor="text1"/>
          <w:sz w:val="28"/>
          <w:szCs w:val="28"/>
          <w:highlight w:val="none"/>
          <w14:textFill>
            <w14:solidFill>
              <w14:schemeClr w14:val="tx1"/>
            </w14:solidFill>
          </w14:textFill>
        </w:rPr>
        <w:t>9.2投标人应按照“第四章采购项目说明”的内容进行报价。并按数据文件中“投标报价表（含明细）”规定的格式报出分项价格。</w:t>
      </w:r>
    </w:p>
    <w:p w14:paraId="2F84567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9.3投标人应按数据文件“投标报价表（含明细）”要求的统一格式填写，并加盖电子公章。</w:t>
      </w:r>
    </w:p>
    <w:p w14:paraId="02F535E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9.4《投标报价表（含明细）》填写时应响应下列要求：</w:t>
      </w:r>
    </w:p>
    <w:p w14:paraId="1420796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（1）所有根据合同或其它原因应由投标人支付的税款和其它应交纳的费用都要包括在投标人提交的报价中；</w:t>
      </w:r>
    </w:p>
    <w:p w14:paraId="5C9F008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w:t>
      </w:r>
      <w:bookmarkEnd w:id="42"/>
      <w:bookmarkStart w:id="43" w:name="_Hlk154667928"/>
      <w:r>
        <w:rPr>
          <w:rFonts w:hint="eastAsia" w:ascii="仿宋" w:hAnsi="仿宋" w:eastAsia="仿宋" w:cs="仿宋"/>
          <w:color w:val="000000" w:themeColor="text1"/>
          <w:sz w:val="28"/>
          <w:szCs w:val="28"/>
          <w:highlight w:val="none"/>
          <w14:textFill>
            <w14:solidFill>
              <w14:schemeClr w14:val="tx1"/>
            </w14:solidFill>
          </w14:textFill>
        </w:rPr>
        <w:t>投标单位在投标报价时，应根据企业自身实力结合市场信息，充分考虑市场竞争因素和市场风险进行自主报价。投标人应充分考虑本项目合同实施期间可能发生的一切费用，并承担由此而带来的风险。凡投标人在报价中未列明但又为本次采购所必备的费用，招标人将一律视为已包括在其报价中，在合同执行中将不予考虑。</w:t>
      </w:r>
    </w:p>
    <w:p w14:paraId="442D043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（3）投标人应对本次招标的全部内容进行报价，缺项报价投标无效。如因投标人自身的原因报价失误而造成的损失，由投标人自行承担。</w:t>
      </w:r>
    </w:p>
    <w:p w14:paraId="0E069F8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评标委员会一致认为某一投标人的投标报价明显不合理或低于成本，有可能影响服务质量和不能诚信履约的，应当要求其在规定的期限内提供书面解释或相关证明材料，若该投标人不能按照评标委员会要求在规定的期限内提供书面解释或作出的解释不合理或不能提供证明材料的，评标委员会可以视其不能满足招标文件的实质性要求，其投标无效。</w:t>
      </w:r>
    </w:p>
    <w:p w14:paraId="2F21A0D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（5）投标人提供的文件中，若存在前后不一致的情形，以“投标承诺函”中填写的内容为准。</w:t>
      </w:r>
    </w:p>
    <w:p w14:paraId="3824C39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（6）投标人须严格按照报价明细表说明进行填写，报价明细表中“*”是必填项，任何必填项为空时都可能导致本次投标无效。</w:t>
      </w:r>
    </w:p>
    <w:p w14:paraId="7570E72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（7）《投标报价表（含明细）》中合价将由单价乘以数量自动计算，无需手工录入。</w:t>
      </w:r>
    </w:p>
    <w:p w14:paraId="07618956">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9.5《需求响应表（如有）》填写时应响应下列要求：</w:t>
      </w:r>
    </w:p>
    <w:p w14:paraId="43DE4F9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（1）有底色标识的单元格须填写，有“*”的列是必输项，任何必输项为空都可能导致您的本次投标无效；</w:t>
      </w:r>
    </w:p>
    <w:p w14:paraId="429FC87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（2）如想拷贝数据到某个待填写单元格，应采用选择性粘贴(只粘贴文本)，否则单元格填写无效或被锁死；</w:t>
      </w:r>
    </w:p>
    <w:p w14:paraId="06DA660F">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（3）当招标需求列的内容显示不完整时，请点击编辑栏进行查看；</w:t>
      </w:r>
    </w:p>
    <w:p w14:paraId="038A055A">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响应需求请按照商品(服务)的招标需求的逐一说明，如实填写。“响应需求”中需详细列明所报产品（服务）的明细；若与投标文件中提供的产品检测报告（如有）、生产厂家出具的产品彩页等证明材料的实质性响应情况不一致，按</w:t>
      </w:r>
      <w:r>
        <w:rPr>
          <w:rFonts w:hint="eastAsia" w:ascii="仿宋" w:hAnsi="仿宋" w:eastAsia="仿宋" w:cs="仿宋"/>
          <w:b/>
          <w:color w:val="000000" w:themeColor="text1"/>
          <w:sz w:val="28"/>
          <w:szCs w:val="28"/>
          <w:highlight w:val="none"/>
          <w14:textFill>
            <w14:solidFill>
              <w14:schemeClr w14:val="tx1"/>
            </w14:solidFill>
          </w14:textFill>
        </w:rPr>
        <w:t>无效投标处理</w:t>
      </w:r>
      <w:r>
        <w:rPr>
          <w:rFonts w:hint="eastAsia" w:ascii="仿宋" w:hAnsi="仿宋" w:eastAsia="仿宋" w:cs="仿宋"/>
          <w:color w:val="000000" w:themeColor="text1"/>
          <w:sz w:val="28"/>
          <w:szCs w:val="28"/>
          <w:highlight w:val="none"/>
          <w14:textFill>
            <w14:solidFill>
              <w14:schemeClr w14:val="tx1"/>
            </w14:solidFill>
          </w14:textFill>
        </w:rPr>
        <w:t>；</w:t>
      </w:r>
    </w:p>
    <w:p w14:paraId="60FBEE23">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（5）按照该表显示位置加盖一个电子印章；</w:t>
      </w:r>
    </w:p>
    <w:p w14:paraId="3BEBA781">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（6）该表为固定格式且有数字指纹，必须在原表上填写，填写完毕后只可保存不可另存。删除该表、增加该表、增加行列、删除行列、对固定格式的任何改动均会导致</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w:t>
      </w:r>
    </w:p>
    <w:bookmarkEnd w:id="43"/>
    <w:p w14:paraId="5A85E43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4" w:name="_Hlk154667948"/>
      <w:r>
        <w:rPr>
          <w:rFonts w:hint="eastAsia" w:ascii="仿宋" w:hAnsi="仿宋" w:eastAsia="仿宋" w:cs="仿宋"/>
          <w:color w:val="000000" w:themeColor="text1"/>
          <w:sz w:val="28"/>
          <w:szCs w:val="28"/>
          <w:highlight w:val="none"/>
          <w14:textFill>
            <w14:solidFill>
              <w14:schemeClr w14:val="tx1"/>
            </w14:solidFill>
          </w14:textFill>
        </w:rPr>
        <w:t>9.6所有价格折扣、优惠条件必须在报价明细表中注明，否则评审时不予认可。</w:t>
      </w:r>
    </w:p>
    <w:p w14:paraId="5D900DF5">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10.联合体投标</w:t>
      </w:r>
    </w:p>
    <w:p w14:paraId="7A7447E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两个以上的自然人、法人或者其他组织可以组成一个联合体，以一个投标人的身份共同参加国企采购。</w:t>
      </w:r>
    </w:p>
    <w:p w14:paraId="59F6F88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10.1以联合体形式进行国企采购的，参加联合体的投标人应当向招标人提交联合协议，载明联合体各方承担的工作和义务。联合体各方应当共同与招标人签订采购合同，就采购合同约定的事项对招标人承担连带责任。</w:t>
      </w:r>
    </w:p>
    <w:p w14:paraId="72A83E4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10.2联合体中有同类资质的投标人按照联合体分工承担相同工作的，应当按照资质等级较低的投标人确定资质等级。</w:t>
      </w:r>
    </w:p>
    <w:p w14:paraId="3B6B478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10.3联合体的各方应当共同推荐一名联合体投标授权代表方，由联合体各方提交一份授权书，证明其有资格代表联合体各方签署投标文件，该授权书作为投标文件的组成部分一并提交给招标代理机构。</w:t>
      </w:r>
    </w:p>
    <w:p w14:paraId="1DA4A09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10.4以联合体形式参加国企采购活动的，联合体各方不得再单独参加或者与其他投标人另外组成联合体参加同一合同项下的国企采购活动。</w:t>
      </w:r>
    </w:p>
    <w:p w14:paraId="4FB1E626">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本项目是否接受联合体投标详见《投标须知前附表》。</w:t>
      </w:r>
    </w:p>
    <w:p w14:paraId="76D70E1A">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11.关于分包</w:t>
      </w:r>
    </w:p>
    <w:p w14:paraId="3344F48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11.1投标人拟将项目的非主体、非关键性工作分包的，应当在投标文件中载明分包承担主体，分包承担主体应当具备相应资质条件且不得再次分包。</w:t>
      </w:r>
    </w:p>
    <w:p w14:paraId="7765CD4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11.2投标人应当就分包项目向招标人负责，分包承担主体就分包项目承担责任。</w:t>
      </w:r>
    </w:p>
    <w:p w14:paraId="17806499">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本项目是否接受分包投标详见《投标须知前附表》。</w:t>
      </w:r>
    </w:p>
    <w:p w14:paraId="33A012BB">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12.现场踏勘</w:t>
      </w:r>
    </w:p>
    <w:p w14:paraId="1EFB5EE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12.1如有需要，招标代理机构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14:paraId="2C74D55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12.2投标人及其人员经过招标人的允许，可以踏勘目的进入招标人的项目现场。若本项目招标文件要求投标人于统一时间地点踏勘现场的，投标人应当按时前往。</w:t>
      </w:r>
    </w:p>
    <w:p w14:paraId="1929CD3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12.3除招标人的原因外，投标人自行负责在踏勘现场中所发生的人员伤亡和财产损失。</w:t>
      </w:r>
    </w:p>
    <w:p w14:paraId="73B18F1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12.4未参与现场踏勘不作为否定投标人资格的理由。</w:t>
      </w:r>
    </w:p>
    <w:p w14:paraId="7DCA56D7">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本项目是否组织现场踏勘详见《投标须知前附表》。</w:t>
      </w:r>
    </w:p>
    <w:p w14:paraId="56726406">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13.投标的有效期</w:t>
      </w:r>
    </w:p>
    <w:p w14:paraId="7D74260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13.1从开标之日起，投标有效期为90天。投标有效期短于90天的，其投标为无效投标。</w:t>
      </w:r>
    </w:p>
    <w:p w14:paraId="6BE2B67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13.2特殊情况下，在投标有效期满之前，招标代理机构可以要求投标人延长投标有效期，投标人可以书面形式拒绝或接受上述要求。同意延长投标有效期的投标人不得修改投标文件的实质性内容。</w:t>
      </w:r>
    </w:p>
    <w:p w14:paraId="737E3BB5">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14.投标保证金</w:t>
      </w:r>
    </w:p>
    <w:p w14:paraId="4CC5782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14.1本项目投标保证金要求：详见投标须知前附表。</w:t>
      </w:r>
    </w:p>
    <w:p w14:paraId="4EA04611">
      <w:pPr>
        <w:adjustRightInd w:val="0"/>
        <w:snapToGrid w:val="0"/>
        <w:spacing w:line="520" w:lineRule="exact"/>
        <w:ind w:right="-147" w:rightChars="-70"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14.2退还保证金：</w:t>
      </w:r>
      <w:r>
        <w:rPr>
          <w:rFonts w:hint="eastAsia" w:ascii="仿宋" w:hAnsi="仿宋" w:eastAsia="仿宋" w:cs="仿宋"/>
          <w:color w:val="000000" w:themeColor="text1"/>
          <w:sz w:val="28"/>
          <w:highlight w:val="none"/>
          <w14:textFill>
            <w14:solidFill>
              <w14:schemeClr w14:val="tx1"/>
            </w14:solidFill>
          </w14:textFill>
        </w:rPr>
        <w:t>目前系统采用自动退还保证金操作，分为未中标人退还和中标人退还。代理公司向中标人发送中标通知书后，系统自动退还未中标人保证金；招标人和中标人签署完合同后，系统自动退还中标人保证金。</w:t>
      </w:r>
      <w:r>
        <w:rPr>
          <w:rFonts w:hint="eastAsia" w:ascii="仿宋" w:hAnsi="仿宋" w:eastAsia="仿宋" w:cs="仿宋"/>
          <w:color w:val="000000" w:themeColor="text1"/>
          <w:sz w:val="28"/>
          <w:szCs w:val="28"/>
          <w:highlight w:val="none"/>
          <w14:textFill>
            <w14:solidFill>
              <w14:schemeClr w14:val="tx1"/>
            </w14:solidFill>
          </w14:textFill>
        </w:rPr>
        <w:t>非由中标人原因未能签订合同的，应在招标人作出处理结果之日起五个工作日内退还中标人的保证金。招标项目流标的，应在确定流标之日起五个工作日内退还所有投标人的保证金。</w:t>
      </w:r>
    </w:p>
    <w:p w14:paraId="75ACCD58">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14.3有下列情况之一的，投标保证金</w:t>
      </w:r>
      <w:r>
        <w:rPr>
          <w:rFonts w:hint="eastAsia" w:ascii="仿宋" w:hAnsi="仿宋" w:eastAsia="仿宋" w:cs="仿宋"/>
          <w:b/>
          <w:color w:val="000000" w:themeColor="text1"/>
          <w:kern w:val="0"/>
          <w:sz w:val="28"/>
          <w:szCs w:val="28"/>
          <w:highlight w:val="none"/>
          <w14:textFill>
            <w14:solidFill>
              <w14:schemeClr w14:val="tx1"/>
            </w14:solidFill>
          </w14:textFill>
        </w:rPr>
        <w:t>不予返还</w:t>
      </w:r>
      <w:r>
        <w:rPr>
          <w:rFonts w:hint="eastAsia" w:ascii="仿宋" w:hAnsi="仿宋" w:eastAsia="仿宋" w:cs="仿宋"/>
          <w:color w:val="000000" w:themeColor="text1"/>
          <w:kern w:val="0"/>
          <w:sz w:val="28"/>
          <w:szCs w:val="28"/>
          <w:highlight w:val="none"/>
          <w14:textFill>
            <w14:solidFill>
              <w14:schemeClr w14:val="tx1"/>
            </w14:solidFill>
          </w14:textFill>
        </w:rPr>
        <w:t>。</w:t>
      </w:r>
    </w:p>
    <w:p w14:paraId="014E9AA4">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（1）投标人提供不真实资格、资质证明文件的；</w:t>
      </w:r>
    </w:p>
    <w:p w14:paraId="3F8F27D2">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（2）在投标有效期内撤回报价的；</w:t>
      </w:r>
    </w:p>
    <w:p w14:paraId="71F77D80">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（3）除因不可抗力或招标文件认可的情形以外，中标人不与招标人签订合同的；</w:t>
      </w:r>
    </w:p>
    <w:p w14:paraId="3E96977A">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（4）投标人与招标人、其他投标人或者招标代理机构恶意串通的；</w:t>
      </w:r>
    </w:p>
    <w:p w14:paraId="323E0674">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（5）评审委员会认定的其他事项。</w:t>
      </w:r>
    </w:p>
    <w:p w14:paraId="108A4F88">
      <w:pPr>
        <w:adjustRightInd w:val="0"/>
        <w:snapToGrid w:val="0"/>
        <w:spacing w:line="560" w:lineRule="exact"/>
        <w:ind w:right="-147" w:rightChars="-70" w:firstLine="562" w:firstLineChars="201"/>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对以提供虚假材料或恶意串通或采取不正当竞争手段谋取中标的投标人，一经发现将依法取消其投标人资格，投标保证金不予返还，列入平台黑名单。</w:t>
      </w:r>
    </w:p>
    <w:p w14:paraId="2519E182">
      <w:pPr>
        <w:pStyle w:val="47"/>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本项目投标保证金相关要求见《投标须知前附表》。</w:t>
      </w:r>
    </w:p>
    <w:bookmarkEnd w:id="44"/>
    <w:p w14:paraId="6CED0E8B">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45" w:name="_Hlk154667959"/>
      <w:r>
        <w:rPr>
          <w:rFonts w:hint="eastAsia" w:ascii="仿宋" w:hAnsi="仿宋" w:eastAsia="仿宋" w:cs="仿宋"/>
          <w:b/>
          <w:color w:val="000000" w:themeColor="text1"/>
          <w:sz w:val="28"/>
          <w:szCs w:val="28"/>
          <w:highlight w:val="none"/>
          <w14:textFill>
            <w14:solidFill>
              <w14:schemeClr w14:val="tx1"/>
            </w14:solidFill>
          </w14:textFill>
        </w:rPr>
        <w:t>15.履约保证金的交纳与返还</w:t>
      </w:r>
    </w:p>
    <w:p w14:paraId="5D53CDE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该项目无需交纳履约保证金。</w:t>
      </w:r>
    </w:p>
    <w:p w14:paraId="730FD86F">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16.投标文件的数量和签署</w:t>
      </w:r>
    </w:p>
    <w:p w14:paraId="41EF044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16.1投标文件（pdf格式）（第一册）1份</w:t>
      </w:r>
    </w:p>
    <w:p w14:paraId="0983C54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（1）投标人应使用带电子签章功能的CA锁对投标文件须盖章或签名的部位加盖电子印章（单位电子公章、法定代表人电子人名章），电子印章与实物印章具有同等法律效力。</w:t>
      </w:r>
    </w:p>
    <w:p w14:paraId="1F33F21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（2）投标人应首先编制word格式投标文件，</w:t>
      </w:r>
      <w:bookmarkStart w:id="46" w:name="_Hlk219895739"/>
      <w:r>
        <w:rPr>
          <w:rFonts w:hint="eastAsia" w:ascii="仿宋" w:hAnsi="仿宋" w:eastAsia="仿宋" w:cs="仿宋"/>
          <w:color w:val="000000" w:themeColor="text1"/>
          <w:sz w:val="28"/>
          <w:szCs w:val="28"/>
          <w:highlight w:val="none"/>
          <w14:textFill>
            <w14:solidFill>
              <w14:schemeClr w14:val="tx1"/>
            </w14:solidFill>
          </w14:textFill>
        </w:rPr>
        <w:t>编制完成后在国企阳光采购平台中上传该投标文件（word格式），系统将自行转换为PDF格式，再加盖投标人电子印章，加盖了电子印章的pdf文件即为最终的投标文件。</w:t>
      </w:r>
    </w:p>
    <w:bookmarkEnd w:id="46"/>
    <w:p w14:paraId="26DAFFC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（3）文件中要求法定代表人签字或签章的须加盖法定代表人电子人名章。</w:t>
      </w:r>
    </w:p>
    <w:p w14:paraId="3A940BBA">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（4）须被授权人签字的，被授权人又无电子章，在word编制时可将被授权人手写签字扫描后的图片粘贴到投标文件中对应位置，并加盖单位电子公章。</w:t>
      </w:r>
    </w:p>
    <w:p w14:paraId="5C92B78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（5）可使用系统的多页盖章功能快速签章。但须逐页浏览检查并注意印章</w:t>
      </w:r>
      <w:bookmarkEnd w:id="45"/>
      <w:r>
        <w:rPr>
          <w:rFonts w:hint="eastAsia" w:ascii="仿宋" w:hAnsi="仿宋" w:eastAsia="仿宋" w:cs="仿宋"/>
          <w:color w:val="000000" w:themeColor="text1"/>
          <w:sz w:val="28"/>
          <w:szCs w:val="28"/>
          <w:highlight w:val="none"/>
          <w14:textFill>
            <w14:solidFill>
              <w14:schemeClr w14:val="tx1"/>
            </w14:solidFill>
          </w14:textFill>
        </w:rPr>
        <w:t>重叠及完整性。</w:t>
      </w:r>
    </w:p>
    <w:p w14:paraId="0396E75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47" w:name="_Hlk154667982"/>
      <w:r>
        <w:rPr>
          <w:rFonts w:hint="eastAsia" w:ascii="仿宋" w:hAnsi="仿宋" w:eastAsia="仿宋" w:cs="仿宋"/>
          <w:color w:val="000000" w:themeColor="text1"/>
          <w:sz w:val="28"/>
          <w:szCs w:val="28"/>
          <w:highlight w:val="none"/>
          <w14:textFill>
            <w14:solidFill>
              <w14:schemeClr w14:val="tx1"/>
            </w14:solidFill>
          </w14:textFill>
        </w:rPr>
        <w:t>（6）采用扫描粘贴投标人公章或扫描法定代表人人名章而不加盖单位电子公章的为</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w:t>
      </w:r>
    </w:p>
    <w:p w14:paraId="4F36E5A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16.2数据文件（PDF格式）（第二册）1份</w:t>
      </w:r>
    </w:p>
    <w:p w14:paraId="1FB8BCB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（1）投标人应先填写数据文件（EXCEL格式），</w:t>
      </w:r>
      <w:bookmarkStart w:id="48" w:name="_Hlk219896050"/>
      <w:r>
        <w:rPr>
          <w:rFonts w:hint="eastAsia" w:ascii="仿宋" w:hAnsi="仿宋" w:eastAsia="仿宋" w:cs="仿宋"/>
          <w:color w:val="000000" w:themeColor="text1"/>
          <w:sz w:val="28"/>
          <w:szCs w:val="28"/>
          <w:highlight w:val="none"/>
          <w14:textFill>
            <w14:solidFill>
              <w14:schemeClr w14:val="tx1"/>
            </w14:solidFill>
          </w14:textFill>
        </w:rPr>
        <w:t>填写完成后在国企阳光采购平台中上传该数据文件（EXCEL格式），系统将自行转换为PDF格式，再加盖投标人电子印章，加盖了电子印章的pdf文件即为最终的数据文件。</w:t>
      </w:r>
      <w:bookmarkEnd w:id="48"/>
    </w:p>
    <w:p w14:paraId="066502F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（2）文件中要求法定代表人签字或签章的须加盖法定代表人电子人名章。</w:t>
      </w:r>
    </w:p>
    <w:p w14:paraId="6C30A75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（3）采用扫描粘贴投标人公章或法定代表人人名章的为</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w:t>
      </w:r>
    </w:p>
    <w:p w14:paraId="219058A6">
      <w:pPr>
        <w:pStyle w:val="5"/>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49" w:name="_Toc3190"/>
      <w:bookmarkStart w:id="50" w:name="_Toc66864045"/>
      <w:r>
        <w:rPr>
          <w:rStyle w:val="431"/>
          <w:rFonts w:hint="eastAsia" w:ascii="仿宋" w:hAnsi="仿宋" w:eastAsia="仿宋" w:cs="仿宋"/>
          <w:b/>
          <w:bCs/>
          <w:color w:val="000000" w:themeColor="text1"/>
          <w:kern w:val="2"/>
          <w:sz w:val="28"/>
          <w:szCs w:val="32"/>
          <w:highlight w:val="none"/>
          <w14:textFill>
            <w14:solidFill>
              <w14:schemeClr w14:val="tx1"/>
            </w14:solidFill>
          </w14:textFill>
        </w:rPr>
        <w:t>四、投标文件的提交</w:t>
      </w:r>
      <w:bookmarkEnd w:id="49"/>
      <w:bookmarkEnd w:id="50"/>
    </w:p>
    <w:p w14:paraId="39A59A04">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17.投标文件的密封和标记</w:t>
      </w:r>
    </w:p>
    <w:p w14:paraId="211270C2">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17.1电子投标文件的密封和标记</w:t>
      </w:r>
    </w:p>
    <w:p w14:paraId="5B7C8C2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加盖了电子印章的电子投标文件（PDF格式）和数据文件（PDF格式）须在</w:t>
      </w:r>
      <w:bookmarkStart w:id="51" w:name="_Hlk219896064"/>
      <w:r>
        <w:rPr>
          <w:rFonts w:hint="eastAsia" w:ascii="仿宋" w:hAnsi="仿宋" w:eastAsia="仿宋" w:cs="仿宋"/>
          <w:color w:val="000000" w:themeColor="text1"/>
          <w:sz w:val="28"/>
          <w:szCs w:val="28"/>
          <w:highlight w:val="none"/>
          <w14:textFill>
            <w14:solidFill>
              <w14:schemeClr w14:val="tx1"/>
            </w14:solidFill>
          </w14:textFill>
        </w:rPr>
        <w:t>国企阳光采购平台的“投标”界面</w:t>
      </w:r>
      <w:bookmarkEnd w:id="51"/>
      <w:r>
        <w:rPr>
          <w:rFonts w:hint="eastAsia" w:ascii="仿宋" w:hAnsi="仿宋" w:eastAsia="仿宋" w:cs="仿宋"/>
          <w:color w:val="000000" w:themeColor="text1"/>
          <w:sz w:val="28"/>
          <w:szCs w:val="28"/>
          <w:highlight w:val="none"/>
          <w14:textFill>
            <w14:solidFill>
              <w14:schemeClr w14:val="tx1"/>
            </w14:solidFill>
          </w14:textFill>
        </w:rPr>
        <w:t>进行提交，提交前系统会自动在本地进行加密和数字签名，加密和电子签章后的文件除了会上传到系统中之外还会同步保存到本地计算机。</w:t>
      </w:r>
    </w:p>
    <w:p w14:paraId="5418BD08">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17.2资质证明文件原件的密封和标记</w:t>
      </w:r>
    </w:p>
    <w:p w14:paraId="5418BD1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无需提供资质证明文件原件。</w:t>
      </w:r>
    </w:p>
    <w:p w14:paraId="541AE562">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17.3文件提交</w:t>
      </w:r>
    </w:p>
    <w:p w14:paraId="26DECC2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（1）投标人应在投标须知前附表规定的时间前在</w:t>
      </w:r>
      <w:bookmarkStart w:id="52" w:name="_Hlk219896087"/>
      <w:r>
        <w:rPr>
          <w:rFonts w:hint="eastAsia" w:ascii="仿宋" w:hAnsi="仿宋" w:eastAsia="仿宋" w:cs="仿宋"/>
          <w:color w:val="000000" w:themeColor="text1"/>
          <w:sz w:val="28"/>
          <w:szCs w:val="28"/>
          <w:highlight w:val="none"/>
          <w14:textFill>
            <w14:solidFill>
              <w14:schemeClr w14:val="tx1"/>
            </w14:solidFill>
          </w14:textFill>
        </w:rPr>
        <w:t>国企阳光采购平台</w:t>
      </w:r>
      <w:bookmarkEnd w:id="52"/>
      <w:r>
        <w:rPr>
          <w:rFonts w:hint="eastAsia" w:ascii="仿宋" w:hAnsi="仿宋" w:eastAsia="仿宋" w:cs="仿宋"/>
          <w:color w:val="000000" w:themeColor="text1"/>
          <w:sz w:val="28"/>
          <w:szCs w:val="28"/>
          <w:highlight w:val="none"/>
          <w14:textFill>
            <w14:solidFill>
              <w14:schemeClr w14:val="tx1"/>
            </w14:solidFill>
          </w14:textFill>
        </w:rPr>
        <w:t>上提交电子投标文件和数据文件。投标人应充分评估集中投标带来的网络影响，尽量避开投标高峰时间，错峰进行电子投标，系统以收到投标人发出的提交指令的时间作为其投标时间，如该时间超过投标截止时间，</w:t>
      </w:r>
      <w:r>
        <w:rPr>
          <w:rFonts w:hint="eastAsia" w:ascii="仿宋" w:hAnsi="仿宋" w:eastAsia="仿宋" w:cs="仿宋"/>
          <w:b/>
          <w:color w:val="000000" w:themeColor="text1"/>
          <w:sz w:val="28"/>
          <w:szCs w:val="28"/>
          <w:highlight w:val="none"/>
          <w14:textFill>
            <w14:solidFill>
              <w14:schemeClr w14:val="tx1"/>
            </w14:solidFill>
          </w14:textFill>
        </w:rPr>
        <w:t>其投标将会被判定为无效。</w:t>
      </w:r>
    </w:p>
    <w:p w14:paraId="4C49B434">
      <w:pPr>
        <w:spacing w:line="560" w:lineRule="exact"/>
        <w:ind w:firstLine="565"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（2）投标人须使用数字证书（CA）进行解密，如忘记密码或输入密码错误次数太多导致其数字证书（CA）锁定，其提交的电子投标文件将无法解密，导致无法提取数据和供他人阅读文件，致使其投标失败。</w:t>
      </w:r>
    </w:p>
    <w:p w14:paraId="4292FAC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（3）除投标须知前附表另有规定外，招标代理机构拒绝接收纸质投标文件。</w:t>
      </w:r>
    </w:p>
    <w:p w14:paraId="1BAC17A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（4）投标人应将网上提交的已盖章未加密的数据文件和投标文件谨慎保存备份，以便启动应急开标程序时备案使用。</w:t>
      </w:r>
    </w:p>
    <w:p w14:paraId="34148709">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18.投标截止期</w:t>
      </w:r>
    </w:p>
    <w:p w14:paraId="128D398B">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本次招标的投标截止期见《投标须知前附表》。</w:t>
      </w:r>
    </w:p>
    <w:p w14:paraId="4EE531BB">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19.迟交的投标文件</w:t>
      </w:r>
    </w:p>
    <w:p w14:paraId="49B1C18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3" w:name="_Toc429313655"/>
      <w:r>
        <w:rPr>
          <w:rFonts w:hint="eastAsia" w:ascii="仿宋" w:hAnsi="仿宋" w:eastAsia="仿宋" w:cs="仿宋"/>
          <w:color w:val="000000" w:themeColor="text1"/>
          <w:sz w:val="28"/>
          <w:szCs w:val="28"/>
          <w:highlight w:val="none"/>
          <w14:textFill>
            <w14:solidFill>
              <w14:schemeClr w14:val="tx1"/>
            </w14:solidFill>
          </w14:textFill>
        </w:rPr>
        <w:t>国企阳光采购平台无法接收投标截止时间后提交的电子投标文件。</w:t>
      </w:r>
    </w:p>
    <w:p w14:paraId="435A35C7">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20.</w:t>
      </w:r>
      <w:bookmarkEnd w:id="53"/>
      <w:r>
        <w:rPr>
          <w:rFonts w:hint="eastAsia" w:ascii="仿宋" w:hAnsi="仿宋" w:eastAsia="仿宋" w:cs="仿宋"/>
          <w:b/>
          <w:color w:val="000000" w:themeColor="text1"/>
          <w:sz w:val="28"/>
          <w:szCs w:val="28"/>
          <w:highlight w:val="none"/>
          <w14:textFill>
            <w14:solidFill>
              <w14:schemeClr w14:val="tx1"/>
            </w14:solidFill>
          </w14:textFill>
        </w:rPr>
        <w:t>现场演示/样品递交</w:t>
      </w:r>
    </w:p>
    <w:p w14:paraId="76CDF60C">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20.1招标人可以要求投标人对其提供的信息化、自动化等相关类别服务进行演示。投标人可以到现场演示，也可以使用系统相关功能与评标专家进行远程演示。</w:t>
      </w:r>
    </w:p>
    <w:p w14:paraId="566513A2">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20.2若服务项目涉及货物时，招标人可以要求投标人提供样品，样品作为投标文件的一部分。未中标投标人提供的样品将于评审结束后退还。中标人的样品由招标人保留，作为验收的依据。</w:t>
      </w:r>
    </w:p>
    <w:p w14:paraId="7EAF0FA1">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是否要求投标人提供演示/提交样品，详见招标文件《投标须知前附表》的有关规定。</w:t>
      </w:r>
    </w:p>
    <w:p w14:paraId="1CF79544">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21.投标文件的修改和撤回</w:t>
      </w:r>
    </w:p>
    <w:p w14:paraId="61261C4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21.1投标人必须在规定的投标截止时间之前将修改的投标文件和数据文件上传到国企阳光采购平台,在投标截止时间之后，投标人不得对其投标文件做任何修改。</w:t>
      </w:r>
    </w:p>
    <w:p w14:paraId="0E16DF8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21.2投标人在提交投标文件后，可以在投标截止时间之前撤回其投标文件。</w:t>
      </w:r>
    </w:p>
    <w:p w14:paraId="1E8AFA5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21.3开标后不允许对投标文件做实质性修改和补充，不得撤回投标文件。</w:t>
      </w:r>
    </w:p>
    <w:bookmarkEnd w:id="47"/>
    <w:p w14:paraId="54B1C3F3">
      <w:pPr>
        <w:pStyle w:val="5"/>
        <w:rPr>
          <w:rFonts w:hint="eastAsia" w:ascii="仿宋" w:hAnsi="仿宋" w:eastAsia="仿宋" w:cs="仿宋"/>
          <w:b w:val="0"/>
          <w:color w:val="000000" w:themeColor="text1"/>
          <w:szCs w:val="28"/>
          <w:highlight w:val="none"/>
          <w14:textFill>
            <w14:solidFill>
              <w14:schemeClr w14:val="tx1"/>
            </w14:solidFill>
          </w14:textFill>
        </w:rPr>
      </w:pPr>
      <w:bookmarkStart w:id="54" w:name="_Toc31486"/>
      <w:r>
        <w:rPr>
          <w:rStyle w:val="431"/>
          <w:rFonts w:hint="eastAsia" w:ascii="仿宋" w:hAnsi="仿宋" w:eastAsia="仿宋" w:cs="仿宋"/>
          <w:b/>
          <w:bCs/>
          <w:color w:val="000000" w:themeColor="text1"/>
          <w:kern w:val="2"/>
          <w:sz w:val="28"/>
          <w:szCs w:val="32"/>
          <w:highlight w:val="none"/>
          <w14:textFill>
            <w14:solidFill>
              <w14:schemeClr w14:val="tx1"/>
            </w14:solidFill>
          </w14:textFill>
        </w:rPr>
        <w:t>五、开标与评审</w:t>
      </w:r>
      <w:bookmarkEnd w:id="54"/>
    </w:p>
    <w:p w14:paraId="42B728E7">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22.开标</w:t>
      </w:r>
    </w:p>
    <w:p w14:paraId="07A907C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22.1投标截止时间结束后，投标人不足3家的不得开标。</w:t>
      </w:r>
    </w:p>
    <w:p w14:paraId="7A9C194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5" w:name="_Hlk154667997"/>
      <w:r>
        <w:rPr>
          <w:rFonts w:hint="eastAsia" w:ascii="仿宋" w:hAnsi="仿宋" w:eastAsia="仿宋" w:cs="仿宋"/>
          <w:color w:val="000000" w:themeColor="text1"/>
          <w:sz w:val="28"/>
          <w:szCs w:val="28"/>
          <w:highlight w:val="none"/>
          <w14:textFill>
            <w14:solidFill>
              <w14:schemeClr w14:val="tx1"/>
            </w14:solidFill>
          </w14:textFill>
        </w:rPr>
        <w:t>22.2招标代理机构在招标公告规定的时间和地点组织开标。投标人需提前准备已配置好环境的电脑，在规定的时间进行远程开标的各项操作。</w:t>
      </w:r>
    </w:p>
    <w:p w14:paraId="5183D87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22.3投标人代表应在签到表格相应位置上加盖CA锁中的法定代表人电子人名章以证明其出席，未按时完成签到的将会被</w:t>
      </w:r>
      <w:r>
        <w:rPr>
          <w:rFonts w:hint="eastAsia" w:ascii="仿宋" w:hAnsi="仿宋" w:eastAsia="仿宋" w:cs="仿宋"/>
          <w:b/>
          <w:color w:val="000000" w:themeColor="text1"/>
          <w:sz w:val="28"/>
          <w:szCs w:val="28"/>
          <w:highlight w:val="none"/>
          <w14:textFill>
            <w14:solidFill>
              <w14:schemeClr w14:val="tx1"/>
            </w14:solidFill>
          </w14:textFill>
        </w:rPr>
        <w:t>视作</w:t>
      </w:r>
      <w:r>
        <w:rPr>
          <w:rFonts w:hint="eastAsia" w:ascii="仿宋" w:hAnsi="仿宋" w:eastAsia="仿宋" w:cs="仿宋"/>
          <w:color w:val="000000" w:themeColor="text1"/>
          <w:sz w:val="28"/>
          <w:szCs w:val="28"/>
          <w:highlight w:val="none"/>
          <w14:textFill>
            <w14:solidFill>
              <w14:schemeClr w14:val="tx1"/>
            </w14:solidFill>
          </w14:textFill>
        </w:rPr>
        <w:t>认同开标结果。</w:t>
      </w:r>
    </w:p>
    <w:p w14:paraId="4A15501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22.4投标须知前附表规定了文件解密时间，投标人忘记密码、输入密码错误太多导致CA锁定、未能按时完成解密、其《数据文件》填写、盖章不规范等导致系统无法解析的，将会被视为</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w:t>
      </w:r>
    </w:p>
    <w:p w14:paraId="2EAE2E9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22.5开标过程应当由招标人或招标代理机构负责记录，最终形成开标一览表并由各投标人代表签字或盖章确认。</w:t>
      </w:r>
    </w:p>
    <w:p w14:paraId="6B3D2A9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22.6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2497F2B8">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22.7录音、录像：威海市公共资源交易中心负责从提交投标文件开始到确定中标结果全过程的录音、录像工作，确保声音清楚、图像清晰、内容无遗漏。</w:t>
      </w:r>
    </w:p>
    <w:p w14:paraId="74474D1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22.8评审过程中，如遇特殊情况，服从威海市公共资源交易中心场地调配，并遵守相关规章制度。</w:t>
      </w:r>
    </w:p>
    <w:bookmarkEnd w:id="55"/>
    <w:p w14:paraId="6E6559CC">
      <w:pPr>
        <w:spacing w:line="56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bookmarkStart w:id="56" w:name="_Hlk154668012"/>
      <w:r>
        <w:rPr>
          <w:rFonts w:hint="eastAsia" w:ascii="仿宋" w:hAnsi="仿宋" w:eastAsia="仿宋" w:cs="仿宋"/>
          <w:color w:val="000000" w:themeColor="text1"/>
          <w:sz w:val="28"/>
          <w:szCs w:val="28"/>
          <w:highlight w:val="none"/>
          <w14:textFill>
            <w14:solidFill>
              <w14:schemeClr w14:val="tx1"/>
            </w14:solidFill>
          </w14:textFill>
        </w:rPr>
        <w:t>22.9对投标文件报价出现前后不一致的，按以下规定修正：</w:t>
      </w:r>
    </w:p>
    <w:p w14:paraId="4132DD6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（1）“投标（报价）一览表”的报价与“报价明细表”的总报价不一致的，以“投标（报价）一览表”的报价为准；</w:t>
      </w:r>
    </w:p>
    <w:p w14:paraId="57654AE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（2）大写金额和小写金额不一致的，以大写金额为准；</w:t>
      </w:r>
    </w:p>
    <w:p w14:paraId="63F680F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（3）单价金额小数点或者百分比有明显错位的，以投标（报价）一览表的总价为准，并修改单价。</w:t>
      </w:r>
    </w:p>
    <w:p w14:paraId="02BF4F4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（4）总价金额与按单价汇总金额不一致的，以单价金额计算结果为准。</w:t>
      </w:r>
    </w:p>
    <w:p w14:paraId="00519A8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（5）同时出现两种以上不一致的，按照前款规定的顺序修正。修正后的报价经投标人确认后产生约束力，投标人不确认的，其投标无效。</w:t>
      </w:r>
    </w:p>
    <w:p w14:paraId="55A131C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22.10开标程序</w:t>
      </w:r>
    </w:p>
    <w:p w14:paraId="23FFE49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（1）签到：在投标须知前附表规定的时间完成签到。</w:t>
      </w:r>
    </w:p>
    <w:p w14:paraId="2AF0AEF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（2）开标：工作人员在投标须知前附表规定的开标时间启动开标。</w:t>
      </w:r>
    </w:p>
    <w:p w14:paraId="6E74680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（3）解密：开标后工作人员启动开始解密指令，投标人开始输入解密密码，解密时间到后工作人员启动停止解密指令。</w:t>
      </w:r>
    </w:p>
    <w:p w14:paraId="02C8E1B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14:paraId="6F88E4D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22.11应急开标程序</w:t>
      </w:r>
    </w:p>
    <w:p w14:paraId="71C06D3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电子开标过程中如出现下列情况，导致系统无法正常运行，或者无法保证开标过程的公平、公正和信息安全时，经与招标人沟通后可启动应急开标程序。</w:t>
      </w:r>
    </w:p>
    <w:p w14:paraId="7E29D43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（1）系统服务器发生故障，无法访问或无法使用系统；</w:t>
      </w:r>
    </w:p>
    <w:p w14:paraId="25BFB6C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（2）系统的软件或数据库出现错误，不能进行正常操作；</w:t>
      </w:r>
    </w:p>
    <w:p w14:paraId="46D38D9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（3）系统发现有安全漏洞，有潜在的泄密危险；</w:t>
      </w:r>
    </w:p>
    <w:bookmarkEnd w:id="56"/>
    <w:p w14:paraId="3CEBB48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7" w:name="_Hlk154668029"/>
      <w:r>
        <w:rPr>
          <w:rFonts w:hint="eastAsia" w:ascii="仿宋" w:hAnsi="仿宋" w:eastAsia="仿宋" w:cs="仿宋"/>
          <w:color w:val="000000" w:themeColor="text1"/>
          <w:sz w:val="28"/>
          <w:szCs w:val="28"/>
          <w:highlight w:val="none"/>
          <w14:textFill>
            <w14:solidFill>
              <w14:schemeClr w14:val="tx1"/>
            </w14:solidFill>
          </w14:textFill>
        </w:rPr>
        <w:t>（4）病毒发作或受到外来病毒的攻击；</w:t>
      </w:r>
    </w:p>
    <w:p w14:paraId="397923E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（5）其他无法保证开标过程公平、公正和信息安全的情形。</w:t>
      </w:r>
    </w:p>
    <w:p w14:paraId="77639A6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应急开标程序包括：</w:t>
      </w:r>
    </w:p>
    <w:p w14:paraId="4328404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（1）对未在系统中开标的可暂停开标；</w:t>
      </w:r>
    </w:p>
    <w:p w14:paraId="7A37E22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（2）对已在系统中开标的应停止，等待系统恢复正常后再组织进行开标。</w:t>
      </w:r>
    </w:p>
    <w:p w14:paraId="4CEBC8A3">
      <w:pPr>
        <w:spacing w:line="560" w:lineRule="exact"/>
        <w:ind w:firstLine="562"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对解密环节出错（因系统故障原因导致）的投标人，通过系统的备案功能进行文件上传备案，对备案文件与网上提交的文件不一致（系统通过数字签名进行验证）或备案文件未按照本文件的要求进行编制、签署导致系统无法备案的投标人作</w:t>
      </w:r>
      <w:r>
        <w:rPr>
          <w:rFonts w:hint="eastAsia" w:ascii="仿宋" w:hAnsi="仿宋" w:eastAsia="仿宋" w:cs="仿宋"/>
          <w:b/>
          <w:color w:val="000000" w:themeColor="text1"/>
          <w:sz w:val="28"/>
          <w:szCs w:val="28"/>
          <w:highlight w:val="none"/>
          <w14:textFill>
            <w14:solidFill>
              <w14:schemeClr w14:val="tx1"/>
            </w14:solidFill>
          </w14:textFill>
        </w:rPr>
        <w:t>无效投标处理。</w:t>
      </w:r>
    </w:p>
    <w:p w14:paraId="0C7CE05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备案功能故障且系统长时间无法恢复正常的，在招标人或代理机构的监督下可针对所有在平台中已投标的投标人，启用其电子邮件提交的投标文件进行开标，同时开标由线上转为线下，开标、评标均以电子邮件提交的投标文件为准，投标人必须在获取招标文件时留有本单位详细的邮箱和电话，否则由此产生的不利后果由投标人自己承担。对未按规定提交或提交的文件未按要求进行编制、签署的投标人作</w:t>
      </w:r>
      <w:r>
        <w:rPr>
          <w:rFonts w:hint="eastAsia" w:ascii="仿宋" w:hAnsi="仿宋" w:eastAsia="仿宋" w:cs="仿宋"/>
          <w:b/>
          <w:color w:val="000000" w:themeColor="text1"/>
          <w:sz w:val="28"/>
          <w:szCs w:val="28"/>
          <w:highlight w:val="none"/>
          <w14:textFill>
            <w14:solidFill>
              <w14:schemeClr w14:val="tx1"/>
            </w14:solidFill>
          </w14:textFill>
        </w:rPr>
        <w:t>无效投标处理</w:t>
      </w:r>
      <w:r>
        <w:rPr>
          <w:rFonts w:hint="eastAsia" w:ascii="仿宋" w:hAnsi="仿宋" w:eastAsia="仿宋" w:cs="仿宋"/>
          <w:color w:val="000000" w:themeColor="text1"/>
          <w:sz w:val="28"/>
          <w:szCs w:val="28"/>
          <w:highlight w:val="none"/>
          <w14:textFill>
            <w14:solidFill>
              <w14:schemeClr w14:val="tx1"/>
            </w14:solidFill>
          </w14:textFill>
        </w:rPr>
        <w:t>。</w:t>
      </w:r>
    </w:p>
    <w:p w14:paraId="2DB8571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22.12应急开标电子邮件提交规定</w:t>
      </w:r>
    </w:p>
    <w:p w14:paraId="13F2824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接收电子邮箱：whtyzb@126.com</w:t>
      </w:r>
    </w:p>
    <w:p w14:paraId="597D6F2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提交时间：以电子邮件或电话通知的时间为准；</w:t>
      </w:r>
    </w:p>
    <w:p w14:paraId="3C1D36C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邮件数量：一封；</w:t>
      </w:r>
    </w:p>
    <w:p w14:paraId="47CC534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邮件主题：招标编号、投标人名称；</w:t>
      </w:r>
    </w:p>
    <w:p w14:paraId="04A4A25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邮件内容：附件含项目所有的已投包段，每个包段含已盖章且未加密的数据文件、投标文件各一份。数据文件、投标文件与网上最终提交的必须为同一文件（可将所投包段的所有文件打包压缩），如果不一致，系统后台会判定为无效投标文件，导致投标无效。</w:t>
      </w:r>
    </w:p>
    <w:p w14:paraId="3AF4B6A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22.13启动电子邮件开标流程</w:t>
      </w:r>
    </w:p>
    <w:p w14:paraId="590EFBD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工作人员电话通知所有投标人启动应急开标程序；</w:t>
      </w:r>
    </w:p>
    <w:p w14:paraId="2EE0D15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投标人收到通知后在规定时间内通过电子邮件提交投标文件（在非应急开标期间招标代理机构不接受、不处理任何通过电子邮件提交的投标文件）；</w:t>
      </w:r>
    </w:p>
    <w:p w14:paraId="01CB7C6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提交截止时间到，工作人员开始下载投标文件，将投标报价形成开标报告并邮件回复各投标人；</w:t>
      </w:r>
    </w:p>
    <w:p w14:paraId="766F483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投标人确认报价并邮件回复，不及时回复的视为对开标报告的内容无异议。</w:t>
      </w:r>
    </w:p>
    <w:bookmarkEnd w:id="57"/>
    <w:p w14:paraId="26314710">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23.评标委员会的组成和评标办法</w:t>
      </w:r>
    </w:p>
    <w:p w14:paraId="4B7FF15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8" w:name="_Hlk154668068"/>
      <w:r>
        <w:rPr>
          <w:rFonts w:hint="eastAsia" w:ascii="仿宋" w:hAnsi="仿宋" w:eastAsia="仿宋" w:cs="仿宋"/>
          <w:color w:val="000000" w:themeColor="text1"/>
          <w:sz w:val="28"/>
          <w:szCs w:val="28"/>
          <w:highlight w:val="none"/>
          <w14:textFill>
            <w14:solidFill>
              <w14:schemeClr w14:val="tx1"/>
            </w14:solidFill>
          </w14:textFill>
        </w:rPr>
        <w:t>23.1招标代理机构负责组织评标工作，具体评审事务由依法组建的评标委员会负责，评标委员会成员由招标人代表（如有）及评审专家5人以上的单数组成，其中经济、技术方面的评审专家不得少于三分之二。评标委员会的专家依法从国企采购主管部门组建的专家库中随机抽取产生。情况特殊的，通过随机方式难以确定合适的评审专家的项目，经主管部门同意，招标人可以自行选定评审专家。评标委员会成员不得被最高法院列入失信被执行人，若为失信被执行人，将及时清退（开标现场查询）。</w:t>
      </w:r>
    </w:p>
    <w:p w14:paraId="0659E60E">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59" w:name="_Hlk154668119"/>
      <w:r>
        <w:rPr>
          <w:rFonts w:hint="eastAsia" w:ascii="仿宋" w:hAnsi="仿宋" w:eastAsia="仿宋" w:cs="仿宋"/>
          <w:color w:val="000000" w:themeColor="text1"/>
          <w:sz w:val="28"/>
          <w:szCs w:val="28"/>
          <w:highlight w:val="none"/>
          <w14:textFill>
            <w14:solidFill>
              <w14:schemeClr w14:val="tx1"/>
            </w14:solidFill>
          </w14:textFill>
        </w:rPr>
        <w:t>23.2招标人员及相关人员与投标人有利害关系的应当回避。曾参与项目征询意见或论证的专家，不得再作为评审专家参加评审。招标人不得以专家身份参与本项目的评审。招标人和招标代理机构工作人员离职或退休不满三年的，不能作为专家参加评审工作。</w:t>
      </w:r>
    </w:p>
    <w:p w14:paraId="41DB65F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23.3评标委员会成员职责：</w:t>
      </w:r>
    </w:p>
    <w:p w14:paraId="18E3045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（1）评标前，评标委员会成员应当主动确认与投标人及其制造商是否有利害关系。如有利害关系应当主动回避，如无利害关系，应当在含有相关内容的《无利害关系声明》上签字；</w:t>
      </w:r>
    </w:p>
    <w:p w14:paraId="5829D75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（2）按照招标文件中确定的评标办法，对投标文件的内容进行评审，并对评审结果承担责任；</w:t>
      </w:r>
    </w:p>
    <w:p w14:paraId="58361F3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（3）对评标过程和结果，以及投标人的商业秘密进行保密；</w:t>
      </w:r>
    </w:p>
    <w:p w14:paraId="2F590E5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（4）在评标委员会集体起草的评标报告上签字；</w:t>
      </w:r>
    </w:p>
    <w:p w14:paraId="0688461A">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（5）配合招标代理机构答复投标人质疑；</w:t>
      </w:r>
    </w:p>
    <w:p w14:paraId="34F5F7C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（6）配合主管部门处理投标人投诉；</w:t>
      </w:r>
    </w:p>
    <w:p w14:paraId="5B2FB78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（7）向招标人反映评审工作中的问题，提出意见和建议。</w:t>
      </w:r>
    </w:p>
    <w:bookmarkEnd w:id="59"/>
    <w:p w14:paraId="50A0AA4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0" w:name="_Hlk154668127"/>
      <w:r>
        <w:rPr>
          <w:rFonts w:hint="eastAsia" w:ascii="仿宋" w:hAnsi="仿宋" w:eastAsia="仿宋" w:cs="仿宋"/>
          <w:color w:val="000000" w:themeColor="text1"/>
          <w:sz w:val="28"/>
          <w:szCs w:val="28"/>
          <w:highlight w:val="none"/>
          <w14:textFill>
            <w14:solidFill>
              <w14:schemeClr w14:val="tx1"/>
            </w14:solidFill>
          </w14:textFill>
        </w:rPr>
        <w:t>23.4评标委员会集体职责：</w:t>
      </w:r>
    </w:p>
    <w:p w14:paraId="3EB0754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按照各成员评审意见推荐中标候选人，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14:paraId="128EF8D6">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（2）配合招标人和招标代理机构答复投标人的质疑；</w:t>
      </w:r>
    </w:p>
    <w:p w14:paraId="11ECE26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（3）配合主管部门做好投诉处理工作；</w:t>
      </w:r>
    </w:p>
    <w:p w14:paraId="47B5D618">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（4）必要时，向投标人解释评审结果；</w:t>
      </w:r>
    </w:p>
    <w:p w14:paraId="25E3204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（5）向主管部门或者有关部门报告非法干预评审工作的行为。</w:t>
      </w:r>
    </w:p>
    <w:bookmarkEnd w:id="60"/>
    <w:p w14:paraId="155AEBB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1" w:name="_Hlk154668139"/>
      <w:r>
        <w:rPr>
          <w:rFonts w:hint="eastAsia" w:ascii="仿宋" w:hAnsi="仿宋" w:eastAsia="仿宋" w:cs="仿宋"/>
          <w:color w:val="000000" w:themeColor="text1"/>
          <w:sz w:val="28"/>
          <w:szCs w:val="28"/>
          <w:highlight w:val="none"/>
          <w14:textFill>
            <w14:solidFill>
              <w14:schemeClr w14:val="tx1"/>
            </w14:solidFill>
          </w14:textFill>
        </w:rPr>
        <w:t>23.5招标代理机构或招标人的职责：</w:t>
      </w:r>
    </w:p>
    <w:p w14:paraId="5C107DE0">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（1）核对评标专家身份和招标人代表授权书（如有），对评标专家在招标活动中的职责履行情况予以记录，并及时将有关违法违规行为向主管部门报告；</w:t>
      </w:r>
    </w:p>
    <w:p w14:paraId="7FB9EA6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（2）宣布评审纪律；</w:t>
      </w:r>
    </w:p>
    <w:p w14:paraId="1A61ED60">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（3）公布投标人名单，告知评标委员会专家应当回避的情形；</w:t>
      </w:r>
    </w:p>
    <w:p w14:paraId="39DC36D8">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（4）组织评标委员会推选评标组长</w:t>
      </w:r>
      <w:r>
        <w:rPr>
          <w:rFonts w:hint="eastAsia" w:ascii="仿宋" w:hAnsi="仿宋" w:eastAsia="仿宋" w:cs="仿宋"/>
          <w:color w:val="000000" w:themeColor="text1"/>
          <w:sz w:val="28"/>
          <w:szCs w:val="21"/>
          <w:highlight w:val="none"/>
          <w14:textFill>
            <w14:solidFill>
              <w14:schemeClr w14:val="tx1"/>
            </w14:solidFill>
          </w14:textFill>
        </w:rPr>
        <w:t>，招标人代表不得担任评标组长</w:t>
      </w:r>
      <w:r>
        <w:rPr>
          <w:rFonts w:hint="eastAsia" w:ascii="仿宋" w:hAnsi="仿宋" w:eastAsia="仿宋" w:cs="仿宋"/>
          <w:color w:val="000000" w:themeColor="text1"/>
          <w:sz w:val="28"/>
          <w:szCs w:val="28"/>
          <w:highlight w:val="none"/>
          <w14:textFill>
            <w14:solidFill>
              <w14:schemeClr w14:val="tx1"/>
            </w14:solidFill>
          </w14:textFill>
        </w:rPr>
        <w:t>（如有）；</w:t>
      </w:r>
    </w:p>
    <w:p w14:paraId="5030D46F">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（5）在评审期间采取必要的通讯管理措施，保证评审活动不受外界干扰；</w:t>
      </w:r>
    </w:p>
    <w:p w14:paraId="7C52899A">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（6）根据评标委员会的要求介绍阳光国企采购相关政策法规、招标文件；</w:t>
      </w:r>
    </w:p>
    <w:p w14:paraId="0575CCA3">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（7）维护评审秩序，监督评标委员会依照招标文件规定的评标程序、方法和标准进行独立评审，及时制止和纠正评标专家的倾向性言论或者违法违规行为；</w:t>
      </w:r>
    </w:p>
    <w:p w14:paraId="13384E14">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核对评标结果，存在分值汇总计算错误的、分项评分超出评分标准范围的、评标委员会成员对客观评审因素评分不一致的，经评标委员会认定评分畸高畸低的情形，要求评标委员会复核或者书面说明理由，评标委员会拒绝的，应予记录并向主管部门报告；</w:t>
      </w:r>
    </w:p>
    <w:p w14:paraId="721805F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评审工作完成后，按照规定向评标专家支付劳务报酬和异地评审差旅费，不得向评标专家以外的其他人员支付评审劳务报酬；专家劳务报酬标准参照山东省财政厅《关于印发&lt;山东省政府采购评审劳务报酬标准&gt;的通知》（鲁财采〔2017〕28号）规定执行；</w:t>
      </w:r>
    </w:p>
    <w:p w14:paraId="1EA9D77C">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（10）处理与评标有关的其他事项。</w:t>
      </w:r>
    </w:p>
    <w:p w14:paraId="74BC622C">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招标人可以在评标前说明项目背景和招标需求，说明内容不得含有歧视性、倾向性意见，不得超出招标文件所述范围。</w:t>
      </w:r>
    </w:p>
    <w:bookmarkEnd w:id="61"/>
    <w:p w14:paraId="7A0F1FA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2" w:name="_Hlk154668158"/>
      <w:r>
        <w:rPr>
          <w:rFonts w:hint="eastAsia" w:ascii="仿宋" w:hAnsi="仿宋" w:eastAsia="仿宋" w:cs="仿宋"/>
          <w:color w:val="000000" w:themeColor="text1"/>
          <w:sz w:val="28"/>
          <w:szCs w:val="28"/>
          <w:highlight w:val="none"/>
          <w14:textFill>
            <w14:solidFill>
              <w14:schemeClr w14:val="tx1"/>
            </w14:solidFill>
          </w14:textFill>
        </w:rPr>
        <w:t>23.6评标委员会采用集中办公、封闭方式进行评审。评标前，招标代理机构工作人员向评标委员会成员宣布评标纪律和工作规则。评标委员会成员签署《无利害关系声明表》，并遵照执行。</w:t>
      </w:r>
    </w:p>
    <w:p w14:paraId="313F2D0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23.7在招标采购活动中，招标人员及相关人员与投标人有以下利害关系之一的，应当回避：</w:t>
      </w:r>
    </w:p>
    <w:p w14:paraId="5FB039A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（1）参加招标采购活动前3年内与投标人存在劳动关系；</w:t>
      </w:r>
    </w:p>
    <w:p w14:paraId="06A0345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（2）参加招标采购活动前3年内担任投标人的董事、监事；</w:t>
      </w:r>
    </w:p>
    <w:p w14:paraId="4B0435A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（3）参加招标采购活动前3年内是投标人的控股股东或者实际控制人；</w:t>
      </w:r>
    </w:p>
    <w:p w14:paraId="7B8A6DC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（4）与投标人的法定代表人或者负责人有服务、直系血亲、三代以内旁系血亲或者近姻亲关系；</w:t>
      </w:r>
    </w:p>
    <w:p w14:paraId="08A1602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（5）与投标人有其他可能影响招标采购活动公平、公正进行的关系。</w:t>
      </w:r>
    </w:p>
    <w:p w14:paraId="31F2865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认为招标人员及相关人员与其他投标人有利害关系的，可以向招标人或者招标代理机构书面提出回避申请，并说明理由。招标人或者招标代理机构应当及时询问被申请回避人员，有利害关系的被申请回避人员应当回避。</w:t>
      </w:r>
    </w:p>
    <w:p w14:paraId="4017BC9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23.8评标委员会成员对与自己有利害关系的评标项目应当主动提出回避。</w:t>
      </w:r>
    </w:p>
    <w:p w14:paraId="69AA238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23.9评标委员会将按照招标文件确定的评标原则和方法进行评标。评标委员会对投标文件的评审内容分为资格性审查、符合性审查、商务评议、技术评议和价格评议。</w:t>
      </w:r>
    </w:p>
    <w:bookmarkEnd w:id="62"/>
    <w:p w14:paraId="3F20C60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3" w:name="_Hlk154668166"/>
      <w:r>
        <w:rPr>
          <w:rFonts w:hint="eastAsia" w:ascii="仿宋" w:hAnsi="仿宋" w:eastAsia="仿宋" w:cs="仿宋"/>
          <w:color w:val="000000" w:themeColor="text1"/>
          <w:sz w:val="28"/>
          <w:szCs w:val="28"/>
          <w:highlight w:val="none"/>
          <w14:textFill>
            <w14:solidFill>
              <w14:schemeClr w14:val="tx1"/>
            </w14:solidFill>
          </w14:textFill>
        </w:rPr>
        <w:t>23.10评标委员会独立履行下列职责：</w:t>
      </w:r>
    </w:p>
    <w:p w14:paraId="675912C4">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（1）审查、评价投标文件是否符合招标文件的商务、技术等实质性要求；</w:t>
      </w:r>
    </w:p>
    <w:p w14:paraId="5F31D37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（2）要求投标人对投标文件有关事项作出澄清或者说明；</w:t>
      </w:r>
    </w:p>
    <w:p w14:paraId="1589D25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（3）对投标文件进行比较和评价；</w:t>
      </w:r>
    </w:p>
    <w:p w14:paraId="6357659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（4）确定中标候选人名单，以及根据招标人委托直接确定中标人；</w:t>
      </w:r>
    </w:p>
    <w:p w14:paraId="2AE03F3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（5）向招标人、招标代理机构或者有关部门报告评标中发现的违法行为。</w:t>
      </w:r>
    </w:p>
    <w:p w14:paraId="77E6357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23.11评标中因评标委员会成员缺席、回避或者健康等特殊原因导致评标委员会组成不符合本办法规定的，招标人应当依法补足后继续评标。被更换的评标委员会成员所作出的评标意见无效。</w:t>
      </w:r>
    </w:p>
    <w:p w14:paraId="559ED6B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无法及时补足评标委员会成员的，招标代理机构应当停止评标活动，封存所有投标文件和开标、评标资料，依法重新组建评标委员会进行评标。原评标委员会作出的评标意见无效。</w:t>
      </w:r>
    </w:p>
    <w:p w14:paraId="499F663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招标代理机构应当将变更、重新组建评标委员会的情况予以记录，并随招标文件一并存档。</w:t>
      </w:r>
    </w:p>
    <w:bookmarkEnd w:id="58"/>
    <w:bookmarkEnd w:id="63"/>
    <w:p w14:paraId="03216058">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24.投标文件的初审</w:t>
      </w:r>
    </w:p>
    <w:p w14:paraId="3279B5F5">
      <w:pPr>
        <w:spacing w:line="518" w:lineRule="exact"/>
        <w:ind w:firstLine="548" w:firstLineChars="196"/>
        <w:rPr>
          <w:rFonts w:hint="eastAsia" w:ascii="仿宋" w:hAnsi="仿宋" w:eastAsia="仿宋" w:cs="仿宋"/>
          <w:color w:val="000000" w:themeColor="text1"/>
          <w:highlight w:val="none"/>
          <w14:textFill>
            <w14:solidFill>
              <w14:schemeClr w14:val="tx1"/>
            </w14:solidFill>
          </w14:textFill>
        </w:rPr>
      </w:pPr>
      <w:bookmarkStart w:id="64" w:name="_Hlk154668175"/>
      <w:r>
        <w:rPr>
          <w:rFonts w:hint="eastAsia" w:ascii="仿宋" w:hAnsi="仿宋" w:eastAsia="仿宋" w:cs="仿宋"/>
          <w:color w:val="000000" w:themeColor="text1"/>
          <w:sz w:val="28"/>
          <w:highlight w:val="none"/>
          <w14:textFill>
            <w14:solidFill>
              <w14:schemeClr w14:val="tx1"/>
            </w14:solidFill>
          </w14:textFill>
        </w:rPr>
        <w:t>评标委员会将按照招标文件的规定对投标文件进行资格性和符合性审查，以确定投标文件的有效性</w:t>
      </w:r>
      <w:bookmarkEnd w:id="64"/>
      <w:r>
        <w:rPr>
          <w:rFonts w:hint="eastAsia" w:ascii="仿宋" w:hAnsi="仿宋" w:eastAsia="仿宋" w:cs="仿宋"/>
          <w:color w:val="000000" w:themeColor="text1"/>
          <w:sz w:val="28"/>
          <w:highlight w:val="none"/>
          <w14:textFill>
            <w14:solidFill>
              <w14:schemeClr w14:val="tx1"/>
            </w14:solidFill>
          </w14:textFill>
        </w:rPr>
        <w:t>。</w:t>
      </w:r>
    </w:p>
    <w:p w14:paraId="0246555F">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24.1资格性审查。在招标项目开标结束后,评标委员会对投标人的资格进行审查。合格投标人不足3家的，不得评标。在资格性检查时,如有下列情况之一的，经评标委员会认定，视为非实质性响应，为无效投标：</w:t>
      </w:r>
    </w:p>
    <w:p w14:paraId="5F45CE1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5" w:name="_Hlk154668197"/>
      <w:r>
        <w:rPr>
          <w:rFonts w:hint="eastAsia" w:ascii="仿宋" w:hAnsi="仿宋" w:eastAsia="仿宋" w:cs="仿宋"/>
          <w:color w:val="000000" w:themeColor="text1"/>
          <w:sz w:val="28"/>
          <w:szCs w:val="28"/>
          <w:highlight w:val="none"/>
          <w14:textFill>
            <w14:solidFill>
              <w14:schemeClr w14:val="tx1"/>
            </w14:solidFill>
          </w14:textFill>
        </w:rPr>
        <w:t>（1）投标文件不完整的；</w:t>
      </w:r>
    </w:p>
    <w:p w14:paraId="13FF30A2">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（2）资质、资格证明文件不完整或不符合招标文件要求或过期失效的；</w:t>
      </w:r>
    </w:p>
    <w:p w14:paraId="3FF961C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（3）投标文件未按规定签署及盖章的；</w:t>
      </w:r>
    </w:p>
    <w:p w14:paraId="5D2938E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（4）投标人的法定代表人或授权代表不在规定时间内答疑或澄清的；</w:t>
      </w:r>
    </w:p>
    <w:p w14:paraId="1179E54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（5）与招标人存在利害关系且可能影响招标活动的公正性；</w:t>
      </w:r>
    </w:p>
    <w:p w14:paraId="0C5E382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（6）与本招标项目的其他投标人为同一个单位负责人；</w:t>
      </w:r>
    </w:p>
    <w:p w14:paraId="159C0137">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（7）与本招标项目的其他投标人存在控股、管理关系；</w:t>
      </w:r>
    </w:p>
    <w:p w14:paraId="6FF918D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（8）为本招标项目的代建人；</w:t>
      </w:r>
    </w:p>
    <w:p w14:paraId="423AD110">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（9）为本招标项目的招标代理机构；</w:t>
      </w:r>
    </w:p>
    <w:p w14:paraId="65732E73">
      <w:pPr>
        <w:snapToGrid w:val="0"/>
        <w:spacing w:line="52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（10）被依法暂停或者取消投标资格；</w:t>
      </w:r>
    </w:p>
    <w:p w14:paraId="0EC9D13D">
      <w:pPr>
        <w:snapToGrid w:val="0"/>
        <w:spacing w:line="52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（11）被责令停产停业、暂扣或者吊销许可证、暂扣或者吊销执照；</w:t>
      </w:r>
    </w:p>
    <w:p w14:paraId="6F6CD45E">
      <w:pPr>
        <w:snapToGrid w:val="0"/>
        <w:spacing w:line="52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（12）进入清算程序，或被宣告破产，或其他丧失履约能力的情形；</w:t>
      </w:r>
    </w:p>
    <w:p w14:paraId="3D1C17BB">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（13）除招标文件规定提交备选投标方案外，同一投标人递交两个以上不同的投标文件或者投标报价的；</w:t>
      </w:r>
    </w:p>
    <w:p w14:paraId="79C724E4">
      <w:pPr>
        <w:snapToGrid w:val="0"/>
        <w:spacing w:line="52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（14）评标委员会认为不符合招标文件其他实质性要求或法律规定的；</w:t>
      </w:r>
    </w:p>
    <w:p w14:paraId="67DF355D">
      <w:pPr>
        <w:snapToGrid w:val="0"/>
        <w:spacing w:line="52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（15）法律法规规定的其他情形。</w:t>
      </w:r>
    </w:p>
    <w:bookmarkEnd w:id="65"/>
    <w:p w14:paraId="790F1868">
      <w:pPr>
        <w:snapToGrid w:val="0"/>
        <w:spacing w:line="52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66" w:name="_Hlk154668205"/>
      <w:r>
        <w:rPr>
          <w:rFonts w:hint="eastAsia" w:ascii="仿宋" w:hAnsi="仿宋" w:eastAsia="仿宋" w:cs="仿宋"/>
          <w:color w:val="000000" w:themeColor="text1"/>
          <w:sz w:val="28"/>
          <w:szCs w:val="28"/>
          <w:highlight w:val="none"/>
          <w14:textFill>
            <w14:solidFill>
              <w14:schemeClr w14:val="tx1"/>
            </w14:solidFill>
          </w14:textFill>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w:t>
      </w:r>
    </w:p>
    <w:p w14:paraId="5328560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具体内容详见《投标须知》-《实质性条款一览表》中符合性审查条件。</w:t>
      </w:r>
    </w:p>
    <w:p w14:paraId="4D78208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24.3投标人有下列情形之一的，视为投标人串通投标，其投标无效：</w:t>
      </w:r>
    </w:p>
    <w:p w14:paraId="1484D5C7">
      <w:pPr>
        <w:pStyle w:val="156"/>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（1）不同投标人的投标文件由同一单位或者个人编制的；</w:t>
      </w:r>
    </w:p>
    <w:p w14:paraId="4709FB00">
      <w:pPr>
        <w:pStyle w:val="156"/>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（2）不同投标人使用同一个投标人或者同一个自然人的IP地址、设备下</w:t>
      </w:r>
      <w:bookmarkEnd w:id="66"/>
      <w:bookmarkStart w:id="67" w:name="_Hlk154668217"/>
      <w:r>
        <w:rPr>
          <w:rFonts w:hint="eastAsia" w:ascii="仿宋" w:hAnsi="仿宋" w:eastAsia="仿宋" w:cs="仿宋"/>
          <w:color w:val="000000" w:themeColor="text1"/>
          <w:kern w:val="2"/>
          <w:sz w:val="28"/>
          <w:szCs w:val="28"/>
          <w:highlight w:val="none"/>
          <w14:textFill>
            <w14:solidFill>
              <w14:schemeClr w14:val="tx1"/>
            </w14:solidFill>
          </w14:textFill>
        </w:rPr>
        <w:t>载招标文件或者制作、上传投标文件的；</w:t>
      </w:r>
    </w:p>
    <w:p w14:paraId="64EF0251">
      <w:pPr>
        <w:pStyle w:val="156"/>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bookmarkStart w:id="68" w:name="_Hlk154668229"/>
      <w:r>
        <w:rPr>
          <w:rFonts w:hint="eastAsia" w:ascii="仿宋" w:hAnsi="仿宋" w:eastAsia="仿宋" w:cs="仿宋"/>
          <w:color w:val="000000" w:themeColor="text1"/>
          <w:kern w:val="2"/>
          <w:sz w:val="28"/>
          <w:szCs w:val="28"/>
          <w:highlight w:val="none"/>
          <w14:textFill>
            <w14:solidFill>
              <w14:schemeClr w14:val="tx1"/>
            </w14:solidFill>
          </w14:textFill>
        </w:rPr>
        <w:t>（3）不同投标人委托同一单位或者个人办理投标事宜；</w:t>
      </w:r>
    </w:p>
    <w:p w14:paraId="4038DD07">
      <w:pPr>
        <w:pStyle w:val="156"/>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（4）不同投标人的投标文件载明的项目管理成员或者联系人员为同一人；</w:t>
      </w:r>
    </w:p>
    <w:p w14:paraId="60843C31">
      <w:pPr>
        <w:pStyle w:val="156"/>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（5）不同投标人的投标文件重要内容异常一致、或者投标报价呈现规律性差异；</w:t>
      </w:r>
    </w:p>
    <w:p w14:paraId="4C061E29">
      <w:pPr>
        <w:pStyle w:val="156"/>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（6）不同投标人编制的投标文件存在两处以上错误一致的；</w:t>
      </w:r>
    </w:p>
    <w:p w14:paraId="21BFD620">
      <w:pPr>
        <w:pStyle w:val="156"/>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（7）不同投标人的投标文件相互混装；</w:t>
      </w:r>
    </w:p>
    <w:p w14:paraId="57864B30">
      <w:pPr>
        <w:pStyle w:val="156"/>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（8）不同投标人的投标保证金从同一单位或者个人的账户转出；</w:t>
      </w:r>
    </w:p>
    <w:p w14:paraId="55FF47CE">
      <w:pPr>
        <w:pStyle w:val="156"/>
        <w:widowControl w:val="0"/>
        <w:shd w:val="clear" w:color="auto" w:fill="FFFFFF"/>
        <w:spacing w:before="0" w:beforeAutospacing="0" w:after="0" w:afterAutospacing="0" w:line="560" w:lineRule="exact"/>
        <w:ind w:firstLine="640"/>
        <w:jc w:val="both"/>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（9）不同投标人制作的电子投标文件经系统审查存在cpu编码、硬盘编码及MAC地址三项编码均相同的。</w:t>
      </w:r>
      <w:bookmarkEnd w:id="68"/>
    </w:p>
    <w:p w14:paraId="3D727BBC">
      <w:pPr>
        <w:spacing w:line="518" w:lineRule="exact"/>
        <w:ind w:firstLine="548" w:firstLineChars="196"/>
        <w:rPr>
          <w:rFonts w:hint="eastAsia" w:ascii="仿宋" w:hAnsi="仿宋" w:eastAsia="仿宋" w:cs="仿宋"/>
          <w:color w:val="000000" w:themeColor="text1"/>
          <w:highlight w:val="none"/>
          <w14:textFill>
            <w14:solidFill>
              <w14:schemeClr w14:val="tx1"/>
            </w14:solidFill>
          </w14:textFill>
        </w:rPr>
      </w:pPr>
      <w:bookmarkStart w:id="69" w:name="_Hlk154668255"/>
      <w:bookmarkStart w:id="70" w:name="_Hlk154668244"/>
      <w:r>
        <w:rPr>
          <w:rFonts w:hint="eastAsia" w:ascii="仿宋" w:hAnsi="仿宋" w:eastAsia="仿宋" w:cs="仿宋"/>
          <w:color w:val="000000" w:themeColor="text1"/>
          <w:sz w:val="28"/>
          <w:szCs w:val="28"/>
          <w:highlight w:val="none"/>
          <w14:textFill>
            <w14:solidFill>
              <w14:schemeClr w14:val="tx1"/>
            </w14:solidFill>
          </w14:textFill>
        </w:rPr>
        <w:t>24.4属于无</w:t>
      </w:r>
      <w:r>
        <w:rPr>
          <w:rFonts w:hint="eastAsia" w:ascii="仿宋" w:hAnsi="仿宋" w:eastAsia="仿宋" w:cs="仿宋"/>
          <w:color w:val="000000" w:themeColor="text1"/>
          <w:sz w:val="28"/>
          <w:highlight w:val="none"/>
          <w14:textFill>
            <w14:solidFill>
              <w14:schemeClr w14:val="tx1"/>
            </w14:solidFill>
          </w14:textFill>
        </w:rPr>
        <w:t>效投标的，投标人不能通过修正或撤销投标文件中不符合之处而成为实质性响应的投标，招标代理机构将通知投标人，并说明无效投标理由；属于有效投标文件的，将进行下一轮次的询标和澄清</w:t>
      </w:r>
      <w:bookmarkEnd w:id="69"/>
      <w:r>
        <w:rPr>
          <w:rFonts w:hint="eastAsia" w:ascii="仿宋" w:hAnsi="仿宋" w:eastAsia="仿宋" w:cs="仿宋"/>
          <w:color w:val="000000" w:themeColor="text1"/>
          <w:sz w:val="28"/>
          <w:highlight w:val="none"/>
          <w14:textFill>
            <w14:solidFill>
              <w14:schemeClr w14:val="tx1"/>
            </w14:solidFill>
          </w14:textFill>
        </w:rPr>
        <w:t>。</w:t>
      </w:r>
    </w:p>
    <w:p w14:paraId="6C01A33A">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71" w:name="_Hlk154668262"/>
      <w:r>
        <w:rPr>
          <w:rFonts w:hint="eastAsia" w:ascii="仿宋" w:hAnsi="仿宋" w:eastAsia="仿宋" w:cs="仿宋"/>
          <w:b/>
          <w:color w:val="000000" w:themeColor="text1"/>
          <w:sz w:val="28"/>
          <w:szCs w:val="28"/>
          <w:highlight w:val="none"/>
          <w14:textFill>
            <w14:solidFill>
              <w14:schemeClr w14:val="tx1"/>
            </w14:solidFill>
          </w14:textFill>
        </w:rPr>
        <w:t>25.投标文件的澄清</w:t>
      </w:r>
    </w:p>
    <w:bookmarkEnd w:id="67"/>
    <w:p w14:paraId="15DFD04C">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14:paraId="4646C09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25.2投标人的澄清、说明或者补正应当采用书面形式，并加盖公章，或者由法定代表人或其授权的代表签字或盖章。投标人的澄清、说明或者补正不得超出投标文件的范围或者改变对投标文件的实质性内容。此书面文件是投标文件的组成部分</w:t>
      </w:r>
      <w:bookmarkEnd w:id="71"/>
      <w:r>
        <w:rPr>
          <w:rFonts w:hint="eastAsia" w:ascii="仿宋" w:hAnsi="仿宋" w:eastAsia="仿宋" w:cs="仿宋"/>
          <w:color w:val="000000" w:themeColor="text1"/>
          <w:sz w:val="28"/>
          <w:szCs w:val="28"/>
          <w:highlight w:val="none"/>
          <w14:textFill>
            <w14:solidFill>
              <w14:schemeClr w14:val="tx1"/>
            </w14:solidFill>
          </w14:textFill>
        </w:rPr>
        <w:t>。</w:t>
      </w:r>
    </w:p>
    <w:p w14:paraId="23561CB2">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72" w:name="_Hlk154668269"/>
      <w:r>
        <w:rPr>
          <w:rFonts w:hint="eastAsia" w:ascii="仿宋" w:hAnsi="仿宋" w:eastAsia="仿宋" w:cs="仿宋"/>
          <w:b/>
          <w:color w:val="000000" w:themeColor="text1"/>
          <w:sz w:val="28"/>
          <w:szCs w:val="28"/>
          <w:highlight w:val="none"/>
          <w14:textFill>
            <w14:solidFill>
              <w14:schemeClr w14:val="tx1"/>
            </w14:solidFill>
          </w14:textFill>
        </w:rPr>
        <w:t>26.投标文件的评价</w:t>
      </w:r>
    </w:p>
    <w:p w14:paraId="39979DF9">
      <w:pPr>
        <w:spacing w:line="518" w:lineRule="exact"/>
        <w:ind w:firstLine="548" w:firstLineChars="196"/>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评标委员会按招标文件中规定的评标方法和评标标准对有效投标文件的商务和技术进行评分，综合比较和评价，</w:t>
      </w:r>
      <w:bookmarkEnd w:id="72"/>
      <w:bookmarkStart w:id="73" w:name="_Hlk154668274"/>
      <w:r>
        <w:rPr>
          <w:rFonts w:hint="eastAsia" w:ascii="仿宋" w:hAnsi="仿宋" w:eastAsia="仿宋" w:cs="仿宋"/>
          <w:color w:val="000000" w:themeColor="text1"/>
          <w:sz w:val="28"/>
          <w:highlight w:val="none"/>
          <w14:textFill>
            <w14:solidFill>
              <w14:schemeClr w14:val="tx1"/>
            </w14:solidFill>
          </w14:textFill>
        </w:rPr>
        <w:t>按综合得分高低列出中标候选人排序表。若总分相同，以报价得分高的排前；若总分、报价得分都相同，则以技术实施方案得分高的排前</w:t>
      </w:r>
      <w:bookmarkEnd w:id="70"/>
      <w:r>
        <w:rPr>
          <w:rFonts w:hint="eastAsia" w:ascii="仿宋" w:hAnsi="仿宋" w:eastAsia="仿宋" w:cs="仿宋"/>
          <w:color w:val="000000" w:themeColor="text1"/>
          <w:sz w:val="28"/>
          <w:highlight w:val="none"/>
          <w14:textFill>
            <w14:solidFill>
              <w14:schemeClr w14:val="tx1"/>
            </w14:solidFill>
          </w14:textFill>
        </w:rPr>
        <w:t>。</w:t>
      </w:r>
      <w:bookmarkEnd w:id="73"/>
    </w:p>
    <w:p w14:paraId="089433F9">
      <w:pPr>
        <w:spacing w:line="518" w:lineRule="exact"/>
        <w:ind w:firstLine="548" w:firstLineChars="196"/>
        <w:rPr>
          <w:rFonts w:hint="eastAsia" w:ascii="仿宋" w:hAnsi="仿宋" w:eastAsia="仿宋" w:cs="仿宋"/>
          <w:color w:val="000000" w:themeColor="text1"/>
          <w:highlight w:val="none"/>
          <w14:textFill>
            <w14:solidFill>
              <w14:schemeClr w14:val="tx1"/>
            </w14:solidFill>
          </w14:textFill>
        </w:rPr>
      </w:pPr>
      <w:bookmarkStart w:id="74" w:name="_Hlk154668281"/>
      <w:r>
        <w:rPr>
          <w:rFonts w:hint="eastAsia" w:ascii="仿宋" w:hAnsi="仿宋" w:eastAsia="仿宋" w:cs="仿宋"/>
          <w:color w:val="000000" w:themeColor="text1"/>
          <w:sz w:val="28"/>
          <w:highlight w:val="none"/>
          <w14:textFill>
            <w14:solidFill>
              <w14:schemeClr w14:val="tx1"/>
            </w14:solidFill>
          </w14:textFill>
        </w:rPr>
        <w:t>26.1评审采用百分制。评标委员会各成员分别独立对实质上响应招标文件的投标文件 进行逐项评价打分，对评标委员会各成员每一因素的打分汇总后的得分为投标人的得分，汇总得分保留两位小数。</w:t>
      </w:r>
    </w:p>
    <w:p w14:paraId="389A9B1E">
      <w:pPr>
        <w:spacing w:line="518" w:lineRule="exact"/>
        <w:ind w:firstLine="548" w:firstLineChars="196"/>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26.2评标委员会只对确定为实质响应招标文件要求的投标文件进行评价和比较。必要时需标明评审理由。</w:t>
      </w:r>
    </w:p>
    <w:p w14:paraId="1E3DA890">
      <w:pPr>
        <w:spacing w:line="518" w:lineRule="exact"/>
        <w:ind w:firstLine="548" w:firstLineChars="196"/>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26.3招标代理机构工作人员负责复核、统计评标委员会成员的评审情况，发现评审意见有失公正时，提请该评标委员会成员修改评审意见</w:t>
      </w:r>
      <w:bookmarkEnd w:id="74"/>
      <w:r>
        <w:rPr>
          <w:rFonts w:hint="eastAsia" w:ascii="仿宋" w:hAnsi="仿宋" w:eastAsia="仿宋" w:cs="仿宋"/>
          <w:color w:val="000000" w:themeColor="text1"/>
          <w:sz w:val="28"/>
          <w:highlight w:val="none"/>
          <w14:textFill>
            <w14:solidFill>
              <w14:schemeClr w14:val="tx1"/>
            </w14:solidFill>
          </w14:textFill>
        </w:rPr>
        <w:t>。</w:t>
      </w:r>
    </w:p>
    <w:p w14:paraId="3E786DE9">
      <w:pPr>
        <w:spacing w:line="518" w:lineRule="exact"/>
        <w:ind w:firstLine="548" w:firstLineChars="196"/>
        <w:rPr>
          <w:rFonts w:hint="eastAsia" w:ascii="仿宋" w:hAnsi="仿宋" w:eastAsia="仿宋" w:cs="仿宋"/>
          <w:color w:val="000000" w:themeColor="text1"/>
          <w:highlight w:val="none"/>
          <w14:textFill>
            <w14:solidFill>
              <w14:schemeClr w14:val="tx1"/>
            </w14:solidFill>
          </w14:textFill>
        </w:rPr>
      </w:pPr>
      <w:bookmarkStart w:id="75" w:name="_Hlk154668289"/>
      <w:r>
        <w:rPr>
          <w:rFonts w:hint="eastAsia" w:ascii="仿宋" w:hAnsi="仿宋" w:eastAsia="仿宋" w:cs="仿宋"/>
          <w:color w:val="000000" w:themeColor="text1"/>
          <w:sz w:val="28"/>
          <w:highlight w:val="none"/>
          <w14:textFill>
            <w14:solidFill>
              <w14:schemeClr w14:val="tx1"/>
            </w14:solidFill>
          </w14:textFill>
        </w:rPr>
        <w:t>26.4评审时除考虑投标人的报价之外，还将考虑以下因素：</w:t>
      </w:r>
    </w:p>
    <w:p w14:paraId="2D1D5611">
      <w:pPr>
        <w:spacing w:line="518" w:lineRule="exact"/>
        <w:ind w:firstLine="548" w:firstLineChars="196"/>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①投标文件的响应状况（包括是否按照招标文件要求制作）；</w:t>
      </w:r>
    </w:p>
    <w:p w14:paraId="597B9C85">
      <w:pPr>
        <w:spacing w:line="518" w:lineRule="exact"/>
        <w:ind w:firstLine="548" w:firstLineChars="196"/>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②招标文件规定的其它评审因素。</w:t>
      </w:r>
    </w:p>
    <w:p w14:paraId="76308C0E">
      <w:pPr>
        <w:spacing w:line="518" w:lineRule="exact"/>
        <w:ind w:firstLine="548" w:firstLineChars="196"/>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26.5评标委员会发现招标文件存在歧义、重大缺陷导致评标工作无法进行，或者招标文件内容违反国家有关强制性规定的，应当停止评标工作，与招标人或者招标代理机构沟通并作书面记录。招标人确认后，应当修改招标文件，重新组织招标活动。</w:t>
      </w:r>
    </w:p>
    <w:p w14:paraId="3F79EAF3">
      <w:pPr>
        <w:spacing w:line="518" w:lineRule="exact"/>
        <w:ind w:firstLine="548" w:firstLineChars="196"/>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26.6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14:paraId="43373B7A">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27.出现下列情形之一的，应予废标</w:t>
      </w:r>
      <w:bookmarkEnd w:id="75"/>
      <w:r>
        <w:rPr>
          <w:rFonts w:hint="eastAsia" w:ascii="仿宋" w:hAnsi="仿宋" w:eastAsia="仿宋" w:cs="仿宋"/>
          <w:b/>
          <w:color w:val="000000" w:themeColor="text1"/>
          <w:sz w:val="28"/>
          <w:szCs w:val="28"/>
          <w:highlight w:val="none"/>
          <w14:textFill>
            <w14:solidFill>
              <w14:schemeClr w14:val="tx1"/>
            </w14:solidFill>
          </w14:textFill>
        </w:rPr>
        <w:t>：</w:t>
      </w:r>
    </w:p>
    <w:p w14:paraId="2CE95A3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1"/>
          <w:highlight w:val="none"/>
          <w14:textFill>
            <w14:solidFill>
              <w14:schemeClr w14:val="tx1"/>
            </w14:solidFill>
          </w14:textFill>
        </w:rPr>
        <w:t>合格的投标人或参加投标的企业不足三家的</w:t>
      </w:r>
      <w:r>
        <w:rPr>
          <w:rFonts w:hint="eastAsia" w:ascii="仿宋" w:hAnsi="仿宋" w:eastAsia="仿宋" w:cs="仿宋"/>
          <w:color w:val="000000" w:themeColor="text1"/>
          <w:sz w:val="28"/>
          <w:szCs w:val="28"/>
          <w:highlight w:val="none"/>
          <w14:textFill>
            <w14:solidFill>
              <w14:schemeClr w14:val="tx1"/>
            </w14:solidFill>
          </w14:textFill>
        </w:rPr>
        <w:t>；</w:t>
      </w:r>
    </w:p>
    <w:p w14:paraId="265203F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bookmarkStart w:id="76" w:name="_Hlk154668298"/>
      <w:r>
        <w:rPr>
          <w:rFonts w:hint="eastAsia" w:ascii="仿宋" w:hAnsi="仿宋" w:eastAsia="仿宋" w:cs="仿宋"/>
          <w:color w:val="000000" w:themeColor="text1"/>
          <w:sz w:val="28"/>
          <w:szCs w:val="28"/>
          <w:highlight w:val="none"/>
          <w14:textFill>
            <w14:solidFill>
              <w14:schemeClr w14:val="tx1"/>
            </w14:solidFill>
          </w14:textFill>
        </w:rPr>
        <w:t>（2）出现影响招标公正的违法、违规行为的；</w:t>
      </w:r>
    </w:p>
    <w:p w14:paraId="336E8D65">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（3）投标报价超过招标文件中规定的最高限价，招标人不能支付的；</w:t>
      </w:r>
    </w:p>
    <w:p w14:paraId="333328CB">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（4）因重大变故，招标任务取消的</w:t>
      </w:r>
      <w:bookmarkEnd w:id="76"/>
      <w:r>
        <w:rPr>
          <w:rFonts w:hint="eastAsia" w:ascii="仿宋" w:hAnsi="仿宋" w:eastAsia="仿宋" w:cs="仿宋"/>
          <w:color w:val="000000" w:themeColor="text1"/>
          <w:sz w:val="28"/>
          <w:szCs w:val="28"/>
          <w:highlight w:val="none"/>
          <w14:textFill>
            <w14:solidFill>
              <w14:schemeClr w14:val="tx1"/>
            </w14:solidFill>
          </w14:textFill>
        </w:rPr>
        <w:t>。</w:t>
      </w:r>
    </w:p>
    <w:p w14:paraId="4CB0CA10">
      <w:pPr>
        <w:pStyle w:val="5"/>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77" w:name="_Toc66864047"/>
      <w:bookmarkStart w:id="78" w:name="_Toc12935"/>
      <w:r>
        <w:rPr>
          <w:rStyle w:val="431"/>
          <w:rFonts w:hint="eastAsia" w:ascii="仿宋" w:hAnsi="仿宋" w:eastAsia="仿宋" w:cs="仿宋"/>
          <w:b/>
          <w:bCs/>
          <w:color w:val="000000" w:themeColor="text1"/>
          <w:kern w:val="2"/>
          <w:sz w:val="28"/>
          <w:szCs w:val="32"/>
          <w:highlight w:val="none"/>
          <w14:textFill>
            <w14:solidFill>
              <w14:schemeClr w14:val="tx1"/>
            </w14:solidFill>
          </w14:textFill>
        </w:rPr>
        <w:t>六、定标</w:t>
      </w:r>
      <w:bookmarkEnd w:id="77"/>
      <w:bookmarkEnd w:id="78"/>
    </w:p>
    <w:p w14:paraId="3544AB3E">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bookmarkStart w:id="79" w:name="_Hlk154668311"/>
      <w:r>
        <w:rPr>
          <w:rFonts w:hint="eastAsia" w:ascii="仿宋" w:hAnsi="仿宋" w:eastAsia="仿宋" w:cs="仿宋"/>
          <w:b/>
          <w:color w:val="000000" w:themeColor="text1"/>
          <w:sz w:val="28"/>
          <w:szCs w:val="28"/>
          <w:highlight w:val="none"/>
          <w14:textFill>
            <w14:solidFill>
              <w14:schemeClr w14:val="tx1"/>
            </w14:solidFill>
          </w14:textFill>
        </w:rPr>
        <w:t>28.确定中标候选人</w:t>
      </w:r>
    </w:p>
    <w:p w14:paraId="266A44CA">
      <w:pPr>
        <w:spacing w:line="560" w:lineRule="exact"/>
        <w:ind w:firstLine="562" w:firstLineChars="201"/>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28.1评标委员会按照招标文件确定的评标方法、步骤、标准，对投标文件进行评审。评标结束后，对</w:t>
      </w:r>
      <w:bookmarkEnd w:id="79"/>
      <w:r>
        <w:rPr>
          <w:rFonts w:hint="eastAsia" w:ascii="仿宋" w:hAnsi="仿宋" w:eastAsia="仿宋" w:cs="仿宋"/>
          <w:bCs/>
          <w:color w:val="000000" w:themeColor="text1"/>
          <w:sz w:val="28"/>
          <w:szCs w:val="28"/>
          <w:highlight w:val="none"/>
          <w14:textFill>
            <w14:solidFill>
              <w14:schemeClr w14:val="tx1"/>
            </w14:solidFill>
          </w14:textFill>
        </w:rPr>
        <w:t>投标人的评审名次进行排序，确定中标候选人，根据全体评标成员签字的原始评标记录和评标结果编写评标报告。</w:t>
      </w:r>
    </w:p>
    <w:p w14:paraId="55DDB600">
      <w:pPr>
        <w:spacing w:line="560" w:lineRule="exact"/>
        <w:ind w:firstLine="562" w:firstLineChars="201"/>
        <w:rPr>
          <w:rFonts w:hint="eastAsia" w:ascii="仿宋" w:hAnsi="仿宋" w:eastAsia="仿宋" w:cs="仿宋"/>
          <w:bCs/>
          <w:color w:val="000000" w:themeColor="text1"/>
          <w:sz w:val="28"/>
          <w:szCs w:val="28"/>
          <w:highlight w:val="none"/>
          <w14:textFill>
            <w14:solidFill>
              <w14:schemeClr w14:val="tx1"/>
            </w14:solidFill>
          </w14:textFill>
        </w:rPr>
      </w:pPr>
      <w:bookmarkStart w:id="80" w:name="_Hlk154668326"/>
      <w:r>
        <w:rPr>
          <w:rFonts w:hint="eastAsia" w:ascii="仿宋" w:hAnsi="仿宋" w:eastAsia="仿宋" w:cs="仿宋"/>
          <w:bCs/>
          <w:color w:val="000000" w:themeColor="text1"/>
          <w:sz w:val="28"/>
          <w:szCs w:val="28"/>
          <w:highlight w:val="none"/>
          <w14:textFill>
            <w14:solidFill>
              <w14:schemeClr w14:val="tx1"/>
            </w14:solidFill>
          </w14:textFill>
        </w:rPr>
        <w:t>28.2评委会所有成员应当在评标报告上签字确认，评标报告的主要内容包括：</w:t>
      </w:r>
    </w:p>
    <w:p w14:paraId="359BF5D1">
      <w:pPr>
        <w:spacing w:line="560" w:lineRule="exact"/>
        <w:ind w:firstLine="562" w:firstLineChars="201"/>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（1）招标公告刊登的媒介名称、开标日期和地点；</w:t>
      </w:r>
    </w:p>
    <w:p w14:paraId="3B322845">
      <w:pPr>
        <w:spacing w:line="560" w:lineRule="exact"/>
        <w:ind w:firstLine="562" w:firstLineChars="201"/>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（2）投标人名单和评标委员会成员名单；</w:t>
      </w:r>
    </w:p>
    <w:p w14:paraId="0E3FB4A3">
      <w:pPr>
        <w:spacing w:line="560" w:lineRule="exact"/>
        <w:ind w:firstLine="562" w:firstLineChars="201"/>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（3）评标方法和评标标准；</w:t>
      </w:r>
    </w:p>
    <w:p w14:paraId="3D019553">
      <w:pPr>
        <w:spacing w:line="560" w:lineRule="exact"/>
        <w:ind w:firstLine="562" w:firstLineChars="201"/>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（4）开标记录和评标情况及说明，包括投标无效投标人名单及原因；</w:t>
      </w:r>
    </w:p>
    <w:p w14:paraId="00CA6F44">
      <w:pPr>
        <w:spacing w:line="560" w:lineRule="exact"/>
        <w:ind w:firstLine="562" w:firstLineChars="201"/>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（5）评标结果，确定的中标候选人名单或者经招标人委托直接确定的中标人；</w:t>
      </w:r>
    </w:p>
    <w:p w14:paraId="711B3C92">
      <w:pPr>
        <w:spacing w:line="560" w:lineRule="exact"/>
        <w:ind w:firstLine="562" w:firstLineChars="201"/>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（6）其他需要说明的情况，包括评标过程中投标人根据评标委员会要求进行澄清、说明或者补正，评标委员会成员的更换等</w:t>
      </w:r>
      <w:bookmarkEnd w:id="80"/>
      <w:r>
        <w:rPr>
          <w:rFonts w:hint="eastAsia" w:ascii="仿宋" w:hAnsi="仿宋" w:eastAsia="仿宋" w:cs="仿宋"/>
          <w:bCs/>
          <w:color w:val="000000" w:themeColor="text1"/>
          <w:sz w:val="28"/>
          <w:szCs w:val="28"/>
          <w:highlight w:val="none"/>
          <w14:textFill>
            <w14:solidFill>
              <w14:schemeClr w14:val="tx1"/>
            </w14:solidFill>
          </w14:textFill>
        </w:rPr>
        <w:t>。</w:t>
      </w:r>
    </w:p>
    <w:p w14:paraId="3CEFA813">
      <w:pPr>
        <w:spacing w:line="560" w:lineRule="exact"/>
        <w:ind w:firstLine="565" w:firstLineChars="201"/>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29.确定中标人</w:t>
      </w:r>
    </w:p>
    <w:p w14:paraId="510FA9A8">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可委托评标委员会直接定标，确定排名第一的中标候选人为中标人；也可以自主定标。自主定标的，招标人应当在收到评审报告后3个工作日内确定中标人，招标人逾期未确定中标人且不提出异议的，视为确定评审报告提出的排序第一的投标人为中标人。</w:t>
      </w:r>
    </w:p>
    <w:p w14:paraId="60EC7A2E">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中标人在规定的期限内无正当理由拒绝签订合同，招标人可以按照评审报告推荐的中标候选人名单排序，确定下一候选人为中标人，也可以重新开展招标活动。</w:t>
      </w:r>
    </w:p>
    <w:p w14:paraId="6B1822FB">
      <w:pPr>
        <w:pStyle w:val="5"/>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81" w:name="_Toc22073"/>
      <w:bookmarkStart w:id="82" w:name="_Toc66864048"/>
      <w:r>
        <w:rPr>
          <w:rStyle w:val="431"/>
          <w:rFonts w:hint="eastAsia" w:ascii="仿宋" w:hAnsi="仿宋" w:eastAsia="仿宋" w:cs="仿宋"/>
          <w:b/>
          <w:bCs/>
          <w:color w:val="000000" w:themeColor="text1"/>
          <w:kern w:val="2"/>
          <w:sz w:val="28"/>
          <w:szCs w:val="32"/>
          <w:highlight w:val="none"/>
          <w14:textFill>
            <w14:solidFill>
              <w14:schemeClr w14:val="tx1"/>
            </w14:solidFill>
          </w14:textFill>
        </w:rPr>
        <w:t>七、结果公告</w:t>
      </w:r>
      <w:bookmarkEnd w:id="81"/>
      <w:bookmarkEnd w:id="82"/>
    </w:p>
    <w:p w14:paraId="1802E315">
      <w:pPr>
        <w:spacing w:line="560" w:lineRule="exact"/>
        <w:ind w:firstLine="565" w:firstLineChars="201"/>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30.结果公告</w:t>
      </w:r>
    </w:p>
    <w:p w14:paraId="41CE65AF">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招标人应当自定标结束后在招标公告发布媒介发布中标公告。中标公告期限为1个工作日。中标公告应当包括下列内容：</w:t>
      </w:r>
    </w:p>
    <w:p w14:paraId="261FC83D">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（1）招标人、代理机构的名称、地址和联系方式；</w:t>
      </w:r>
    </w:p>
    <w:p w14:paraId="2C518196">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（2）项目名称和招标编号；</w:t>
      </w:r>
    </w:p>
    <w:p w14:paraId="4DE51E86">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（3）中标人名称和中标金额。</w:t>
      </w:r>
    </w:p>
    <w:p w14:paraId="69D0DC02">
      <w:pPr>
        <w:spacing w:line="560" w:lineRule="exact"/>
        <w:ind w:firstLine="565" w:firstLineChars="201"/>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31.签发中标通知书</w:t>
      </w:r>
    </w:p>
    <w:p w14:paraId="0C95370F">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中标公告结束且无尚未处理的异议后，招标人和代理机构联合向中标人发出中标通知书。</w:t>
      </w:r>
    </w:p>
    <w:p w14:paraId="536DF75D">
      <w:pPr>
        <w:pStyle w:val="5"/>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83" w:name="_Toc66864049"/>
      <w:bookmarkStart w:id="84" w:name="_Toc20782"/>
      <w:r>
        <w:rPr>
          <w:rStyle w:val="431"/>
          <w:rFonts w:hint="eastAsia" w:ascii="仿宋" w:hAnsi="仿宋" w:eastAsia="仿宋" w:cs="仿宋"/>
          <w:b/>
          <w:bCs/>
          <w:color w:val="000000" w:themeColor="text1"/>
          <w:kern w:val="2"/>
          <w:sz w:val="28"/>
          <w:szCs w:val="32"/>
          <w:highlight w:val="none"/>
          <w14:textFill>
            <w14:solidFill>
              <w14:schemeClr w14:val="tx1"/>
            </w14:solidFill>
          </w14:textFill>
        </w:rPr>
        <w:t>八、质疑</w:t>
      </w:r>
      <w:bookmarkEnd w:id="83"/>
      <w:bookmarkEnd w:id="84"/>
    </w:p>
    <w:p w14:paraId="3CB79E7A">
      <w:pPr>
        <w:snapToGrid w:val="0"/>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32.质疑</w:t>
      </w:r>
    </w:p>
    <w:p w14:paraId="6B47732D">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32.1投标人认为招标文件、招标过程、中标结果使自己的权益受到损害，应于法律法规的规定期限内以书面形式向招标人或招标代理机构提出质疑。招标人或招标代理机构应当在收到投标人的书面质疑后3个工作日内做出书面答复，但答复内容不得涉及商业秘密。</w:t>
      </w:r>
    </w:p>
    <w:p w14:paraId="2F1A82C7">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投标人应按照下列规定进行质疑：</w:t>
      </w:r>
    </w:p>
    <w:p w14:paraId="2717E8D5">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32.2提出质疑的投标人应当是参与本项目招标活动的投标人。</w:t>
      </w:r>
    </w:p>
    <w:p w14:paraId="5B4BF35E">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32.3投标人应在法定质疑期内一次性提出针对同一采购程序环节的质疑。</w:t>
      </w:r>
    </w:p>
    <w:p w14:paraId="0BC43BA3">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32.4质疑采用实名制，为了使提出的质疑事项在规定时间内得到有效答复、处理，提交的质疑函务必提供以下内容。</w:t>
      </w:r>
    </w:p>
    <w:p w14:paraId="02309191">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（1）投标人的姓名或名称、地址（邮箱）、邮编、联系人及联系电话；</w:t>
      </w:r>
    </w:p>
    <w:p w14:paraId="1C4D27BE">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（2）质疑项目的名称、编号；</w:t>
      </w:r>
    </w:p>
    <w:p w14:paraId="56FA631D">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（3）具体、明确的质疑事项和与质疑事项相关的请求；</w:t>
      </w:r>
    </w:p>
    <w:p w14:paraId="5EB93E21">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（4）事实依据；</w:t>
      </w:r>
    </w:p>
    <w:p w14:paraId="039155BA">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（5）必要的法律依据；</w:t>
      </w:r>
    </w:p>
    <w:p w14:paraId="79927CF6">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（6）提出质疑的日期。</w:t>
      </w:r>
    </w:p>
    <w:p w14:paraId="03D0D2A5">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投标人为自然人的，应当由本人签字；投标人为法人或者其他组织的，应当由法定代表人、单位负责人，或者其被授权人签字或者盖章，并加盖公章。</w:t>
      </w:r>
    </w:p>
    <w:p w14:paraId="7D2DBF5B">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32.5招标人或招标代理机构正式受理后方可生效。否则，为无效质疑。</w:t>
      </w:r>
    </w:p>
    <w:p w14:paraId="5F1307D5">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32.6有下列情况之一的质疑不予受理：</w:t>
      </w:r>
    </w:p>
    <w:p w14:paraId="7820674B">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（1）无质疑函件或质疑函件缺少投标人法人印章、投标人法定代表人签字、有效授权书和联系方式之一的质疑；</w:t>
      </w:r>
    </w:p>
    <w:p w14:paraId="0E279E30">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（2）质疑函件无实质性内容或佐证文件资料，主观臆断及推理得出结论的质疑；</w:t>
      </w:r>
    </w:p>
    <w:p w14:paraId="20EC4752">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（3）相应证明材料不真实或来源不合法的质疑；</w:t>
      </w:r>
    </w:p>
    <w:p w14:paraId="2378CAE4">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（4）未按规定时间或超过公示期限提出的质疑；</w:t>
      </w:r>
    </w:p>
    <w:p w14:paraId="6C0C45D9">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32.7对捏造事实，提供虚假材料或者以非法手段取得证明材料进行恶意质疑的，一经查实，将列入平台黑名单。</w:t>
      </w:r>
    </w:p>
    <w:p w14:paraId="2DE07870">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32.8仲裁或起诉</w:t>
      </w:r>
    </w:p>
    <w:p w14:paraId="17793C07">
      <w:pPr>
        <w:spacing w:line="560" w:lineRule="exact"/>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投标人对答复不满意，或者招标人、招标代理机构未在规定的时间内做出书面答复的，投标人可以在答复期满后向招标人所在地仲裁机构、人民法院申请仲裁或起诉。</w:t>
      </w:r>
    </w:p>
    <w:p w14:paraId="21009C21">
      <w:pPr>
        <w:pStyle w:val="5"/>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85" w:name="_Toc66864050"/>
      <w:bookmarkStart w:id="86" w:name="_Toc8033"/>
      <w:r>
        <w:rPr>
          <w:rStyle w:val="431"/>
          <w:rFonts w:hint="eastAsia" w:ascii="仿宋" w:hAnsi="仿宋" w:eastAsia="仿宋" w:cs="仿宋"/>
          <w:b/>
          <w:bCs/>
          <w:color w:val="000000" w:themeColor="text1"/>
          <w:kern w:val="2"/>
          <w:sz w:val="28"/>
          <w:szCs w:val="32"/>
          <w:highlight w:val="none"/>
          <w14:textFill>
            <w14:solidFill>
              <w14:schemeClr w14:val="tx1"/>
            </w14:solidFill>
          </w14:textFill>
        </w:rPr>
        <w:t>九、签订合同</w:t>
      </w:r>
      <w:bookmarkEnd w:id="85"/>
      <w:bookmarkEnd w:id="86"/>
    </w:p>
    <w:p w14:paraId="2F7271AF">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中标通知书发出之日起30日内，按招标文件、中标人的投标文件签订采购合同。</w:t>
      </w:r>
    </w:p>
    <w:p w14:paraId="54801C4B">
      <w:pPr>
        <w:snapToGrid w:val="0"/>
        <w:spacing w:line="560" w:lineRule="exact"/>
        <w:ind w:firstLine="562" w:firstLineChars="201"/>
        <w:rPr>
          <w:rFonts w:hint="eastAsia" w:ascii="仿宋" w:hAnsi="仿宋" w:eastAsia="仿宋" w:cs="仿宋"/>
          <w:b/>
          <w:bCs/>
          <w:color w:val="000000" w:themeColor="text1"/>
          <w:kern w:val="44"/>
          <w:sz w:val="44"/>
          <w:szCs w:val="44"/>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w:t>
      </w:r>
      <w:r>
        <w:rPr>
          <w:rFonts w:hint="eastAsia" w:ascii="仿宋" w:hAnsi="仿宋" w:eastAsia="仿宋" w:cs="仿宋"/>
          <w:color w:val="000000" w:themeColor="text1"/>
          <w:sz w:val="28"/>
          <w:highlight w:val="none"/>
          <w14:textFill>
            <w14:solidFill>
              <w14:schemeClr w14:val="tx1"/>
            </w14:solidFill>
          </w14:textFill>
        </w:rPr>
        <w:t>第六章 合同（范本）</w:t>
      </w:r>
      <w:r>
        <w:rPr>
          <w:rFonts w:hint="eastAsia" w:ascii="仿宋" w:hAnsi="仿宋" w:eastAsia="仿宋" w:cs="仿宋"/>
          <w:color w:val="000000" w:themeColor="text1"/>
          <w:sz w:val="28"/>
          <w:szCs w:val="28"/>
          <w:highlight w:val="none"/>
          <w14:textFill>
            <w14:solidFill>
              <w14:schemeClr w14:val="tx1"/>
            </w14:solidFill>
          </w14:textFill>
        </w:rPr>
        <w:t>为基础，并根据响应、答疑情况进行修改补充，自签订之日起生效。</w:t>
      </w:r>
      <w:bookmarkEnd w:id="17"/>
      <w:bookmarkEnd w:id="18"/>
      <w:bookmarkEnd w:id="19"/>
      <w:bookmarkStart w:id="87" w:name="_Toc66864046"/>
      <w:bookmarkEnd w:id="87"/>
      <w:bookmarkStart w:id="88" w:name="_Toc66864051"/>
      <w:bookmarkEnd w:id="88"/>
      <w:bookmarkStart w:id="89" w:name="_Toc66864053"/>
      <w:bookmarkStart w:id="90" w:name="_Toc413596397"/>
      <w:bookmarkStart w:id="91" w:name="_Toc382129915"/>
      <w:bookmarkStart w:id="92" w:name="_Toc266431156"/>
      <w:r>
        <w:rPr>
          <w:rFonts w:hint="eastAsia" w:ascii="仿宋" w:hAnsi="仿宋" w:eastAsia="仿宋" w:cs="仿宋"/>
          <w:color w:val="000000" w:themeColor="text1"/>
          <w:highlight w:val="none"/>
          <w14:textFill>
            <w14:solidFill>
              <w14:schemeClr w14:val="tx1"/>
            </w14:solidFill>
          </w14:textFill>
        </w:rPr>
        <w:br w:type="page"/>
      </w:r>
    </w:p>
    <w:p w14:paraId="51CA3B4B">
      <w:pPr>
        <w:pStyle w:val="4"/>
        <w:jc w:val="center"/>
        <w:rPr>
          <w:rFonts w:hint="eastAsia" w:ascii="仿宋" w:hAnsi="仿宋" w:eastAsia="仿宋" w:cs="仿宋"/>
          <w:color w:val="000000" w:themeColor="text1"/>
          <w:highlight w:val="none"/>
          <w14:textFill>
            <w14:solidFill>
              <w14:schemeClr w14:val="tx1"/>
            </w14:solidFill>
          </w14:textFill>
        </w:rPr>
      </w:pPr>
      <w:bookmarkStart w:id="93" w:name="_Toc25607"/>
      <w:r>
        <w:rPr>
          <w:rFonts w:hint="eastAsia" w:ascii="仿宋" w:hAnsi="仿宋" w:eastAsia="仿宋" w:cs="仿宋"/>
          <w:color w:val="000000" w:themeColor="text1"/>
          <w:highlight w:val="none"/>
          <w14:textFill>
            <w14:solidFill>
              <w14:schemeClr w14:val="tx1"/>
            </w14:solidFill>
          </w14:textFill>
        </w:rPr>
        <w:t>第三章</w:t>
      </w:r>
      <w:bookmarkEnd w:id="89"/>
      <w:r>
        <w:rPr>
          <w:rFonts w:hint="eastAsia" w:ascii="仿宋" w:hAnsi="仿宋" w:eastAsia="仿宋" w:cs="仿宋"/>
          <w:color w:val="000000" w:themeColor="text1"/>
          <w:highlight w:val="none"/>
          <w14:textFill>
            <w14:solidFill>
              <w14:schemeClr w14:val="tx1"/>
            </w14:solidFill>
          </w14:textFill>
        </w:rPr>
        <w:t xml:space="preserve">  开标、评标、定标</w:t>
      </w:r>
      <w:bookmarkEnd w:id="93"/>
    </w:p>
    <w:p w14:paraId="5651821D">
      <w:pPr>
        <w:pStyle w:val="5"/>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94" w:name="_Toc776"/>
      <w:r>
        <w:rPr>
          <w:rStyle w:val="431"/>
          <w:rFonts w:hint="eastAsia" w:ascii="仿宋" w:hAnsi="仿宋" w:eastAsia="仿宋" w:cs="仿宋"/>
          <w:b/>
          <w:bCs/>
          <w:color w:val="000000" w:themeColor="text1"/>
          <w:kern w:val="2"/>
          <w:sz w:val="28"/>
          <w:szCs w:val="32"/>
          <w:highlight w:val="none"/>
          <w14:textFill>
            <w14:solidFill>
              <w14:schemeClr w14:val="tx1"/>
            </w14:solidFill>
          </w14:textFill>
        </w:rPr>
        <w:t>一、开标</w:t>
      </w:r>
      <w:bookmarkEnd w:id="94"/>
    </w:p>
    <w:p w14:paraId="0FF97286">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1.招标代理机构在招标公告规定的时间和地点组织开标。投标截止时间结束后，投标人不足3家的不得开标。</w:t>
      </w:r>
    </w:p>
    <w:p w14:paraId="6FAB25F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2.开标前准备：投标人需提前准备已配置好环境的电脑，在规定的时间进行远程开标的各项操作。</w:t>
      </w:r>
    </w:p>
    <w:p w14:paraId="13DB6F49">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3.开标程序：签到-开标-解密-唱标，具体详见“第二章 投标须知”。</w:t>
      </w:r>
    </w:p>
    <w:p w14:paraId="64490A2D">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（1）投标人代表应在签到表格相应位置上加盖CA锁中的法定代表人电子人名章或公章以证明其出席，在开标时间前未完成签到的将会被</w:t>
      </w:r>
      <w:r>
        <w:rPr>
          <w:rFonts w:hint="eastAsia" w:ascii="仿宋" w:hAnsi="仿宋" w:eastAsia="仿宋" w:cs="仿宋"/>
          <w:b/>
          <w:color w:val="000000" w:themeColor="text1"/>
          <w:sz w:val="28"/>
          <w:szCs w:val="28"/>
          <w:highlight w:val="none"/>
          <w14:textFill>
            <w14:solidFill>
              <w14:schemeClr w14:val="tx1"/>
            </w14:solidFill>
          </w14:textFill>
        </w:rPr>
        <w:t>视作</w:t>
      </w:r>
      <w:r>
        <w:rPr>
          <w:rFonts w:hint="eastAsia" w:ascii="仿宋" w:hAnsi="仿宋" w:eastAsia="仿宋" w:cs="仿宋"/>
          <w:color w:val="000000" w:themeColor="text1"/>
          <w:sz w:val="28"/>
          <w:szCs w:val="28"/>
          <w:highlight w:val="none"/>
          <w14:textFill>
            <w14:solidFill>
              <w14:schemeClr w14:val="tx1"/>
            </w14:solidFill>
          </w14:textFill>
        </w:rPr>
        <w:t>认同开标结果。</w:t>
      </w:r>
    </w:p>
    <w:p w14:paraId="61184533">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（2）投标须知前附表规定了文件解密时间，投标人忘记密码、输入密码错误太多导致CA锁定、未能按时完成解密、其《数据文件》填写、盖章不规范等导致系统无法解析的，将会被视为</w:t>
      </w:r>
      <w:r>
        <w:rPr>
          <w:rFonts w:hint="eastAsia" w:ascii="仿宋" w:hAnsi="仿宋" w:eastAsia="仿宋" w:cs="仿宋"/>
          <w:b/>
          <w:color w:val="000000" w:themeColor="text1"/>
          <w:sz w:val="28"/>
          <w:szCs w:val="28"/>
          <w:highlight w:val="none"/>
          <w14:textFill>
            <w14:solidFill>
              <w14:schemeClr w14:val="tx1"/>
            </w14:solidFill>
          </w14:textFill>
        </w:rPr>
        <w:t>无效投标</w:t>
      </w:r>
      <w:r>
        <w:rPr>
          <w:rFonts w:hint="eastAsia" w:ascii="仿宋" w:hAnsi="仿宋" w:eastAsia="仿宋" w:cs="仿宋"/>
          <w:color w:val="000000" w:themeColor="text1"/>
          <w:sz w:val="28"/>
          <w:szCs w:val="28"/>
          <w:highlight w:val="none"/>
          <w14:textFill>
            <w14:solidFill>
              <w14:schemeClr w14:val="tx1"/>
            </w14:solidFill>
          </w14:textFill>
        </w:rPr>
        <w:t>。</w:t>
      </w:r>
    </w:p>
    <w:p w14:paraId="7B23A21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（3）开标过程应当由招标人或招标代理机构负责记录，最终形成开标一览表并加盖CA锁中的法定代表人电子人名章或公章。</w:t>
      </w:r>
    </w:p>
    <w:p w14:paraId="210E7A7E">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投标人代表对开标过程和开标记录有疑义，以及认为招标人、招标代理机构相关工作人员有需要回避的情形的，应当场提出询问或者回避申请。招标人、招标代理机构对投标人代表提出的询问或者回避申请应当及时处理。</w:t>
      </w:r>
    </w:p>
    <w:p w14:paraId="437DEC58">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4.应急开标程序：如需启动应急开标程序，应按第二章投标须知第22.11-22.13内容进行。</w:t>
      </w:r>
    </w:p>
    <w:p w14:paraId="50E0CB21">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5.录音、录像：威海市公共资源交易中心负责从提交投标文件开始到确定中标结果全过程的录音、录像工作，确保声音清楚、图像清晰、内容无遗漏。</w:t>
      </w:r>
    </w:p>
    <w:p w14:paraId="5ADD7EB0">
      <w:pPr>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6.评审过程中，如遇特殊情况，服从威海市公共资源交易中心场地调配，并遵守相关规章制度。</w:t>
      </w:r>
    </w:p>
    <w:p w14:paraId="7E520DA3">
      <w:pPr>
        <w:pStyle w:val="5"/>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95" w:name="_Toc12057"/>
      <w:r>
        <w:rPr>
          <w:rStyle w:val="431"/>
          <w:rFonts w:hint="eastAsia" w:ascii="仿宋" w:hAnsi="仿宋" w:eastAsia="仿宋" w:cs="仿宋"/>
          <w:b/>
          <w:bCs/>
          <w:color w:val="000000" w:themeColor="text1"/>
          <w:kern w:val="2"/>
          <w:sz w:val="28"/>
          <w:szCs w:val="32"/>
          <w:highlight w:val="none"/>
          <w14:textFill>
            <w14:solidFill>
              <w14:schemeClr w14:val="tx1"/>
            </w14:solidFill>
          </w14:textFill>
        </w:rPr>
        <w:t>二、评标</w:t>
      </w:r>
      <w:bookmarkEnd w:id="95"/>
    </w:p>
    <w:p w14:paraId="2CE20F0B">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1.评标原则</w:t>
      </w:r>
    </w:p>
    <w:p w14:paraId="7767D0F7">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“公平、公正、科学、择优”为本次评标的基本原则，评标委员会将按照这一原则的要求，公正、平等地对待各投标人，同时，在评标时恪守以下原则：</w:t>
      </w:r>
    </w:p>
    <w:p w14:paraId="64C887DE">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（1）客观性原则：评标委员会将严格按照招标文件的要求，对投标人的投标文件进行认真评审，评标委员会对投标文件的评审仅依据投标文件本身，而不依靠投标文件以外的任何因素。</w:t>
      </w:r>
    </w:p>
    <w:p w14:paraId="7C113E77">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（2）统一性原则：评标委员会将按照统一的评标原则和评标方法，采用统一标准进行评标。</w:t>
      </w:r>
    </w:p>
    <w:p w14:paraId="3C964DDF">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（3）独立性原则：评标工作在评标委员会内部独立进行，不受外界任何因素的干扰和影响。</w:t>
      </w:r>
    </w:p>
    <w:p w14:paraId="6D363A8D">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（4）保密性原则：评标委员会及熟知情况的有关工作人员必须对每位评委的评标意见和投标人的商业秘密严格保密，不得外泄。</w:t>
      </w:r>
    </w:p>
    <w:p w14:paraId="54712B8E">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（5）综合性原则：评标委员会将综合分析、评审投标人的各项指标，而不以单项指标的优劣评定出中标人。</w:t>
      </w:r>
    </w:p>
    <w:p w14:paraId="14A0DC00">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2.评标程序</w:t>
      </w:r>
    </w:p>
    <w:p w14:paraId="7A24B7AD">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（1）核对评审专家身份、招标人代表授权书（如有）；</w:t>
      </w:r>
    </w:p>
    <w:p w14:paraId="6DA75338">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（2）宣布评标纪律；</w:t>
      </w:r>
    </w:p>
    <w:p w14:paraId="4730706C">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（3）公布投标人名单，告知评审专家应当回避的情形；</w:t>
      </w:r>
    </w:p>
    <w:p w14:paraId="2855BA6D">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（4）组织评标委员会推选评标组长，招标人代表不得担任评标组长（如有）；</w:t>
      </w:r>
    </w:p>
    <w:p w14:paraId="7BDD9D3E">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（5）开标结束后，评标委员会对投标人的投标文件进行资格性和符合性审查，以确定其是否满足招标文件的实质性要求。详见第二章 《投标须知前附表》-《实质性条款一览表》中资格性和符合性检查条款。</w:t>
      </w:r>
    </w:p>
    <w:p w14:paraId="7FE655D2">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6）属于无效投标的，投标人不能通过修正或撤销投标文件中不符合之处而成为实质性响应的投标，招标代理将通知投标人，并说明无效投标理由；属于有效投标文件的，将进行下一轮次的询标和澄清、说明或补正。</w:t>
      </w:r>
    </w:p>
    <w:p w14:paraId="427754B2">
      <w:pPr>
        <w:spacing w:line="520" w:lineRule="exact"/>
        <w:ind w:firstLine="562" w:firstLineChars="200"/>
        <w:rPr>
          <w:rFonts w:hint="eastAsia" w:ascii="仿宋" w:hAnsi="仿宋" w:eastAsia="仿宋" w:cs="仿宋"/>
          <w:b/>
          <w:bCs/>
          <w:color w:val="000000" w:themeColor="text1"/>
          <w:sz w:val="28"/>
          <w:szCs w:val="21"/>
          <w:highlight w:val="none"/>
          <w14:textFill>
            <w14:solidFill>
              <w14:schemeClr w14:val="tx1"/>
            </w14:solidFill>
          </w14:textFill>
        </w:rPr>
      </w:pPr>
      <w:r>
        <w:rPr>
          <w:rFonts w:hint="eastAsia" w:ascii="仿宋" w:hAnsi="仿宋" w:eastAsia="仿宋" w:cs="仿宋"/>
          <w:b/>
          <w:bCs/>
          <w:color w:val="000000" w:themeColor="text1"/>
          <w:sz w:val="28"/>
          <w:szCs w:val="21"/>
          <w:highlight w:val="none"/>
          <w14:textFill>
            <w14:solidFill>
              <w14:schemeClr w14:val="tx1"/>
            </w14:solidFill>
          </w14:textFill>
        </w:rPr>
        <w:t>（7）澄清、说明或者补正</w:t>
      </w:r>
    </w:p>
    <w:p w14:paraId="76F910CB">
      <w:pPr>
        <w:spacing w:line="520" w:lineRule="exact"/>
        <w:ind w:firstLine="840" w:firstLineChars="3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或盖章，且不得超出投标文件的范围或者改变投标文件的实质性内容。</w:t>
      </w:r>
    </w:p>
    <w:p w14:paraId="4C063DAC">
      <w:pPr>
        <w:spacing w:line="520" w:lineRule="exact"/>
        <w:ind w:firstLine="840" w:firstLineChars="3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2）投标人依据评审要求进行澄清、说明或者补正的内容构成投标文件的组成部分。</w:t>
      </w:r>
    </w:p>
    <w:p w14:paraId="2678C820">
      <w:pPr>
        <w:spacing w:line="520" w:lineRule="exact"/>
        <w:ind w:firstLine="562" w:firstLineChars="200"/>
        <w:rPr>
          <w:rFonts w:hint="eastAsia" w:ascii="仿宋" w:hAnsi="仿宋" w:eastAsia="仿宋" w:cs="仿宋"/>
          <w:b/>
          <w:bCs/>
          <w:color w:val="000000" w:themeColor="text1"/>
          <w:sz w:val="28"/>
          <w:szCs w:val="21"/>
          <w:highlight w:val="none"/>
          <w14:textFill>
            <w14:solidFill>
              <w14:schemeClr w14:val="tx1"/>
            </w14:solidFill>
          </w14:textFill>
        </w:rPr>
      </w:pPr>
      <w:r>
        <w:rPr>
          <w:rFonts w:hint="eastAsia" w:ascii="仿宋" w:hAnsi="仿宋" w:eastAsia="仿宋" w:cs="仿宋"/>
          <w:b/>
          <w:bCs/>
          <w:color w:val="000000" w:themeColor="text1"/>
          <w:sz w:val="28"/>
          <w:szCs w:val="21"/>
          <w:highlight w:val="none"/>
          <w14:textFill>
            <w14:solidFill>
              <w14:schemeClr w14:val="tx1"/>
            </w14:solidFill>
          </w14:textFill>
        </w:rPr>
        <w:t>（8）比较与评价</w:t>
      </w:r>
    </w:p>
    <w:p w14:paraId="02A248E6">
      <w:pPr>
        <w:spacing w:line="518" w:lineRule="exact"/>
        <w:ind w:firstLine="548" w:firstLineChars="196"/>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评标委员会按招标文件中规定的评标方法和评标标准对有效投标文件的商务和技术进行评分，综合比较和评价，按综合得分高低列出3名中标候选人排序表。若总分相同，以报价得分高的排前；若总分、报价得分都相同，则以技术实施方案得分高的排前。</w:t>
      </w:r>
    </w:p>
    <w:p w14:paraId="26D347CB">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（9）出现下列情形之一的，应予废标：</w:t>
      </w:r>
    </w:p>
    <w:p w14:paraId="1275FEFB">
      <w:pPr>
        <w:spacing w:line="560" w:lineRule="exact"/>
        <w:ind w:firstLine="842" w:firstLineChars="3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w:t>
      </w:r>
      <w:r>
        <w:rPr>
          <w:rFonts w:hint="eastAsia" w:ascii="仿宋" w:hAnsi="仿宋" w:eastAsia="仿宋" w:cs="仿宋"/>
          <w:color w:val="000000" w:themeColor="text1"/>
          <w:sz w:val="28"/>
          <w:szCs w:val="21"/>
          <w:highlight w:val="none"/>
          <w14:textFill>
            <w14:solidFill>
              <w14:schemeClr w14:val="tx1"/>
            </w14:solidFill>
          </w14:textFill>
        </w:rPr>
        <w:t>合格的投标人或参加投标的企业不足三家的</w:t>
      </w:r>
      <w:r>
        <w:rPr>
          <w:rFonts w:hint="eastAsia" w:ascii="仿宋" w:hAnsi="仿宋" w:eastAsia="仿宋" w:cs="仿宋"/>
          <w:color w:val="000000" w:themeColor="text1"/>
          <w:sz w:val="28"/>
          <w:szCs w:val="28"/>
          <w:highlight w:val="none"/>
          <w14:textFill>
            <w14:solidFill>
              <w14:schemeClr w14:val="tx1"/>
            </w14:solidFill>
          </w14:textFill>
        </w:rPr>
        <w:t>；</w:t>
      </w:r>
    </w:p>
    <w:p w14:paraId="53C3B18F">
      <w:pPr>
        <w:spacing w:line="560" w:lineRule="exact"/>
        <w:ind w:firstLine="842" w:firstLineChars="3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2）出现影响招标公正的违法、违规行为的；</w:t>
      </w:r>
    </w:p>
    <w:p w14:paraId="157F94A4">
      <w:pPr>
        <w:spacing w:line="560" w:lineRule="exact"/>
        <w:ind w:firstLine="842" w:firstLineChars="3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3）投标报价超过招标文件中规定的最高限价，招标人不能支付的</w:t>
      </w:r>
    </w:p>
    <w:p w14:paraId="5A761B50">
      <w:pPr>
        <w:spacing w:line="560" w:lineRule="exact"/>
        <w:ind w:firstLine="842" w:firstLineChars="3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4）因重大变故，招标任务取消的。</w:t>
      </w:r>
    </w:p>
    <w:p w14:paraId="0002ADB3">
      <w:pPr>
        <w:spacing w:line="560" w:lineRule="exact"/>
        <w:ind w:firstLine="565"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3.评标方法：</w:t>
      </w:r>
    </w:p>
    <w:p w14:paraId="01CE5325">
      <w:pPr>
        <w:spacing w:line="560" w:lineRule="exact"/>
        <w:ind w:firstLine="562" w:firstLineChars="20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（1）综合评分法，即投标人的投标文件满足招标文件全部实质性要求，对评审因素的量化指标进行打分，按照综合得分由高到低的顺序确定投标人排序。</w:t>
      </w:r>
    </w:p>
    <w:p w14:paraId="63585EE0">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bookmarkStart w:id="96" w:name="_Hlk191971768"/>
      <w:r>
        <w:rPr>
          <w:rFonts w:hint="eastAsia" w:ascii="仿宋" w:hAnsi="仿宋" w:eastAsia="仿宋" w:cs="仿宋"/>
          <w:color w:val="000000" w:themeColor="text1"/>
          <w:sz w:val="28"/>
          <w:szCs w:val="21"/>
          <w:highlight w:val="none"/>
          <w14:textFill>
            <w14:solidFill>
              <w14:schemeClr w14:val="tx1"/>
            </w14:solidFill>
          </w14:textFill>
        </w:rPr>
        <w:t>（2）评标细则</w:t>
      </w:r>
    </w:p>
    <w:tbl>
      <w:tblPr>
        <w:tblStyle w:val="5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57" w:type="dxa"/>
          <w:bottom w:w="0" w:type="dxa"/>
          <w:right w:w="57" w:type="dxa"/>
        </w:tblCellMar>
      </w:tblPr>
      <w:tblGrid>
        <w:gridCol w:w="704"/>
        <w:gridCol w:w="851"/>
        <w:gridCol w:w="6237"/>
        <w:gridCol w:w="708"/>
        <w:gridCol w:w="877"/>
      </w:tblGrid>
      <w:tr w14:paraId="5D0ED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619" w:hRule="atLeast"/>
          <w:jc w:val="center"/>
        </w:trPr>
        <w:tc>
          <w:tcPr>
            <w:tcW w:w="704" w:type="dxa"/>
            <w:shd w:val="clear" w:color="auto" w:fill="D9D9D9"/>
            <w:vAlign w:val="center"/>
          </w:tcPr>
          <w:p w14:paraId="027A49B9">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bookmarkStart w:id="97" w:name="_Hlk160726007"/>
            <w:r>
              <w:rPr>
                <w:rFonts w:hint="eastAsia" w:ascii="仿宋" w:hAnsi="仿宋" w:eastAsia="仿宋" w:cs="仿宋"/>
                <w:color w:val="000000" w:themeColor="text1"/>
                <w:sz w:val="28"/>
                <w:szCs w:val="21"/>
                <w:highlight w:val="none"/>
                <w14:textFill>
                  <w14:solidFill>
                    <w14:schemeClr w14:val="tx1"/>
                  </w14:solidFill>
                </w14:textFill>
              </w:rPr>
              <w:t>序号</w:t>
            </w:r>
          </w:p>
        </w:tc>
        <w:tc>
          <w:tcPr>
            <w:tcW w:w="851" w:type="dxa"/>
            <w:shd w:val="clear" w:color="auto" w:fill="D9D9D9"/>
            <w:vAlign w:val="center"/>
          </w:tcPr>
          <w:p w14:paraId="286ADD74">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评审因素</w:t>
            </w:r>
          </w:p>
        </w:tc>
        <w:tc>
          <w:tcPr>
            <w:tcW w:w="6237" w:type="dxa"/>
            <w:shd w:val="clear" w:color="auto" w:fill="D9D9D9"/>
            <w:vAlign w:val="center"/>
          </w:tcPr>
          <w:p w14:paraId="26BE7B2B">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评分标准</w:t>
            </w:r>
          </w:p>
        </w:tc>
        <w:tc>
          <w:tcPr>
            <w:tcW w:w="708" w:type="dxa"/>
            <w:shd w:val="clear" w:color="auto" w:fill="D9D9D9"/>
            <w:vAlign w:val="center"/>
          </w:tcPr>
          <w:p w14:paraId="7487EACC">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类型</w:t>
            </w:r>
          </w:p>
        </w:tc>
        <w:tc>
          <w:tcPr>
            <w:tcW w:w="877" w:type="dxa"/>
            <w:shd w:val="clear" w:color="auto" w:fill="D9D9D9"/>
            <w:vAlign w:val="center"/>
          </w:tcPr>
          <w:p w14:paraId="1D478D92">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分数</w:t>
            </w:r>
          </w:p>
        </w:tc>
      </w:tr>
      <w:tr w14:paraId="11054C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374" w:hRule="atLeast"/>
          <w:jc w:val="center"/>
        </w:trPr>
        <w:tc>
          <w:tcPr>
            <w:tcW w:w="704" w:type="dxa"/>
            <w:vAlign w:val="center"/>
          </w:tcPr>
          <w:p w14:paraId="1E78B566">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1</w:t>
            </w:r>
          </w:p>
        </w:tc>
        <w:tc>
          <w:tcPr>
            <w:tcW w:w="851" w:type="dxa"/>
            <w:vAlign w:val="center"/>
          </w:tcPr>
          <w:p w14:paraId="17D3D8CF">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报价</w:t>
            </w:r>
          </w:p>
        </w:tc>
        <w:tc>
          <w:tcPr>
            <w:tcW w:w="6237" w:type="dxa"/>
            <w:vAlign w:val="center"/>
          </w:tcPr>
          <w:p w14:paraId="35312D01">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投标人投标报价等于评标基准价的，得满分30分。投标报价每高于评标基准价1％扣0.5分，每低于1％扣0.25分，最低计至0分，偏离不足1%的，按照插入法计算得分，得分精确到小数点后2位。</w:t>
            </w:r>
          </w:p>
          <w:p w14:paraId="3A9854DB">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评标基准价确定方法：平均法</w:t>
            </w:r>
          </w:p>
          <w:p w14:paraId="00FC3911">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当n（有效投标人个数，以下相同）＜5时，评标基准价=各投标报价的算术平均值；</w:t>
            </w:r>
          </w:p>
          <w:p w14:paraId="6725FD0B">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当n≥5时，评标基准价=各投标报价去掉其中最高价和最低价后的算术平均值。</w:t>
            </w:r>
          </w:p>
          <w:p w14:paraId="37696DDB">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投标报价的偏差率计算公式：</w:t>
            </w:r>
          </w:p>
          <w:p w14:paraId="62A84E36">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偏差率＝100％×（投标人报价-评标基准价）/评标基准价</w:t>
            </w:r>
          </w:p>
        </w:tc>
        <w:tc>
          <w:tcPr>
            <w:tcW w:w="708" w:type="dxa"/>
            <w:vAlign w:val="center"/>
          </w:tcPr>
          <w:p w14:paraId="6DCD5DC8">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价格</w:t>
            </w:r>
          </w:p>
        </w:tc>
        <w:tc>
          <w:tcPr>
            <w:tcW w:w="877" w:type="dxa"/>
            <w:vAlign w:val="center"/>
          </w:tcPr>
          <w:p w14:paraId="7A93BEA2">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30.00</w:t>
            </w:r>
          </w:p>
        </w:tc>
      </w:tr>
      <w:tr w14:paraId="57A62F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704" w:type="dxa"/>
            <w:vAlign w:val="center"/>
          </w:tcPr>
          <w:p w14:paraId="13476563">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2</w:t>
            </w:r>
          </w:p>
        </w:tc>
        <w:tc>
          <w:tcPr>
            <w:tcW w:w="851" w:type="dxa"/>
            <w:vAlign w:val="center"/>
          </w:tcPr>
          <w:p w14:paraId="35094C0D">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业绩</w:t>
            </w:r>
          </w:p>
        </w:tc>
        <w:tc>
          <w:tcPr>
            <w:tcW w:w="6237" w:type="dxa"/>
            <w:vAlign w:val="center"/>
          </w:tcPr>
          <w:p w14:paraId="40B75455">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投标人自2023年1月1日至今承揽的云资源服务业绩，每有一个得2分，本项最高得10分。（需将合同扫描件附在投标文件中，合同扫描件应能体现业主名称、项目名称及项目主要内容，时间以合同签订时间为准，否则不得分。）</w:t>
            </w:r>
          </w:p>
        </w:tc>
        <w:tc>
          <w:tcPr>
            <w:tcW w:w="708" w:type="dxa"/>
            <w:vAlign w:val="center"/>
          </w:tcPr>
          <w:p w14:paraId="542B10E7">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客观分</w:t>
            </w:r>
          </w:p>
        </w:tc>
        <w:tc>
          <w:tcPr>
            <w:tcW w:w="877" w:type="dxa"/>
            <w:vAlign w:val="center"/>
          </w:tcPr>
          <w:p w14:paraId="13344776">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10.00</w:t>
            </w:r>
          </w:p>
        </w:tc>
      </w:tr>
      <w:tr w14:paraId="7B2735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704" w:type="dxa"/>
            <w:vAlign w:val="center"/>
          </w:tcPr>
          <w:p w14:paraId="1D7F76A2">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3</w:t>
            </w:r>
          </w:p>
        </w:tc>
        <w:tc>
          <w:tcPr>
            <w:tcW w:w="851" w:type="dxa"/>
            <w:vAlign w:val="center"/>
          </w:tcPr>
          <w:p w14:paraId="3DF6F194">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人员配备</w:t>
            </w:r>
          </w:p>
        </w:tc>
        <w:tc>
          <w:tcPr>
            <w:tcW w:w="6237" w:type="dxa"/>
            <w:vAlign w:val="center"/>
          </w:tcPr>
          <w:p w14:paraId="459E949B">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由评委根据投标人提供的项目人员配备等内容按照以下标准进行打分：</w:t>
            </w:r>
          </w:p>
          <w:p w14:paraId="6FB7CFFA">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【6分-10分（含）】投标人拟派的人员岗位设置合理，专业比例均衡，且相关人员具有丰富的行业从业经验和服务经验，能够充分满足项目需求。</w:t>
            </w:r>
          </w:p>
          <w:p w14:paraId="79B2A992">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【3分-6分（含）】投标人拟派的人员岗位及专业比例较为合理，相关人员具备一定的从业经验和服务经验。</w:t>
            </w:r>
          </w:p>
          <w:p w14:paraId="56203AB4">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【0分-3分（含）】投标人拟派人员岗位、专业比例设置存在问题，人员的从业经验和服务经验较为欠缺。</w:t>
            </w:r>
          </w:p>
        </w:tc>
        <w:tc>
          <w:tcPr>
            <w:tcW w:w="708" w:type="dxa"/>
            <w:vAlign w:val="center"/>
          </w:tcPr>
          <w:p w14:paraId="2D78DE30">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主观分</w:t>
            </w:r>
          </w:p>
        </w:tc>
        <w:tc>
          <w:tcPr>
            <w:tcW w:w="877" w:type="dxa"/>
            <w:vAlign w:val="center"/>
          </w:tcPr>
          <w:p w14:paraId="10F0A644">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10.00</w:t>
            </w:r>
          </w:p>
        </w:tc>
      </w:tr>
      <w:tr w14:paraId="65115B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704" w:type="dxa"/>
            <w:vAlign w:val="center"/>
          </w:tcPr>
          <w:p w14:paraId="2A3B5AB2">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4</w:t>
            </w:r>
          </w:p>
        </w:tc>
        <w:tc>
          <w:tcPr>
            <w:tcW w:w="851" w:type="dxa"/>
            <w:vAlign w:val="center"/>
          </w:tcPr>
          <w:p w14:paraId="42131C55">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技术实施方案</w:t>
            </w:r>
          </w:p>
        </w:tc>
        <w:tc>
          <w:tcPr>
            <w:tcW w:w="6237" w:type="dxa"/>
            <w:vAlign w:val="center"/>
          </w:tcPr>
          <w:p w14:paraId="7232AF29">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由评委根据投标人提供的技术实施方案等内容按照以下标准进行打分：</w:t>
            </w:r>
          </w:p>
          <w:p w14:paraId="1D76A046">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16分-25分（含）】投标人对项目认知清晰，理解准确，针对本项目的专有云迁移方案安全周密，计算存储资源配置科学高效，安全防护体系健全有效、整体方案规划细致全面，有具体的时间节点进度安排、内容详细，可行性强，项目实施过程中突发事件处理机制与预案合理可行，与招标人之间的协调机制全面、合理。</w:t>
            </w:r>
          </w:p>
          <w:p w14:paraId="6AEF51F4">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8分-16分（含）】投标人对项目情况较为了解，对项目实施目标和内容的理解较为透彻，针对本项目的专有云迁移方案基本可行，计算存储资源配置基本满足，安全防护体系初步建立、整体方案规划较详尽，工作流程较合理，项目实施过程中突发事件处理机制与预案合理较切合实际，与招标人之间的协调机制较全面。</w:t>
            </w:r>
          </w:p>
          <w:p w14:paraId="7A27E424">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0分-8分（含）】投标人对项目情况、项目实施目标的认知基本合理但缺乏深度，针对本项目的专有云迁移方案略有瑕疵，计算存储资源配置有待优化，安全防护体系需加强完善、整体方案规划内容较为简单，在关键环节上存在少许瑕疵，项目实施过程中突发事件处理机制与预案存在一定漏洞，与招标人之间的沟通协调机制较模糊。</w:t>
            </w:r>
          </w:p>
        </w:tc>
        <w:tc>
          <w:tcPr>
            <w:tcW w:w="708" w:type="dxa"/>
            <w:vAlign w:val="center"/>
          </w:tcPr>
          <w:p w14:paraId="6768257F">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主观分</w:t>
            </w:r>
          </w:p>
        </w:tc>
        <w:tc>
          <w:tcPr>
            <w:tcW w:w="877" w:type="dxa"/>
            <w:vAlign w:val="center"/>
          </w:tcPr>
          <w:p w14:paraId="2173730C">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25.00</w:t>
            </w:r>
          </w:p>
        </w:tc>
      </w:tr>
      <w:tr w14:paraId="1448C0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704" w:type="dxa"/>
            <w:vAlign w:val="center"/>
          </w:tcPr>
          <w:p w14:paraId="65E24E5D">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5</w:t>
            </w:r>
          </w:p>
        </w:tc>
        <w:tc>
          <w:tcPr>
            <w:tcW w:w="851" w:type="dxa"/>
            <w:vAlign w:val="center"/>
          </w:tcPr>
          <w:p w14:paraId="35E54145">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质量保证措施</w:t>
            </w:r>
          </w:p>
        </w:tc>
        <w:tc>
          <w:tcPr>
            <w:tcW w:w="6237" w:type="dxa"/>
            <w:vAlign w:val="center"/>
          </w:tcPr>
          <w:p w14:paraId="3705B4BB">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由评委根据投标人提供的质量保证措施等内容按照以下标准进行打分：</w:t>
            </w:r>
          </w:p>
          <w:p w14:paraId="70F33A67">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【6分-10分（含）】投标人提供的质量保证措施全面透彻，对项目过程中风险的预判准确，质量控制措施完善，质量管理制度严格，质量保障方案实施性强、针对性强。</w:t>
            </w:r>
          </w:p>
          <w:p w14:paraId="3E1484C5">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【3分-6分（含）】投标人提供的质量保证措施较完善，质量控制措施较完善，质量管理制度较严格，质量保障方案一般。</w:t>
            </w:r>
          </w:p>
          <w:p w14:paraId="34363D14">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【0分-3分（含）】投标人提供的质量保证措施不全面，质量控制措施欠缺，质量保障方案存在瑕疵。</w:t>
            </w:r>
          </w:p>
        </w:tc>
        <w:tc>
          <w:tcPr>
            <w:tcW w:w="708" w:type="dxa"/>
            <w:vAlign w:val="center"/>
          </w:tcPr>
          <w:p w14:paraId="1FD1F4FF">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主观分</w:t>
            </w:r>
          </w:p>
        </w:tc>
        <w:tc>
          <w:tcPr>
            <w:tcW w:w="877" w:type="dxa"/>
            <w:vAlign w:val="center"/>
          </w:tcPr>
          <w:p w14:paraId="54B08E1D">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10.00</w:t>
            </w:r>
          </w:p>
        </w:tc>
      </w:tr>
      <w:tr w14:paraId="7BC6C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704" w:type="dxa"/>
            <w:vAlign w:val="center"/>
          </w:tcPr>
          <w:p w14:paraId="46028AA5">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6</w:t>
            </w:r>
          </w:p>
        </w:tc>
        <w:tc>
          <w:tcPr>
            <w:tcW w:w="851" w:type="dxa"/>
            <w:vAlign w:val="center"/>
          </w:tcPr>
          <w:p w14:paraId="6A8DAA2A">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企业综合实力</w:t>
            </w:r>
          </w:p>
        </w:tc>
        <w:tc>
          <w:tcPr>
            <w:tcW w:w="6237" w:type="dxa"/>
            <w:vAlign w:val="center"/>
          </w:tcPr>
          <w:p w14:paraId="57C5FF5F">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评委根据投标人企业综合实力（企业荣誉、企业信誉、以往完成项目客户满意度等内容）按以下标准进行打分：</w:t>
            </w:r>
            <w:r>
              <w:rPr>
                <w:rFonts w:hint="eastAsia" w:ascii="仿宋" w:hAnsi="仿宋" w:eastAsia="仿宋" w:cs="仿宋"/>
                <w:color w:val="000000" w:themeColor="text1"/>
                <w:sz w:val="28"/>
                <w:szCs w:val="21"/>
                <w:highlight w:val="none"/>
                <w14:textFill>
                  <w14:solidFill>
                    <w14:schemeClr w14:val="tx1"/>
                  </w14:solidFill>
                </w14:textFill>
              </w:rPr>
              <w:br w:type="textWrapping"/>
            </w:r>
            <w:r>
              <w:rPr>
                <w:rFonts w:hint="eastAsia" w:ascii="仿宋" w:hAnsi="仿宋" w:eastAsia="仿宋" w:cs="仿宋"/>
                <w:color w:val="000000" w:themeColor="text1"/>
                <w:sz w:val="28"/>
                <w:szCs w:val="21"/>
                <w:highlight w:val="none"/>
                <w14:textFill>
                  <w14:solidFill>
                    <w14:schemeClr w14:val="tx1"/>
                  </w14:solidFill>
                </w14:textFill>
              </w:rPr>
              <w:t>【6分-10分（含）】投标人综合实力较强，企业荣誉较多，企业信誉较好，以往完成项目客户满意度较高。</w:t>
            </w:r>
            <w:r>
              <w:rPr>
                <w:rFonts w:hint="eastAsia" w:ascii="仿宋" w:hAnsi="仿宋" w:eastAsia="仿宋" w:cs="仿宋"/>
                <w:color w:val="000000" w:themeColor="text1"/>
                <w:sz w:val="28"/>
                <w:szCs w:val="21"/>
                <w:highlight w:val="none"/>
                <w14:textFill>
                  <w14:solidFill>
                    <w14:schemeClr w14:val="tx1"/>
                  </w14:solidFill>
                </w14:textFill>
              </w:rPr>
              <w:br w:type="textWrapping"/>
            </w:r>
            <w:r>
              <w:rPr>
                <w:rFonts w:hint="eastAsia" w:ascii="仿宋" w:hAnsi="仿宋" w:eastAsia="仿宋" w:cs="仿宋"/>
                <w:color w:val="000000" w:themeColor="text1"/>
                <w:sz w:val="28"/>
                <w:szCs w:val="21"/>
                <w:highlight w:val="none"/>
                <w14:textFill>
                  <w14:solidFill>
                    <w14:schemeClr w14:val="tx1"/>
                  </w14:solidFill>
                </w14:textFill>
              </w:rPr>
              <w:t>【3分-6分（含）】投标人具有一定的综合实力及荣誉，信誉较好，以往完成项目客户满意度较高。</w:t>
            </w:r>
            <w:r>
              <w:rPr>
                <w:rFonts w:hint="eastAsia" w:ascii="仿宋" w:hAnsi="仿宋" w:eastAsia="仿宋" w:cs="仿宋"/>
                <w:color w:val="000000" w:themeColor="text1"/>
                <w:sz w:val="28"/>
                <w:szCs w:val="21"/>
                <w:highlight w:val="none"/>
                <w14:textFill>
                  <w14:solidFill>
                    <w14:schemeClr w14:val="tx1"/>
                  </w14:solidFill>
                </w14:textFill>
              </w:rPr>
              <w:br w:type="textWrapping"/>
            </w:r>
            <w:r>
              <w:rPr>
                <w:rFonts w:hint="eastAsia" w:ascii="仿宋" w:hAnsi="仿宋" w:eastAsia="仿宋" w:cs="仿宋"/>
                <w:color w:val="000000" w:themeColor="text1"/>
                <w:sz w:val="28"/>
                <w:szCs w:val="21"/>
                <w:highlight w:val="none"/>
                <w14:textFill>
                  <w14:solidFill>
                    <w14:schemeClr w14:val="tx1"/>
                  </w14:solidFill>
                </w14:textFill>
              </w:rPr>
              <w:t>【0分-3分（含）】投标人综合实力较低，企业荣誉较少，企业信用一般，以往完成项目客户满意度较低。</w:t>
            </w:r>
          </w:p>
        </w:tc>
        <w:tc>
          <w:tcPr>
            <w:tcW w:w="708" w:type="dxa"/>
            <w:vAlign w:val="center"/>
          </w:tcPr>
          <w:p w14:paraId="61E2D1DA">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主观分</w:t>
            </w:r>
          </w:p>
        </w:tc>
        <w:tc>
          <w:tcPr>
            <w:tcW w:w="877" w:type="dxa"/>
            <w:vAlign w:val="center"/>
          </w:tcPr>
          <w:p w14:paraId="55997914">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10.00</w:t>
            </w:r>
          </w:p>
        </w:tc>
      </w:tr>
      <w:tr w14:paraId="66F63D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57" w:type="dxa"/>
            <w:bottom w:w="0" w:type="dxa"/>
            <w:right w:w="57" w:type="dxa"/>
          </w:tblCellMar>
        </w:tblPrEx>
        <w:trPr>
          <w:trHeight w:val="556" w:hRule="atLeast"/>
          <w:jc w:val="center"/>
        </w:trPr>
        <w:tc>
          <w:tcPr>
            <w:tcW w:w="704" w:type="dxa"/>
            <w:vAlign w:val="center"/>
          </w:tcPr>
          <w:p w14:paraId="14119CAA">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7</w:t>
            </w:r>
          </w:p>
        </w:tc>
        <w:tc>
          <w:tcPr>
            <w:tcW w:w="851" w:type="dxa"/>
            <w:vAlign w:val="center"/>
          </w:tcPr>
          <w:p w14:paraId="02B3F0EA">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服务承诺</w:t>
            </w:r>
          </w:p>
        </w:tc>
        <w:tc>
          <w:tcPr>
            <w:tcW w:w="6237" w:type="dxa"/>
            <w:vAlign w:val="center"/>
          </w:tcPr>
          <w:p w14:paraId="4C2DFB9A">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由评委根据投标人提供的服务承诺等内容按照以下标准进行打分：</w:t>
            </w:r>
          </w:p>
          <w:p w14:paraId="1B1A1E70">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【3分-5分（含）】投标人提供的服务承诺全面、完善，响应及解决问题及时，能够很好的满足招标人服务要求，有突出的服务优势。</w:t>
            </w:r>
          </w:p>
          <w:p w14:paraId="540E70D9">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【1分-3分（含）】投标人提供的服务承诺较全面，响应及解决问题时间偏长，能够完全满足招标人服务要求。</w:t>
            </w:r>
          </w:p>
          <w:p w14:paraId="490C1D95">
            <w:pPr>
              <w:spacing w:line="400" w:lineRule="exact"/>
              <w:jc w:val="left"/>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【0分-1分（含）】投标人提供的服务承诺内容十分简陋或存在部分缺陷，承诺的服务水平低，仅能基本满足招标人服务要求。</w:t>
            </w:r>
          </w:p>
        </w:tc>
        <w:tc>
          <w:tcPr>
            <w:tcW w:w="708" w:type="dxa"/>
            <w:vAlign w:val="center"/>
          </w:tcPr>
          <w:p w14:paraId="70D7B46B">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主观分</w:t>
            </w:r>
          </w:p>
        </w:tc>
        <w:tc>
          <w:tcPr>
            <w:tcW w:w="877" w:type="dxa"/>
            <w:vAlign w:val="center"/>
          </w:tcPr>
          <w:p w14:paraId="1E315E2A">
            <w:pPr>
              <w:spacing w:line="400" w:lineRule="exact"/>
              <w:jc w:val="center"/>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5.00</w:t>
            </w:r>
          </w:p>
        </w:tc>
      </w:tr>
      <w:bookmarkEnd w:id="96"/>
      <w:bookmarkEnd w:id="97"/>
    </w:tbl>
    <w:p w14:paraId="5A34F63E">
      <w:pPr>
        <w:spacing w:line="44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注：①本细则只针对有效投标文件予以评分。</w:t>
      </w:r>
    </w:p>
    <w:p w14:paraId="3CD792FF">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②计算得分时，四舍五入保留至小数点后二位。</w:t>
      </w:r>
    </w:p>
    <w:p w14:paraId="352F1EBF">
      <w:pPr>
        <w:spacing w:line="520" w:lineRule="exact"/>
        <w:ind w:firstLine="560" w:firstLineChars="200"/>
        <w:rPr>
          <w:rFonts w:hint="eastAsia" w:ascii="仿宋" w:hAnsi="仿宋" w:eastAsia="仿宋" w:cs="仿宋"/>
          <w:color w:val="000000" w:themeColor="text1"/>
          <w:sz w:val="28"/>
          <w:szCs w:val="21"/>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③汇总各评委打分进行算术平均，计算出各投标人的综合得分。</w:t>
      </w:r>
    </w:p>
    <w:p w14:paraId="6BBB649E">
      <w:pPr>
        <w:pStyle w:val="5"/>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98" w:name="_Toc24532"/>
      <w:r>
        <w:rPr>
          <w:rStyle w:val="431"/>
          <w:rFonts w:hint="eastAsia" w:ascii="仿宋" w:hAnsi="仿宋" w:eastAsia="仿宋" w:cs="仿宋"/>
          <w:b/>
          <w:bCs/>
          <w:color w:val="000000" w:themeColor="text1"/>
          <w:kern w:val="2"/>
          <w:sz w:val="28"/>
          <w:szCs w:val="32"/>
          <w:highlight w:val="none"/>
          <w14:textFill>
            <w14:solidFill>
              <w14:schemeClr w14:val="tx1"/>
            </w14:solidFill>
          </w14:textFill>
        </w:rPr>
        <w:t>三、编写评标报告</w:t>
      </w:r>
      <w:bookmarkEnd w:id="98"/>
    </w:p>
    <w:p w14:paraId="0F0FFC6F">
      <w:pPr>
        <w:spacing w:line="520" w:lineRule="exact"/>
        <w:ind w:firstLine="560" w:firstLineChars="200"/>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szCs w:val="21"/>
          <w:highlight w:val="none"/>
          <w14:textFill>
            <w14:solidFill>
              <w14:schemeClr w14:val="tx1"/>
            </w14:solidFill>
          </w14:textFill>
        </w:rPr>
        <w:t>依据</w:t>
      </w:r>
      <w:r>
        <w:rPr>
          <w:rFonts w:hint="eastAsia" w:ascii="仿宋" w:hAnsi="仿宋" w:eastAsia="仿宋" w:cs="仿宋"/>
          <w:color w:val="000000" w:themeColor="text1"/>
          <w:sz w:val="28"/>
          <w:highlight w:val="none"/>
          <w14:textFill>
            <w14:solidFill>
              <w14:schemeClr w14:val="tx1"/>
            </w14:solidFill>
          </w14:textFill>
        </w:rPr>
        <w:t>评标委员会</w:t>
      </w:r>
      <w:r>
        <w:rPr>
          <w:rFonts w:hint="eastAsia" w:ascii="仿宋" w:hAnsi="仿宋" w:eastAsia="仿宋" w:cs="仿宋"/>
          <w:color w:val="000000" w:themeColor="text1"/>
          <w:sz w:val="28"/>
          <w:szCs w:val="21"/>
          <w:highlight w:val="none"/>
          <w14:textFill>
            <w14:solidFill>
              <w14:schemeClr w14:val="tx1"/>
            </w14:solidFill>
          </w14:textFill>
        </w:rPr>
        <w:t>签字的原始记录和评标结果，按照规定的内容要求编写评标报告，并由全体评委签名。</w:t>
      </w:r>
    </w:p>
    <w:p w14:paraId="7353EBB0">
      <w:pPr>
        <w:pStyle w:val="5"/>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99" w:name="_Toc32332"/>
      <w:r>
        <w:rPr>
          <w:rStyle w:val="431"/>
          <w:rFonts w:hint="eastAsia" w:ascii="仿宋" w:hAnsi="仿宋" w:eastAsia="仿宋" w:cs="仿宋"/>
          <w:b/>
          <w:bCs/>
          <w:color w:val="000000" w:themeColor="text1"/>
          <w:kern w:val="2"/>
          <w:sz w:val="28"/>
          <w:szCs w:val="32"/>
          <w:highlight w:val="none"/>
          <w14:textFill>
            <w14:solidFill>
              <w14:schemeClr w14:val="tx1"/>
            </w14:solidFill>
          </w14:textFill>
        </w:rPr>
        <w:t>四、定标</w:t>
      </w:r>
      <w:bookmarkEnd w:id="99"/>
    </w:p>
    <w:p w14:paraId="7585B612">
      <w:pPr>
        <w:spacing w:line="360" w:lineRule="auto"/>
        <w:ind w:firstLine="482"/>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1.评标委员会根据招标文件载明的评标细则进行综合评审，并按评审后综合得分由高到低进行顺序排列，确定排序前三名为中标候选人。</w:t>
      </w:r>
    </w:p>
    <w:p w14:paraId="25A6C98D">
      <w:pPr>
        <w:spacing w:line="360" w:lineRule="auto"/>
        <w:ind w:firstLine="482"/>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2.评标结束后，公告无异议确定排名第一的中标候选人为中标人。如发现中标人存在与招标文件、投标文件不符或弄虚作假等其它违法行为，经招标人同意，取消中标人资格，由排名次之的中标，依次类推或重新招标。</w:t>
      </w:r>
    </w:p>
    <w:p w14:paraId="0A8EE730">
      <w:pPr>
        <w:pStyle w:val="5"/>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100" w:name="_Toc25242"/>
      <w:r>
        <w:rPr>
          <w:rStyle w:val="431"/>
          <w:rFonts w:hint="eastAsia" w:ascii="仿宋" w:hAnsi="仿宋" w:eastAsia="仿宋" w:cs="仿宋"/>
          <w:b/>
          <w:bCs/>
          <w:color w:val="000000" w:themeColor="text1"/>
          <w:kern w:val="2"/>
          <w:sz w:val="28"/>
          <w:szCs w:val="32"/>
          <w:highlight w:val="none"/>
          <w14:textFill>
            <w14:solidFill>
              <w14:schemeClr w14:val="tx1"/>
            </w14:solidFill>
          </w14:textFill>
        </w:rPr>
        <w:t>五、结果公告</w:t>
      </w:r>
      <w:bookmarkEnd w:id="100"/>
    </w:p>
    <w:p w14:paraId="2747E26C">
      <w:pPr>
        <w:spacing w:line="360" w:lineRule="auto"/>
        <w:ind w:firstLine="482"/>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招标人应当自定标结束后在招标公告发布媒介发布中标公告。中标公告期限为1个工作日。</w:t>
      </w:r>
    </w:p>
    <w:p w14:paraId="0BC615BD">
      <w:pPr>
        <w:pStyle w:val="5"/>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101" w:name="_Toc16767"/>
      <w:r>
        <w:rPr>
          <w:rStyle w:val="431"/>
          <w:rFonts w:hint="eastAsia" w:ascii="仿宋" w:hAnsi="仿宋" w:eastAsia="仿宋" w:cs="仿宋"/>
          <w:b/>
          <w:bCs/>
          <w:color w:val="000000" w:themeColor="text1"/>
          <w:kern w:val="2"/>
          <w:sz w:val="28"/>
          <w:szCs w:val="32"/>
          <w:highlight w:val="none"/>
          <w14:textFill>
            <w14:solidFill>
              <w14:schemeClr w14:val="tx1"/>
            </w14:solidFill>
          </w14:textFill>
        </w:rPr>
        <w:t>六、签发中标通知书</w:t>
      </w:r>
      <w:bookmarkEnd w:id="101"/>
    </w:p>
    <w:p w14:paraId="493CB898">
      <w:pPr>
        <w:spacing w:line="560" w:lineRule="exact"/>
        <w:ind w:firstLine="482"/>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中标公告结束且无尚未处理的异议后，招标人和代理机构联合向中标人发出中标通知书，《中标通知书》是合同的组成部分,对中标人和招标人具有同等法律效力。《中标通知书》发出后，招标人不得违法改变中标结果，中标人无正当理由不得放弃中标。</w:t>
      </w:r>
    </w:p>
    <w:p w14:paraId="39827D41">
      <w:pPr>
        <w:pStyle w:val="5"/>
        <w:rPr>
          <w:rStyle w:val="431"/>
          <w:rFonts w:hint="eastAsia" w:ascii="仿宋" w:hAnsi="仿宋" w:eastAsia="仿宋" w:cs="仿宋"/>
          <w:b/>
          <w:bCs/>
          <w:color w:val="000000" w:themeColor="text1"/>
          <w:kern w:val="2"/>
          <w:sz w:val="28"/>
          <w:szCs w:val="32"/>
          <w:highlight w:val="none"/>
          <w14:textFill>
            <w14:solidFill>
              <w14:schemeClr w14:val="tx1"/>
            </w14:solidFill>
          </w14:textFill>
        </w:rPr>
      </w:pPr>
      <w:bookmarkStart w:id="102" w:name="_Toc24725"/>
      <w:r>
        <w:rPr>
          <w:rStyle w:val="431"/>
          <w:rFonts w:hint="eastAsia" w:ascii="仿宋" w:hAnsi="仿宋" w:eastAsia="仿宋" w:cs="仿宋"/>
          <w:b/>
          <w:bCs/>
          <w:color w:val="000000" w:themeColor="text1"/>
          <w:kern w:val="2"/>
          <w:sz w:val="28"/>
          <w:szCs w:val="32"/>
          <w:highlight w:val="none"/>
          <w14:textFill>
            <w14:solidFill>
              <w14:schemeClr w14:val="tx1"/>
            </w14:solidFill>
          </w14:textFill>
        </w:rPr>
        <w:t>七、签订合同</w:t>
      </w:r>
      <w:bookmarkEnd w:id="102"/>
    </w:p>
    <w:p w14:paraId="5E0BFEE1">
      <w:pPr>
        <w:spacing w:line="560" w:lineRule="exact"/>
        <w:ind w:firstLine="482"/>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1.中标合同原则以第六章 合同（范本）为基础，并根据响应、答疑情况进行修改补充，自签订之日起生效。</w:t>
      </w:r>
    </w:p>
    <w:p w14:paraId="0D3DD688">
      <w:pPr>
        <w:spacing w:line="560" w:lineRule="exact"/>
        <w:ind w:firstLine="482"/>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2.中标人在规定的期限内无正当理由拒绝签订合同，招标人可以按照评审报告推荐的中标候选人名单排序，确定下一候选人为中标人，也可以重新开展招标活动。</w:t>
      </w:r>
    </w:p>
    <w:p w14:paraId="31248833">
      <w:pPr>
        <w:spacing w:line="560" w:lineRule="exact"/>
        <w:ind w:firstLine="482"/>
        <w:rPr>
          <w:rFonts w:hint="eastAsia" w:ascii="仿宋" w:hAnsi="仿宋" w:eastAsia="仿宋" w:cs="仿宋"/>
          <w:color w:val="000000" w:themeColor="text1"/>
          <w:sz w:val="28"/>
          <w:highlight w:val="none"/>
          <w14:textFill>
            <w14:solidFill>
              <w14:schemeClr w14:val="tx1"/>
            </w14:solidFill>
          </w14:textFill>
        </w:rPr>
      </w:pPr>
      <w:r>
        <w:rPr>
          <w:rFonts w:hint="eastAsia" w:ascii="仿宋" w:hAnsi="仿宋" w:eastAsia="仿宋" w:cs="仿宋"/>
          <w:color w:val="000000" w:themeColor="text1"/>
          <w:sz w:val="28"/>
          <w:highlight w:val="none"/>
          <w14:textFill>
            <w14:solidFill>
              <w14:schemeClr w14:val="tx1"/>
            </w14:solidFill>
          </w14:textFill>
        </w:rPr>
        <w:t>3.中标合同，按照监督部门的要求，通过威海市国有企业阳光采购电子化服务平台进行签订。</w:t>
      </w:r>
      <w:bookmarkEnd w:id="90"/>
      <w:bookmarkEnd w:id="91"/>
      <w:bookmarkEnd w:id="92"/>
      <w:bookmarkStart w:id="103" w:name="_Toc66864054"/>
    </w:p>
    <w:p w14:paraId="185BDC40">
      <w:pPr>
        <w:spacing w:line="560" w:lineRule="exact"/>
        <w:ind w:firstLine="482"/>
        <w:rPr>
          <w:rFonts w:hint="eastAsia" w:ascii="仿宋" w:hAnsi="仿宋" w:eastAsia="仿宋" w:cs="仿宋"/>
          <w:b/>
          <w:bCs/>
          <w:color w:val="000000" w:themeColor="text1"/>
          <w:kern w:val="44"/>
          <w:sz w:val="44"/>
          <w:szCs w:val="44"/>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5830CD2A">
      <w:pPr>
        <w:pStyle w:val="4"/>
        <w:jc w:val="center"/>
        <w:rPr>
          <w:rFonts w:hint="eastAsia" w:ascii="仿宋" w:hAnsi="仿宋" w:eastAsia="仿宋" w:cs="仿宋"/>
          <w:color w:val="000000" w:themeColor="text1"/>
          <w:highlight w:val="none"/>
          <w14:textFill>
            <w14:solidFill>
              <w14:schemeClr w14:val="tx1"/>
            </w14:solidFill>
          </w14:textFill>
        </w:rPr>
      </w:pPr>
      <w:bookmarkStart w:id="104" w:name="_Hlk218496667"/>
      <w:bookmarkStart w:id="105" w:name="_Hlk219971086"/>
      <w:bookmarkStart w:id="106" w:name="_Toc29296"/>
      <w:bookmarkStart w:id="107" w:name="_Hlk192682706"/>
      <w:r>
        <w:rPr>
          <w:rFonts w:hint="eastAsia" w:ascii="仿宋" w:hAnsi="仿宋" w:eastAsia="仿宋" w:cs="仿宋"/>
          <w:color w:val="000000" w:themeColor="text1"/>
          <w:highlight w:val="none"/>
          <w14:textFill>
            <w14:solidFill>
              <w14:schemeClr w14:val="tx1"/>
            </w14:solidFill>
          </w14:textFill>
        </w:rPr>
        <w:t>第四章</w:t>
      </w:r>
      <w:bookmarkStart w:id="108" w:name="_Hlk191971788"/>
      <w:r>
        <w:rPr>
          <w:rFonts w:hint="eastAsia" w:ascii="仿宋" w:hAnsi="仿宋" w:eastAsia="仿宋" w:cs="仿宋"/>
          <w:color w:val="000000" w:themeColor="text1"/>
          <w:highlight w:val="none"/>
          <w14:textFill>
            <w14:solidFill>
              <w14:schemeClr w14:val="tx1"/>
            </w14:solidFill>
          </w14:textFill>
        </w:rPr>
        <w:t xml:space="preserve">  采购项目说明</w:t>
      </w:r>
      <w:bookmarkEnd w:id="104"/>
      <w:bookmarkEnd w:id="105"/>
      <w:bookmarkEnd w:id="106"/>
      <w:bookmarkStart w:id="109" w:name="_Toc130804171"/>
      <w:bookmarkStart w:id="110" w:name="_Toc130891922"/>
      <w:bookmarkStart w:id="111" w:name="_Toc130653705"/>
      <w:bookmarkStart w:id="112" w:name="_Toc130802008"/>
    </w:p>
    <w:p w14:paraId="533AAA43">
      <w:pPr>
        <w:spacing w:line="540" w:lineRule="exact"/>
        <w:ind w:firstLine="562"/>
        <w:rPr>
          <w:rFonts w:hint="eastAsia" w:ascii="仿宋" w:hAnsi="仿宋" w:eastAsia="仿宋" w:cs="仿宋"/>
          <w:b/>
          <w:bCs/>
          <w:color w:val="000000" w:themeColor="text1"/>
          <w:kern w:val="44"/>
          <w:sz w:val="28"/>
          <w:szCs w:val="32"/>
          <w:highlight w:val="none"/>
          <w14:textFill>
            <w14:solidFill>
              <w14:schemeClr w14:val="tx1"/>
            </w14:solidFill>
          </w14:textFill>
        </w:rPr>
      </w:pPr>
      <w:r>
        <w:rPr>
          <w:rFonts w:hint="eastAsia" w:ascii="仿宋" w:hAnsi="仿宋" w:eastAsia="仿宋" w:cs="仿宋"/>
          <w:b/>
          <w:bCs/>
          <w:color w:val="000000" w:themeColor="text1"/>
          <w:kern w:val="44"/>
          <w:sz w:val="28"/>
          <w:szCs w:val="32"/>
          <w:highlight w:val="none"/>
          <w14:textFill>
            <w14:solidFill>
              <w14:schemeClr w14:val="tx1"/>
            </w14:solidFill>
          </w14:textFill>
        </w:rPr>
        <w:t>一、项目名称：</w:t>
      </w:r>
      <w:bookmarkEnd w:id="109"/>
      <w:bookmarkEnd w:id="110"/>
      <w:bookmarkEnd w:id="111"/>
      <w:bookmarkEnd w:id="112"/>
      <w:r>
        <w:rPr>
          <w:rFonts w:hint="eastAsia" w:ascii="仿宋" w:hAnsi="仿宋" w:eastAsia="仿宋" w:cs="仿宋"/>
          <w:b/>
          <w:bCs/>
          <w:color w:val="000000" w:themeColor="text1"/>
          <w:kern w:val="44"/>
          <w:sz w:val="28"/>
          <w:szCs w:val="32"/>
          <w:highlight w:val="none"/>
          <w14:textFill>
            <w14:solidFill>
              <w14:schemeClr w14:val="tx1"/>
            </w14:solidFill>
          </w14:textFill>
        </w:rPr>
        <w:t>购买</w:t>
      </w:r>
      <w:r>
        <w:rPr>
          <w:rFonts w:hint="eastAsia" w:ascii="仿宋" w:hAnsi="仿宋" w:eastAsia="仿宋" w:cs="仿宋"/>
          <w:b/>
          <w:bCs/>
          <w:color w:val="000000" w:themeColor="text1"/>
          <w:kern w:val="44"/>
          <w:sz w:val="28"/>
          <w:szCs w:val="32"/>
          <w:highlight w:val="none"/>
          <w:lang w:val="en-US" w:eastAsia="zh-CN"/>
          <w14:textFill>
            <w14:solidFill>
              <w14:schemeClr w14:val="tx1"/>
            </w14:solidFill>
          </w14:textFill>
        </w:rPr>
        <w:t>专有</w:t>
      </w:r>
      <w:r>
        <w:rPr>
          <w:rFonts w:hint="eastAsia" w:ascii="仿宋" w:hAnsi="仿宋" w:eastAsia="仿宋" w:cs="仿宋"/>
          <w:b/>
          <w:bCs/>
          <w:color w:val="000000" w:themeColor="text1"/>
          <w:kern w:val="44"/>
          <w:sz w:val="28"/>
          <w:szCs w:val="32"/>
          <w:highlight w:val="none"/>
          <w14:textFill>
            <w14:solidFill>
              <w14:schemeClr w14:val="tx1"/>
            </w14:solidFill>
          </w14:textFill>
        </w:rPr>
        <w:t>云资源服务项目</w:t>
      </w:r>
    </w:p>
    <w:p w14:paraId="0CA2B83D">
      <w:pPr>
        <w:spacing w:line="540" w:lineRule="exact"/>
        <w:ind w:firstLine="562"/>
        <w:rPr>
          <w:rFonts w:hint="eastAsia" w:ascii="仿宋" w:hAnsi="仿宋" w:eastAsia="仿宋" w:cs="仿宋"/>
          <w:b/>
          <w:bCs/>
          <w:color w:val="000000" w:themeColor="text1"/>
          <w:kern w:val="44"/>
          <w:sz w:val="28"/>
          <w:szCs w:val="32"/>
          <w:highlight w:val="none"/>
          <w14:textFill>
            <w14:solidFill>
              <w14:schemeClr w14:val="tx1"/>
            </w14:solidFill>
          </w14:textFill>
        </w:rPr>
      </w:pPr>
      <w:r>
        <w:rPr>
          <w:rFonts w:hint="eastAsia" w:ascii="仿宋" w:hAnsi="仿宋" w:eastAsia="仿宋" w:cs="仿宋"/>
          <w:b/>
          <w:bCs/>
          <w:color w:val="000000" w:themeColor="text1"/>
          <w:kern w:val="44"/>
          <w:sz w:val="28"/>
          <w:szCs w:val="32"/>
          <w:highlight w:val="none"/>
          <w14:textFill>
            <w14:solidFill>
              <w14:schemeClr w14:val="tx1"/>
            </w14:solidFill>
          </w14:textFill>
        </w:rPr>
        <w:t>二、最高限价：1360000元，超出最高限价的为无效报价。</w:t>
      </w:r>
    </w:p>
    <w:p w14:paraId="5982C537">
      <w:pPr>
        <w:spacing w:line="540" w:lineRule="exact"/>
        <w:ind w:firstLine="562"/>
        <w:rPr>
          <w:rFonts w:hint="eastAsia" w:ascii="仿宋" w:hAnsi="仿宋" w:eastAsia="仿宋" w:cs="仿宋"/>
          <w:b/>
          <w:color w:val="000000" w:themeColor="text1"/>
          <w:kern w:val="44"/>
          <w:sz w:val="28"/>
          <w:szCs w:val="32"/>
          <w:highlight w:val="none"/>
          <w14:textFill>
            <w14:solidFill>
              <w14:schemeClr w14:val="tx1"/>
            </w14:solidFill>
          </w14:textFill>
        </w:rPr>
      </w:pPr>
      <w:r>
        <w:rPr>
          <w:rFonts w:hint="eastAsia" w:ascii="仿宋" w:hAnsi="仿宋" w:eastAsia="仿宋" w:cs="仿宋"/>
          <w:b/>
          <w:bCs/>
          <w:color w:val="000000" w:themeColor="text1"/>
          <w:kern w:val="44"/>
          <w:sz w:val="28"/>
          <w:szCs w:val="32"/>
          <w:highlight w:val="none"/>
          <w14:textFill>
            <w14:solidFill>
              <w14:schemeClr w14:val="tx1"/>
            </w14:solidFill>
          </w14:textFill>
        </w:rPr>
        <w:t>三、服务内容：</w:t>
      </w:r>
    </w:p>
    <w:p w14:paraId="1607872E">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为确保刘公岛景区售检票系统及智慧大脑等关键业务能够稳定运行，拟采购专有云资源服务。</w:t>
      </w:r>
    </w:p>
    <w:p w14:paraId="61EFEB5D">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w:t>
      </w:r>
      <w:bookmarkStart w:id="113" w:name="_Hlk224291702"/>
      <w:r>
        <w:rPr>
          <w:rFonts w:hint="eastAsia" w:ascii="仿宋" w:hAnsi="仿宋" w:eastAsia="仿宋" w:cs="仿宋"/>
          <w:bCs/>
          <w:color w:val="000000" w:themeColor="text1"/>
          <w:spacing w:val="8"/>
          <w:kern w:val="0"/>
          <w:sz w:val="28"/>
          <w:szCs w:val="28"/>
          <w:highlight w:val="none"/>
          <w14:textFill>
            <w14:solidFill>
              <w14:schemeClr w14:val="tx1"/>
            </w14:solidFill>
          </w14:textFill>
        </w:rPr>
        <w:t>交付时间：自合同签订之日起10日内交付。</w:t>
      </w:r>
      <w:bookmarkEnd w:id="113"/>
    </w:p>
    <w:p w14:paraId="4C253C2E">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2.服务期限：1年。</w:t>
      </w:r>
    </w:p>
    <w:p w14:paraId="4B82920B">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3.报价明细：</w:t>
      </w:r>
    </w:p>
    <w:tbl>
      <w:tblPr>
        <w:tblStyle w:val="52"/>
        <w:tblW w:w="8627" w:type="dxa"/>
        <w:tblInd w:w="113" w:type="dxa"/>
        <w:tblLayout w:type="autofit"/>
        <w:tblCellMar>
          <w:top w:w="0" w:type="dxa"/>
          <w:left w:w="108" w:type="dxa"/>
          <w:bottom w:w="0" w:type="dxa"/>
          <w:right w:w="108" w:type="dxa"/>
        </w:tblCellMar>
      </w:tblPr>
      <w:tblGrid>
        <w:gridCol w:w="1016"/>
        <w:gridCol w:w="1487"/>
        <w:gridCol w:w="6124"/>
      </w:tblGrid>
      <w:tr w14:paraId="7A5A7BD7">
        <w:tblPrEx>
          <w:tblCellMar>
            <w:top w:w="0" w:type="dxa"/>
            <w:left w:w="108" w:type="dxa"/>
            <w:bottom w:w="0" w:type="dxa"/>
            <w:right w:w="108" w:type="dxa"/>
          </w:tblCellMar>
        </w:tblPrEx>
        <w:trPr>
          <w:trHeight w:val="1261" w:hRule="atLeast"/>
        </w:trPr>
        <w:tc>
          <w:tcPr>
            <w:tcW w:w="1016" w:type="dxa"/>
            <w:tcBorders>
              <w:top w:val="single" w:color="auto" w:sz="4" w:space="0"/>
              <w:left w:val="single" w:color="auto" w:sz="4" w:space="0"/>
              <w:bottom w:val="single" w:color="auto" w:sz="4" w:space="0"/>
              <w:right w:val="single" w:color="auto" w:sz="4" w:space="0"/>
            </w:tcBorders>
            <w:noWrap/>
            <w:vAlign w:val="center"/>
          </w:tcPr>
          <w:p w14:paraId="6E914AA9">
            <w:pPr>
              <w:widowControl/>
              <w:spacing w:line="340" w:lineRule="exact"/>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建设</w:t>
            </w:r>
          </w:p>
          <w:p w14:paraId="56EA3512">
            <w:pPr>
              <w:widowControl/>
              <w:spacing w:line="340" w:lineRule="exact"/>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内容</w:t>
            </w:r>
          </w:p>
        </w:tc>
        <w:tc>
          <w:tcPr>
            <w:tcW w:w="1487" w:type="dxa"/>
            <w:tcBorders>
              <w:top w:val="single" w:color="auto" w:sz="4" w:space="0"/>
              <w:left w:val="nil"/>
              <w:bottom w:val="single" w:color="auto" w:sz="4" w:space="0"/>
              <w:right w:val="single" w:color="auto" w:sz="4" w:space="0"/>
            </w:tcBorders>
            <w:noWrap/>
            <w:vAlign w:val="center"/>
          </w:tcPr>
          <w:p w14:paraId="7202E128">
            <w:pPr>
              <w:widowControl/>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资源分类</w:t>
            </w:r>
          </w:p>
        </w:tc>
        <w:tc>
          <w:tcPr>
            <w:tcW w:w="6124" w:type="dxa"/>
            <w:tcBorders>
              <w:top w:val="single" w:color="auto" w:sz="4" w:space="0"/>
              <w:left w:val="nil"/>
              <w:bottom w:val="single" w:color="auto" w:sz="4" w:space="0"/>
              <w:right w:val="single" w:color="auto" w:sz="4" w:space="0"/>
            </w:tcBorders>
            <w:noWrap/>
            <w:vAlign w:val="center"/>
          </w:tcPr>
          <w:p w14:paraId="7384B1C4">
            <w:pPr>
              <w:widowControl/>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服务内容</w:t>
            </w:r>
          </w:p>
        </w:tc>
      </w:tr>
      <w:tr w14:paraId="780C8E90">
        <w:tblPrEx>
          <w:tblCellMar>
            <w:top w:w="0" w:type="dxa"/>
            <w:left w:w="108" w:type="dxa"/>
            <w:bottom w:w="0" w:type="dxa"/>
            <w:right w:w="108" w:type="dxa"/>
          </w:tblCellMar>
        </w:tblPrEx>
        <w:trPr>
          <w:trHeight w:val="2353" w:hRule="atLeast"/>
        </w:trPr>
        <w:tc>
          <w:tcPr>
            <w:tcW w:w="1016" w:type="dxa"/>
            <w:vMerge w:val="restart"/>
            <w:tcBorders>
              <w:top w:val="nil"/>
              <w:left w:val="single" w:color="auto" w:sz="4" w:space="0"/>
              <w:bottom w:val="single" w:color="auto" w:sz="4" w:space="0"/>
              <w:right w:val="single" w:color="auto" w:sz="4" w:space="0"/>
            </w:tcBorders>
            <w:vAlign w:val="center"/>
          </w:tcPr>
          <w:p w14:paraId="7C4DCEF4">
            <w:pPr>
              <w:widowControl/>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计算存储资源</w:t>
            </w:r>
          </w:p>
        </w:tc>
        <w:tc>
          <w:tcPr>
            <w:tcW w:w="1487" w:type="dxa"/>
            <w:tcBorders>
              <w:top w:val="nil"/>
              <w:left w:val="nil"/>
              <w:bottom w:val="single" w:color="auto" w:sz="4" w:space="0"/>
              <w:right w:val="single" w:color="auto" w:sz="4" w:space="0"/>
            </w:tcBorders>
            <w:vAlign w:val="center"/>
          </w:tcPr>
          <w:p w14:paraId="50095D8D">
            <w:pPr>
              <w:widowControl/>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计算资源</w:t>
            </w:r>
          </w:p>
        </w:tc>
        <w:tc>
          <w:tcPr>
            <w:tcW w:w="6124" w:type="dxa"/>
            <w:tcBorders>
              <w:top w:val="nil"/>
              <w:left w:val="nil"/>
              <w:bottom w:val="single" w:color="auto" w:sz="4" w:space="0"/>
              <w:right w:val="single" w:color="auto" w:sz="4" w:space="0"/>
            </w:tcBorders>
            <w:vAlign w:val="center"/>
          </w:tcPr>
          <w:p w14:paraId="1256CE41">
            <w:pPr>
              <w:widowControl/>
              <w:spacing w:line="460" w:lineRule="exact"/>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容器A(2C/4G)60台</w:t>
            </w:r>
            <w:r>
              <w:rPr>
                <w:rFonts w:hint="eastAsia" w:ascii="仿宋" w:hAnsi="仿宋" w:eastAsia="仿宋" w:cs="仿宋"/>
                <w:color w:val="000000" w:themeColor="text1"/>
                <w:kern w:val="0"/>
                <w:sz w:val="28"/>
                <w:szCs w:val="28"/>
                <w:highlight w:val="none"/>
                <w14:textFill>
                  <w14:solidFill>
                    <w14:schemeClr w14:val="tx1"/>
                  </w14:solidFill>
                </w14:textFill>
              </w:rPr>
              <w:br w:type="textWrapping"/>
            </w:r>
            <w:r>
              <w:rPr>
                <w:rFonts w:hint="eastAsia" w:ascii="仿宋" w:hAnsi="仿宋" w:eastAsia="仿宋" w:cs="仿宋"/>
                <w:color w:val="000000" w:themeColor="text1"/>
                <w:kern w:val="0"/>
                <w:sz w:val="28"/>
                <w:szCs w:val="28"/>
                <w:highlight w:val="none"/>
                <w14:textFill>
                  <w14:solidFill>
                    <w14:schemeClr w14:val="tx1"/>
                  </w14:solidFill>
                </w14:textFill>
              </w:rPr>
              <w:t>容器B(2C/8G)20台</w:t>
            </w:r>
            <w:r>
              <w:rPr>
                <w:rFonts w:hint="eastAsia" w:ascii="仿宋" w:hAnsi="仿宋" w:eastAsia="仿宋" w:cs="仿宋"/>
                <w:color w:val="000000" w:themeColor="text1"/>
                <w:kern w:val="0"/>
                <w:sz w:val="28"/>
                <w:szCs w:val="28"/>
                <w:highlight w:val="none"/>
                <w14:textFill>
                  <w14:solidFill>
                    <w14:schemeClr w14:val="tx1"/>
                  </w14:solidFill>
                </w14:textFill>
              </w:rPr>
              <w:br w:type="textWrapping"/>
            </w:r>
            <w:r>
              <w:rPr>
                <w:rFonts w:hint="eastAsia" w:ascii="仿宋" w:hAnsi="仿宋" w:eastAsia="仿宋" w:cs="仿宋"/>
                <w:color w:val="000000" w:themeColor="text1"/>
                <w:kern w:val="0"/>
                <w:sz w:val="28"/>
                <w:szCs w:val="28"/>
                <w:highlight w:val="none"/>
                <w14:textFill>
                  <w14:solidFill>
                    <w14:schemeClr w14:val="tx1"/>
                  </w14:solidFill>
                </w14:textFill>
              </w:rPr>
              <w:t>容器C(4C/8G)55台</w:t>
            </w:r>
            <w:r>
              <w:rPr>
                <w:rFonts w:hint="eastAsia" w:ascii="仿宋" w:hAnsi="仿宋" w:eastAsia="仿宋" w:cs="仿宋"/>
                <w:color w:val="000000" w:themeColor="text1"/>
                <w:kern w:val="0"/>
                <w:sz w:val="28"/>
                <w:szCs w:val="28"/>
                <w:highlight w:val="none"/>
                <w14:textFill>
                  <w14:solidFill>
                    <w14:schemeClr w14:val="tx1"/>
                  </w14:solidFill>
                </w14:textFill>
              </w:rPr>
              <w:br w:type="textWrapping"/>
            </w:r>
            <w:r>
              <w:rPr>
                <w:rFonts w:hint="eastAsia" w:ascii="仿宋" w:hAnsi="仿宋" w:eastAsia="仿宋" w:cs="仿宋"/>
                <w:color w:val="000000" w:themeColor="text1"/>
                <w:kern w:val="0"/>
                <w:sz w:val="28"/>
                <w:szCs w:val="28"/>
                <w:highlight w:val="none"/>
                <w14:textFill>
                  <w14:solidFill>
                    <w14:schemeClr w14:val="tx1"/>
                  </w14:solidFill>
                </w14:textFill>
              </w:rPr>
              <w:t>容器D(4C/16G)10台</w:t>
            </w:r>
            <w:r>
              <w:rPr>
                <w:rFonts w:hint="eastAsia" w:ascii="仿宋" w:hAnsi="仿宋" w:eastAsia="仿宋" w:cs="仿宋"/>
                <w:color w:val="000000" w:themeColor="text1"/>
                <w:kern w:val="0"/>
                <w:sz w:val="28"/>
                <w:szCs w:val="28"/>
                <w:highlight w:val="none"/>
                <w14:textFill>
                  <w14:solidFill>
                    <w14:schemeClr w14:val="tx1"/>
                  </w14:solidFill>
                </w14:textFill>
              </w:rPr>
              <w:br w:type="textWrapping"/>
            </w:r>
            <w:r>
              <w:rPr>
                <w:rFonts w:hint="eastAsia" w:ascii="仿宋" w:hAnsi="仿宋" w:eastAsia="仿宋" w:cs="仿宋"/>
                <w:color w:val="000000" w:themeColor="text1"/>
                <w:kern w:val="0"/>
                <w:sz w:val="28"/>
                <w:szCs w:val="28"/>
                <w:highlight w:val="none"/>
                <w14:textFill>
                  <w14:solidFill>
                    <w14:schemeClr w14:val="tx1"/>
                  </w14:solidFill>
                </w14:textFill>
              </w:rPr>
              <w:t>容器E(8C/16G)12台</w:t>
            </w:r>
            <w:r>
              <w:rPr>
                <w:rFonts w:hint="eastAsia" w:ascii="仿宋" w:hAnsi="仿宋" w:eastAsia="仿宋" w:cs="仿宋"/>
                <w:color w:val="000000" w:themeColor="text1"/>
                <w:kern w:val="0"/>
                <w:sz w:val="28"/>
                <w:szCs w:val="28"/>
                <w:highlight w:val="none"/>
                <w14:textFill>
                  <w14:solidFill>
                    <w14:schemeClr w14:val="tx1"/>
                  </w14:solidFill>
                </w14:textFill>
              </w:rPr>
              <w:br w:type="textWrapping"/>
            </w:r>
            <w:r>
              <w:rPr>
                <w:rFonts w:hint="eastAsia" w:ascii="仿宋" w:hAnsi="仿宋" w:eastAsia="仿宋" w:cs="仿宋"/>
                <w:color w:val="000000" w:themeColor="text1"/>
                <w:kern w:val="0"/>
                <w:sz w:val="28"/>
                <w:szCs w:val="28"/>
                <w:highlight w:val="none"/>
                <w14:textFill>
                  <w14:solidFill>
                    <w14:schemeClr w14:val="tx1"/>
                  </w14:solidFill>
                </w14:textFill>
              </w:rPr>
              <w:t>容器F(8C/32G)5台</w:t>
            </w:r>
            <w:r>
              <w:rPr>
                <w:rFonts w:hint="eastAsia" w:ascii="仿宋" w:hAnsi="仿宋" w:eastAsia="仿宋" w:cs="仿宋"/>
                <w:color w:val="000000" w:themeColor="text1"/>
                <w:kern w:val="0"/>
                <w:sz w:val="28"/>
                <w:szCs w:val="28"/>
                <w:highlight w:val="none"/>
                <w14:textFill>
                  <w14:solidFill>
                    <w14:schemeClr w14:val="tx1"/>
                  </w14:solidFill>
                </w14:textFill>
              </w:rPr>
              <w:br w:type="textWrapping"/>
            </w:r>
            <w:r>
              <w:rPr>
                <w:rFonts w:hint="eastAsia" w:ascii="仿宋" w:hAnsi="仿宋" w:eastAsia="仿宋" w:cs="仿宋"/>
                <w:color w:val="000000" w:themeColor="text1"/>
                <w:kern w:val="0"/>
                <w:sz w:val="28"/>
                <w:szCs w:val="28"/>
                <w:highlight w:val="none"/>
                <w14:textFill>
                  <w14:solidFill>
                    <w14:schemeClr w14:val="tx1"/>
                  </w14:solidFill>
                </w14:textFill>
              </w:rPr>
              <w:t>容器G(16C/64G)10台</w:t>
            </w:r>
          </w:p>
        </w:tc>
      </w:tr>
      <w:tr w14:paraId="19E31043">
        <w:tblPrEx>
          <w:tblCellMar>
            <w:top w:w="0" w:type="dxa"/>
            <w:left w:w="108" w:type="dxa"/>
            <w:bottom w:w="0" w:type="dxa"/>
            <w:right w:w="108" w:type="dxa"/>
          </w:tblCellMar>
        </w:tblPrEx>
        <w:trPr>
          <w:trHeight w:val="490" w:hRule="atLeast"/>
        </w:trPr>
        <w:tc>
          <w:tcPr>
            <w:tcW w:w="1016" w:type="dxa"/>
            <w:vMerge w:val="continue"/>
            <w:tcBorders>
              <w:top w:val="nil"/>
              <w:left w:val="single" w:color="auto" w:sz="4" w:space="0"/>
              <w:bottom w:val="single" w:color="auto" w:sz="4" w:space="0"/>
              <w:right w:val="single" w:color="auto" w:sz="4" w:space="0"/>
            </w:tcBorders>
            <w:vAlign w:val="center"/>
          </w:tcPr>
          <w:p w14:paraId="14C62B7E">
            <w:pPr>
              <w:widowControl/>
              <w:jc w:val="left"/>
              <w:rPr>
                <w:rFonts w:hint="eastAsia" w:ascii="仿宋" w:hAnsi="仿宋" w:eastAsia="仿宋" w:cs="仿宋"/>
                <w:color w:val="000000" w:themeColor="text1"/>
                <w:kern w:val="0"/>
                <w:sz w:val="28"/>
                <w:szCs w:val="28"/>
                <w:highlight w:val="none"/>
                <w14:textFill>
                  <w14:solidFill>
                    <w14:schemeClr w14:val="tx1"/>
                  </w14:solidFill>
                </w14:textFill>
              </w:rPr>
            </w:pPr>
          </w:p>
        </w:tc>
        <w:tc>
          <w:tcPr>
            <w:tcW w:w="1487" w:type="dxa"/>
            <w:tcBorders>
              <w:top w:val="nil"/>
              <w:left w:val="nil"/>
              <w:bottom w:val="single" w:color="auto" w:sz="4" w:space="0"/>
              <w:right w:val="single" w:color="auto" w:sz="4" w:space="0"/>
            </w:tcBorders>
            <w:vAlign w:val="center"/>
          </w:tcPr>
          <w:p w14:paraId="117F39F2">
            <w:pPr>
              <w:widowControl/>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存储资源</w:t>
            </w:r>
          </w:p>
        </w:tc>
        <w:tc>
          <w:tcPr>
            <w:tcW w:w="6124" w:type="dxa"/>
            <w:tcBorders>
              <w:top w:val="nil"/>
              <w:left w:val="nil"/>
              <w:bottom w:val="single" w:color="auto" w:sz="4" w:space="0"/>
              <w:right w:val="single" w:color="auto" w:sz="4" w:space="0"/>
            </w:tcBorders>
            <w:noWrap/>
            <w:vAlign w:val="center"/>
          </w:tcPr>
          <w:p w14:paraId="58DEC318">
            <w:pPr>
              <w:widowControl/>
              <w:spacing w:line="460" w:lineRule="exact"/>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80T</w:t>
            </w:r>
          </w:p>
        </w:tc>
      </w:tr>
      <w:tr w14:paraId="68F4D94F">
        <w:tblPrEx>
          <w:tblCellMar>
            <w:top w:w="0" w:type="dxa"/>
            <w:left w:w="108" w:type="dxa"/>
            <w:bottom w:w="0" w:type="dxa"/>
            <w:right w:w="108" w:type="dxa"/>
          </w:tblCellMar>
        </w:tblPrEx>
        <w:trPr>
          <w:trHeight w:val="2704" w:hRule="atLeast"/>
        </w:trPr>
        <w:tc>
          <w:tcPr>
            <w:tcW w:w="1016" w:type="dxa"/>
            <w:vMerge w:val="continue"/>
            <w:tcBorders>
              <w:top w:val="nil"/>
              <w:left w:val="single" w:color="auto" w:sz="4" w:space="0"/>
              <w:bottom w:val="single" w:color="auto" w:sz="4" w:space="0"/>
              <w:right w:val="single" w:color="auto" w:sz="4" w:space="0"/>
            </w:tcBorders>
            <w:vAlign w:val="center"/>
          </w:tcPr>
          <w:p w14:paraId="36F3A6FE">
            <w:pPr>
              <w:widowControl/>
              <w:jc w:val="left"/>
              <w:rPr>
                <w:rFonts w:hint="eastAsia" w:ascii="仿宋" w:hAnsi="仿宋" w:eastAsia="仿宋" w:cs="仿宋"/>
                <w:color w:val="000000" w:themeColor="text1"/>
                <w:kern w:val="0"/>
                <w:sz w:val="28"/>
                <w:szCs w:val="28"/>
                <w:highlight w:val="none"/>
                <w14:textFill>
                  <w14:solidFill>
                    <w14:schemeClr w14:val="tx1"/>
                  </w14:solidFill>
                </w14:textFill>
              </w:rPr>
            </w:pPr>
          </w:p>
        </w:tc>
        <w:tc>
          <w:tcPr>
            <w:tcW w:w="1487" w:type="dxa"/>
            <w:tcBorders>
              <w:top w:val="nil"/>
              <w:left w:val="nil"/>
              <w:bottom w:val="single" w:color="auto" w:sz="4" w:space="0"/>
              <w:right w:val="single" w:color="auto" w:sz="4" w:space="0"/>
            </w:tcBorders>
            <w:vAlign w:val="center"/>
          </w:tcPr>
          <w:p w14:paraId="3C5A3125">
            <w:pPr>
              <w:widowControl/>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安全防护资源</w:t>
            </w:r>
          </w:p>
        </w:tc>
        <w:tc>
          <w:tcPr>
            <w:tcW w:w="6124" w:type="dxa"/>
            <w:tcBorders>
              <w:top w:val="nil"/>
              <w:left w:val="nil"/>
              <w:bottom w:val="single" w:color="auto" w:sz="4" w:space="0"/>
              <w:right w:val="single" w:color="auto" w:sz="4" w:space="0"/>
            </w:tcBorders>
            <w:vAlign w:val="center"/>
          </w:tcPr>
          <w:p w14:paraId="6B1C2E3B">
            <w:pPr>
              <w:widowControl/>
              <w:spacing w:line="460" w:lineRule="exact"/>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通过安全感知平台做联动管控，通过安全感知平台介入托管式安全运营服务做整体安全托管，从而保证事前检测、事中防御、事后防御的全套安全防护体系。具备网络层面安全防护、系统层面安全防护和端点层面安全防护。</w:t>
            </w:r>
          </w:p>
        </w:tc>
      </w:tr>
    </w:tbl>
    <w:p w14:paraId="18F22865">
      <w:pPr>
        <w:spacing w:line="540" w:lineRule="exact"/>
        <w:ind w:firstLine="562"/>
        <w:rPr>
          <w:rFonts w:hint="eastAsia" w:ascii="仿宋" w:hAnsi="仿宋" w:eastAsia="仿宋" w:cs="仿宋"/>
          <w:b/>
          <w:bCs/>
          <w:color w:val="000000" w:themeColor="text1"/>
          <w:kern w:val="44"/>
          <w:sz w:val="28"/>
          <w:szCs w:val="32"/>
          <w:highlight w:val="none"/>
          <w14:textFill>
            <w14:solidFill>
              <w14:schemeClr w14:val="tx1"/>
            </w14:solidFill>
          </w14:textFill>
        </w:rPr>
      </w:pPr>
      <w:r>
        <w:rPr>
          <w:rFonts w:hint="eastAsia" w:ascii="仿宋" w:hAnsi="仿宋" w:eastAsia="仿宋" w:cs="仿宋"/>
          <w:b/>
          <w:bCs/>
          <w:color w:val="000000" w:themeColor="text1"/>
          <w:kern w:val="44"/>
          <w:sz w:val="28"/>
          <w:szCs w:val="32"/>
          <w:highlight w:val="none"/>
          <w14:textFill>
            <w14:solidFill>
              <w14:schemeClr w14:val="tx1"/>
            </w14:solidFill>
          </w14:textFill>
        </w:rPr>
        <w:t>四、服务内容：</w:t>
      </w:r>
    </w:p>
    <w:p w14:paraId="2505387D">
      <w:pPr>
        <w:widowControl/>
        <w:adjustRightInd w:val="0"/>
        <w:spacing w:line="560" w:lineRule="exact"/>
        <w:ind w:firstLine="592" w:firstLineChars="200"/>
        <w:jc w:val="lef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原有所有应用系统将整体迁移至专有云平台，迁移期间须确保业务不中断、历史数据无丢失，且迁移后的系统能够稳定持续运行。服务期内将配备7×24小时运维保障支持团队。</w:t>
      </w:r>
    </w:p>
    <w:p w14:paraId="3D93248F">
      <w:pPr>
        <w:spacing w:line="540" w:lineRule="exact"/>
        <w:ind w:firstLine="562"/>
        <w:rPr>
          <w:rFonts w:hint="eastAsia" w:ascii="仿宋" w:hAnsi="仿宋" w:eastAsia="仿宋" w:cs="仿宋"/>
          <w:b/>
          <w:bCs/>
          <w:color w:val="000000" w:themeColor="text1"/>
          <w:sz w:val="28"/>
          <w:szCs w:val="28"/>
          <w:highlight w:val="none"/>
          <w14:textFill>
            <w14:solidFill>
              <w14:schemeClr w14:val="tx1"/>
            </w14:solidFill>
          </w14:textFill>
        </w:rPr>
      </w:pPr>
      <w:bookmarkStart w:id="114" w:name="_Hlk224291720"/>
      <w:r>
        <w:rPr>
          <w:rFonts w:hint="eastAsia" w:ascii="仿宋" w:hAnsi="仿宋" w:eastAsia="仿宋" w:cs="仿宋"/>
          <w:b/>
          <w:bCs/>
          <w:color w:val="000000" w:themeColor="text1"/>
          <w:kern w:val="44"/>
          <w:sz w:val="28"/>
          <w:szCs w:val="32"/>
          <w:highlight w:val="none"/>
          <w14:textFill>
            <w14:solidFill>
              <w14:schemeClr w14:val="tx1"/>
            </w14:solidFill>
          </w14:textFill>
        </w:rPr>
        <w:t>五、实施地点：招标人指定地点。</w:t>
      </w:r>
      <w:bookmarkEnd w:id="114"/>
    </w:p>
    <w:p w14:paraId="5699232A">
      <w:pPr>
        <w:pStyle w:val="2"/>
        <w:spacing w:after="0" w:line="520" w:lineRule="exact"/>
        <w:rPr>
          <w:rFonts w:hint="eastAsia" w:ascii="仿宋" w:hAnsi="仿宋" w:eastAsia="仿宋" w:cs="仿宋"/>
          <w:b/>
          <w:bCs/>
          <w:color w:val="000000" w:themeColor="text1"/>
          <w:kern w:val="2"/>
          <w:sz w:val="28"/>
          <w:szCs w:val="28"/>
          <w:highlight w:val="none"/>
          <w14:textFill>
            <w14:solidFill>
              <w14:schemeClr w14:val="tx1"/>
            </w14:solidFill>
          </w14:textFill>
        </w:rPr>
      </w:pPr>
    </w:p>
    <w:bookmarkEnd w:id="107"/>
    <w:bookmarkEnd w:id="108"/>
    <w:p w14:paraId="564FFEFC">
      <w:pPr>
        <w:widowControl/>
        <w:jc w:val="left"/>
        <w:rPr>
          <w:rFonts w:hint="eastAsia" w:ascii="仿宋" w:hAnsi="仿宋" w:eastAsia="仿宋" w:cs="仿宋"/>
          <w:b/>
          <w:bCs/>
          <w:color w:val="000000" w:themeColor="text1"/>
          <w:kern w:val="44"/>
          <w:sz w:val="44"/>
          <w:szCs w:val="44"/>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49AC0312">
      <w:pPr>
        <w:pStyle w:val="4"/>
        <w:jc w:val="center"/>
        <w:rPr>
          <w:rFonts w:hint="eastAsia" w:ascii="仿宋" w:hAnsi="仿宋" w:eastAsia="仿宋" w:cs="仿宋"/>
          <w:color w:val="000000" w:themeColor="text1"/>
          <w:highlight w:val="none"/>
          <w14:textFill>
            <w14:solidFill>
              <w14:schemeClr w14:val="tx1"/>
            </w14:solidFill>
          </w14:textFill>
        </w:rPr>
      </w:pPr>
      <w:bookmarkStart w:id="115" w:name="_Toc18484"/>
      <w:r>
        <w:rPr>
          <w:rFonts w:hint="eastAsia" w:ascii="仿宋" w:hAnsi="仿宋" w:eastAsia="仿宋" w:cs="仿宋"/>
          <w:color w:val="000000" w:themeColor="text1"/>
          <w:highlight w:val="none"/>
          <w14:textFill>
            <w14:solidFill>
              <w14:schemeClr w14:val="tx1"/>
            </w14:solidFill>
          </w14:textFill>
        </w:rPr>
        <w:t>第五章  投标文件格式</w:t>
      </w:r>
      <w:bookmarkEnd w:id="103"/>
      <w:bookmarkEnd w:id="115"/>
    </w:p>
    <w:p w14:paraId="66FEA0D4">
      <w:pPr>
        <w:spacing w:line="460" w:lineRule="exact"/>
        <w:jc w:val="left"/>
        <w:rPr>
          <w:rFonts w:hint="eastAsia" w:ascii="仿宋" w:hAnsi="仿宋" w:eastAsia="仿宋" w:cs="仿宋"/>
          <w:color w:val="000000" w:themeColor="text1"/>
          <w:sz w:val="24"/>
          <w:highlight w:val="none"/>
          <w14:textFill>
            <w14:solidFill>
              <w14:schemeClr w14:val="tx1"/>
            </w14:solidFill>
          </w14:textFill>
        </w:rPr>
      </w:pPr>
    </w:p>
    <w:p w14:paraId="516CD64E">
      <w:pPr>
        <w:spacing w:line="460" w:lineRule="exact"/>
        <w:jc w:val="left"/>
        <w:rPr>
          <w:rFonts w:hint="eastAsia" w:ascii="仿宋" w:hAnsi="仿宋" w:eastAsia="仿宋" w:cs="仿宋"/>
          <w:b/>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fldChar w:fldCharType="begin"/>
      </w:r>
      <w:r>
        <w:rPr>
          <w:rFonts w:hint="eastAsia" w:ascii="仿宋" w:hAnsi="仿宋" w:eastAsia="仿宋" w:cs="仿宋"/>
          <w:color w:val="000000" w:themeColor="text1"/>
          <w:sz w:val="24"/>
          <w:highlight w:val="none"/>
          <w14:textFill>
            <w14:solidFill>
              <w14:schemeClr w14:val="tx1"/>
            </w14:solidFill>
          </w14:textFill>
        </w:rPr>
        <w:instrText xml:space="preserve">&lt;MK cmd="bus"&gt;&lt;def type="query" recs="pro"&gt;" select b.tradeWay,a.projectCode,a.projectName,b.schemecode,b.saleMode,b.applycost,b.applystart,b.applystop,b.deliverstop,b.openstart,b.openaddr,a.projectid,b.bidvalidity,b.canjoint,b.judgecount from gp_project a,gp_projectScheme b where a.projectId=b.projectId and b.schemeId="+NFV("schemeid",-1) &lt;/def&gt;&lt;/MK&gt;</w:instrText>
      </w:r>
      <w:r>
        <w:rPr>
          <w:rFonts w:hint="eastAsia" w:ascii="仿宋" w:hAnsi="仿宋" w:eastAsia="仿宋" w:cs="仿宋"/>
          <w:color w:val="000000" w:themeColor="text1"/>
          <w:sz w:val="24"/>
          <w:highlight w:val="none"/>
          <w14:textFill>
            <w14:solidFill>
              <w14:schemeClr w14:val="tx1"/>
            </w14:solidFill>
          </w14:textFill>
        </w:rPr>
        <w:fldChar w:fldCharType="separate"/>
      </w:r>
      <w:r>
        <w:rPr>
          <w:rFonts w:hint="eastAsia" w:ascii="仿宋" w:hAnsi="仿宋" w:eastAsia="仿宋" w:cs="仿宋"/>
          <w:color w:val="000000" w:themeColor="text1"/>
          <w:sz w:val="24"/>
          <w:highlight w:val="none"/>
          <w14:textFill>
            <w14:solidFill>
              <w14:schemeClr w14:val="tx1"/>
            </w14:solidFill>
          </w14:textFill>
        </w:rPr>
        <w:t>!异常的公式结尾</w:t>
      </w:r>
      <w:r>
        <w:rPr>
          <w:rFonts w:hint="eastAsia" w:ascii="仿宋" w:hAnsi="仿宋" w:eastAsia="仿宋" w:cs="仿宋"/>
          <w:color w:val="000000" w:themeColor="text1"/>
          <w:sz w:val="24"/>
          <w:highlight w:val="none"/>
          <w14:textFill>
            <w14:solidFill>
              <w14:schemeClr w14:val="tx1"/>
            </w14:solidFill>
          </w14:textFill>
        </w:rPr>
        <w:fldChar w:fldCharType="end"/>
      </w:r>
      <w:r>
        <w:rPr>
          <w:rFonts w:hint="eastAsia" w:ascii="仿宋" w:hAnsi="仿宋" w:eastAsia="仿宋" w:cs="仿宋"/>
          <w:color w:val="000000" w:themeColor="text1"/>
          <w:sz w:val="24"/>
          <w:highlight w:val="none"/>
          <w14:textFill>
            <w14:solidFill>
              <w14:schemeClr w14:val="tx1"/>
            </w14:solidFill>
          </w14:textFill>
        </w:rPr>
        <w:fldChar w:fldCharType="begin"/>
      </w:r>
      <w:r>
        <w:rPr>
          <w:rFonts w:hint="eastAsia" w:ascii="仿宋" w:hAnsi="仿宋" w:eastAsia="仿宋" w:cs="仿宋"/>
          <w:color w:val="000000" w:themeColor="text1"/>
          <w:sz w:val="24"/>
          <w:highlight w:val="none"/>
          <w14:textFill>
            <w14:solidFill>
              <w14:schemeClr w14:val="tx1"/>
            </w14:solidFill>
          </w14:textFill>
        </w:rPr>
        <w:instrText xml:space="preserve">&lt;MK cmd="bus"&gt;&lt;def type="query" recs="org"&gt;" select b3.unitaddr,b3.zipcode,b3.linkman,b3.linkphone,b3.uniturl,b2.organName from gp_project b1,bas_organ b2,gp_agent b3 where b1.agentOrgan=b2.organId and b2.organId=b3.organid and b1.projectid ="+NFV("pro.projectid",-1) &lt;/def&gt;&lt;/MK&gt;</w:instrText>
      </w:r>
      <w:r>
        <w:rPr>
          <w:rFonts w:hint="eastAsia" w:ascii="仿宋" w:hAnsi="仿宋" w:eastAsia="仿宋" w:cs="仿宋"/>
          <w:color w:val="000000" w:themeColor="text1"/>
          <w:sz w:val="24"/>
          <w:highlight w:val="none"/>
          <w14:textFill>
            <w14:solidFill>
              <w14:schemeClr w14:val="tx1"/>
            </w14:solidFill>
          </w14:textFill>
        </w:rPr>
        <w:fldChar w:fldCharType="separate"/>
      </w:r>
      <w:r>
        <w:rPr>
          <w:rFonts w:hint="eastAsia" w:ascii="仿宋" w:hAnsi="仿宋" w:eastAsia="仿宋" w:cs="仿宋"/>
          <w:color w:val="000000" w:themeColor="text1"/>
          <w:sz w:val="24"/>
          <w:highlight w:val="none"/>
          <w14:textFill>
            <w14:solidFill>
              <w14:schemeClr w14:val="tx1"/>
            </w14:solidFill>
          </w14:textFill>
        </w:rPr>
        <w:t>!异常的公式结尾</w:t>
      </w:r>
      <w:r>
        <w:rPr>
          <w:rFonts w:hint="eastAsia" w:ascii="仿宋" w:hAnsi="仿宋" w:eastAsia="仿宋" w:cs="仿宋"/>
          <w:color w:val="000000" w:themeColor="text1"/>
          <w:sz w:val="24"/>
          <w:highlight w:val="none"/>
          <w14:textFill>
            <w14:solidFill>
              <w14:schemeClr w14:val="tx1"/>
            </w14:solidFill>
          </w14:textFill>
        </w:rPr>
        <w:fldChar w:fldCharType="end"/>
      </w:r>
      <w:r>
        <w:rPr>
          <w:rFonts w:hint="eastAsia" w:ascii="仿宋" w:hAnsi="仿宋" w:eastAsia="仿宋" w:cs="仿宋"/>
          <w:color w:val="000000" w:themeColor="text1"/>
          <w:sz w:val="24"/>
          <w:highlight w:val="none"/>
          <w14:textFill>
            <w14:solidFill>
              <w14:schemeClr w14:val="tx1"/>
            </w14:solidFill>
          </w14:textFill>
        </w:rPr>
        <w:fldChar w:fldCharType="begin"/>
      </w:r>
      <w:r>
        <w:rPr>
          <w:rFonts w:hint="eastAsia" w:ascii="仿宋" w:hAnsi="仿宋" w:eastAsia="仿宋" w:cs="仿宋"/>
          <w:color w:val="000000" w:themeColor="text1"/>
          <w:sz w:val="24"/>
          <w:highlight w:val="none"/>
          <w14:textFill>
            <w14:solidFill>
              <w14:schemeClr w14:val="tx1"/>
            </w14:solidFill>
          </w14:textFill>
        </w:rPr>
        <w:instrText xml:space="preserve">&lt;MK cmd="bus"&gt;&lt;def type="query" recs="totle"&gt;"SELECT sum(a.budgetAmount) budgettotlefrom gp_goods a,gp_package b,gp_packageScheme c WHERE a.packageId=b.packageId AND b.packageSchemeId=c.packageSchemeId ANDc.schemeId ="+NFV("schemeid",-1)&lt;/def&gt;&lt;/MK&gt;</w:instrText>
      </w:r>
      <w:r>
        <w:rPr>
          <w:rFonts w:hint="eastAsia" w:ascii="仿宋" w:hAnsi="仿宋" w:eastAsia="仿宋" w:cs="仿宋"/>
          <w:color w:val="000000" w:themeColor="text1"/>
          <w:sz w:val="24"/>
          <w:highlight w:val="none"/>
          <w14:textFill>
            <w14:solidFill>
              <w14:schemeClr w14:val="tx1"/>
            </w14:solidFill>
          </w14:textFill>
        </w:rPr>
        <w:fldChar w:fldCharType="end"/>
      </w:r>
      <w:r>
        <w:rPr>
          <w:rFonts w:hint="eastAsia" w:ascii="仿宋" w:hAnsi="仿宋" w:eastAsia="仿宋" w:cs="仿宋"/>
          <w:color w:val="000000" w:themeColor="text1"/>
          <w:sz w:val="24"/>
          <w:highlight w:val="none"/>
          <w14:textFill>
            <w14:solidFill>
              <w14:schemeClr w14:val="tx1"/>
            </w14:solidFill>
          </w14:textFill>
        </w:rPr>
        <w:fldChar w:fldCharType="begin"/>
      </w:r>
      <w:r>
        <w:rPr>
          <w:rFonts w:hint="eastAsia" w:ascii="仿宋" w:hAnsi="仿宋" w:eastAsia="仿宋" w:cs="仿宋"/>
          <w:color w:val="000000" w:themeColor="text1"/>
          <w:sz w:val="24"/>
          <w:highlight w:val="none"/>
          <w14:textFill>
            <w14:solidFill>
              <w14:schemeClr w14:val="tx1"/>
            </w14:solidFill>
          </w14:textFill>
        </w:rPr>
        <w:instrText xml:space="preserve">&lt;MK cmd="bus"&gt;&lt;def type="query" recs="allbuyer"&gt;"SELECT DISTINCT d.organName FROM gp_plan a,bas_organ d WHERE a.buyer=d.organId AND a.planid IN (SELECT b.planId FROM gp_package b,gp_packageScheme c WHERE b.packageSchemeId=c.packageSchemeId AND c.schemeId="+NFV("schemeid")+")"&lt;/def&gt;&lt;/MK&gt;</w:instrText>
      </w:r>
      <w:r>
        <w:rPr>
          <w:rFonts w:hint="eastAsia" w:ascii="仿宋" w:hAnsi="仿宋" w:eastAsia="仿宋" w:cs="仿宋"/>
          <w:color w:val="000000" w:themeColor="text1"/>
          <w:sz w:val="24"/>
          <w:highlight w:val="none"/>
          <w14:textFill>
            <w14:solidFill>
              <w14:schemeClr w14:val="tx1"/>
            </w14:solidFill>
          </w14:textFill>
        </w:rPr>
        <w:fldChar w:fldCharType="end"/>
      </w:r>
      <w:r>
        <w:rPr>
          <w:rFonts w:hint="eastAsia" w:ascii="仿宋" w:hAnsi="仿宋" w:eastAsia="仿宋" w:cs="仿宋"/>
          <w:color w:val="000000" w:themeColor="text1"/>
          <w:sz w:val="24"/>
          <w:highlight w:val="none"/>
          <w14:textFill>
            <w14:solidFill>
              <w14:schemeClr w14:val="tx1"/>
            </w14:solidFill>
          </w14:textFill>
        </w:rPr>
        <w:fldChar w:fldCharType="begin"/>
      </w:r>
      <w:r>
        <w:rPr>
          <w:rFonts w:hint="eastAsia" w:ascii="仿宋" w:hAnsi="仿宋" w:eastAsia="仿宋" w:cs="仿宋"/>
          <w:color w:val="000000" w:themeColor="text1"/>
          <w:sz w:val="24"/>
          <w:highlight w:val="none"/>
          <w14:textFill>
            <w14:solidFill>
              <w14:schemeClr w14:val="tx1"/>
            </w14:solidFill>
          </w14:textFill>
        </w:rPr>
        <w:instrText xml:space="preserve">&lt;MK cmd="bus"&gt;&lt;def type="query" recs="filecode"&gt;" SELECT a.grantSymbol FROM gp_plan a WHERE a.planid IN (SELECT DISTINCT b.planId FROM gp_package b,gp_packageScheme c WHERE b.packageSchemeId=c.packageSchemeId AND c.schemeId="+NFV("schemeid")+")"&lt;/def&gt;&lt;/MK&gt;</w:instrText>
      </w:r>
      <w:r>
        <w:rPr>
          <w:rFonts w:hint="eastAsia" w:ascii="仿宋" w:hAnsi="仿宋" w:eastAsia="仿宋" w:cs="仿宋"/>
          <w:color w:val="000000" w:themeColor="text1"/>
          <w:sz w:val="24"/>
          <w:highlight w:val="none"/>
          <w14:textFill>
            <w14:solidFill>
              <w14:schemeClr w14:val="tx1"/>
            </w14:solidFill>
          </w14:textFill>
        </w:rPr>
        <w:fldChar w:fldCharType="end"/>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&lt;MK cmd="bus"&gt;&lt;def type="query" recs="mypro"&gt;" select a.agentOrgan,c.organname from gp_project a,gp_projectScheme b,bas_organ c where a.projectId=b.projectId and a.agentorgan=c.organid and b.schemeId="+NFV("schemeid",-1)&lt;/def&gt;&lt;/MK&gt;</w:instrText>
      </w:r>
      <w:r>
        <w:rPr>
          <w:rFonts w:hint="eastAsia" w:ascii="仿宋" w:hAnsi="仿宋" w:eastAsia="仿宋" w:cs="仿宋"/>
          <w:color w:val="000000" w:themeColor="text1"/>
          <w:highlight w:val="none"/>
          <w14:textFill>
            <w14:solidFill>
              <w14:schemeClr w14:val="tx1"/>
            </w14:solidFill>
          </w14:textFill>
        </w:rPr>
        <w:fldChar w:fldCharType="separate"/>
      </w:r>
      <w:r>
        <w:rPr>
          <w:rFonts w:hint="eastAsia" w:ascii="仿宋" w:hAnsi="仿宋" w:eastAsia="仿宋" w:cs="仿宋"/>
          <w:color w:val="000000" w:themeColor="text1"/>
          <w:highlight w:val="none"/>
          <w14:textFill>
            <w14:solidFill>
              <w14:schemeClr w14:val="tx1"/>
            </w14:solidFill>
          </w14:textFill>
        </w:rPr>
        <w:t>!异常的公式结尾</w:t>
      </w:r>
      <w:r>
        <w:rPr>
          <w:rFonts w:hint="eastAsia" w:ascii="仿宋" w:hAnsi="仿宋" w:eastAsia="仿宋" w:cs="仿宋"/>
          <w:color w:val="000000" w:themeColor="text1"/>
          <w:highlight w:val="none"/>
          <w14:textFill>
            <w14:solidFill>
              <w14:schemeClr w14:val="tx1"/>
            </w14:solidFill>
          </w14:textFill>
        </w:rPr>
        <w:fldChar w:fldCharType="end"/>
      </w:r>
      <w:bookmarkStart w:id="116" w:name="_Hlk525721599"/>
    </w:p>
    <w:p w14:paraId="576660C0">
      <w:pPr>
        <w:widowControl/>
        <w:jc w:val="left"/>
        <w:rPr>
          <w:rFonts w:hint="eastAsia" w:ascii="仿宋" w:hAnsi="仿宋" w:eastAsia="仿宋" w:cs="仿宋"/>
          <w:bCs/>
          <w:color w:val="000000" w:themeColor="text1"/>
          <w:sz w:val="84"/>
          <w:highlight w:val="none"/>
          <w14:textFill>
            <w14:solidFill>
              <w14:schemeClr w14:val="tx1"/>
            </w14:solidFill>
          </w14:textFill>
        </w:rPr>
      </w:pPr>
      <w:r>
        <w:rPr>
          <w:rFonts w:hint="eastAsia" w:ascii="仿宋" w:hAnsi="仿宋" w:eastAsia="仿宋" w:cs="仿宋"/>
          <w:bCs/>
          <w:color w:val="000000" w:themeColor="text1"/>
          <w:sz w:val="84"/>
          <w:highlight w:val="none"/>
          <w14:textFill>
            <w14:solidFill>
              <w14:schemeClr w14:val="tx1"/>
            </w14:solidFill>
          </w14:textFill>
        </w:rPr>
        <w:br w:type="page"/>
      </w:r>
    </w:p>
    <w:p w14:paraId="1D4573AC">
      <w:pPr>
        <w:jc w:val="center"/>
        <w:rPr>
          <w:rFonts w:hint="eastAsia" w:ascii="仿宋" w:hAnsi="仿宋" w:eastAsia="仿宋" w:cs="仿宋"/>
          <w:bCs/>
          <w:color w:val="000000" w:themeColor="text1"/>
          <w:sz w:val="84"/>
          <w:highlight w:val="none"/>
          <w14:textFill>
            <w14:solidFill>
              <w14:schemeClr w14:val="tx1"/>
            </w14:solidFill>
          </w14:textFill>
        </w:rPr>
      </w:pPr>
    </w:p>
    <w:p w14:paraId="22B4CEAC">
      <w:pPr>
        <w:pStyle w:val="2"/>
        <w:rPr>
          <w:rFonts w:hint="eastAsia" w:ascii="仿宋" w:hAnsi="仿宋" w:eastAsia="仿宋" w:cs="仿宋"/>
          <w:color w:val="000000" w:themeColor="text1"/>
          <w:highlight w:val="none"/>
          <w14:textFill>
            <w14:solidFill>
              <w14:schemeClr w14:val="tx1"/>
            </w14:solidFill>
          </w14:textFill>
        </w:rPr>
      </w:pPr>
    </w:p>
    <w:p w14:paraId="1D163791">
      <w:pPr>
        <w:pStyle w:val="3"/>
        <w:ind w:left="5250"/>
        <w:rPr>
          <w:rFonts w:hint="eastAsia" w:ascii="仿宋" w:hAnsi="仿宋" w:eastAsia="仿宋" w:cs="仿宋"/>
          <w:color w:val="000000" w:themeColor="text1"/>
          <w:highlight w:val="none"/>
          <w14:textFill>
            <w14:solidFill>
              <w14:schemeClr w14:val="tx1"/>
            </w14:solidFill>
          </w14:textFill>
        </w:rPr>
      </w:pPr>
    </w:p>
    <w:p w14:paraId="0D9A8D9B">
      <w:pPr>
        <w:rPr>
          <w:rFonts w:hint="eastAsia" w:ascii="仿宋" w:hAnsi="仿宋" w:eastAsia="仿宋" w:cs="仿宋"/>
          <w:color w:val="000000" w:themeColor="text1"/>
          <w:highlight w:val="none"/>
          <w14:textFill>
            <w14:solidFill>
              <w14:schemeClr w14:val="tx1"/>
            </w14:solidFill>
          </w14:textFill>
        </w:rPr>
      </w:pPr>
    </w:p>
    <w:p w14:paraId="7D371D57">
      <w:pPr>
        <w:jc w:val="center"/>
        <w:rPr>
          <w:rFonts w:hint="eastAsia" w:ascii="仿宋" w:hAnsi="仿宋" w:eastAsia="仿宋" w:cs="仿宋"/>
          <w:bCs/>
          <w:color w:val="000000" w:themeColor="text1"/>
          <w:sz w:val="84"/>
          <w:highlight w:val="none"/>
          <w14:textFill>
            <w14:solidFill>
              <w14:schemeClr w14:val="tx1"/>
            </w14:solidFill>
          </w14:textFill>
        </w:rPr>
      </w:pPr>
      <w:r>
        <w:rPr>
          <w:rFonts w:hint="eastAsia" w:ascii="仿宋" w:hAnsi="仿宋" w:eastAsia="仿宋" w:cs="仿宋"/>
          <w:bCs/>
          <w:color w:val="000000" w:themeColor="text1"/>
          <w:sz w:val="84"/>
          <w:highlight w:val="none"/>
          <w14:textFill>
            <w14:solidFill>
              <w14:schemeClr w14:val="tx1"/>
            </w14:solidFill>
          </w14:textFill>
        </w:rPr>
        <w:t>投 标 文 件</w:t>
      </w:r>
    </w:p>
    <w:p w14:paraId="466D8EFD">
      <w:pPr>
        <w:jc w:val="center"/>
        <w:rPr>
          <w:rFonts w:hint="eastAsia" w:ascii="仿宋" w:hAnsi="仿宋" w:eastAsia="仿宋" w:cs="仿宋"/>
          <w:color w:val="000000" w:themeColor="text1"/>
          <w:sz w:val="72"/>
          <w:highlight w:val="none"/>
          <w14:textFill>
            <w14:solidFill>
              <w14:schemeClr w14:val="tx1"/>
            </w14:solidFill>
          </w14:textFill>
        </w:rPr>
      </w:pPr>
      <w:r>
        <w:rPr>
          <w:rFonts w:hint="eastAsia" w:ascii="仿宋" w:hAnsi="仿宋" w:eastAsia="仿宋" w:cs="仿宋"/>
          <w:color w:val="000000" w:themeColor="text1"/>
          <w:sz w:val="72"/>
          <w:highlight w:val="none"/>
          <w14:textFill>
            <w14:solidFill>
              <w14:schemeClr w14:val="tx1"/>
            </w14:solidFill>
          </w14:textFill>
        </w:rPr>
        <w:t>（第一册）</w:t>
      </w:r>
    </w:p>
    <w:p w14:paraId="74134777">
      <w:pPr>
        <w:jc w:val="center"/>
        <w:rPr>
          <w:rFonts w:hint="eastAsia" w:ascii="仿宋" w:hAnsi="仿宋" w:eastAsia="仿宋" w:cs="仿宋"/>
          <w:color w:val="000000" w:themeColor="text1"/>
          <w:sz w:val="72"/>
          <w:highlight w:val="none"/>
          <w14:textFill>
            <w14:solidFill>
              <w14:schemeClr w14:val="tx1"/>
            </w14:solidFill>
          </w14:textFill>
        </w:rPr>
      </w:pPr>
    </w:p>
    <w:p w14:paraId="22A98BFB">
      <w:pPr>
        <w:jc w:val="center"/>
        <w:rPr>
          <w:rFonts w:hint="eastAsia" w:ascii="仿宋" w:hAnsi="仿宋" w:eastAsia="仿宋" w:cs="仿宋"/>
          <w:color w:val="000000" w:themeColor="text1"/>
          <w:sz w:val="72"/>
          <w:highlight w:val="none"/>
          <w14:textFill>
            <w14:solidFill>
              <w14:schemeClr w14:val="tx1"/>
            </w14:solidFill>
          </w14:textFill>
        </w:rPr>
      </w:pPr>
    </w:p>
    <w:p w14:paraId="5D6BD773">
      <w:pPr>
        <w:ind w:firstLine="1080" w:firstLineChars="300"/>
        <w:jc w:val="left"/>
        <w:rPr>
          <w:rFonts w:hint="eastAsia" w:ascii="仿宋" w:hAnsi="仿宋" w:eastAsia="仿宋" w:cs="仿宋"/>
          <w:color w:val="000000" w:themeColor="text1"/>
          <w:sz w:val="36"/>
          <w:szCs w:val="36"/>
          <w:highlight w:val="none"/>
          <w14:textFill>
            <w14:solidFill>
              <w14:schemeClr w14:val="tx1"/>
            </w14:solidFill>
          </w14:textFill>
        </w:rPr>
      </w:pPr>
      <w:r>
        <w:rPr>
          <w:rFonts w:hint="eastAsia" w:ascii="仿宋" w:hAnsi="仿宋" w:eastAsia="仿宋" w:cs="仿宋"/>
          <w:bCs/>
          <w:color w:val="000000" w:themeColor="text1"/>
          <w:sz w:val="36"/>
          <w:szCs w:val="36"/>
          <w:highlight w:val="none"/>
          <w14:textFill>
            <w14:solidFill>
              <w14:schemeClr w14:val="tx1"/>
            </w14:solidFill>
          </w14:textFill>
        </w:rPr>
        <w:t>项目名称：</w:t>
      </w:r>
    </w:p>
    <w:p w14:paraId="0D354A9F">
      <w:pPr>
        <w:ind w:firstLine="1080" w:firstLineChars="300"/>
        <w:jc w:val="left"/>
        <w:rPr>
          <w:rFonts w:hint="eastAsia" w:ascii="仿宋" w:hAnsi="仿宋" w:eastAsia="仿宋" w:cs="仿宋"/>
          <w:color w:val="000000" w:themeColor="text1"/>
          <w:sz w:val="36"/>
          <w:szCs w:val="36"/>
          <w:highlight w:val="none"/>
          <w14:textFill>
            <w14:solidFill>
              <w14:schemeClr w14:val="tx1"/>
            </w14:solidFill>
          </w14:textFill>
        </w:rPr>
      </w:pPr>
      <w:r>
        <w:rPr>
          <w:rFonts w:hint="eastAsia" w:ascii="仿宋" w:hAnsi="仿宋" w:eastAsia="仿宋" w:cs="仿宋"/>
          <w:bCs/>
          <w:color w:val="000000" w:themeColor="text1"/>
          <w:sz w:val="36"/>
          <w:szCs w:val="36"/>
          <w:highlight w:val="none"/>
          <w14:textFill>
            <w14:solidFill>
              <w14:schemeClr w14:val="tx1"/>
            </w14:solidFill>
          </w14:textFill>
        </w:rPr>
        <w:t>招标编号：</w:t>
      </w:r>
    </w:p>
    <w:p w14:paraId="507C6232">
      <w:pPr>
        <w:jc w:val="left"/>
        <w:rPr>
          <w:rFonts w:hint="eastAsia" w:ascii="仿宋" w:hAnsi="仿宋" w:eastAsia="仿宋" w:cs="仿宋"/>
          <w:color w:val="000000" w:themeColor="text1"/>
          <w:sz w:val="44"/>
          <w:highlight w:val="none"/>
          <w14:textFill>
            <w14:solidFill>
              <w14:schemeClr w14:val="tx1"/>
            </w14:solidFill>
          </w14:textFill>
        </w:rPr>
      </w:pPr>
    </w:p>
    <w:p w14:paraId="4ECFE6FD">
      <w:pPr>
        <w:tabs>
          <w:tab w:val="left" w:pos="580"/>
        </w:tabs>
        <w:ind w:left="185" w:leftChars="88" w:firstLine="1800" w:firstLineChars="500"/>
        <w:rPr>
          <w:rFonts w:hint="eastAsia" w:ascii="仿宋" w:hAnsi="仿宋" w:eastAsia="仿宋" w:cs="仿宋"/>
          <w:color w:val="000000" w:themeColor="text1"/>
          <w:kern w:val="0"/>
          <w:sz w:val="36"/>
          <w:szCs w:val="21"/>
          <w:highlight w:val="none"/>
          <w14:textFill>
            <w14:solidFill>
              <w14:schemeClr w14:val="tx1"/>
            </w14:solidFill>
          </w14:textFill>
        </w:rPr>
      </w:pPr>
    </w:p>
    <w:p w14:paraId="18DD550C">
      <w:pPr>
        <w:tabs>
          <w:tab w:val="left" w:pos="580"/>
        </w:tabs>
        <w:ind w:left="185" w:leftChars="88" w:firstLine="1800" w:firstLineChars="500"/>
        <w:rPr>
          <w:rFonts w:hint="eastAsia" w:ascii="仿宋" w:hAnsi="仿宋" w:eastAsia="仿宋" w:cs="仿宋"/>
          <w:color w:val="000000" w:themeColor="text1"/>
          <w:kern w:val="0"/>
          <w:sz w:val="36"/>
          <w:szCs w:val="36"/>
          <w:highlight w:val="none"/>
          <w14:textFill>
            <w14:solidFill>
              <w14:schemeClr w14:val="tx1"/>
            </w14:solidFill>
          </w14:textFill>
        </w:rPr>
      </w:pPr>
    </w:p>
    <w:p w14:paraId="7E147EBA">
      <w:pPr>
        <w:tabs>
          <w:tab w:val="left" w:pos="580"/>
        </w:tabs>
        <w:ind w:firstLine="1800" w:firstLineChars="500"/>
        <w:rPr>
          <w:rFonts w:hint="eastAsia" w:ascii="仿宋" w:hAnsi="仿宋" w:eastAsia="仿宋" w:cs="仿宋"/>
          <w:color w:val="000000" w:themeColor="text1"/>
          <w:kern w:val="0"/>
          <w:sz w:val="36"/>
          <w:szCs w:val="36"/>
          <w:highlight w:val="none"/>
          <w14:textFill>
            <w14:solidFill>
              <w14:schemeClr w14:val="tx1"/>
            </w14:solidFill>
          </w14:textFill>
        </w:rPr>
      </w:pPr>
      <w:r>
        <w:rPr>
          <w:rFonts w:hint="eastAsia" w:ascii="仿宋" w:hAnsi="仿宋" w:eastAsia="仿宋" w:cs="仿宋"/>
          <w:color w:val="000000" w:themeColor="text1"/>
          <w:kern w:val="0"/>
          <w:sz w:val="36"/>
          <w:szCs w:val="36"/>
          <w:highlight w:val="none"/>
          <w14:textFill>
            <w14:solidFill>
              <w14:schemeClr w14:val="tx1"/>
            </w14:solidFill>
          </w14:textFill>
        </w:rPr>
        <w:t>投标人：******</w:t>
      </w:r>
    </w:p>
    <w:p w14:paraId="734EAFCF">
      <w:pPr>
        <w:tabs>
          <w:tab w:val="left" w:pos="580"/>
        </w:tabs>
        <w:ind w:firstLine="1800" w:firstLineChars="500"/>
        <w:rPr>
          <w:rFonts w:hint="eastAsia" w:ascii="仿宋" w:hAnsi="仿宋" w:eastAsia="仿宋" w:cs="仿宋"/>
          <w:color w:val="000000" w:themeColor="text1"/>
          <w:kern w:val="0"/>
          <w:sz w:val="36"/>
          <w:szCs w:val="36"/>
          <w:highlight w:val="none"/>
          <w14:textFill>
            <w14:solidFill>
              <w14:schemeClr w14:val="tx1"/>
            </w14:solidFill>
          </w14:textFill>
        </w:rPr>
      </w:pPr>
      <w:r>
        <w:rPr>
          <w:rFonts w:hint="eastAsia" w:ascii="仿宋" w:hAnsi="仿宋" w:eastAsia="仿宋" w:cs="仿宋"/>
          <w:color w:val="000000" w:themeColor="text1"/>
          <w:kern w:val="0"/>
          <w:sz w:val="36"/>
          <w:szCs w:val="36"/>
          <w:highlight w:val="none"/>
          <w14:textFill>
            <w14:solidFill>
              <w14:schemeClr w14:val="tx1"/>
            </w14:solidFill>
          </w14:textFill>
        </w:rPr>
        <w:t>日      期：   年  月  日</w:t>
      </w:r>
    </w:p>
    <w:p w14:paraId="2CBB9D59">
      <w:pPr>
        <w:widowControl/>
        <w:tabs>
          <w:tab w:val="center" w:pos="4870"/>
        </w:tabs>
        <w:jc w:val="left"/>
        <w:rPr>
          <w:rFonts w:hint="eastAsia" w:ascii="仿宋" w:hAnsi="仿宋" w:eastAsia="仿宋" w:cs="仿宋"/>
          <w:color w:val="000000" w:themeColor="text1"/>
          <w:sz w:val="44"/>
          <w:szCs w:val="44"/>
          <w:highlight w:val="none"/>
          <w14:textFill>
            <w14:solidFill>
              <w14:schemeClr w14:val="tx1"/>
            </w14:solidFill>
          </w14:textFill>
        </w:rPr>
      </w:pPr>
    </w:p>
    <w:p w14:paraId="349030A1">
      <w:pPr>
        <w:widowControl/>
        <w:tabs>
          <w:tab w:val="center" w:pos="4870"/>
        </w:tabs>
        <w:jc w:val="center"/>
        <w:rPr>
          <w:rFonts w:hint="eastAsia" w:ascii="仿宋" w:hAnsi="仿宋" w:eastAsia="仿宋" w:cs="仿宋"/>
          <w:color w:val="000000" w:themeColor="text1"/>
          <w:sz w:val="44"/>
          <w:szCs w:val="44"/>
          <w:highlight w:val="none"/>
          <w14:textFill>
            <w14:solidFill>
              <w14:schemeClr w14:val="tx1"/>
            </w14:solidFill>
          </w14:textFill>
        </w:rPr>
      </w:pPr>
      <w:r>
        <w:rPr>
          <w:rFonts w:hint="eastAsia" w:ascii="仿宋" w:hAnsi="仿宋" w:eastAsia="仿宋" w:cs="仿宋"/>
          <w:color w:val="000000" w:themeColor="text1"/>
          <w:sz w:val="44"/>
          <w:szCs w:val="44"/>
          <w:highlight w:val="none"/>
          <w14:textFill>
            <w14:solidFill>
              <w14:schemeClr w14:val="tx1"/>
            </w14:solidFill>
          </w14:textFill>
        </w:rPr>
        <w:br w:type="page"/>
      </w:r>
      <w:r>
        <w:rPr>
          <w:rFonts w:hint="eastAsia" w:ascii="仿宋" w:hAnsi="仿宋" w:eastAsia="仿宋" w:cs="仿宋"/>
          <w:color w:val="000000" w:themeColor="text1"/>
          <w:sz w:val="44"/>
          <w:szCs w:val="44"/>
          <w:highlight w:val="none"/>
          <w14:textFill>
            <w14:solidFill>
              <w14:schemeClr w14:val="tx1"/>
            </w14:solidFill>
          </w14:textFill>
        </w:rPr>
        <w:t>目录</w:t>
      </w:r>
    </w:p>
    <w:p w14:paraId="1AA66D67">
      <w:pPr>
        <w:jc w:val="center"/>
        <w:rPr>
          <w:rFonts w:hint="eastAsia" w:ascii="仿宋" w:hAnsi="仿宋" w:eastAsia="仿宋" w:cs="仿宋"/>
          <w:b/>
          <w:bCs/>
          <w:color w:val="000000" w:themeColor="text1"/>
          <w:sz w:val="30"/>
          <w:szCs w:val="30"/>
          <w:highlight w:val="none"/>
          <w14:textFill>
            <w14:solidFill>
              <w14:schemeClr w14:val="tx1"/>
            </w14:solidFill>
          </w14:textFill>
        </w:rPr>
      </w:pPr>
      <w:r>
        <w:rPr>
          <w:rFonts w:hint="eastAsia" w:ascii="仿宋" w:hAnsi="仿宋" w:eastAsia="仿宋" w:cs="仿宋"/>
          <w:b/>
          <w:bCs/>
          <w:color w:val="000000" w:themeColor="text1"/>
          <w:sz w:val="30"/>
          <w:szCs w:val="30"/>
          <w:highlight w:val="none"/>
          <w14:textFill>
            <w14:solidFill>
              <w14:schemeClr w14:val="tx1"/>
            </w14:solidFill>
          </w14:textFill>
        </w:rPr>
        <w:t>（由投标人自行编制）</w:t>
      </w:r>
    </w:p>
    <w:p w14:paraId="7DBFC4E2">
      <w:pPr>
        <w:pStyle w:val="2"/>
        <w:rPr>
          <w:rFonts w:hint="eastAsia" w:ascii="仿宋" w:hAnsi="仿宋" w:eastAsia="仿宋" w:cs="仿宋"/>
          <w:color w:val="000000" w:themeColor="text1"/>
          <w:highlight w:val="none"/>
          <w14:textFill>
            <w14:solidFill>
              <w14:schemeClr w14:val="tx1"/>
            </w14:solidFill>
          </w14:textFill>
        </w:rPr>
      </w:pPr>
    </w:p>
    <w:p w14:paraId="40F10258">
      <w:pPr>
        <w:pStyle w:val="3"/>
        <w:ind w:left="5250"/>
        <w:rPr>
          <w:rFonts w:hint="eastAsia" w:ascii="仿宋" w:hAnsi="仿宋" w:eastAsia="仿宋" w:cs="仿宋"/>
          <w:color w:val="000000" w:themeColor="text1"/>
          <w:highlight w:val="none"/>
          <w14:textFill>
            <w14:solidFill>
              <w14:schemeClr w14:val="tx1"/>
            </w14:solidFill>
          </w14:textFill>
        </w:rPr>
      </w:pPr>
    </w:p>
    <w:p w14:paraId="78F3C7B3">
      <w:pPr>
        <w:rPr>
          <w:rFonts w:hint="eastAsia" w:ascii="仿宋" w:hAnsi="仿宋" w:eastAsia="仿宋" w:cs="仿宋"/>
          <w:color w:val="000000" w:themeColor="text1"/>
          <w:highlight w:val="none"/>
          <w14:textFill>
            <w14:solidFill>
              <w14:schemeClr w14:val="tx1"/>
            </w14:solidFill>
          </w14:textFill>
        </w:rPr>
      </w:pPr>
    </w:p>
    <w:p w14:paraId="3B412726">
      <w:pPr>
        <w:pStyle w:val="2"/>
        <w:rPr>
          <w:rFonts w:hint="eastAsia" w:ascii="仿宋" w:hAnsi="仿宋" w:eastAsia="仿宋" w:cs="仿宋"/>
          <w:color w:val="000000" w:themeColor="text1"/>
          <w:highlight w:val="none"/>
          <w14:textFill>
            <w14:solidFill>
              <w14:schemeClr w14:val="tx1"/>
            </w14:solidFill>
          </w14:textFill>
        </w:rPr>
      </w:pPr>
    </w:p>
    <w:p w14:paraId="4D879FDD">
      <w:pPr>
        <w:pStyle w:val="3"/>
        <w:ind w:left="5250"/>
        <w:rPr>
          <w:rFonts w:hint="eastAsia" w:ascii="仿宋" w:hAnsi="仿宋" w:eastAsia="仿宋" w:cs="仿宋"/>
          <w:color w:val="000000" w:themeColor="text1"/>
          <w:highlight w:val="none"/>
          <w14:textFill>
            <w14:solidFill>
              <w14:schemeClr w14:val="tx1"/>
            </w14:solidFill>
          </w14:textFill>
        </w:rPr>
      </w:pPr>
    </w:p>
    <w:p w14:paraId="670CD0ED">
      <w:pPr>
        <w:rPr>
          <w:rFonts w:hint="eastAsia" w:ascii="仿宋" w:hAnsi="仿宋" w:eastAsia="仿宋" w:cs="仿宋"/>
          <w:color w:val="000000" w:themeColor="text1"/>
          <w:highlight w:val="none"/>
          <w14:textFill>
            <w14:solidFill>
              <w14:schemeClr w14:val="tx1"/>
            </w14:solidFill>
          </w14:textFill>
        </w:rPr>
      </w:pPr>
    </w:p>
    <w:p w14:paraId="71B806A9">
      <w:pPr>
        <w:pStyle w:val="2"/>
        <w:rPr>
          <w:rFonts w:hint="eastAsia" w:ascii="仿宋" w:hAnsi="仿宋" w:eastAsia="仿宋" w:cs="仿宋"/>
          <w:color w:val="000000" w:themeColor="text1"/>
          <w:highlight w:val="none"/>
          <w14:textFill>
            <w14:solidFill>
              <w14:schemeClr w14:val="tx1"/>
            </w14:solidFill>
          </w14:textFill>
        </w:rPr>
      </w:pPr>
    </w:p>
    <w:p w14:paraId="3BE4772F">
      <w:pPr>
        <w:pStyle w:val="3"/>
        <w:ind w:left="5250"/>
        <w:rPr>
          <w:rFonts w:hint="eastAsia" w:ascii="仿宋" w:hAnsi="仿宋" w:eastAsia="仿宋" w:cs="仿宋"/>
          <w:color w:val="000000" w:themeColor="text1"/>
          <w:highlight w:val="none"/>
          <w14:textFill>
            <w14:solidFill>
              <w14:schemeClr w14:val="tx1"/>
            </w14:solidFill>
          </w14:textFill>
        </w:rPr>
      </w:pPr>
    </w:p>
    <w:p w14:paraId="46BD0E3B">
      <w:pPr>
        <w:rPr>
          <w:rFonts w:hint="eastAsia" w:ascii="仿宋" w:hAnsi="仿宋" w:eastAsia="仿宋" w:cs="仿宋"/>
          <w:color w:val="000000" w:themeColor="text1"/>
          <w:highlight w:val="none"/>
          <w14:textFill>
            <w14:solidFill>
              <w14:schemeClr w14:val="tx1"/>
            </w14:solidFill>
          </w14:textFill>
        </w:rPr>
      </w:pPr>
    </w:p>
    <w:p w14:paraId="5DD7C433">
      <w:pPr>
        <w:pStyle w:val="2"/>
        <w:rPr>
          <w:rFonts w:hint="eastAsia" w:ascii="仿宋" w:hAnsi="仿宋" w:eastAsia="仿宋" w:cs="仿宋"/>
          <w:color w:val="000000" w:themeColor="text1"/>
          <w:highlight w:val="none"/>
          <w14:textFill>
            <w14:solidFill>
              <w14:schemeClr w14:val="tx1"/>
            </w14:solidFill>
          </w14:textFill>
        </w:rPr>
      </w:pPr>
    </w:p>
    <w:p w14:paraId="398EBF68">
      <w:pPr>
        <w:pStyle w:val="3"/>
        <w:ind w:left="5250"/>
        <w:rPr>
          <w:rFonts w:hint="eastAsia" w:ascii="仿宋" w:hAnsi="仿宋" w:eastAsia="仿宋" w:cs="仿宋"/>
          <w:color w:val="000000" w:themeColor="text1"/>
          <w:highlight w:val="none"/>
          <w14:textFill>
            <w14:solidFill>
              <w14:schemeClr w14:val="tx1"/>
            </w14:solidFill>
          </w14:textFill>
        </w:rPr>
      </w:pPr>
    </w:p>
    <w:p w14:paraId="3451BB52">
      <w:pPr>
        <w:rPr>
          <w:rFonts w:hint="eastAsia" w:ascii="仿宋" w:hAnsi="仿宋" w:eastAsia="仿宋" w:cs="仿宋"/>
          <w:color w:val="000000" w:themeColor="text1"/>
          <w:highlight w:val="none"/>
          <w14:textFill>
            <w14:solidFill>
              <w14:schemeClr w14:val="tx1"/>
            </w14:solidFill>
          </w14:textFill>
        </w:rPr>
      </w:pPr>
    </w:p>
    <w:p w14:paraId="3E8BF7A8">
      <w:pPr>
        <w:pStyle w:val="2"/>
        <w:rPr>
          <w:rFonts w:hint="eastAsia" w:ascii="仿宋" w:hAnsi="仿宋" w:eastAsia="仿宋" w:cs="仿宋"/>
          <w:color w:val="000000" w:themeColor="text1"/>
          <w:highlight w:val="none"/>
          <w14:textFill>
            <w14:solidFill>
              <w14:schemeClr w14:val="tx1"/>
            </w14:solidFill>
          </w14:textFill>
        </w:rPr>
      </w:pPr>
    </w:p>
    <w:p w14:paraId="1AA8AAB8">
      <w:pPr>
        <w:pStyle w:val="3"/>
        <w:ind w:left="5250"/>
        <w:rPr>
          <w:rFonts w:hint="eastAsia" w:ascii="仿宋" w:hAnsi="仿宋" w:eastAsia="仿宋" w:cs="仿宋"/>
          <w:color w:val="000000" w:themeColor="text1"/>
          <w:highlight w:val="none"/>
          <w14:textFill>
            <w14:solidFill>
              <w14:schemeClr w14:val="tx1"/>
            </w14:solidFill>
          </w14:textFill>
        </w:rPr>
      </w:pPr>
    </w:p>
    <w:p w14:paraId="53AA21A5">
      <w:pPr>
        <w:rPr>
          <w:rFonts w:hint="eastAsia" w:ascii="仿宋" w:hAnsi="仿宋" w:eastAsia="仿宋" w:cs="仿宋"/>
          <w:color w:val="000000" w:themeColor="text1"/>
          <w:highlight w:val="none"/>
          <w14:textFill>
            <w14:solidFill>
              <w14:schemeClr w14:val="tx1"/>
            </w14:solidFill>
          </w14:textFill>
        </w:rPr>
      </w:pPr>
    </w:p>
    <w:p w14:paraId="40D997C0">
      <w:pPr>
        <w:pStyle w:val="2"/>
        <w:rPr>
          <w:rFonts w:hint="eastAsia" w:ascii="仿宋" w:hAnsi="仿宋" w:eastAsia="仿宋" w:cs="仿宋"/>
          <w:color w:val="000000" w:themeColor="text1"/>
          <w:highlight w:val="none"/>
          <w14:textFill>
            <w14:solidFill>
              <w14:schemeClr w14:val="tx1"/>
            </w14:solidFill>
          </w14:textFill>
        </w:rPr>
      </w:pPr>
    </w:p>
    <w:p w14:paraId="769F6E4C">
      <w:pPr>
        <w:pStyle w:val="3"/>
        <w:ind w:left="5250"/>
        <w:rPr>
          <w:rFonts w:hint="eastAsia" w:ascii="仿宋" w:hAnsi="仿宋" w:eastAsia="仿宋" w:cs="仿宋"/>
          <w:color w:val="000000" w:themeColor="text1"/>
          <w:highlight w:val="none"/>
          <w14:textFill>
            <w14:solidFill>
              <w14:schemeClr w14:val="tx1"/>
            </w14:solidFill>
          </w14:textFill>
        </w:rPr>
      </w:pPr>
    </w:p>
    <w:p w14:paraId="5D5759BC">
      <w:pPr>
        <w:rPr>
          <w:rFonts w:hint="eastAsia" w:ascii="仿宋" w:hAnsi="仿宋" w:eastAsia="仿宋" w:cs="仿宋"/>
          <w:color w:val="000000" w:themeColor="text1"/>
          <w:highlight w:val="none"/>
          <w14:textFill>
            <w14:solidFill>
              <w14:schemeClr w14:val="tx1"/>
            </w14:solidFill>
          </w14:textFill>
        </w:rPr>
      </w:pPr>
    </w:p>
    <w:p w14:paraId="7B1A7283">
      <w:pPr>
        <w:pStyle w:val="2"/>
        <w:rPr>
          <w:rFonts w:hint="eastAsia" w:ascii="仿宋" w:hAnsi="仿宋" w:eastAsia="仿宋" w:cs="仿宋"/>
          <w:color w:val="000000" w:themeColor="text1"/>
          <w:highlight w:val="none"/>
          <w14:textFill>
            <w14:solidFill>
              <w14:schemeClr w14:val="tx1"/>
            </w14:solidFill>
          </w14:textFill>
        </w:rPr>
      </w:pPr>
    </w:p>
    <w:p w14:paraId="40A7F70A">
      <w:pPr>
        <w:pStyle w:val="3"/>
        <w:ind w:left="5250"/>
        <w:rPr>
          <w:rFonts w:hint="eastAsia" w:ascii="仿宋" w:hAnsi="仿宋" w:eastAsia="仿宋" w:cs="仿宋"/>
          <w:color w:val="000000" w:themeColor="text1"/>
          <w:highlight w:val="none"/>
          <w14:textFill>
            <w14:solidFill>
              <w14:schemeClr w14:val="tx1"/>
            </w14:solidFill>
          </w14:textFill>
        </w:rPr>
      </w:pPr>
    </w:p>
    <w:p w14:paraId="06BD0065">
      <w:pPr>
        <w:rPr>
          <w:rFonts w:hint="eastAsia" w:ascii="仿宋" w:hAnsi="仿宋" w:eastAsia="仿宋" w:cs="仿宋"/>
          <w:color w:val="000000" w:themeColor="text1"/>
          <w:highlight w:val="none"/>
          <w14:textFill>
            <w14:solidFill>
              <w14:schemeClr w14:val="tx1"/>
            </w14:solidFill>
          </w14:textFill>
        </w:rPr>
      </w:pPr>
    </w:p>
    <w:p w14:paraId="1BC4DA4A">
      <w:pPr>
        <w:pStyle w:val="2"/>
        <w:rPr>
          <w:rFonts w:hint="eastAsia" w:ascii="仿宋" w:hAnsi="仿宋" w:eastAsia="仿宋" w:cs="仿宋"/>
          <w:color w:val="000000" w:themeColor="text1"/>
          <w:highlight w:val="none"/>
          <w14:textFill>
            <w14:solidFill>
              <w14:schemeClr w14:val="tx1"/>
            </w14:solidFill>
          </w14:textFill>
        </w:rPr>
      </w:pPr>
    </w:p>
    <w:p w14:paraId="69F71A2E">
      <w:pPr>
        <w:pStyle w:val="3"/>
        <w:ind w:left="5250"/>
        <w:rPr>
          <w:rFonts w:hint="eastAsia" w:ascii="仿宋" w:hAnsi="仿宋" w:eastAsia="仿宋" w:cs="仿宋"/>
          <w:color w:val="000000" w:themeColor="text1"/>
          <w:highlight w:val="none"/>
          <w14:textFill>
            <w14:solidFill>
              <w14:schemeClr w14:val="tx1"/>
            </w14:solidFill>
          </w14:textFill>
        </w:rPr>
      </w:pPr>
    </w:p>
    <w:p w14:paraId="47B4339F">
      <w:pPr>
        <w:rPr>
          <w:rFonts w:hint="eastAsia" w:ascii="仿宋" w:hAnsi="仿宋" w:eastAsia="仿宋" w:cs="仿宋"/>
          <w:color w:val="000000" w:themeColor="text1"/>
          <w:highlight w:val="none"/>
          <w14:textFill>
            <w14:solidFill>
              <w14:schemeClr w14:val="tx1"/>
            </w14:solidFill>
          </w14:textFill>
        </w:rPr>
      </w:pPr>
    </w:p>
    <w:p w14:paraId="672D3D97">
      <w:pPr>
        <w:pStyle w:val="2"/>
        <w:rPr>
          <w:rFonts w:hint="eastAsia" w:ascii="仿宋" w:hAnsi="仿宋" w:eastAsia="仿宋" w:cs="仿宋"/>
          <w:color w:val="000000" w:themeColor="text1"/>
          <w:highlight w:val="none"/>
          <w14:textFill>
            <w14:solidFill>
              <w14:schemeClr w14:val="tx1"/>
            </w14:solidFill>
          </w14:textFill>
        </w:rPr>
      </w:pPr>
    </w:p>
    <w:p w14:paraId="4DA0BA19">
      <w:pPr>
        <w:pStyle w:val="3"/>
        <w:ind w:left="5250"/>
        <w:rPr>
          <w:rFonts w:hint="eastAsia" w:ascii="仿宋" w:hAnsi="仿宋" w:eastAsia="仿宋" w:cs="仿宋"/>
          <w:color w:val="000000" w:themeColor="text1"/>
          <w:highlight w:val="none"/>
          <w14:textFill>
            <w14:solidFill>
              <w14:schemeClr w14:val="tx1"/>
            </w14:solidFill>
          </w14:textFill>
        </w:rPr>
      </w:pPr>
    </w:p>
    <w:p w14:paraId="2A102EAB">
      <w:pPr>
        <w:rPr>
          <w:rFonts w:hint="eastAsia" w:ascii="仿宋" w:hAnsi="仿宋" w:eastAsia="仿宋" w:cs="仿宋"/>
          <w:color w:val="000000" w:themeColor="text1"/>
          <w:highlight w:val="none"/>
          <w14:textFill>
            <w14:solidFill>
              <w14:schemeClr w14:val="tx1"/>
            </w14:solidFill>
          </w14:textFill>
        </w:rPr>
      </w:pPr>
    </w:p>
    <w:p w14:paraId="49DB2AF1">
      <w:pPr>
        <w:widowControl/>
        <w:jc w:val="left"/>
        <w:rPr>
          <w:rFonts w:hint="eastAsia" w:ascii="仿宋" w:hAnsi="仿宋" w:eastAsia="仿宋" w:cs="仿宋"/>
          <w:bCs/>
          <w:color w:val="000000" w:themeColor="text1"/>
          <w:sz w:val="44"/>
          <w:szCs w:val="32"/>
          <w:highlight w:val="none"/>
          <w14:textFill>
            <w14:solidFill>
              <w14:schemeClr w14:val="tx1"/>
            </w14:solidFill>
          </w14:textFill>
        </w:rPr>
      </w:pPr>
      <w:bookmarkStart w:id="117" w:name="_Toc524682807"/>
      <w:r>
        <w:rPr>
          <w:rFonts w:hint="eastAsia" w:ascii="仿宋" w:hAnsi="仿宋" w:eastAsia="仿宋" w:cs="仿宋"/>
          <w:bCs/>
          <w:color w:val="000000" w:themeColor="text1"/>
          <w:sz w:val="44"/>
          <w:szCs w:val="32"/>
          <w:highlight w:val="none"/>
          <w14:textFill>
            <w14:solidFill>
              <w14:schemeClr w14:val="tx1"/>
            </w14:solidFill>
          </w14:textFill>
        </w:rPr>
        <w:br w:type="page"/>
      </w:r>
    </w:p>
    <w:p w14:paraId="780B2AB3">
      <w:pPr>
        <w:ind w:right="-41"/>
        <w:jc w:val="center"/>
        <w:rPr>
          <w:rFonts w:hint="eastAsia" w:ascii="仿宋" w:hAnsi="仿宋" w:eastAsia="仿宋" w:cs="仿宋"/>
          <w:bCs/>
          <w:color w:val="000000" w:themeColor="text1"/>
          <w:sz w:val="44"/>
          <w:szCs w:val="32"/>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t>投标承诺函</w:t>
      </w:r>
      <w:bookmarkEnd w:id="117"/>
    </w:p>
    <w:p w14:paraId="5F721C59">
      <w:pPr>
        <w:spacing w:line="560" w:lineRule="exac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威海市天垣工程咨询管理有限公司</w:t>
      </w:r>
      <w:r>
        <w:rPr>
          <w:rFonts w:hint="eastAsia" w:ascii="仿宋" w:hAnsi="仿宋" w:eastAsia="仿宋" w:cs="仿宋"/>
          <w:color w:val="000000" w:themeColor="text1"/>
          <w:kern w:val="0"/>
          <w:sz w:val="28"/>
          <w:szCs w:val="28"/>
          <w:highlight w:val="none"/>
          <w14:textFill>
            <w14:solidFill>
              <w14:schemeClr w14:val="tx1"/>
            </w14:solidFill>
          </w14:textFill>
        </w:rPr>
        <w:t>：</w:t>
      </w:r>
    </w:p>
    <w:p w14:paraId="37B65DF8">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我方根据编号为TYZB-202612的招标文件的要求，经详细研究决定参加投标。</w:t>
      </w:r>
    </w:p>
    <w:p w14:paraId="6A3FD28D">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1.我方接受本招标文件中关于电子招投标的各项规定，遵守《中华人民共和国电子签名法》关于电子签名的各项规定。我方愿意按照招标文件的规定和要求提供服务，报价详见《投标（报价）一览表》。</w:t>
      </w:r>
    </w:p>
    <w:p w14:paraId="2D7D54CC">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2.我方同意</w:t>
      </w:r>
      <w:r>
        <w:rPr>
          <w:rFonts w:hint="eastAsia" w:ascii="仿宋" w:hAnsi="仿宋" w:eastAsia="仿宋" w:cs="仿宋"/>
          <w:color w:val="000000" w:themeColor="text1"/>
          <w:sz w:val="28"/>
          <w:szCs w:val="28"/>
          <w:highlight w:val="none"/>
          <w14:textFill>
            <w14:solidFill>
              <w14:schemeClr w14:val="tx1"/>
            </w14:solidFill>
          </w14:textFill>
        </w:rPr>
        <w:t>开标之日起90天</w:t>
      </w:r>
      <w:r>
        <w:rPr>
          <w:rFonts w:hint="eastAsia" w:ascii="仿宋" w:hAnsi="仿宋" w:eastAsia="仿宋" w:cs="仿宋"/>
          <w:color w:val="000000" w:themeColor="text1"/>
          <w:kern w:val="0"/>
          <w:sz w:val="28"/>
          <w:szCs w:val="28"/>
          <w:highlight w:val="none"/>
          <w14:textFill>
            <w14:solidFill>
              <w14:schemeClr w14:val="tx1"/>
            </w14:solidFill>
          </w14:textFill>
        </w:rPr>
        <w:t>的投标有效期，严格遵守投标文件的各项承诺。在此期限届满之前，本投标文件始终对我方具有约束力，并随时接受中标。我方承诺在投标有效期内不修改、撤销投标文件。</w:t>
      </w:r>
    </w:p>
    <w:p w14:paraId="3C2AED54">
      <w:pPr>
        <w:spacing w:line="560" w:lineRule="exact"/>
        <w:ind w:firstLine="560" w:firstLineChars="200"/>
        <w:rPr>
          <w:rFonts w:hint="eastAsia" w:ascii="仿宋" w:hAnsi="仿宋" w:eastAsia="仿宋" w:cs="仿宋"/>
          <w:b/>
          <w:strike/>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3.我方愿意遵守本招标文件的规定和要求并提供招标文件中要求的所有资料，若投标文件中存在虚假资料的，则视为我方隐瞒真实情况、提供虚假资料，我方愿意接受主管部门做出的行政处罚。</w:t>
      </w:r>
    </w:p>
    <w:p w14:paraId="55DF7379">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4.如果我方中标：</w:t>
      </w:r>
    </w:p>
    <w:p w14:paraId="785DDF7E">
      <w:pPr>
        <w:spacing w:line="560" w:lineRule="exact"/>
        <w:ind w:firstLine="420" w:firstLineChars="15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（1）我方承诺在中标通知书发出后，在规定期限内与招标人签订合同；</w:t>
      </w:r>
    </w:p>
    <w:p w14:paraId="4453CC40">
      <w:pPr>
        <w:spacing w:line="560" w:lineRule="exact"/>
        <w:ind w:firstLine="420" w:firstLineChars="15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（2）我方承诺在合同约定的期限内，按期、保质、保量完成项目任务；</w:t>
      </w:r>
    </w:p>
    <w:p w14:paraId="5DCF873E">
      <w:pPr>
        <w:spacing w:line="560" w:lineRule="exact"/>
        <w:ind w:firstLine="420" w:firstLineChars="15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（3）我方承诺将按照招标文件的规定全额交纳代理服务费。</w:t>
      </w:r>
    </w:p>
    <w:p w14:paraId="7D84471C">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5.我方在此声明，所提交的投标文件及有关资料内容完整、真实和准确，如有弄虚作假，一旦中标将取消中标资格。</w:t>
      </w:r>
    </w:p>
    <w:p w14:paraId="56A90B76">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6.所有有关本投标的函电，请按下列地址联系：</w:t>
      </w:r>
    </w:p>
    <w:p w14:paraId="2E29854F">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单    位：                     邮政编码：</w:t>
      </w:r>
    </w:p>
    <w:p w14:paraId="09EC0091">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地    址：                     联 系 人：</w:t>
      </w:r>
    </w:p>
    <w:p w14:paraId="3DDE7E7D">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电    话：                     传    真：</w:t>
      </w:r>
    </w:p>
    <w:p w14:paraId="1BA743A6">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开户名称：</w:t>
      </w:r>
    </w:p>
    <w:p w14:paraId="7ADB00A8">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开户银行：</w:t>
      </w:r>
    </w:p>
    <w:p w14:paraId="3EB52691">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开户账号：</w:t>
      </w:r>
    </w:p>
    <w:p w14:paraId="46955421">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投标人（盖章）：</w:t>
      </w:r>
    </w:p>
    <w:p w14:paraId="69C94C74">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法定代表人或被授权人（签字或盖章）：</w:t>
      </w:r>
    </w:p>
    <w:p w14:paraId="6A86EF81">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 xml:space="preserve">报价日期：××年××月××日 </w:t>
      </w:r>
    </w:p>
    <w:p w14:paraId="559F213F">
      <w:pPr>
        <w:spacing w:line="560" w:lineRule="exact"/>
        <w:ind w:firstLine="640"/>
        <w:rPr>
          <w:rFonts w:hint="eastAsia" w:ascii="仿宋" w:hAnsi="仿宋" w:eastAsia="仿宋" w:cs="仿宋"/>
          <w:color w:val="000000" w:themeColor="text1"/>
          <w:kern w:val="0"/>
          <w:sz w:val="28"/>
          <w:szCs w:val="28"/>
          <w:highlight w:val="none"/>
          <w14:textFill>
            <w14:solidFill>
              <w14:schemeClr w14:val="tx1"/>
            </w14:solidFill>
          </w14:textFill>
        </w:rPr>
      </w:pPr>
    </w:p>
    <w:p w14:paraId="4529320D">
      <w:pPr>
        <w:spacing w:line="480" w:lineRule="exact"/>
        <w:ind w:firstLine="600" w:firstLineChars="200"/>
        <w:jc w:val="center"/>
        <w:rPr>
          <w:rFonts w:hint="eastAsia" w:ascii="仿宋" w:hAnsi="仿宋" w:eastAsia="仿宋" w:cs="仿宋"/>
          <w:bCs/>
          <w:color w:val="000000" w:themeColor="text1"/>
          <w:sz w:val="30"/>
          <w:szCs w:val="30"/>
          <w:highlight w:val="none"/>
          <w14:textFill>
            <w14:solidFill>
              <w14:schemeClr w14:val="tx1"/>
            </w14:solidFill>
          </w14:textFill>
        </w:rPr>
      </w:pPr>
      <w:r>
        <w:rPr>
          <w:rFonts w:hint="eastAsia" w:ascii="仿宋" w:hAnsi="仿宋" w:eastAsia="仿宋" w:cs="仿宋"/>
          <w:bCs/>
          <w:color w:val="000000" w:themeColor="text1"/>
          <w:sz w:val="30"/>
          <w:szCs w:val="30"/>
          <w:highlight w:val="none"/>
          <w14:textFill>
            <w14:solidFill>
              <w14:schemeClr w14:val="tx1"/>
            </w14:solidFill>
          </w14:textFill>
        </w:rPr>
        <w:br w:type="page"/>
      </w:r>
      <w:bookmarkEnd w:id="116"/>
      <w:bookmarkStart w:id="118" w:name="_Toc523388132"/>
    </w:p>
    <w:p w14:paraId="58720087">
      <w:pPr>
        <w:pStyle w:val="27"/>
        <w:jc w:val="cente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t>投标（报价）一览表</w:t>
      </w:r>
    </w:p>
    <w:p w14:paraId="288B12C9">
      <w:pPr>
        <w:pStyle w:val="27"/>
        <w:spacing w:line="52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招标编号：TYZB-202612</w:t>
      </w:r>
    </w:p>
    <w:p w14:paraId="7A5C7764">
      <w:pPr>
        <w:pStyle w:val="27"/>
        <w:spacing w:line="52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项目名称：采购专有云资源服务项目</w:t>
      </w:r>
    </w:p>
    <w:tbl>
      <w:tblPr>
        <w:tblStyle w:val="52"/>
        <w:tblW w:w="94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6995"/>
      </w:tblGrid>
      <w:tr w14:paraId="49268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9" w:hRule="atLeast"/>
          <w:jc w:val="center"/>
        </w:trPr>
        <w:tc>
          <w:tcPr>
            <w:tcW w:w="2421" w:type="dxa"/>
            <w:vAlign w:val="center"/>
          </w:tcPr>
          <w:p w14:paraId="30B9D71A">
            <w:pPr>
              <w:spacing w:line="440" w:lineRule="exact"/>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项目名称</w:t>
            </w:r>
          </w:p>
        </w:tc>
        <w:tc>
          <w:tcPr>
            <w:tcW w:w="6995" w:type="dxa"/>
            <w:vAlign w:val="center"/>
          </w:tcPr>
          <w:p w14:paraId="647DCCCC">
            <w:pPr>
              <w:spacing w:line="440" w:lineRule="exact"/>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采购专有云资源服务项目</w:t>
            </w:r>
          </w:p>
        </w:tc>
      </w:tr>
      <w:tr w14:paraId="50E3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65" w:hRule="atLeast"/>
          <w:jc w:val="center"/>
        </w:trPr>
        <w:tc>
          <w:tcPr>
            <w:tcW w:w="2421" w:type="dxa"/>
            <w:vAlign w:val="center"/>
          </w:tcPr>
          <w:p w14:paraId="66C160DE">
            <w:pPr>
              <w:spacing w:line="440" w:lineRule="exact"/>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总报价（元）</w:t>
            </w:r>
          </w:p>
        </w:tc>
        <w:tc>
          <w:tcPr>
            <w:tcW w:w="6995" w:type="dxa"/>
            <w:vAlign w:val="center"/>
          </w:tcPr>
          <w:p w14:paraId="23AE2288">
            <w:pPr>
              <w:spacing w:line="44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大写：</w:t>
            </w:r>
          </w:p>
          <w:p w14:paraId="6A6F74E0">
            <w:pPr>
              <w:spacing w:line="440" w:lineRule="exac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小写：</w:t>
            </w:r>
          </w:p>
        </w:tc>
      </w:tr>
      <w:tr w14:paraId="6A6E1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9" w:hRule="atLeast"/>
          <w:jc w:val="center"/>
        </w:trPr>
        <w:tc>
          <w:tcPr>
            <w:tcW w:w="2421" w:type="dxa"/>
            <w:vAlign w:val="center"/>
          </w:tcPr>
          <w:p w14:paraId="46CE8D92">
            <w:pPr>
              <w:spacing w:line="440" w:lineRule="exact"/>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服务期限</w:t>
            </w:r>
          </w:p>
        </w:tc>
        <w:tc>
          <w:tcPr>
            <w:tcW w:w="6995" w:type="dxa"/>
            <w:vAlign w:val="center"/>
          </w:tcPr>
          <w:p w14:paraId="7D1A063B">
            <w:pPr>
              <w:spacing w:line="440" w:lineRule="exact"/>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1年</w:t>
            </w:r>
          </w:p>
        </w:tc>
      </w:tr>
      <w:tr w14:paraId="7E787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9" w:hRule="atLeast"/>
          <w:jc w:val="center"/>
        </w:trPr>
        <w:tc>
          <w:tcPr>
            <w:tcW w:w="2421" w:type="dxa"/>
            <w:vAlign w:val="center"/>
          </w:tcPr>
          <w:p w14:paraId="1B847CD3">
            <w:pPr>
              <w:spacing w:line="440" w:lineRule="exact"/>
              <w:jc w:val="center"/>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交付时间</w:t>
            </w:r>
          </w:p>
        </w:tc>
        <w:tc>
          <w:tcPr>
            <w:tcW w:w="6995" w:type="dxa"/>
            <w:vAlign w:val="center"/>
          </w:tcPr>
          <w:p w14:paraId="44B5688B">
            <w:pPr>
              <w:spacing w:line="440" w:lineRule="exact"/>
              <w:rPr>
                <w:rFonts w:hint="eastAsia" w:ascii="仿宋" w:hAnsi="仿宋" w:eastAsia="仿宋" w:cs="仿宋"/>
                <w:bCs/>
                <w:color w:val="000000" w:themeColor="text1"/>
                <w:spacing w:val="8"/>
                <w:kern w:val="0"/>
                <w:sz w:val="28"/>
                <w:szCs w:val="28"/>
                <w:highlight w:val="none"/>
                <w14:textFill>
                  <w14:solidFill>
                    <w14:schemeClr w14:val="tx1"/>
                  </w14:solidFill>
                </w14:textFill>
              </w:rPr>
            </w:pPr>
            <w:r>
              <w:rPr>
                <w:rFonts w:hint="eastAsia" w:ascii="仿宋" w:hAnsi="仿宋" w:eastAsia="仿宋" w:cs="仿宋"/>
                <w:bCs/>
                <w:color w:val="000000" w:themeColor="text1"/>
                <w:spacing w:val="8"/>
                <w:kern w:val="0"/>
                <w:sz w:val="28"/>
                <w:szCs w:val="28"/>
                <w:highlight w:val="none"/>
                <w14:textFill>
                  <w14:solidFill>
                    <w14:schemeClr w14:val="tx1"/>
                  </w14:solidFill>
                </w14:textFill>
              </w:rPr>
              <w:t>自合同签订之日起</w:t>
            </w:r>
            <w:r>
              <w:rPr>
                <w:rFonts w:hint="eastAsia" w:ascii="仿宋" w:hAnsi="仿宋" w:eastAsia="仿宋" w:cs="仿宋"/>
                <w:bCs/>
                <w:color w:val="000000" w:themeColor="text1"/>
                <w:spacing w:val="8"/>
                <w:kern w:val="0"/>
                <w:sz w:val="28"/>
                <w:szCs w:val="28"/>
                <w:highlight w:val="none"/>
                <w:u w:val="single"/>
                <w14:textFill>
                  <w14:solidFill>
                    <w14:schemeClr w14:val="tx1"/>
                  </w14:solidFill>
                </w14:textFill>
              </w:rPr>
              <w:t xml:space="preserve">   </w:t>
            </w:r>
            <w:r>
              <w:rPr>
                <w:rFonts w:hint="eastAsia" w:ascii="仿宋" w:hAnsi="仿宋" w:eastAsia="仿宋" w:cs="仿宋"/>
                <w:bCs/>
                <w:color w:val="000000" w:themeColor="text1"/>
                <w:spacing w:val="8"/>
                <w:kern w:val="0"/>
                <w:sz w:val="28"/>
                <w:szCs w:val="28"/>
                <w:highlight w:val="none"/>
                <w14:textFill>
                  <w14:solidFill>
                    <w14:schemeClr w14:val="tx1"/>
                  </w14:solidFill>
                </w14:textFill>
              </w:rPr>
              <w:t>日内交付</w:t>
            </w:r>
          </w:p>
        </w:tc>
      </w:tr>
      <w:tr w14:paraId="373A5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12" w:hRule="atLeast"/>
          <w:jc w:val="center"/>
        </w:trPr>
        <w:tc>
          <w:tcPr>
            <w:tcW w:w="2421" w:type="dxa"/>
            <w:vAlign w:val="center"/>
          </w:tcPr>
          <w:p w14:paraId="6E945095">
            <w:pPr>
              <w:spacing w:line="440" w:lineRule="exact"/>
              <w:jc w:val="center"/>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kern w:val="0"/>
                <w:sz w:val="28"/>
                <w:szCs w:val="28"/>
                <w:highlight w:val="none"/>
                <w14:textFill>
                  <w14:solidFill>
                    <w14:schemeClr w14:val="tx1"/>
                  </w14:solidFill>
                </w14:textFill>
              </w:rPr>
              <w:t>报价声明</w:t>
            </w:r>
          </w:p>
        </w:tc>
        <w:tc>
          <w:tcPr>
            <w:tcW w:w="6995" w:type="dxa"/>
          </w:tcPr>
          <w:p w14:paraId="4AE4666E">
            <w:pPr>
              <w:jc w:val="left"/>
              <w:rPr>
                <w:rFonts w:hint="eastAsia" w:ascii="仿宋" w:hAnsi="仿宋" w:eastAsia="仿宋" w:cs="仿宋"/>
                <w:color w:val="000000" w:themeColor="text1"/>
                <w:sz w:val="28"/>
                <w:szCs w:val="28"/>
                <w:highlight w:val="none"/>
                <w14:textFill>
                  <w14:solidFill>
                    <w14:schemeClr w14:val="tx1"/>
                  </w14:solidFill>
                </w14:textFill>
              </w:rPr>
            </w:pPr>
          </w:p>
        </w:tc>
      </w:tr>
    </w:tbl>
    <w:p w14:paraId="1C9233A4">
      <w:pPr>
        <w:spacing w:line="520" w:lineRule="exact"/>
        <w:ind w:firstLine="4760" w:firstLineChars="1700"/>
        <w:rPr>
          <w:rFonts w:hint="eastAsia" w:ascii="仿宋" w:hAnsi="仿宋" w:eastAsia="仿宋" w:cs="仿宋"/>
          <w:color w:val="000000" w:themeColor="text1"/>
          <w:sz w:val="28"/>
          <w:highlight w:val="none"/>
          <w14:textFill>
            <w14:solidFill>
              <w14:schemeClr w14:val="tx1"/>
            </w14:solidFill>
          </w14:textFill>
        </w:rPr>
      </w:pPr>
    </w:p>
    <w:p w14:paraId="2FD3E9DB">
      <w:pPr>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bookmarkStart w:id="119" w:name="OLE_LINK1"/>
      <w:r>
        <w:rPr>
          <w:rFonts w:hint="eastAsia" w:ascii="仿宋" w:hAnsi="仿宋" w:eastAsia="仿宋" w:cs="仿宋"/>
          <w:color w:val="000000" w:themeColor="text1"/>
          <w:sz w:val="28"/>
          <w:szCs w:val="28"/>
          <w:highlight w:val="none"/>
          <w14:textFill>
            <w14:solidFill>
              <w14:schemeClr w14:val="tx1"/>
            </w14:solidFill>
          </w14:textFill>
        </w:rPr>
        <w:t>投标人(盖章):</w:t>
      </w:r>
    </w:p>
    <w:p w14:paraId="6FBF30C6">
      <w:pPr>
        <w:spacing w:line="520" w:lineRule="exact"/>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法定代表人或委托代理人（签字或盖章）：</w:t>
      </w:r>
    </w:p>
    <w:bookmarkEnd w:id="119"/>
    <w:p w14:paraId="14BF214E">
      <w:pPr>
        <w:pStyle w:val="27"/>
        <w:jc w:val="center"/>
        <w:rPr>
          <w:rFonts w:hint="eastAsia" w:ascii="仿宋" w:hAnsi="仿宋" w:eastAsia="仿宋" w:cs="仿宋"/>
          <w:bCs/>
          <w:color w:val="000000" w:themeColor="text1"/>
          <w:kern w:val="2"/>
          <w:sz w:val="44"/>
          <w:szCs w:val="32"/>
          <w:highlight w:val="none"/>
          <w14:textFill>
            <w14:solidFill>
              <w14:schemeClr w14:val="tx1"/>
            </w14:solidFill>
          </w14:textFill>
        </w:rPr>
      </w:pPr>
    </w:p>
    <w:p w14:paraId="036D6D1B">
      <w:pPr>
        <w:pStyle w:val="204"/>
        <w:rPr>
          <w:rFonts w:hint="eastAsia" w:ascii="仿宋" w:hAnsi="仿宋" w:eastAsia="仿宋" w:cs="仿宋"/>
          <w:color w:val="000000" w:themeColor="text1"/>
          <w:highlight w:val="none"/>
          <w14:textFill>
            <w14:solidFill>
              <w14:schemeClr w14:val="tx1"/>
            </w14:solidFill>
          </w14:textFill>
        </w:rPr>
      </w:pPr>
      <w:bookmarkStart w:id="120" w:name="_Toc66864055"/>
    </w:p>
    <w:p w14:paraId="5030B41C">
      <w:pPr>
        <w:widowControl/>
        <w:jc w:val="left"/>
        <w:rPr>
          <w:rFonts w:hint="eastAsia" w:ascii="仿宋" w:hAnsi="仿宋" w:eastAsia="仿宋" w:cs="仿宋"/>
          <w:color w:val="000000" w:themeColor="text1"/>
          <w:sz w:val="44"/>
          <w:szCs w:val="44"/>
          <w:highlight w:val="none"/>
          <w14:textFill>
            <w14:solidFill>
              <w14:schemeClr w14:val="tx1"/>
            </w14:solidFill>
          </w14:textFill>
        </w:rPr>
      </w:pPr>
      <w:bookmarkStart w:id="121" w:name="_Toc130651408"/>
      <w:r>
        <w:rPr>
          <w:rFonts w:hint="eastAsia" w:ascii="仿宋" w:hAnsi="仿宋" w:eastAsia="仿宋" w:cs="仿宋"/>
          <w:color w:val="000000" w:themeColor="text1"/>
          <w:sz w:val="44"/>
          <w:szCs w:val="44"/>
          <w:highlight w:val="none"/>
          <w14:textFill>
            <w14:solidFill>
              <w14:schemeClr w14:val="tx1"/>
            </w14:solidFill>
          </w14:textFill>
        </w:rPr>
        <w:br w:type="page"/>
      </w:r>
    </w:p>
    <w:p w14:paraId="60971E4A">
      <w:pPr>
        <w:spacing w:line="480" w:lineRule="exact"/>
        <w:ind w:firstLine="880" w:firstLineChars="200"/>
        <w:jc w:val="center"/>
        <w:rPr>
          <w:rFonts w:hint="eastAsia" w:ascii="仿宋" w:hAnsi="仿宋" w:eastAsia="仿宋" w:cs="仿宋"/>
          <w:color w:val="000000" w:themeColor="text1"/>
          <w:sz w:val="44"/>
          <w:szCs w:val="44"/>
          <w:highlight w:val="none"/>
          <w14:textFill>
            <w14:solidFill>
              <w14:schemeClr w14:val="tx1"/>
            </w14:solidFill>
          </w14:textFill>
        </w:rPr>
      </w:pPr>
      <w:bookmarkStart w:id="122" w:name="_Toc130651407"/>
      <w:r>
        <w:rPr>
          <w:rFonts w:hint="eastAsia" w:ascii="仿宋" w:hAnsi="仿宋" w:eastAsia="仿宋" w:cs="仿宋"/>
          <w:color w:val="000000" w:themeColor="text1"/>
          <w:sz w:val="44"/>
          <w:szCs w:val="44"/>
          <w:highlight w:val="none"/>
          <w14:textFill>
            <w14:solidFill>
              <w14:schemeClr w14:val="tx1"/>
            </w14:solidFill>
          </w14:textFill>
        </w:rPr>
        <w:t>报价明细表</w:t>
      </w:r>
      <w:bookmarkEnd w:id="122"/>
    </w:p>
    <w:p w14:paraId="2071E410">
      <w:pPr>
        <w:spacing w:line="440" w:lineRule="exact"/>
        <w:jc w:val="right"/>
        <w:rPr>
          <w:rFonts w:hint="eastAsia" w:ascii="仿宋" w:hAnsi="仿宋" w:eastAsia="仿宋" w:cs="仿宋"/>
          <w:color w:val="000000" w:themeColor="text1"/>
          <w:sz w:val="28"/>
          <w:szCs w:val="28"/>
          <w:highlight w:val="none"/>
          <w14:textFill>
            <w14:solidFill>
              <w14:schemeClr w14:val="tx1"/>
            </w14:solidFill>
          </w14:textFill>
        </w:rPr>
      </w:pPr>
    </w:p>
    <w:tbl>
      <w:tblPr>
        <w:tblStyle w:val="50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58"/>
        <w:gridCol w:w="1019"/>
        <w:gridCol w:w="5062"/>
        <w:gridCol w:w="1483"/>
      </w:tblGrid>
      <w:tr w14:paraId="56BEAB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4" w:type="pct"/>
            <w:shd w:val="clear" w:color="auto" w:fill="D9D9D9"/>
            <w:vAlign w:val="center"/>
          </w:tcPr>
          <w:p w14:paraId="165439BC">
            <w:pPr>
              <w:spacing w:line="440" w:lineRule="exact"/>
              <w:jc w:val="center"/>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建设</w:t>
            </w:r>
          </w:p>
          <w:p w14:paraId="38379BBE">
            <w:pPr>
              <w:spacing w:line="440" w:lineRule="exact"/>
              <w:jc w:val="center"/>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内容</w:t>
            </w:r>
          </w:p>
        </w:tc>
        <w:tc>
          <w:tcPr>
            <w:tcW w:w="584" w:type="pct"/>
            <w:shd w:val="clear" w:color="auto" w:fill="D9D9D9"/>
            <w:vAlign w:val="center"/>
          </w:tcPr>
          <w:p w14:paraId="485E9593">
            <w:pPr>
              <w:spacing w:line="440" w:lineRule="exact"/>
              <w:jc w:val="center"/>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资源分类</w:t>
            </w:r>
          </w:p>
        </w:tc>
        <w:tc>
          <w:tcPr>
            <w:tcW w:w="2901" w:type="pct"/>
            <w:shd w:val="clear" w:color="auto" w:fill="D9D9D9"/>
            <w:vAlign w:val="center"/>
          </w:tcPr>
          <w:p w14:paraId="6F9D022A">
            <w:pPr>
              <w:spacing w:line="440" w:lineRule="exact"/>
              <w:jc w:val="center"/>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服务内容</w:t>
            </w:r>
          </w:p>
        </w:tc>
        <w:tc>
          <w:tcPr>
            <w:tcW w:w="850" w:type="pct"/>
            <w:shd w:val="clear" w:color="auto" w:fill="D9D9D9"/>
            <w:vAlign w:val="center"/>
          </w:tcPr>
          <w:p w14:paraId="7568F652">
            <w:pPr>
              <w:spacing w:line="440" w:lineRule="exact"/>
              <w:jc w:val="center"/>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报价（元）</w:t>
            </w:r>
          </w:p>
        </w:tc>
      </w:tr>
      <w:tr w14:paraId="7B1CB1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4" w:type="pct"/>
            <w:vMerge w:val="restart"/>
            <w:vAlign w:val="center"/>
          </w:tcPr>
          <w:p w14:paraId="6BCF468D">
            <w:pPr>
              <w:spacing w:line="440" w:lineRule="exact"/>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计算</w:t>
            </w:r>
          </w:p>
          <w:p w14:paraId="09D287B6">
            <w:pPr>
              <w:spacing w:line="440" w:lineRule="exact"/>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存储</w:t>
            </w:r>
          </w:p>
          <w:p w14:paraId="6CAD0796">
            <w:pPr>
              <w:spacing w:line="440" w:lineRule="exact"/>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资源</w:t>
            </w:r>
          </w:p>
        </w:tc>
        <w:tc>
          <w:tcPr>
            <w:tcW w:w="584" w:type="pct"/>
            <w:vAlign w:val="center"/>
          </w:tcPr>
          <w:p w14:paraId="450907B8">
            <w:pPr>
              <w:spacing w:line="440" w:lineRule="exact"/>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计算资源</w:t>
            </w:r>
          </w:p>
        </w:tc>
        <w:tc>
          <w:tcPr>
            <w:tcW w:w="2901" w:type="pct"/>
            <w:vAlign w:val="center"/>
          </w:tcPr>
          <w:p w14:paraId="0679EBFF">
            <w:pPr>
              <w:spacing w:line="440" w:lineRule="exact"/>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容器A(2C/4G)60台</w:t>
            </w:r>
            <w:r>
              <w:rPr>
                <w:rFonts w:hint="eastAsia" w:ascii="仿宋" w:hAnsi="仿宋" w:eastAsia="仿宋" w:cs="仿宋"/>
                <w:color w:val="000000" w:themeColor="text1"/>
                <w:kern w:val="2"/>
                <w:sz w:val="28"/>
                <w:szCs w:val="28"/>
                <w:highlight w:val="none"/>
                <w14:textFill>
                  <w14:solidFill>
                    <w14:schemeClr w14:val="tx1"/>
                  </w14:solidFill>
                </w14:textFill>
              </w:rPr>
              <w:br w:type="textWrapping"/>
            </w:r>
            <w:r>
              <w:rPr>
                <w:rFonts w:hint="eastAsia" w:ascii="仿宋" w:hAnsi="仿宋" w:eastAsia="仿宋" w:cs="仿宋"/>
                <w:color w:val="000000" w:themeColor="text1"/>
                <w:kern w:val="2"/>
                <w:sz w:val="28"/>
                <w:szCs w:val="28"/>
                <w:highlight w:val="none"/>
                <w14:textFill>
                  <w14:solidFill>
                    <w14:schemeClr w14:val="tx1"/>
                  </w14:solidFill>
                </w14:textFill>
              </w:rPr>
              <w:t>容器B(2C/8G)20台</w:t>
            </w:r>
            <w:r>
              <w:rPr>
                <w:rFonts w:hint="eastAsia" w:ascii="仿宋" w:hAnsi="仿宋" w:eastAsia="仿宋" w:cs="仿宋"/>
                <w:color w:val="000000" w:themeColor="text1"/>
                <w:kern w:val="2"/>
                <w:sz w:val="28"/>
                <w:szCs w:val="28"/>
                <w:highlight w:val="none"/>
                <w14:textFill>
                  <w14:solidFill>
                    <w14:schemeClr w14:val="tx1"/>
                  </w14:solidFill>
                </w14:textFill>
              </w:rPr>
              <w:br w:type="textWrapping"/>
            </w:r>
            <w:r>
              <w:rPr>
                <w:rFonts w:hint="eastAsia" w:ascii="仿宋" w:hAnsi="仿宋" w:eastAsia="仿宋" w:cs="仿宋"/>
                <w:color w:val="000000" w:themeColor="text1"/>
                <w:kern w:val="2"/>
                <w:sz w:val="28"/>
                <w:szCs w:val="28"/>
                <w:highlight w:val="none"/>
                <w14:textFill>
                  <w14:solidFill>
                    <w14:schemeClr w14:val="tx1"/>
                  </w14:solidFill>
                </w14:textFill>
              </w:rPr>
              <w:t>容器C(4C/8G)55台</w:t>
            </w:r>
            <w:r>
              <w:rPr>
                <w:rFonts w:hint="eastAsia" w:ascii="仿宋" w:hAnsi="仿宋" w:eastAsia="仿宋" w:cs="仿宋"/>
                <w:color w:val="000000" w:themeColor="text1"/>
                <w:kern w:val="2"/>
                <w:sz w:val="28"/>
                <w:szCs w:val="28"/>
                <w:highlight w:val="none"/>
                <w14:textFill>
                  <w14:solidFill>
                    <w14:schemeClr w14:val="tx1"/>
                  </w14:solidFill>
                </w14:textFill>
              </w:rPr>
              <w:br w:type="textWrapping"/>
            </w:r>
            <w:r>
              <w:rPr>
                <w:rFonts w:hint="eastAsia" w:ascii="仿宋" w:hAnsi="仿宋" w:eastAsia="仿宋" w:cs="仿宋"/>
                <w:color w:val="000000" w:themeColor="text1"/>
                <w:kern w:val="2"/>
                <w:sz w:val="28"/>
                <w:szCs w:val="28"/>
                <w:highlight w:val="none"/>
                <w14:textFill>
                  <w14:solidFill>
                    <w14:schemeClr w14:val="tx1"/>
                  </w14:solidFill>
                </w14:textFill>
              </w:rPr>
              <w:t>容器D(4C/16G)10台</w:t>
            </w:r>
            <w:r>
              <w:rPr>
                <w:rFonts w:hint="eastAsia" w:ascii="仿宋" w:hAnsi="仿宋" w:eastAsia="仿宋" w:cs="仿宋"/>
                <w:color w:val="000000" w:themeColor="text1"/>
                <w:kern w:val="2"/>
                <w:sz w:val="28"/>
                <w:szCs w:val="28"/>
                <w:highlight w:val="none"/>
                <w14:textFill>
                  <w14:solidFill>
                    <w14:schemeClr w14:val="tx1"/>
                  </w14:solidFill>
                </w14:textFill>
              </w:rPr>
              <w:br w:type="textWrapping"/>
            </w:r>
            <w:r>
              <w:rPr>
                <w:rFonts w:hint="eastAsia" w:ascii="仿宋" w:hAnsi="仿宋" w:eastAsia="仿宋" w:cs="仿宋"/>
                <w:color w:val="000000" w:themeColor="text1"/>
                <w:kern w:val="2"/>
                <w:sz w:val="28"/>
                <w:szCs w:val="28"/>
                <w:highlight w:val="none"/>
                <w14:textFill>
                  <w14:solidFill>
                    <w14:schemeClr w14:val="tx1"/>
                  </w14:solidFill>
                </w14:textFill>
              </w:rPr>
              <w:t>容器E(8C/16G)12台</w:t>
            </w:r>
            <w:r>
              <w:rPr>
                <w:rFonts w:hint="eastAsia" w:ascii="仿宋" w:hAnsi="仿宋" w:eastAsia="仿宋" w:cs="仿宋"/>
                <w:color w:val="000000" w:themeColor="text1"/>
                <w:kern w:val="2"/>
                <w:sz w:val="28"/>
                <w:szCs w:val="28"/>
                <w:highlight w:val="none"/>
                <w14:textFill>
                  <w14:solidFill>
                    <w14:schemeClr w14:val="tx1"/>
                  </w14:solidFill>
                </w14:textFill>
              </w:rPr>
              <w:br w:type="textWrapping"/>
            </w:r>
            <w:r>
              <w:rPr>
                <w:rFonts w:hint="eastAsia" w:ascii="仿宋" w:hAnsi="仿宋" w:eastAsia="仿宋" w:cs="仿宋"/>
                <w:color w:val="000000" w:themeColor="text1"/>
                <w:kern w:val="2"/>
                <w:sz w:val="28"/>
                <w:szCs w:val="28"/>
                <w:highlight w:val="none"/>
                <w14:textFill>
                  <w14:solidFill>
                    <w14:schemeClr w14:val="tx1"/>
                  </w14:solidFill>
                </w14:textFill>
              </w:rPr>
              <w:t>容器F(8C/32G)5台</w:t>
            </w:r>
            <w:r>
              <w:rPr>
                <w:rFonts w:hint="eastAsia" w:ascii="仿宋" w:hAnsi="仿宋" w:eastAsia="仿宋" w:cs="仿宋"/>
                <w:color w:val="000000" w:themeColor="text1"/>
                <w:kern w:val="2"/>
                <w:sz w:val="28"/>
                <w:szCs w:val="28"/>
                <w:highlight w:val="none"/>
                <w14:textFill>
                  <w14:solidFill>
                    <w14:schemeClr w14:val="tx1"/>
                  </w14:solidFill>
                </w14:textFill>
              </w:rPr>
              <w:br w:type="textWrapping"/>
            </w:r>
            <w:r>
              <w:rPr>
                <w:rFonts w:hint="eastAsia" w:ascii="仿宋" w:hAnsi="仿宋" w:eastAsia="仿宋" w:cs="仿宋"/>
                <w:color w:val="000000" w:themeColor="text1"/>
                <w:kern w:val="2"/>
                <w:sz w:val="28"/>
                <w:szCs w:val="28"/>
                <w:highlight w:val="none"/>
                <w14:textFill>
                  <w14:solidFill>
                    <w14:schemeClr w14:val="tx1"/>
                  </w14:solidFill>
                </w14:textFill>
              </w:rPr>
              <w:t>容器G(16C/64G)10台</w:t>
            </w:r>
          </w:p>
        </w:tc>
        <w:tc>
          <w:tcPr>
            <w:tcW w:w="850" w:type="pct"/>
            <w:vAlign w:val="center"/>
          </w:tcPr>
          <w:p w14:paraId="0E5F5A6D">
            <w:pPr>
              <w:spacing w:line="440" w:lineRule="exact"/>
              <w:rPr>
                <w:rFonts w:hint="eastAsia" w:ascii="仿宋" w:hAnsi="仿宋" w:eastAsia="仿宋" w:cs="仿宋"/>
                <w:color w:val="000000" w:themeColor="text1"/>
                <w:kern w:val="2"/>
                <w:sz w:val="28"/>
                <w:szCs w:val="28"/>
                <w:highlight w:val="none"/>
                <w14:textFill>
                  <w14:solidFill>
                    <w14:schemeClr w14:val="tx1"/>
                  </w14:solidFill>
                </w14:textFill>
              </w:rPr>
            </w:pPr>
          </w:p>
        </w:tc>
      </w:tr>
      <w:tr w14:paraId="26531F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4" w:type="pct"/>
            <w:vMerge w:val="continue"/>
            <w:vAlign w:val="center"/>
          </w:tcPr>
          <w:p w14:paraId="16CBEA64">
            <w:pPr>
              <w:spacing w:line="440" w:lineRule="exact"/>
              <w:rPr>
                <w:rFonts w:hint="eastAsia" w:ascii="仿宋" w:hAnsi="仿宋" w:eastAsia="仿宋" w:cs="仿宋"/>
                <w:color w:val="000000" w:themeColor="text1"/>
                <w:kern w:val="2"/>
                <w:sz w:val="28"/>
                <w:szCs w:val="28"/>
                <w:highlight w:val="none"/>
                <w14:textFill>
                  <w14:solidFill>
                    <w14:schemeClr w14:val="tx1"/>
                  </w14:solidFill>
                </w14:textFill>
              </w:rPr>
            </w:pPr>
          </w:p>
        </w:tc>
        <w:tc>
          <w:tcPr>
            <w:tcW w:w="584" w:type="pct"/>
            <w:vAlign w:val="center"/>
          </w:tcPr>
          <w:p w14:paraId="27EBB002">
            <w:pPr>
              <w:spacing w:line="440" w:lineRule="exact"/>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存储资源</w:t>
            </w:r>
          </w:p>
        </w:tc>
        <w:tc>
          <w:tcPr>
            <w:tcW w:w="2901" w:type="pct"/>
            <w:vAlign w:val="center"/>
          </w:tcPr>
          <w:p w14:paraId="17CC009D">
            <w:pPr>
              <w:spacing w:line="440" w:lineRule="exact"/>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80T</w:t>
            </w:r>
          </w:p>
        </w:tc>
        <w:tc>
          <w:tcPr>
            <w:tcW w:w="850" w:type="pct"/>
            <w:vAlign w:val="center"/>
          </w:tcPr>
          <w:p w14:paraId="0840503E">
            <w:pPr>
              <w:spacing w:line="440" w:lineRule="exact"/>
              <w:rPr>
                <w:rFonts w:hint="eastAsia" w:ascii="仿宋" w:hAnsi="仿宋" w:eastAsia="仿宋" w:cs="仿宋"/>
                <w:color w:val="000000" w:themeColor="text1"/>
                <w:kern w:val="2"/>
                <w:sz w:val="28"/>
                <w:szCs w:val="28"/>
                <w:highlight w:val="none"/>
                <w14:textFill>
                  <w14:solidFill>
                    <w14:schemeClr w14:val="tx1"/>
                  </w14:solidFill>
                </w14:textFill>
              </w:rPr>
            </w:pPr>
          </w:p>
        </w:tc>
      </w:tr>
      <w:tr w14:paraId="6133DB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64" w:type="pct"/>
            <w:vMerge w:val="continue"/>
            <w:vAlign w:val="center"/>
          </w:tcPr>
          <w:p w14:paraId="5DF62905">
            <w:pPr>
              <w:spacing w:line="440" w:lineRule="exact"/>
              <w:rPr>
                <w:rFonts w:hint="eastAsia" w:ascii="仿宋" w:hAnsi="仿宋" w:eastAsia="仿宋" w:cs="仿宋"/>
                <w:color w:val="000000" w:themeColor="text1"/>
                <w:kern w:val="2"/>
                <w:sz w:val="28"/>
                <w:szCs w:val="28"/>
                <w:highlight w:val="none"/>
                <w14:textFill>
                  <w14:solidFill>
                    <w14:schemeClr w14:val="tx1"/>
                  </w14:solidFill>
                </w14:textFill>
              </w:rPr>
            </w:pPr>
          </w:p>
        </w:tc>
        <w:tc>
          <w:tcPr>
            <w:tcW w:w="584" w:type="pct"/>
            <w:vAlign w:val="center"/>
          </w:tcPr>
          <w:p w14:paraId="479092F6">
            <w:pPr>
              <w:spacing w:line="440" w:lineRule="exact"/>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安全防护资源</w:t>
            </w:r>
          </w:p>
        </w:tc>
        <w:tc>
          <w:tcPr>
            <w:tcW w:w="2901" w:type="pct"/>
            <w:vAlign w:val="center"/>
          </w:tcPr>
          <w:p w14:paraId="1062C1A9">
            <w:pPr>
              <w:spacing w:line="440" w:lineRule="exact"/>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通过安全感知平台做联动管控，通过安全感知平台介入托管式安全运营服务做整体安全托管，从而保证事前检测、事中防御、事后防御的全套安全防护体系。具备网络层面安全防护、系统层面安全防护和端点层面安全防护。</w:t>
            </w:r>
          </w:p>
        </w:tc>
        <w:tc>
          <w:tcPr>
            <w:tcW w:w="850" w:type="pct"/>
            <w:vAlign w:val="center"/>
          </w:tcPr>
          <w:p w14:paraId="37AC1F27">
            <w:pPr>
              <w:spacing w:line="440" w:lineRule="exact"/>
              <w:rPr>
                <w:rFonts w:hint="eastAsia" w:ascii="仿宋" w:hAnsi="仿宋" w:eastAsia="仿宋" w:cs="仿宋"/>
                <w:color w:val="000000" w:themeColor="text1"/>
                <w:kern w:val="2"/>
                <w:sz w:val="28"/>
                <w:szCs w:val="28"/>
                <w:highlight w:val="none"/>
                <w14:textFill>
                  <w14:solidFill>
                    <w14:schemeClr w14:val="tx1"/>
                  </w14:solidFill>
                </w14:textFill>
              </w:rPr>
            </w:pPr>
          </w:p>
        </w:tc>
      </w:tr>
      <w:tr w14:paraId="081750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150" w:type="pct"/>
            <w:gridSpan w:val="3"/>
            <w:vAlign w:val="center"/>
          </w:tcPr>
          <w:p w14:paraId="1D854ADB">
            <w:pPr>
              <w:spacing w:line="440" w:lineRule="exact"/>
              <w:rPr>
                <w:rFonts w:hint="eastAsia" w:ascii="仿宋" w:hAnsi="仿宋" w:eastAsia="仿宋" w:cs="仿宋"/>
                <w:color w:val="000000" w:themeColor="text1"/>
                <w:kern w:val="2"/>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合计（总报价）</w:t>
            </w:r>
          </w:p>
        </w:tc>
        <w:tc>
          <w:tcPr>
            <w:tcW w:w="850" w:type="pct"/>
            <w:vAlign w:val="center"/>
          </w:tcPr>
          <w:p w14:paraId="1D956A2F">
            <w:pPr>
              <w:spacing w:line="440" w:lineRule="exact"/>
              <w:rPr>
                <w:rFonts w:hint="eastAsia" w:ascii="仿宋" w:hAnsi="仿宋" w:eastAsia="仿宋" w:cs="仿宋"/>
                <w:color w:val="000000" w:themeColor="text1"/>
                <w:kern w:val="2"/>
                <w:sz w:val="28"/>
                <w:szCs w:val="28"/>
                <w:highlight w:val="none"/>
                <w14:textFill>
                  <w14:solidFill>
                    <w14:schemeClr w14:val="tx1"/>
                  </w14:solidFill>
                </w14:textFill>
              </w:rPr>
            </w:pPr>
          </w:p>
        </w:tc>
      </w:tr>
    </w:tbl>
    <w:p w14:paraId="1290C2F4">
      <w:pPr>
        <w:spacing w:line="52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p w14:paraId="4D12EA30">
      <w:pPr>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注：</w:t>
      </w:r>
      <w:r>
        <w:rPr>
          <w:rFonts w:hint="eastAsia" w:ascii="仿宋" w:hAnsi="仿宋" w:eastAsia="仿宋" w:cs="仿宋"/>
          <w:color w:val="000000" w:themeColor="text1"/>
          <w:sz w:val="28"/>
          <w:szCs w:val="28"/>
          <w:highlight w:val="none"/>
          <w14:textFill>
            <w14:solidFill>
              <w14:schemeClr w14:val="tx1"/>
            </w14:solidFill>
          </w14:textFill>
        </w:rPr>
        <w:t>报价应包括完成本项目的所有费用。</w:t>
      </w:r>
    </w:p>
    <w:p w14:paraId="40893432">
      <w:pPr>
        <w:spacing w:line="52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p w14:paraId="6AA449B6">
      <w:pPr>
        <w:spacing w:line="52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p w14:paraId="3BACCC5E">
      <w:pPr>
        <w:spacing w:line="52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p w14:paraId="6F2918A6">
      <w:pPr>
        <w:rPr>
          <w:rFonts w:hint="eastAsia" w:ascii="仿宋" w:hAnsi="仿宋" w:eastAsia="仿宋" w:cs="仿宋"/>
          <w:color w:val="000000" w:themeColor="text1"/>
          <w:highlight w:val="none"/>
          <w14:textFill>
            <w14:solidFill>
              <w14:schemeClr w14:val="tx1"/>
            </w14:solidFill>
          </w14:textFill>
        </w:rPr>
      </w:pPr>
    </w:p>
    <w:p w14:paraId="16A384BB">
      <w:pPr>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1A27A71E">
      <w:pPr>
        <w:spacing w:line="520" w:lineRule="exact"/>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法定代表人（单位负责人）或委托代理人（签字或盖章）：</w:t>
      </w:r>
    </w:p>
    <w:p w14:paraId="7E42F1AD">
      <w:pPr>
        <w:autoSpaceDE w:val="0"/>
        <w:autoSpaceDN w:val="0"/>
        <w:adjustRightInd w:val="0"/>
        <w:jc w:val="left"/>
        <w:rPr>
          <w:rFonts w:hint="eastAsia" w:ascii="仿宋" w:hAnsi="仿宋" w:eastAsia="仿宋" w:cs="仿宋"/>
          <w:color w:val="000000" w:themeColor="text1"/>
          <w:sz w:val="24"/>
          <w:highlight w:val="none"/>
          <w14:textFill>
            <w14:solidFill>
              <w14:schemeClr w14:val="tx1"/>
            </w14:solidFill>
          </w14:textFill>
        </w:rPr>
      </w:pPr>
    </w:p>
    <w:p w14:paraId="0D506D6F">
      <w:pPr>
        <w:widowControl/>
        <w:jc w:val="left"/>
        <w:rPr>
          <w:rFonts w:hint="eastAsia" w:ascii="仿宋" w:hAnsi="仿宋" w:eastAsia="仿宋" w:cs="仿宋"/>
          <w:color w:val="000000" w:themeColor="text1"/>
          <w:sz w:val="44"/>
          <w:szCs w:val="44"/>
          <w:highlight w:val="none"/>
          <w14:textFill>
            <w14:solidFill>
              <w14:schemeClr w14:val="tx1"/>
            </w14:solidFill>
          </w14:textFill>
        </w:rPr>
      </w:pPr>
      <w:r>
        <w:rPr>
          <w:rFonts w:hint="eastAsia" w:ascii="仿宋" w:hAnsi="仿宋" w:eastAsia="仿宋" w:cs="仿宋"/>
          <w:color w:val="000000" w:themeColor="text1"/>
          <w:sz w:val="44"/>
          <w:szCs w:val="44"/>
          <w:highlight w:val="none"/>
          <w14:textFill>
            <w14:solidFill>
              <w14:schemeClr w14:val="tx1"/>
            </w14:solidFill>
          </w14:textFill>
        </w:rPr>
        <w:br w:type="page"/>
      </w:r>
    </w:p>
    <w:p w14:paraId="490D6C4F">
      <w:pPr>
        <w:spacing w:line="480" w:lineRule="exact"/>
        <w:jc w:val="center"/>
        <w:rPr>
          <w:rFonts w:hint="eastAsia" w:ascii="仿宋" w:hAnsi="仿宋" w:eastAsia="仿宋" w:cs="仿宋"/>
          <w:color w:val="000000" w:themeColor="text1"/>
          <w:sz w:val="44"/>
          <w:szCs w:val="44"/>
          <w:highlight w:val="none"/>
          <w14:textFill>
            <w14:solidFill>
              <w14:schemeClr w14:val="tx1"/>
            </w14:solidFill>
          </w14:textFill>
        </w:rPr>
      </w:pPr>
      <w:r>
        <w:rPr>
          <w:rFonts w:hint="eastAsia" w:ascii="仿宋" w:hAnsi="仿宋" w:eastAsia="仿宋" w:cs="仿宋"/>
          <w:color w:val="000000" w:themeColor="text1"/>
          <w:sz w:val="44"/>
          <w:szCs w:val="44"/>
          <w:highlight w:val="none"/>
          <w14:textFill>
            <w14:solidFill>
              <w14:schemeClr w14:val="tx1"/>
            </w14:solidFill>
          </w14:textFill>
        </w:rPr>
        <w:t>投标人资格证明文件</w:t>
      </w:r>
      <w:bookmarkEnd w:id="118"/>
      <w:bookmarkEnd w:id="120"/>
      <w:bookmarkEnd w:id="121"/>
    </w:p>
    <w:p w14:paraId="2300DDDB">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投标人有效的营业执照扫描件（分公司参与投标的，须提供总公司授权）</w:t>
      </w:r>
    </w:p>
    <w:p w14:paraId="734BD526">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3F3D14A8">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254E42A1">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465EECE9">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42B378FE">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7A3573A6">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6FA29D2A">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4C7449D2">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2440D6FB">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66841EEB">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091D96D8">
      <w:pPr>
        <w:snapToGrid w:val="0"/>
        <w:spacing w:line="560" w:lineRule="exact"/>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4F30890D">
      <w:pPr>
        <w:rPr>
          <w:rFonts w:hint="eastAsia" w:ascii="仿宋" w:hAnsi="仿宋" w:eastAsia="仿宋" w:cs="仿宋"/>
          <w:color w:val="000000" w:themeColor="text1"/>
          <w:highlight w:val="none"/>
          <w14:textFill>
            <w14:solidFill>
              <w14:schemeClr w14:val="tx1"/>
            </w14:solidFill>
          </w14:textFill>
        </w:rPr>
      </w:pPr>
    </w:p>
    <w:p w14:paraId="1406947D">
      <w:pPr>
        <w:rPr>
          <w:rFonts w:hint="eastAsia" w:ascii="仿宋" w:hAnsi="仿宋" w:eastAsia="仿宋" w:cs="仿宋"/>
          <w:color w:val="000000" w:themeColor="text1"/>
          <w:highlight w:val="none"/>
          <w14:textFill>
            <w14:solidFill>
              <w14:schemeClr w14:val="tx1"/>
            </w14:solidFill>
          </w14:textFill>
        </w:rPr>
      </w:pPr>
    </w:p>
    <w:p w14:paraId="5B7B2DF0">
      <w:pPr>
        <w:rPr>
          <w:rFonts w:hint="eastAsia" w:ascii="仿宋" w:hAnsi="仿宋" w:eastAsia="仿宋" w:cs="仿宋"/>
          <w:color w:val="000000" w:themeColor="text1"/>
          <w:highlight w:val="none"/>
          <w14:textFill>
            <w14:solidFill>
              <w14:schemeClr w14:val="tx1"/>
            </w14:solidFill>
          </w14:textFill>
        </w:rPr>
      </w:pPr>
    </w:p>
    <w:p w14:paraId="1F9E48AD">
      <w:pPr>
        <w:rPr>
          <w:rFonts w:hint="eastAsia" w:ascii="仿宋" w:hAnsi="仿宋" w:eastAsia="仿宋" w:cs="仿宋"/>
          <w:color w:val="000000" w:themeColor="text1"/>
          <w:highlight w:val="none"/>
          <w14:textFill>
            <w14:solidFill>
              <w14:schemeClr w14:val="tx1"/>
            </w14:solidFill>
          </w14:textFill>
        </w:rPr>
      </w:pPr>
    </w:p>
    <w:p w14:paraId="1656CB53">
      <w:pPr>
        <w:rPr>
          <w:rFonts w:hint="eastAsia" w:ascii="仿宋" w:hAnsi="仿宋" w:eastAsia="仿宋" w:cs="仿宋"/>
          <w:color w:val="000000" w:themeColor="text1"/>
          <w:highlight w:val="none"/>
          <w14:textFill>
            <w14:solidFill>
              <w14:schemeClr w14:val="tx1"/>
            </w14:solidFill>
          </w14:textFill>
        </w:rPr>
      </w:pPr>
    </w:p>
    <w:p w14:paraId="1AC2E4A7">
      <w:pPr>
        <w:rPr>
          <w:rFonts w:hint="eastAsia" w:ascii="仿宋" w:hAnsi="仿宋" w:eastAsia="仿宋" w:cs="仿宋"/>
          <w:color w:val="000000" w:themeColor="text1"/>
          <w:highlight w:val="none"/>
          <w14:textFill>
            <w14:solidFill>
              <w14:schemeClr w14:val="tx1"/>
            </w14:solidFill>
          </w14:textFill>
        </w:rPr>
      </w:pPr>
    </w:p>
    <w:p w14:paraId="16B58556">
      <w:pPr>
        <w:pStyle w:val="2"/>
        <w:rPr>
          <w:rFonts w:hint="eastAsia" w:ascii="仿宋" w:hAnsi="仿宋" w:eastAsia="仿宋" w:cs="仿宋"/>
          <w:color w:val="000000" w:themeColor="text1"/>
          <w:highlight w:val="none"/>
          <w14:textFill>
            <w14:solidFill>
              <w14:schemeClr w14:val="tx1"/>
            </w14:solidFill>
          </w14:textFill>
        </w:rPr>
      </w:pPr>
    </w:p>
    <w:p w14:paraId="4CC8E638">
      <w:pPr>
        <w:rPr>
          <w:rFonts w:hint="eastAsia" w:ascii="仿宋" w:hAnsi="仿宋" w:eastAsia="仿宋" w:cs="仿宋"/>
          <w:color w:val="000000" w:themeColor="text1"/>
          <w:highlight w:val="none"/>
          <w14:textFill>
            <w14:solidFill>
              <w14:schemeClr w14:val="tx1"/>
            </w14:solidFill>
          </w14:textFill>
        </w:rPr>
      </w:pPr>
    </w:p>
    <w:p w14:paraId="5234D21A">
      <w:pPr>
        <w:rPr>
          <w:rFonts w:hint="eastAsia" w:ascii="仿宋" w:hAnsi="仿宋" w:eastAsia="仿宋" w:cs="仿宋"/>
          <w:color w:val="000000" w:themeColor="text1"/>
          <w:highlight w:val="none"/>
          <w14:textFill>
            <w14:solidFill>
              <w14:schemeClr w14:val="tx1"/>
            </w14:solidFill>
          </w14:textFill>
        </w:rPr>
      </w:pPr>
    </w:p>
    <w:p w14:paraId="4F6D0E87">
      <w:pPr>
        <w:rPr>
          <w:rFonts w:hint="eastAsia" w:ascii="仿宋" w:hAnsi="仿宋" w:eastAsia="仿宋" w:cs="仿宋"/>
          <w:color w:val="000000" w:themeColor="text1"/>
          <w:highlight w:val="none"/>
          <w14:textFill>
            <w14:solidFill>
              <w14:schemeClr w14:val="tx1"/>
            </w14:solidFill>
          </w14:textFill>
        </w:rPr>
      </w:pPr>
    </w:p>
    <w:p w14:paraId="25D33E24">
      <w:pPr>
        <w:widowControl/>
        <w:jc w:val="lef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1B180268">
      <w:pPr>
        <w:rPr>
          <w:rFonts w:hint="eastAsia" w:ascii="仿宋" w:hAnsi="仿宋" w:eastAsia="仿宋" w:cs="仿宋"/>
          <w:color w:val="000000" w:themeColor="text1"/>
          <w:highlight w:val="none"/>
          <w14:textFill>
            <w14:solidFill>
              <w14:schemeClr w14:val="tx1"/>
            </w14:solidFill>
          </w14:textFill>
        </w:rPr>
      </w:pPr>
    </w:p>
    <w:p w14:paraId="011CE9EF">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法定代表人身份证明</w:t>
      </w:r>
    </w:p>
    <w:p w14:paraId="4D4724A7">
      <w:pPr>
        <w:rPr>
          <w:rFonts w:hint="eastAsia" w:ascii="仿宋" w:hAnsi="仿宋" w:eastAsia="仿宋" w:cs="仿宋"/>
          <w:color w:val="000000" w:themeColor="text1"/>
          <w:highlight w:val="none"/>
          <w14:textFill>
            <w14:solidFill>
              <w14:schemeClr w14:val="tx1"/>
            </w14:solidFill>
          </w14:textFill>
        </w:rPr>
      </w:pPr>
    </w:p>
    <w:p w14:paraId="0903C989">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投标人名称：</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71574FD4">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单位性质：</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w:t>
      </w:r>
    </w:p>
    <w:p w14:paraId="3D9E7EA7">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p>
    <w:p w14:paraId="046DA6F6">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成立时间：</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日</w:t>
      </w:r>
    </w:p>
    <w:p w14:paraId="7DAADA1E">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经营期限：</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p>
    <w:p w14:paraId="1E7EBE4A">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姓名：</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性别：</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年龄：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职务：</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p>
    <w:p w14:paraId="7F56ED6D">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系</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 xml:space="preserve"> （投标人名称）的法定代表人。</w:t>
      </w:r>
    </w:p>
    <w:p w14:paraId="44DF78EA">
      <w:pPr>
        <w:spacing w:before="157" w:line="48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特此证明。</w:t>
      </w:r>
    </w:p>
    <w:p w14:paraId="4C2E8ED6">
      <w:pPr>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（盖章）</w:t>
      </w:r>
    </w:p>
    <w:p w14:paraId="312A7BD0">
      <w:pPr>
        <w:pStyle w:val="27"/>
        <w:spacing w:before="157" w:line="480" w:lineRule="exact"/>
        <w:ind w:firstLine="563"/>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年</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月</w:t>
      </w:r>
      <w:r>
        <w:rPr>
          <w:rFonts w:hint="eastAsia" w:ascii="仿宋" w:hAnsi="仿宋" w:eastAsia="仿宋" w:cs="仿宋"/>
          <w:color w:val="000000" w:themeColor="text1"/>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日</w:t>
      </w:r>
    </w:p>
    <w:p w14:paraId="3E92FED2">
      <w:pPr>
        <w:pStyle w:val="27"/>
        <w:spacing w:line="480" w:lineRule="exact"/>
        <w:ind w:firstLine="560" w:firstLineChars="200"/>
        <w:jc w:val="center"/>
        <w:rPr>
          <w:rFonts w:hint="eastAsia" w:ascii="仿宋" w:hAnsi="仿宋" w:eastAsia="仿宋" w:cs="仿宋"/>
          <w:color w:val="000000" w:themeColor="text1"/>
          <w:sz w:val="28"/>
          <w:szCs w:val="28"/>
          <w:highlight w:val="none"/>
          <w14:textFill>
            <w14:solidFill>
              <w14:schemeClr w14:val="tx1"/>
            </w14:solidFill>
          </w14:textFill>
        </w:rPr>
      </w:pPr>
    </w:p>
    <w:p w14:paraId="28468373">
      <w:pPr>
        <w:pStyle w:val="27"/>
        <w:ind w:firstLine="560" w:firstLineChars="200"/>
        <w:jc w:val="center"/>
        <w:rPr>
          <w:rFonts w:hint="eastAsia" w:ascii="仿宋" w:hAnsi="仿宋" w:eastAsia="仿宋" w:cs="仿宋"/>
          <w:color w:val="000000" w:themeColor="text1"/>
          <w:sz w:val="28"/>
          <w:szCs w:val="28"/>
          <w:highlight w:val="none"/>
          <w14:textFill>
            <w14:solidFill>
              <w14:schemeClr w14:val="tx1"/>
            </w14:solidFill>
          </w14:textFill>
        </w:rPr>
      </w:pPr>
    </w:p>
    <w:tbl>
      <w:tblPr>
        <w:tblStyle w:val="52"/>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7"/>
      </w:tblGrid>
      <w:tr w14:paraId="55473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2" w:hRule="atLeast"/>
        </w:trPr>
        <w:tc>
          <w:tcPr>
            <w:tcW w:w="5827" w:type="dxa"/>
            <w:vAlign w:val="center"/>
          </w:tcPr>
          <w:p w14:paraId="342D9F5B">
            <w:pPr>
              <w:pStyle w:val="47"/>
              <w:spacing w:beforeAutospacing="0" w:afterAutospacing="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kern w:val="2"/>
                <w:sz w:val="28"/>
                <w:szCs w:val="28"/>
                <w:highlight w:val="none"/>
                <w14:textFill>
                  <w14:solidFill>
                    <w14:schemeClr w14:val="tx1"/>
                  </w14:solidFill>
                </w14:textFill>
              </w:rPr>
              <w:t>（法定代表人身份证扫描件）</w:t>
            </w:r>
          </w:p>
        </w:tc>
      </w:tr>
    </w:tbl>
    <w:p w14:paraId="27548448">
      <w:pPr>
        <w:pStyle w:val="27"/>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706396CB">
      <w:pPr>
        <w:pStyle w:val="27"/>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379CE561">
      <w:pPr>
        <w:pStyle w:val="27"/>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191888FE">
      <w:pPr>
        <w:pStyle w:val="27"/>
        <w:ind w:firstLine="420" w:firstLineChars="200"/>
        <w:jc w:val="center"/>
        <w:rPr>
          <w:rFonts w:hint="eastAsia" w:ascii="仿宋" w:hAnsi="仿宋" w:eastAsia="仿宋" w:cs="仿宋"/>
          <w:color w:val="000000" w:themeColor="text1"/>
          <w:highlight w:val="none"/>
          <w14:textFill>
            <w14:solidFill>
              <w14:schemeClr w14:val="tx1"/>
            </w14:solidFill>
          </w14:textFill>
        </w:rPr>
      </w:pPr>
    </w:p>
    <w:p w14:paraId="5D4C2814">
      <w:pPr>
        <w:rPr>
          <w:rFonts w:hint="eastAsia" w:ascii="仿宋" w:hAnsi="仿宋" w:eastAsia="仿宋" w:cs="仿宋"/>
          <w:color w:val="000000" w:themeColor="text1"/>
          <w:highlight w:val="none"/>
          <w14:textFill>
            <w14:solidFill>
              <w14:schemeClr w14:val="tx1"/>
            </w14:solidFill>
          </w14:textFill>
        </w:rPr>
      </w:pPr>
    </w:p>
    <w:p w14:paraId="4DAA5CC2">
      <w:pPr>
        <w:rPr>
          <w:rFonts w:hint="eastAsia" w:ascii="仿宋" w:hAnsi="仿宋" w:eastAsia="仿宋" w:cs="仿宋"/>
          <w:color w:val="000000" w:themeColor="text1"/>
          <w:highlight w:val="none"/>
          <w14:textFill>
            <w14:solidFill>
              <w14:schemeClr w14:val="tx1"/>
            </w14:solidFill>
          </w14:textFill>
        </w:rPr>
      </w:pPr>
    </w:p>
    <w:p w14:paraId="1BB561FC">
      <w:pPr>
        <w:rPr>
          <w:rFonts w:hint="eastAsia" w:ascii="仿宋" w:hAnsi="仿宋" w:eastAsia="仿宋" w:cs="仿宋"/>
          <w:color w:val="000000" w:themeColor="text1"/>
          <w:highlight w:val="none"/>
          <w14:textFill>
            <w14:solidFill>
              <w14:schemeClr w14:val="tx1"/>
            </w14:solidFill>
          </w14:textFill>
        </w:rPr>
      </w:pPr>
    </w:p>
    <w:p w14:paraId="187CBC6B">
      <w:pPr>
        <w:rPr>
          <w:rFonts w:hint="eastAsia" w:ascii="仿宋" w:hAnsi="仿宋" w:eastAsia="仿宋" w:cs="仿宋"/>
          <w:color w:val="000000" w:themeColor="text1"/>
          <w:highlight w:val="none"/>
          <w14:textFill>
            <w14:solidFill>
              <w14:schemeClr w14:val="tx1"/>
            </w14:solidFill>
          </w14:textFill>
        </w:rPr>
      </w:pPr>
    </w:p>
    <w:p w14:paraId="04550D5F">
      <w:pPr>
        <w:rPr>
          <w:rFonts w:hint="eastAsia" w:ascii="仿宋" w:hAnsi="仿宋" w:eastAsia="仿宋" w:cs="仿宋"/>
          <w:color w:val="000000" w:themeColor="text1"/>
          <w:highlight w:val="none"/>
          <w14:textFill>
            <w14:solidFill>
              <w14:schemeClr w14:val="tx1"/>
            </w14:solidFill>
          </w14:textFill>
        </w:rPr>
      </w:pPr>
    </w:p>
    <w:p w14:paraId="4DEEA757">
      <w:pPr>
        <w:rPr>
          <w:rFonts w:hint="eastAsia" w:ascii="仿宋" w:hAnsi="仿宋" w:eastAsia="仿宋" w:cs="仿宋"/>
          <w:color w:val="000000" w:themeColor="text1"/>
          <w:highlight w:val="none"/>
          <w14:textFill>
            <w14:solidFill>
              <w14:schemeClr w14:val="tx1"/>
            </w14:solidFill>
          </w14:textFill>
        </w:rPr>
      </w:pPr>
    </w:p>
    <w:p w14:paraId="5796866D">
      <w:pPr>
        <w:rPr>
          <w:rFonts w:hint="eastAsia" w:ascii="仿宋" w:hAnsi="仿宋" w:eastAsia="仿宋" w:cs="仿宋"/>
          <w:color w:val="000000" w:themeColor="text1"/>
          <w:highlight w:val="none"/>
          <w14:textFill>
            <w14:solidFill>
              <w14:schemeClr w14:val="tx1"/>
            </w14:solidFill>
          </w14:textFill>
        </w:rPr>
      </w:pPr>
    </w:p>
    <w:p w14:paraId="2BD44C15">
      <w:pPr>
        <w:rPr>
          <w:rFonts w:hint="eastAsia" w:ascii="仿宋" w:hAnsi="仿宋" w:eastAsia="仿宋" w:cs="仿宋"/>
          <w:color w:val="000000" w:themeColor="text1"/>
          <w:highlight w:val="none"/>
          <w14:textFill>
            <w14:solidFill>
              <w14:schemeClr w14:val="tx1"/>
            </w14:solidFill>
          </w14:textFill>
        </w:rPr>
      </w:pPr>
    </w:p>
    <w:p w14:paraId="0A778E22">
      <w:pPr>
        <w:rPr>
          <w:rFonts w:hint="eastAsia" w:ascii="仿宋" w:hAnsi="仿宋" w:eastAsia="仿宋" w:cs="仿宋"/>
          <w:color w:val="000000" w:themeColor="text1"/>
          <w:highlight w:val="none"/>
          <w14:textFill>
            <w14:solidFill>
              <w14:schemeClr w14:val="tx1"/>
            </w14:solidFill>
          </w14:textFill>
        </w:rPr>
      </w:pPr>
    </w:p>
    <w:p w14:paraId="30B87DD4">
      <w:pPr>
        <w:widowControl/>
        <w:jc w:val="left"/>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br w:type="page"/>
      </w:r>
    </w:p>
    <w:p w14:paraId="30BFFB58">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法定代表人授权委托书</w:t>
      </w:r>
    </w:p>
    <w:p w14:paraId="501A23D4">
      <w:pPr>
        <w:pStyle w:val="2"/>
        <w:rPr>
          <w:rFonts w:hint="eastAsia" w:ascii="仿宋" w:hAnsi="仿宋" w:eastAsia="仿宋" w:cs="仿宋"/>
          <w:color w:val="000000" w:themeColor="text1"/>
          <w:highlight w:val="none"/>
          <w14:textFill>
            <w14:solidFill>
              <w14:schemeClr w14:val="tx1"/>
            </w14:solidFill>
          </w14:textFill>
        </w:rPr>
      </w:pPr>
    </w:p>
    <w:p w14:paraId="15DD5316">
      <w:pPr>
        <w:widowControl/>
        <w:adjustRightInd w:val="0"/>
        <w:spacing w:line="520" w:lineRule="exact"/>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本授权书声明：注册于</w:t>
      </w:r>
      <w:r>
        <w:rPr>
          <w:rFonts w:hint="eastAsia" w:ascii="仿宋" w:hAnsi="仿宋" w:eastAsia="仿宋" w:cs="仿宋"/>
          <w:color w:val="000000" w:themeColor="text1"/>
          <w:sz w:val="28"/>
          <w:szCs w:val="28"/>
          <w:highlight w:val="none"/>
          <w:u w:val="single"/>
          <w14:textFill>
            <w14:solidFill>
              <w14:schemeClr w14:val="tx1"/>
            </w14:solidFill>
          </w14:textFill>
        </w:rPr>
        <w:t xml:space="preserve">   （国家或地区的名称）  </w:t>
      </w:r>
      <w:r>
        <w:rPr>
          <w:rFonts w:hint="eastAsia" w:ascii="仿宋" w:hAnsi="仿宋" w:eastAsia="仿宋" w:cs="仿宋"/>
          <w:color w:val="000000" w:themeColor="text1"/>
          <w:sz w:val="28"/>
          <w:szCs w:val="28"/>
          <w:highlight w:val="none"/>
          <w14:textFill>
            <w14:solidFill>
              <w14:schemeClr w14:val="tx1"/>
            </w14:solidFill>
          </w14:textFill>
        </w:rPr>
        <w:t>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（公司名称）  </w:t>
      </w:r>
      <w:r>
        <w:rPr>
          <w:rFonts w:hint="eastAsia" w:ascii="仿宋" w:hAnsi="仿宋" w:eastAsia="仿宋" w:cs="仿宋"/>
          <w:color w:val="000000" w:themeColor="text1"/>
          <w:sz w:val="28"/>
          <w:szCs w:val="28"/>
          <w:highlight w:val="none"/>
          <w14:textFill>
            <w14:solidFill>
              <w14:schemeClr w14:val="tx1"/>
            </w14:solidFill>
          </w14:textFill>
        </w:rPr>
        <w:t>的</w:t>
      </w:r>
      <w:r>
        <w:rPr>
          <w:rFonts w:hint="eastAsia" w:ascii="仿宋" w:hAnsi="仿宋" w:eastAsia="仿宋" w:cs="仿宋"/>
          <w:color w:val="000000" w:themeColor="text1"/>
          <w:sz w:val="28"/>
          <w:szCs w:val="28"/>
          <w:highlight w:val="none"/>
          <w:u w:val="single"/>
          <w14:textFill>
            <w14:solidFill>
              <w14:schemeClr w14:val="tx1"/>
            </w14:solidFill>
          </w14:textFill>
        </w:rPr>
        <w:t xml:space="preserve"> （姓名、职务）  </w:t>
      </w:r>
      <w:r>
        <w:rPr>
          <w:rFonts w:hint="eastAsia" w:ascii="仿宋" w:hAnsi="仿宋" w:eastAsia="仿宋" w:cs="仿宋"/>
          <w:color w:val="000000" w:themeColor="text1"/>
          <w:sz w:val="28"/>
          <w:szCs w:val="28"/>
          <w:highlight w:val="none"/>
          <w14:textFill>
            <w14:solidFill>
              <w14:schemeClr w14:val="tx1"/>
            </w14:solidFill>
          </w14:textFill>
        </w:rPr>
        <w:t>，代表本公司授权</w:t>
      </w:r>
      <w:r>
        <w:rPr>
          <w:rFonts w:hint="eastAsia" w:ascii="仿宋" w:hAnsi="仿宋" w:eastAsia="仿宋" w:cs="仿宋"/>
          <w:color w:val="000000" w:themeColor="text1"/>
          <w:sz w:val="28"/>
          <w:szCs w:val="28"/>
          <w:highlight w:val="none"/>
          <w:u w:val="single"/>
          <w14:textFill>
            <w14:solidFill>
              <w14:schemeClr w14:val="tx1"/>
            </w14:solidFill>
          </w14:textFill>
        </w:rPr>
        <w:t xml:space="preserve">  （被授权人的姓名、职务）</w:t>
      </w:r>
      <w:r>
        <w:rPr>
          <w:rFonts w:hint="eastAsia" w:ascii="仿宋" w:hAnsi="仿宋" w:eastAsia="仿宋" w:cs="仿宋"/>
          <w:color w:val="000000" w:themeColor="text1"/>
          <w:sz w:val="28"/>
          <w:szCs w:val="28"/>
          <w:highlight w:val="none"/>
          <w14:textFill>
            <w14:solidFill>
              <w14:schemeClr w14:val="tx1"/>
            </w14:solidFill>
          </w14:textFill>
        </w:rPr>
        <w:t>为本公司的合法代理人，参加编号为</w:t>
      </w:r>
      <w:r>
        <w:rPr>
          <w:rFonts w:hint="eastAsia" w:ascii="仿宋" w:hAnsi="仿宋" w:eastAsia="仿宋" w:cs="仿宋"/>
          <w:color w:val="000000" w:themeColor="text1"/>
          <w:spacing w:val="8"/>
          <w:kern w:val="0"/>
          <w:sz w:val="28"/>
          <w:szCs w:val="28"/>
          <w:highlight w:val="none"/>
          <w:u w:val="single"/>
          <w14:textFill>
            <w14:solidFill>
              <w14:schemeClr w14:val="tx1"/>
            </w14:solidFill>
          </w14:textFill>
        </w:rPr>
        <w:t xml:space="preserve"> TYZB-202612 </w:t>
      </w:r>
      <w:r>
        <w:rPr>
          <w:rFonts w:hint="eastAsia" w:ascii="仿宋" w:hAnsi="仿宋" w:eastAsia="仿宋" w:cs="仿宋"/>
          <w:color w:val="000000" w:themeColor="text1"/>
          <w:sz w:val="28"/>
          <w:szCs w:val="28"/>
          <w:highlight w:val="none"/>
          <w14:textFill>
            <w14:solidFill>
              <w14:schemeClr w14:val="tx1"/>
            </w14:solidFill>
          </w14:textFill>
        </w:rPr>
        <w:t>号的招标活动，以本公司名义处理一切与之有关的事宜。</w:t>
      </w:r>
    </w:p>
    <w:p w14:paraId="66C92903">
      <w:pPr>
        <w:spacing w:line="52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如果本公司在此次招标活动中中标，被授权人有权代表本公司签署合同。</w:t>
      </w:r>
    </w:p>
    <w:p w14:paraId="75ECEEBD">
      <w:pPr>
        <w:spacing w:before="157" w:line="48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本授权书于</w:t>
      </w:r>
      <w:r>
        <w:rPr>
          <w:rFonts w:hint="eastAsia" w:ascii="仿宋" w:hAnsi="仿宋" w:eastAsia="仿宋" w:cs="仿宋"/>
          <w:color w:val="000000" w:themeColor="text1"/>
          <w:kern w:val="0"/>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年</w:t>
      </w:r>
      <w:r>
        <w:rPr>
          <w:rFonts w:hint="eastAsia" w:ascii="仿宋" w:hAnsi="仿宋" w:eastAsia="仿宋" w:cs="仿宋"/>
          <w:color w:val="000000" w:themeColor="text1"/>
          <w:kern w:val="0"/>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月</w:t>
      </w:r>
      <w:r>
        <w:rPr>
          <w:rFonts w:hint="eastAsia" w:ascii="仿宋" w:hAnsi="仿宋" w:eastAsia="仿宋" w:cs="仿宋"/>
          <w:color w:val="000000" w:themeColor="text1"/>
          <w:kern w:val="0"/>
          <w:sz w:val="28"/>
          <w:szCs w:val="28"/>
          <w:highlight w:val="none"/>
          <w:u w:val="single"/>
          <w14:textFill>
            <w14:solidFill>
              <w14:schemeClr w14:val="tx1"/>
            </w14:solidFill>
          </w14:textFill>
        </w:rPr>
        <w:t xml:space="preserve">    </w:t>
      </w:r>
      <w:r>
        <w:rPr>
          <w:rFonts w:hint="eastAsia" w:ascii="仿宋" w:hAnsi="仿宋" w:eastAsia="仿宋" w:cs="仿宋"/>
          <w:color w:val="000000" w:themeColor="text1"/>
          <w:kern w:val="0"/>
          <w:sz w:val="28"/>
          <w:szCs w:val="28"/>
          <w:highlight w:val="none"/>
          <w14:textFill>
            <w14:solidFill>
              <w14:schemeClr w14:val="tx1"/>
            </w14:solidFill>
          </w14:textFill>
        </w:rPr>
        <w:t>日法定代表人签字或盖章并由单位盖章生效，特此声明。</w:t>
      </w:r>
    </w:p>
    <w:p w14:paraId="1D8FBC6D">
      <w:pPr>
        <w:spacing w:before="157" w:line="48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被授权人无转委托权。</w:t>
      </w:r>
    </w:p>
    <w:p w14:paraId="2E3C6D80">
      <w:pPr>
        <w:spacing w:before="157" w:line="480" w:lineRule="exact"/>
        <w:ind w:firstLine="560" w:firstLineChars="200"/>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法定代表人签字或盖章：</w:t>
      </w:r>
    </w:p>
    <w:p w14:paraId="5F41A16A">
      <w:pPr>
        <w:spacing w:before="157" w:line="480" w:lineRule="exact"/>
        <w:ind w:firstLine="560" w:firstLineChars="200"/>
        <w:jc w:val="left"/>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投标人（公 章）:</w:t>
      </w:r>
    </w:p>
    <w:p w14:paraId="78F994EA">
      <w:pPr>
        <w:rPr>
          <w:rFonts w:hint="eastAsia" w:ascii="仿宋" w:hAnsi="仿宋" w:eastAsia="仿宋" w:cs="仿宋"/>
          <w:color w:val="000000" w:themeColor="text1"/>
          <w:sz w:val="28"/>
          <w:szCs w:val="28"/>
          <w:highlight w:val="none"/>
          <w14:textFill>
            <w14:solidFill>
              <w14:schemeClr w14:val="tx1"/>
            </w14:solidFill>
          </w14:textFill>
        </w:rPr>
      </w:pPr>
    </w:p>
    <w:tbl>
      <w:tblPr>
        <w:tblStyle w:val="52"/>
        <w:tblpPr w:leftFromText="180" w:rightFromText="180" w:vertAnchor="text" w:horzAnchor="margin" w:tblpXSpec="center" w:tblpY="-9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49"/>
      </w:tblGrid>
      <w:tr w14:paraId="47645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4" w:hRule="atLeast"/>
        </w:trPr>
        <w:tc>
          <w:tcPr>
            <w:tcW w:w="6149" w:type="dxa"/>
            <w:vAlign w:val="center"/>
          </w:tcPr>
          <w:p w14:paraId="19D2CF38">
            <w:pPr>
              <w:widowControl/>
              <w:spacing w:beforeAutospacing="1" w:afterAutospacing="1" w:line="360" w:lineRule="auto"/>
              <w:jc w:val="center"/>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（被授权人身份证扫描件）</w:t>
            </w:r>
          </w:p>
        </w:tc>
      </w:tr>
    </w:tbl>
    <w:p w14:paraId="6F129AE3">
      <w:pPr>
        <w:rPr>
          <w:rFonts w:hint="eastAsia" w:ascii="仿宋" w:hAnsi="仿宋" w:eastAsia="仿宋" w:cs="仿宋"/>
          <w:color w:val="000000" w:themeColor="text1"/>
          <w:highlight w:val="none"/>
          <w14:textFill>
            <w14:solidFill>
              <w14:schemeClr w14:val="tx1"/>
            </w14:solidFill>
          </w14:textFill>
        </w:rPr>
      </w:pPr>
    </w:p>
    <w:p w14:paraId="37CCEF53">
      <w:pPr>
        <w:rPr>
          <w:rFonts w:hint="eastAsia" w:ascii="仿宋" w:hAnsi="仿宋" w:eastAsia="仿宋" w:cs="仿宋"/>
          <w:color w:val="000000" w:themeColor="text1"/>
          <w:highlight w:val="none"/>
          <w14:textFill>
            <w14:solidFill>
              <w14:schemeClr w14:val="tx1"/>
            </w14:solidFill>
          </w14:textFill>
        </w:rPr>
      </w:pPr>
    </w:p>
    <w:p w14:paraId="4C061C8B">
      <w:pPr>
        <w:rPr>
          <w:rFonts w:hint="eastAsia" w:ascii="仿宋" w:hAnsi="仿宋" w:eastAsia="仿宋" w:cs="仿宋"/>
          <w:color w:val="000000" w:themeColor="text1"/>
          <w:highlight w:val="none"/>
          <w14:textFill>
            <w14:solidFill>
              <w14:schemeClr w14:val="tx1"/>
            </w14:solidFill>
          </w14:textFill>
        </w:rPr>
      </w:pPr>
    </w:p>
    <w:p w14:paraId="2181CEB9">
      <w:pPr>
        <w:rPr>
          <w:rFonts w:hint="eastAsia" w:ascii="仿宋" w:hAnsi="仿宋" w:eastAsia="仿宋" w:cs="仿宋"/>
          <w:color w:val="000000" w:themeColor="text1"/>
          <w:highlight w:val="none"/>
          <w14:textFill>
            <w14:solidFill>
              <w14:schemeClr w14:val="tx1"/>
            </w14:solidFill>
          </w14:textFill>
        </w:rPr>
      </w:pPr>
    </w:p>
    <w:p w14:paraId="0BE45AF7">
      <w:pPr>
        <w:rPr>
          <w:rFonts w:hint="eastAsia" w:ascii="仿宋" w:hAnsi="仿宋" w:eastAsia="仿宋" w:cs="仿宋"/>
          <w:color w:val="000000" w:themeColor="text1"/>
          <w:highlight w:val="none"/>
          <w14:textFill>
            <w14:solidFill>
              <w14:schemeClr w14:val="tx1"/>
            </w14:solidFill>
          </w14:textFill>
        </w:rPr>
      </w:pPr>
    </w:p>
    <w:p w14:paraId="52825B58">
      <w:pPr>
        <w:rPr>
          <w:rFonts w:hint="eastAsia" w:ascii="仿宋" w:hAnsi="仿宋" w:eastAsia="仿宋" w:cs="仿宋"/>
          <w:color w:val="000000" w:themeColor="text1"/>
          <w:highlight w:val="none"/>
          <w14:textFill>
            <w14:solidFill>
              <w14:schemeClr w14:val="tx1"/>
            </w14:solidFill>
          </w14:textFill>
        </w:rPr>
      </w:pPr>
    </w:p>
    <w:p w14:paraId="6DF71FD9">
      <w:pPr>
        <w:rPr>
          <w:rFonts w:hint="eastAsia" w:ascii="仿宋" w:hAnsi="仿宋" w:eastAsia="仿宋" w:cs="仿宋"/>
          <w:color w:val="000000" w:themeColor="text1"/>
          <w:highlight w:val="none"/>
          <w14:textFill>
            <w14:solidFill>
              <w14:schemeClr w14:val="tx1"/>
            </w14:solidFill>
          </w14:textFill>
        </w:rPr>
      </w:pPr>
    </w:p>
    <w:p w14:paraId="3C8DC2B7">
      <w:pPr>
        <w:rPr>
          <w:rFonts w:hint="eastAsia" w:ascii="仿宋" w:hAnsi="仿宋" w:eastAsia="仿宋" w:cs="仿宋"/>
          <w:color w:val="000000" w:themeColor="text1"/>
          <w:highlight w:val="none"/>
          <w14:textFill>
            <w14:solidFill>
              <w14:schemeClr w14:val="tx1"/>
            </w14:solidFill>
          </w14:textFill>
        </w:rPr>
      </w:pPr>
    </w:p>
    <w:p w14:paraId="2573BC20">
      <w:pPr>
        <w:pStyle w:val="2"/>
        <w:rPr>
          <w:rFonts w:hint="eastAsia" w:ascii="仿宋" w:hAnsi="仿宋" w:eastAsia="仿宋" w:cs="仿宋"/>
          <w:color w:val="000000" w:themeColor="text1"/>
          <w:highlight w:val="none"/>
          <w14:textFill>
            <w14:solidFill>
              <w14:schemeClr w14:val="tx1"/>
            </w14:solidFill>
          </w14:textFill>
        </w:rPr>
      </w:pPr>
    </w:p>
    <w:p w14:paraId="6404E2B4">
      <w:pPr>
        <w:rPr>
          <w:rFonts w:hint="eastAsia" w:ascii="仿宋" w:hAnsi="仿宋" w:eastAsia="仿宋" w:cs="仿宋"/>
          <w:color w:val="000000" w:themeColor="text1"/>
          <w:highlight w:val="none"/>
          <w14:textFill>
            <w14:solidFill>
              <w14:schemeClr w14:val="tx1"/>
            </w14:solidFill>
          </w14:textFill>
        </w:rPr>
      </w:pPr>
    </w:p>
    <w:p w14:paraId="2A79ED62">
      <w:pPr>
        <w:pStyle w:val="2"/>
        <w:rPr>
          <w:rFonts w:hint="eastAsia" w:ascii="仿宋" w:hAnsi="仿宋" w:eastAsia="仿宋" w:cs="仿宋"/>
          <w:color w:val="000000" w:themeColor="text1"/>
          <w:highlight w:val="none"/>
          <w14:textFill>
            <w14:solidFill>
              <w14:schemeClr w14:val="tx1"/>
            </w14:solidFill>
          </w14:textFill>
        </w:rPr>
      </w:pPr>
    </w:p>
    <w:p w14:paraId="229481D9">
      <w:pPr>
        <w:pStyle w:val="3"/>
        <w:ind w:left="5250"/>
        <w:rPr>
          <w:rFonts w:hint="eastAsia" w:ascii="仿宋" w:hAnsi="仿宋" w:eastAsia="仿宋" w:cs="仿宋"/>
          <w:color w:val="000000" w:themeColor="text1"/>
          <w:highlight w:val="none"/>
          <w14:textFill>
            <w14:solidFill>
              <w14:schemeClr w14:val="tx1"/>
            </w14:solidFill>
          </w14:textFill>
        </w:rPr>
      </w:pPr>
    </w:p>
    <w:p w14:paraId="364632FB">
      <w:pPr>
        <w:rPr>
          <w:rFonts w:hint="eastAsia" w:ascii="仿宋" w:hAnsi="仿宋" w:eastAsia="仿宋" w:cs="仿宋"/>
          <w:color w:val="000000" w:themeColor="text1"/>
          <w:highlight w:val="none"/>
          <w14:textFill>
            <w14:solidFill>
              <w14:schemeClr w14:val="tx1"/>
            </w14:solidFill>
          </w14:textFill>
        </w:rPr>
      </w:pPr>
    </w:p>
    <w:p w14:paraId="3E1E9629">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注：若由法定代表人亲自签署投标文件并参与相关活动，则无需提供授权委托书；若为授权委托代理人，则需提供授权委托书。</w:t>
      </w:r>
    </w:p>
    <w:p w14:paraId="262BD1FD">
      <w:pPr>
        <w:pStyle w:val="2"/>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7A239446">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投标人信用承诺书</w:t>
      </w:r>
    </w:p>
    <w:p w14:paraId="41FC3891">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为营造公平竞争、规范有序的市场环境，树立诚信守法经营形象。本单位郑重承诺：</w:t>
      </w:r>
    </w:p>
    <w:p w14:paraId="0412E553">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一、我方在此声明，本次招标投标活动中申报的所有资料都是真实、准确完整的，如发现提供虚假资料，或与事实不符而导致投标无效，甚至造成任何法律和经济责任，完全由我方负责。</w:t>
      </w:r>
    </w:p>
    <w:p w14:paraId="63F4620A">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二、我方在本次投标活动中绝无资质挂靠、串标、围标情形，若经贵方查出，立即取消我方投标资格并承担相应的法律责任。</w:t>
      </w:r>
    </w:p>
    <w:p w14:paraId="3161FF03">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三、我方在以往的招标投标活动中，无重大违法、违规的不良记录；或虽有不良记录，但已超过处理期限。</w:t>
      </w:r>
    </w:p>
    <w:p w14:paraId="1780E6B7">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四、我单位、法定代表人、委托代理人承诺近三年无行贿犯罪记录。如有不实，愿意承担一切后果。</w:t>
      </w:r>
    </w:p>
    <w:p w14:paraId="471FBF0A">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五、我方一旦中标，将按规定及时与招标人签订合同，严格按照投标文件中所承诺的报价等内容组织实施。</w:t>
      </w:r>
    </w:p>
    <w:p w14:paraId="27F0C431">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六、自觉接受社会各界的监督，依法接受有关行政机关的事中事后监管和执法检查，并如实提供有关情况和材料。</w:t>
      </w:r>
    </w:p>
    <w:p w14:paraId="5AA3524F">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七、严格遵守国家法律、法规、规章和相关政策规定，积极参与社会信用体系建设，倡树以信笃行，以诚兴业的传统美德，争当信用市民，争创信用企业。</w:t>
      </w:r>
    </w:p>
    <w:p w14:paraId="4699779E">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八、本《信用承诺书》同意向社会公开。</w:t>
      </w:r>
    </w:p>
    <w:p w14:paraId="088EB6DA">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p>
    <w:p w14:paraId="6609837D">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 xml:space="preserve"> 承诺单位：                          （盖章）</w:t>
      </w:r>
    </w:p>
    <w:p w14:paraId="16063864">
      <w:pPr>
        <w:spacing w:line="56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 xml:space="preserve">                                     年    月    日</w:t>
      </w:r>
    </w:p>
    <w:p w14:paraId="07AE0FFA">
      <w:pPr>
        <w:snapToGrid w:val="0"/>
        <w:spacing w:line="360" w:lineRule="auto"/>
        <w:jc w:val="lef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3BA78D69">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投标人参与投标的声明函</w:t>
      </w:r>
    </w:p>
    <w:p w14:paraId="25E8D9B3">
      <w:pPr>
        <w:spacing w:line="520" w:lineRule="exact"/>
        <w:rPr>
          <w:rFonts w:hint="eastAsia" w:ascii="仿宋" w:hAnsi="仿宋" w:eastAsia="仿宋" w:cs="仿宋"/>
          <w:color w:val="000000" w:themeColor="text1"/>
          <w:kern w:val="0"/>
          <w:sz w:val="28"/>
          <w:szCs w:val="28"/>
          <w:highlight w:val="none"/>
          <w14:textFill>
            <w14:solidFill>
              <w14:schemeClr w14:val="tx1"/>
            </w14:solidFill>
          </w14:textFill>
        </w:rPr>
      </w:pPr>
    </w:p>
    <w:p w14:paraId="70F478B9">
      <w:pPr>
        <w:spacing w:line="520" w:lineRule="exact"/>
        <w:ind w:firstLine="560" w:firstLineChars="200"/>
        <w:rPr>
          <w:rFonts w:hint="eastAsia" w:ascii="仿宋" w:hAnsi="仿宋" w:eastAsia="仿宋" w:cs="仿宋"/>
          <w:color w:val="000000" w:themeColor="text1"/>
          <w:kern w:val="0"/>
          <w:sz w:val="28"/>
          <w:szCs w:val="28"/>
          <w:highlight w:val="none"/>
          <w14:textFill>
            <w14:solidFill>
              <w14:schemeClr w14:val="tx1"/>
            </w14:solidFill>
          </w14:textFill>
        </w:rPr>
      </w:pPr>
      <w:r>
        <w:rPr>
          <w:rFonts w:hint="eastAsia" w:ascii="仿宋" w:hAnsi="仿宋" w:eastAsia="仿宋" w:cs="仿宋"/>
          <w:color w:val="000000" w:themeColor="text1"/>
          <w:kern w:val="0"/>
          <w:sz w:val="28"/>
          <w:szCs w:val="28"/>
          <w:highlight w:val="none"/>
          <w14:textFill>
            <w14:solidFill>
              <w14:schemeClr w14:val="tx1"/>
            </w14:solidFill>
          </w14:textFill>
        </w:rPr>
        <w:t>本单位郑重承诺如下：</w:t>
      </w:r>
    </w:p>
    <w:p w14:paraId="5905E086">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 xml:space="preserve">（1）具有独立承担民事责任的能力（分公司参与投标的，须提供总公司授权）； </w:t>
      </w:r>
    </w:p>
    <w:p w14:paraId="51834EE5">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（2）参加本次招标活动前三年内，在经营活动中没有重大违法记录；</w:t>
      </w:r>
    </w:p>
    <w:p w14:paraId="35767558">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（3）我单位、法定代表人、委托代理人未被最高法院列入失信被执行人；</w:t>
      </w:r>
    </w:p>
    <w:p w14:paraId="1C8075C1">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（4）我单位近一年在"信用中国"或"信用中国（山东）"无严重失信记录；</w:t>
      </w:r>
    </w:p>
    <w:p w14:paraId="38288BB5">
      <w:pPr>
        <w:widowControl/>
        <w:adjustRightInd w:val="0"/>
        <w:spacing w:line="520" w:lineRule="exact"/>
        <w:ind w:firstLine="592" w:firstLineChars="200"/>
        <w:jc w:val="left"/>
        <w:rPr>
          <w:rFonts w:hint="eastAsia" w:ascii="仿宋" w:hAnsi="仿宋" w:eastAsia="仿宋" w:cs="仿宋"/>
          <w:color w:val="000000" w:themeColor="text1"/>
          <w:spacing w:val="8"/>
          <w:kern w:val="0"/>
          <w:sz w:val="28"/>
          <w:szCs w:val="28"/>
          <w:highlight w:val="none"/>
          <w14:textFill>
            <w14:solidFill>
              <w14:schemeClr w14:val="tx1"/>
            </w14:solidFill>
          </w14:textFill>
        </w:rPr>
      </w:pPr>
      <w:r>
        <w:rPr>
          <w:rFonts w:hint="eastAsia" w:ascii="仿宋" w:hAnsi="仿宋" w:eastAsia="仿宋" w:cs="仿宋"/>
          <w:color w:val="000000" w:themeColor="text1"/>
          <w:spacing w:val="8"/>
          <w:kern w:val="0"/>
          <w:sz w:val="28"/>
          <w:szCs w:val="28"/>
          <w:highlight w:val="none"/>
          <w14:textFill>
            <w14:solidFill>
              <w14:schemeClr w14:val="tx1"/>
            </w14:solidFill>
          </w14:textFill>
        </w:rPr>
        <w:t>（5）我单位、法定代表人、委托代理人近三年无行贿犯罪记录；</w:t>
      </w:r>
    </w:p>
    <w:p w14:paraId="4C574939">
      <w:pPr>
        <w:pStyle w:val="2"/>
        <w:rPr>
          <w:rFonts w:hint="eastAsia" w:ascii="仿宋" w:hAnsi="仿宋" w:eastAsia="仿宋" w:cs="仿宋"/>
          <w:color w:val="000000" w:themeColor="text1"/>
          <w:highlight w:val="none"/>
          <w14:textFill>
            <w14:solidFill>
              <w14:schemeClr w14:val="tx1"/>
            </w14:solidFill>
          </w14:textFill>
        </w:rPr>
      </w:pPr>
    </w:p>
    <w:p w14:paraId="2CC79926">
      <w:pPr>
        <w:widowControl/>
        <w:wordWrap w:val="0"/>
        <w:adjustRightInd w:val="0"/>
        <w:spacing w:line="520" w:lineRule="exact"/>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bookmarkStart w:id="123" w:name="_Hlk219973302"/>
      <w:r>
        <w:rPr>
          <w:rFonts w:hint="eastAsia" w:ascii="仿宋" w:hAnsi="仿宋" w:eastAsia="仿宋" w:cs="仿宋"/>
          <w:color w:val="000000" w:themeColor="text1"/>
          <w:kern w:val="0"/>
          <w:sz w:val="28"/>
          <w:szCs w:val="28"/>
          <w:highlight w:val="none"/>
          <w14:textFill>
            <w14:solidFill>
              <w14:schemeClr w14:val="tx1"/>
            </w14:solidFill>
          </w14:textFill>
        </w:rPr>
        <w:t>我单位承诺非联合体投标。若我单位提供虚假承诺，我单位同意所提交的投标文件作无效处理，并愿意接受通报，按照有关法律法规规定接受处罚，由此造成的一切经济责任和法律责任由我单位自行承担。</w:t>
      </w:r>
      <w:bookmarkStart w:id="124" w:name="_Hlk72505594"/>
    </w:p>
    <w:bookmarkEnd w:id="123"/>
    <w:p w14:paraId="004B2106">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5D3E8AF7">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436610E1">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投标人（盖章）</w:t>
      </w:r>
      <w:bookmarkEnd w:id="124"/>
      <w:r>
        <w:rPr>
          <w:rFonts w:hint="eastAsia" w:ascii="仿宋" w:hAnsi="仿宋" w:eastAsia="仿宋" w:cs="仿宋"/>
          <w:color w:val="000000" w:themeColor="text1"/>
          <w:sz w:val="28"/>
          <w:szCs w:val="28"/>
          <w:highlight w:val="none"/>
          <w14:textFill>
            <w14:solidFill>
              <w14:schemeClr w14:val="tx1"/>
            </w14:solidFill>
          </w14:textFill>
        </w:rPr>
        <w:t>：</w:t>
      </w:r>
    </w:p>
    <w:p w14:paraId="3DA26639">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02D7134D">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br w:type="page"/>
      </w:r>
    </w:p>
    <w:p w14:paraId="100C3011">
      <w:pPr>
        <w:snapToGrid w:val="0"/>
        <w:spacing w:line="560" w:lineRule="exact"/>
        <w:jc w:val="center"/>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交纳投标保证金的证明材料（两者缺一不可）：（1）企业银行基本账户开户证明（如开户许可证或银行开户证明等）、（2）电汇凭证或电子汇款截图扫描件</w:t>
      </w:r>
    </w:p>
    <w:p w14:paraId="3E9CAD68">
      <w:pPr>
        <w:snapToGrid w:val="0"/>
        <w:spacing w:line="560" w:lineRule="exact"/>
        <w:ind w:firstLine="482" w:firstLineChars="201"/>
        <w:jc w:val="center"/>
        <w:rPr>
          <w:rFonts w:hint="eastAsia" w:ascii="仿宋" w:hAnsi="仿宋" w:eastAsia="仿宋" w:cs="仿宋"/>
          <w:color w:val="000000" w:themeColor="text1"/>
          <w:kern w:val="0"/>
          <w:sz w:val="24"/>
          <w:highlight w:val="none"/>
          <w14:textFill>
            <w14:solidFill>
              <w14:schemeClr w14:val="tx1"/>
            </w14:solidFill>
          </w14:textFill>
        </w:rPr>
      </w:pPr>
    </w:p>
    <w:p w14:paraId="1BB5463A">
      <w:pPr>
        <w:snapToGrid w:val="0"/>
        <w:spacing w:line="560" w:lineRule="exact"/>
        <w:ind w:firstLine="482" w:firstLineChars="201"/>
        <w:jc w:val="center"/>
        <w:rPr>
          <w:rFonts w:hint="eastAsia" w:ascii="仿宋" w:hAnsi="仿宋" w:eastAsia="仿宋" w:cs="仿宋"/>
          <w:color w:val="000000" w:themeColor="text1"/>
          <w:kern w:val="0"/>
          <w:sz w:val="24"/>
          <w:highlight w:val="none"/>
          <w14:textFill>
            <w14:solidFill>
              <w14:schemeClr w14:val="tx1"/>
            </w14:solidFill>
          </w14:textFill>
        </w:rPr>
      </w:pPr>
    </w:p>
    <w:p w14:paraId="5A5CA32C">
      <w:pPr>
        <w:snapToGrid w:val="0"/>
        <w:spacing w:line="560" w:lineRule="exact"/>
        <w:ind w:firstLine="482" w:firstLineChars="201"/>
        <w:jc w:val="center"/>
        <w:rPr>
          <w:rFonts w:hint="eastAsia" w:ascii="仿宋" w:hAnsi="仿宋" w:eastAsia="仿宋" w:cs="仿宋"/>
          <w:color w:val="000000" w:themeColor="text1"/>
          <w:sz w:val="24"/>
          <w:highlight w:val="none"/>
          <w14:textFill>
            <w14:solidFill>
              <w14:schemeClr w14:val="tx1"/>
            </w14:solidFill>
          </w14:textFill>
        </w:rPr>
      </w:pPr>
    </w:p>
    <w:p w14:paraId="2C5BA1FE">
      <w:pPr>
        <w:pStyle w:val="2"/>
        <w:rPr>
          <w:rFonts w:hint="eastAsia" w:ascii="仿宋" w:hAnsi="仿宋" w:eastAsia="仿宋" w:cs="仿宋"/>
          <w:color w:val="000000" w:themeColor="text1"/>
          <w:highlight w:val="none"/>
          <w14:textFill>
            <w14:solidFill>
              <w14:schemeClr w14:val="tx1"/>
            </w14:solidFill>
          </w14:textFill>
        </w:rPr>
      </w:pPr>
    </w:p>
    <w:p w14:paraId="2317E0D9">
      <w:pPr>
        <w:pStyle w:val="3"/>
        <w:ind w:left="5250"/>
        <w:rPr>
          <w:rFonts w:hint="eastAsia" w:ascii="仿宋" w:hAnsi="仿宋" w:eastAsia="仿宋" w:cs="仿宋"/>
          <w:color w:val="000000" w:themeColor="text1"/>
          <w:highlight w:val="none"/>
          <w14:textFill>
            <w14:solidFill>
              <w14:schemeClr w14:val="tx1"/>
            </w14:solidFill>
          </w14:textFill>
        </w:rPr>
      </w:pPr>
    </w:p>
    <w:p w14:paraId="02BAB4EC">
      <w:pPr>
        <w:rPr>
          <w:rFonts w:hint="eastAsia" w:ascii="仿宋" w:hAnsi="仿宋" w:eastAsia="仿宋" w:cs="仿宋"/>
          <w:color w:val="000000" w:themeColor="text1"/>
          <w:highlight w:val="none"/>
          <w14:textFill>
            <w14:solidFill>
              <w14:schemeClr w14:val="tx1"/>
            </w14:solidFill>
          </w14:textFill>
        </w:rPr>
      </w:pPr>
    </w:p>
    <w:p w14:paraId="64F13146">
      <w:pPr>
        <w:pStyle w:val="2"/>
        <w:rPr>
          <w:rFonts w:hint="eastAsia" w:ascii="仿宋" w:hAnsi="仿宋" w:eastAsia="仿宋" w:cs="仿宋"/>
          <w:color w:val="000000" w:themeColor="text1"/>
          <w:highlight w:val="none"/>
          <w14:textFill>
            <w14:solidFill>
              <w14:schemeClr w14:val="tx1"/>
            </w14:solidFill>
          </w14:textFill>
        </w:rPr>
      </w:pPr>
    </w:p>
    <w:p w14:paraId="2EECC0BA">
      <w:pPr>
        <w:snapToGrid w:val="0"/>
        <w:spacing w:line="560" w:lineRule="exact"/>
        <w:ind w:firstLine="482" w:firstLineChars="201"/>
        <w:jc w:val="center"/>
        <w:rPr>
          <w:rFonts w:hint="eastAsia" w:ascii="仿宋" w:hAnsi="仿宋" w:eastAsia="仿宋" w:cs="仿宋"/>
          <w:color w:val="000000" w:themeColor="text1"/>
          <w:kern w:val="0"/>
          <w:sz w:val="24"/>
          <w:highlight w:val="none"/>
          <w14:textFill>
            <w14:solidFill>
              <w14:schemeClr w14:val="tx1"/>
            </w14:solidFill>
          </w14:textFill>
        </w:rPr>
      </w:pPr>
    </w:p>
    <w:p w14:paraId="4BAA6F12">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6473D4A9">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4AB25067">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35C366AC">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24469380">
      <w:pPr>
        <w:pStyle w:val="2"/>
        <w:rPr>
          <w:rFonts w:hint="eastAsia" w:ascii="仿宋" w:hAnsi="仿宋" w:eastAsia="仿宋" w:cs="仿宋"/>
          <w:color w:val="000000" w:themeColor="text1"/>
          <w:highlight w:val="none"/>
          <w14:textFill>
            <w14:solidFill>
              <w14:schemeClr w14:val="tx1"/>
            </w14:solidFill>
          </w14:textFill>
        </w:rPr>
      </w:pPr>
    </w:p>
    <w:p w14:paraId="4295661F">
      <w:pPr>
        <w:pStyle w:val="2"/>
        <w:rPr>
          <w:rFonts w:hint="eastAsia" w:ascii="仿宋" w:hAnsi="仿宋" w:eastAsia="仿宋" w:cs="仿宋"/>
          <w:color w:val="000000" w:themeColor="text1"/>
          <w:highlight w:val="none"/>
          <w14:textFill>
            <w14:solidFill>
              <w14:schemeClr w14:val="tx1"/>
            </w14:solidFill>
          </w14:textFill>
        </w:rPr>
      </w:pPr>
    </w:p>
    <w:p w14:paraId="787B9E2E">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397052A2">
      <w:pPr>
        <w:widowControl/>
        <w:jc w:val="left"/>
        <w:rPr>
          <w:rFonts w:hint="eastAsia"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251ED783">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投标人、法定代表人、委托代理人未被最高法院（查询网址：http://zxgk.court.gov.cn/shixin/）列入失信被执行人</w:t>
      </w:r>
    </w:p>
    <w:p w14:paraId="2B3E7B15">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17049AD7">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26B4E527">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04C7C1BE">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7E604ED1">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4FBC9BFD">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11B920B0">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0627C95F">
      <w:pPr>
        <w:snapToGrid w:val="0"/>
        <w:spacing w:line="560" w:lineRule="exact"/>
        <w:ind w:firstLine="482" w:firstLineChars="201"/>
        <w:jc w:val="lef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注：附通过网站查询信息记录，包含投标人、法定代表人、委托代理人失信被执行人情况网页截图（省份为全部）</w:t>
      </w:r>
    </w:p>
    <w:p w14:paraId="3F64F54A">
      <w:pPr>
        <w:pStyle w:val="2"/>
        <w:rPr>
          <w:rFonts w:hint="eastAsia" w:ascii="仿宋" w:hAnsi="仿宋" w:eastAsia="仿宋" w:cs="仿宋"/>
          <w:color w:val="000000" w:themeColor="text1"/>
          <w:highlight w:val="none"/>
          <w14:textFill>
            <w14:solidFill>
              <w14:schemeClr w14:val="tx1"/>
            </w14:solidFill>
          </w14:textFill>
        </w:rPr>
      </w:pPr>
    </w:p>
    <w:p w14:paraId="1F22DF11">
      <w:pPr>
        <w:pStyle w:val="3"/>
        <w:ind w:left="5250"/>
        <w:rPr>
          <w:rFonts w:hint="eastAsia" w:ascii="仿宋" w:hAnsi="仿宋" w:eastAsia="仿宋" w:cs="仿宋"/>
          <w:color w:val="000000" w:themeColor="text1"/>
          <w:highlight w:val="none"/>
          <w14:textFill>
            <w14:solidFill>
              <w14:schemeClr w14:val="tx1"/>
            </w14:solidFill>
          </w14:textFill>
        </w:rPr>
      </w:pPr>
    </w:p>
    <w:p w14:paraId="17D45815">
      <w:pPr>
        <w:rPr>
          <w:rFonts w:hint="eastAsia" w:ascii="仿宋" w:hAnsi="仿宋" w:eastAsia="仿宋" w:cs="仿宋"/>
          <w:color w:val="000000" w:themeColor="text1"/>
          <w:highlight w:val="none"/>
          <w14:textFill>
            <w14:solidFill>
              <w14:schemeClr w14:val="tx1"/>
            </w14:solidFill>
          </w14:textFill>
        </w:rPr>
      </w:pPr>
    </w:p>
    <w:p w14:paraId="4843ED5A">
      <w:pPr>
        <w:pStyle w:val="51"/>
        <w:ind w:firstLine="560"/>
        <w:rPr>
          <w:rFonts w:hint="eastAsia" w:ascii="仿宋" w:hAnsi="仿宋" w:eastAsia="仿宋" w:cs="仿宋"/>
          <w:color w:val="000000" w:themeColor="text1"/>
          <w:sz w:val="28"/>
          <w:szCs w:val="28"/>
          <w:highlight w:val="none"/>
          <w14:textFill>
            <w14:solidFill>
              <w14:schemeClr w14:val="tx1"/>
            </w14:solidFill>
          </w14:textFill>
        </w:rPr>
      </w:pPr>
    </w:p>
    <w:p w14:paraId="7983EEB5">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144B9ADB">
      <w:pPr>
        <w:pStyle w:val="2"/>
        <w:rPr>
          <w:rFonts w:hint="eastAsia" w:ascii="仿宋" w:hAnsi="仿宋" w:eastAsia="仿宋" w:cs="仿宋"/>
          <w:color w:val="000000" w:themeColor="text1"/>
          <w:highlight w:val="none"/>
          <w14:textFill>
            <w14:solidFill>
              <w14:schemeClr w14:val="tx1"/>
            </w14:solidFill>
          </w14:textFill>
        </w:rPr>
      </w:pPr>
    </w:p>
    <w:p w14:paraId="338085B9">
      <w:pPr>
        <w:pStyle w:val="3"/>
        <w:ind w:left="5250"/>
        <w:rPr>
          <w:rFonts w:hint="eastAsia" w:ascii="仿宋" w:hAnsi="仿宋" w:eastAsia="仿宋" w:cs="仿宋"/>
          <w:color w:val="000000" w:themeColor="text1"/>
          <w:highlight w:val="none"/>
          <w14:textFill>
            <w14:solidFill>
              <w14:schemeClr w14:val="tx1"/>
            </w14:solidFill>
          </w14:textFill>
        </w:rPr>
      </w:pPr>
    </w:p>
    <w:p w14:paraId="0833BA84">
      <w:pPr>
        <w:rPr>
          <w:rFonts w:hint="eastAsia" w:ascii="仿宋" w:hAnsi="仿宋" w:eastAsia="仿宋" w:cs="仿宋"/>
          <w:color w:val="000000" w:themeColor="text1"/>
          <w:highlight w:val="none"/>
          <w14:textFill>
            <w14:solidFill>
              <w14:schemeClr w14:val="tx1"/>
            </w14:solidFill>
          </w14:textFill>
        </w:rPr>
      </w:pPr>
    </w:p>
    <w:p w14:paraId="4386FE85">
      <w:pPr>
        <w:pStyle w:val="2"/>
        <w:rPr>
          <w:rFonts w:hint="eastAsia" w:ascii="仿宋" w:hAnsi="仿宋" w:eastAsia="仿宋" w:cs="仿宋"/>
          <w:color w:val="000000" w:themeColor="text1"/>
          <w:highlight w:val="none"/>
          <w14:textFill>
            <w14:solidFill>
              <w14:schemeClr w14:val="tx1"/>
            </w14:solidFill>
          </w14:textFill>
        </w:rPr>
      </w:pPr>
    </w:p>
    <w:p w14:paraId="2CDF005F">
      <w:pPr>
        <w:pStyle w:val="3"/>
        <w:ind w:left="5250"/>
        <w:rPr>
          <w:rFonts w:hint="eastAsia" w:ascii="仿宋" w:hAnsi="仿宋" w:eastAsia="仿宋" w:cs="仿宋"/>
          <w:color w:val="000000" w:themeColor="text1"/>
          <w:highlight w:val="none"/>
          <w14:textFill>
            <w14:solidFill>
              <w14:schemeClr w14:val="tx1"/>
            </w14:solidFill>
          </w14:textFill>
        </w:rPr>
      </w:pPr>
    </w:p>
    <w:p w14:paraId="021DFE01">
      <w:pPr>
        <w:widowControl/>
        <w:jc w:val="left"/>
        <w:rPr>
          <w:rFonts w:hint="eastAsia" w:ascii="仿宋" w:hAnsi="仿宋" w:eastAsia="仿宋" w:cs="仿宋"/>
          <w:color w:val="000000" w:themeColor="text1"/>
          <w:sz w:val="30"/>
          <w:szCs w:val="30"/>
          <w:highlight w:val="none"/>
          <w14:textFill>
            <w14:solidFill>
              <w14:schemeClr w14:val="tx1"/>
            </w14:solidFill>
          </w14:textFill>
        </w:rPr>
      </w:pPr>
      <w:bookmarkStart w:id="125" w:name="_Toc523388197"/>
      <w:r>
        <w:rPr>
          <w:rFonts w:hint="eastAsia" w:ascii="仿宋" w:hAnsi="仿宋" w:eastAsia="仿宋" w:cs="仿宋"/>
          <w:color w:val="000000" w:themeColor="text1"/>
          <w:sz w:val="30"/>
          <w:szCs w:val="30"/>
          <w:highlight w:val="none"/>
          <w14:textFill>
            <w14:solidFill>
              <w14:schemeClr w14:val="tx1"/>
            </w14:solidFill>
          </w14:textFill>
        </w:rPr>
        <w:br w:type="page"/>
      </w:r>
    </w:p>
    <w:p w14:paraId="53A61666">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投标人近一年在“信用中国”或“信用中国（山东）”无严重失信记录</w:t>
      </w:r>
    </w:p>
    <w:p w14:paraId="25B61D14">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56864076">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7763D18B">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21E68246">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40F4771D">
      <w:pPr>
        <w:pStyle w:val="2"/>
        <w:rPr>
          <w:rFonts w:hint="eastAsia" w:ascii="仿宋" w:hAnsi="仿宋" w:eastAsia="仿宋" w:cs="仿宋"/>
          <w:color w:val="000000" w:themeColor="text1"/>
          <w:highlight w:val="none"/>
          <w14:textFill>
            <w14:solidFill>
              <w14:schemeClr w14:val="tx1"/>
            </w14:solidFill>
          </w14:textFill>
        </w:rPr>
      </w:pPr>
    </w:p>
    <w:p w14:paraId="2320770C">
      <w:pPr>
        <w:snapToGrid w:val="0"/>
        <w:spacing w:line="560" w:lineRule="exact"/>
        <w:ind w:firstLine="482" w:firstLineChars="201"/>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注：附通过信用中国（查询网址：</w:t>
      </w:r>
      <w:r>
        <w:rPr>
          <w:rFonts w:hint="eastAsia" w:ascii="仿宋" w:hAnsi="仿宋" w:eastAsia="仿宋" w:cs="仿宋"/>
          <w:color w:val="000000" w:themeColor="text1"/>
          <w:highlight w:val="none"/>
          <w14:textFill>
            <w14:solidFill>
              <w14:schemeClr w14:val="tx1"/>
            </w14:solidFill>
          </w14:textFill>
        </w:rPr>
        <w:fldChar w:fldCharType="begin"/>
      </w:r>
      <w:r>
        <w:rPr>
          <w:rFonts w:hint="eastAsia" w:ascii="仿宋" w:hAnsi="仿宋" w:eastAsia="仿宋" w:cs="仿宋"/>
          <w:color w:val="000000" w:themeColor="text1"/>
          <w:highlight w:val="none"/>
          <w14:textFill>
            <w14:solidFill>
              <w14:schemeClr w14:val="tx1"/>
            </w14:solidFill>
          </w14:textFill>
        </w:rPr>
        <w:instrText xml:space="preserve"> HYPERLINK "https://www.creditchina.gov.cn" </w:instrText>
      </w:r>
      <w:r>
        <w:rPr>
          <w:rFonts w:hint="eastAsia" w:ascii="仿宋" w:hAnsi="仿宋" w:eastAsia="仿宋" w:cs="仿宋"/>
          <w:color w:val="000000" w:themeColor="text1"/>
          <w:highlight w:val="none"/>
          <w14:textFill>
            <w14:solidFill>
              <w14:schemeClr w14:val="tx1"/>
            </w14:solidFill>
          </w14:textFill>
        </w:rPr>
        <w:fldChar w:fldCharType="separate"/>
      </w:r>
      <w:r>
        <w:rPr>
          <w:rStyle w:val="59"/>
          <w:rFonts w:hint="eastAsia" w:ascii="仿宋" w:hAnsi="仿宋" w:eastAsia="仿宋" w:cs="仿宋"/>
          <w:color w:val="000000" w:themeColor="text1"/>
          <w:sz w:val="24"/>
          <w:highlight w:val="none"/>
          <w14:textFill>
            <w14:solidFill>
              <w14:schemeClr w14:val="tx1"/>
            </w14:solidFill>
          </w14:textFill>
        </w:rPr>
        <w:t>https://www.creditchina.gov.cn</w:t>
      </w:r>
      <w:r>
        <w:rPr>
          <w:rStyle w:val="59"/>
          <w:rFonts w:hint="eastAsia" w:ascii="仿宋" w:hAnsi="仿宋" w:eastAsia="仿宋" w:cs="仿宋"/>
          <w:color w:val="000000" w:themeColor="text1"/>
          <w:sz w:val="24"/>
          <w:highlight w:val="none"/>
          <w14:textFill>
            <w14:solidFill>
              <w14:schemeClr w14:val="tx1"/>
            </w14:solidFill>
          </w14:textFill>
        </w:rPr>
        <w:fldChar w:fldCharType="end"/>
      </w:r>
      <w:r>
        <w:rPr>
          <w:rFonts w:hint="eastAsia" w:ascii="仿宋" w:hAnsi="仿宋" w:eastAsia="仿宋" w:cs="仿宋"/>
          <w:color w:val="000000" w:themeColor="text1"/>
          <w:sz w:val="24"/>
          <w:highlight w:val="none"/>
          <w14:textFill>
            <w14:solidFill>
              <w14:schemeClr w14:val="tx1"/>
            </w14:solidFill>
          </w14:textFill>
        </w:rPr>
        <w:t>）查询的信用报告或信用中国（山东）（查询网址：https://credit.shandong.gov.cn）查询的信用报告。</w:t>
      </w:r>
    </w:p>
    <w:p w14:paraId="41289DD8">
      <w:pPr>
        <w:pStyle w:val="2"/>
        <w:rPr>
          <w:rFonts w:hint="eastAsia" w:ascii="仿宋" w:hAnsi="仿宋" w:eastAsia="仿宋" w:cs="仿宋"/>
          <w:color w:val="000000" w:themeColor="text1"/>
          <w:highlight w:val="none"/>
          <w14:textFill>
            <w14:solidFill>
              <w14:schemeClr w14:val="tx1"/>
            </w14:solidFill>
          </w14:textFill>
        </w:rPr>
      </w:pPr>
    </w:p>
    <w:p w14:paraId="692F3994">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53C0C8BE">
      <w:pPr>
        <w:pStyle w:val="2"/>
        <w:rPr>
          <w:rFonts w:hint="eastAsia" w:ascii="仿宋" w:hAnsi="仿宋" w:eastAsia="仿宋" w:cs="仿宋"/>
          <w:color w:val="000000" w:themeColor="text1"/>
          <w:highlight w:val="none"/>
          <w14:textFill>
            <w14:solidFill>
              <w14:schemeClr w14:val="tx1"/>
            </w14:solidFill>
          </w14:textFill>
        </w:rPr>
      </w:pPr>
    </w:p>
    <w:p w14:paraId="25E20308">
      <w:pPr>
        <w:pStyle w:val="3"/>
        <w:ind w:left="5250"/>
        <w:rPr>
          <w:rFonts w:hint="eastAsia" w:ascii="仿宋" w:hAnsi="仿宋" w:eastAsia="仿宋" w:cs="仿宋"/>
          <w:color w:val="000000" w:themeColor="text1"/>
          <w:highlight w:val="none"/>
          <w14:textFill>
            <w14:solidFill>
              <w14:schemeClr w14:val="tx1"/>
            </w14:solidFill>
          </w14:textFill>
        </w:rPr>
      </w:pPr>
    </w:p>
    <w:p w14:paraId="6A9B13DC">
      <w:pPr>
        <w:rPr>
          <w:rFonts w:hint="eastAsia" w:ascii="仿宋" w:hAnsi="仿宋" w:eastAsia="仿宋" w:cs="仿宋"/>
          <w:color w:val="000000" w:themeColor="text1"/>
          <w:highlight w:val="none"/>
          <w14:textFill>
            <w14:solidFill>
              <w14:schemeClr w14:val="tx1"/>
            </w14:solidFill>
          </w14:textFill>
        </w:rPr>
      </w:pPr>
    </w:p>
    <w:p w14:paraId="5A55C379">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2738F005">
      <w:pPr>
        <w:pStyle w:val="51"/>
        <w:ind w:firstLine="56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4E5CBB58">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75E4E4EC">
      <w:pPr>
        <w:pStyle w:val="3"/>
        <w:ind w:left="5250"/>
        <w:rPr>
          <w:rFonts w:hint="eastAsia" w:ascii="仿宋" w:hAnsi="仿宋" w:eastAsia="仿宋" w:cs="仿宋"/>
          <w:color w:val="000000" w:themeColor="text1"/>
          <w:highlight w:val="none"/>
          <w14:textFill>
            <w14:solidFill>
              <w14:schemeClr w14:val="tx1"/>
            </w14:solidFill>
          </w14:textFill>
        </w:rPr>
      </w:pPr>
    </w:p>
    <w:p w14:paraId="2F83C301">
      <w:pPr>
        <w:snapToGrid w:val="0"/>
        <w:spacing w:line="560" w:lineRule="exact"/>
        <w:ind w:firstLine="602" w:firstLineChars="201"/>
        <w:jc w:val="center"/>
        <w:rPr>
          <w:rFonts w:hint="eastAsia" w:ascii="仿宋" w:hAnsi="仿宋" w:eastAsia="仿宋" w:cs="仿宋"/>
          <w:color w:val="000000" w:themeColor="text1"/>
          <w:sz w:val="30"/>
          <w:szCs w:val="30"/>
          <w:highlight w:val="none"/>
          <w14:textFill>
            <w14:solidFill>
              <w14:schemeClr w14:val="tx1"/>
            </w14:solidFill>
          </w14:textFill>
        </w:rPr>
      </w:pPr>
    </w:p>
    <w:p w14:paraId="6CDCC751">
      <w:pPr>
        <w:pStyle w:val="2"/>
        <w:rPr>
          <w:rFonts w:hint="eastAsia" w:ascii="仿宋" w:hAnsi="仿宋" w:eastAsia="仿宋" w:cs="仿宋"/>
          <w:color w:val="000000" w:themeColor="text1"/>
          <w:highlight w:val="none"/>
          <w14:textFill>
            <w14:solidFill>
              <w14:schemeClr w14:val="tx1"/>
            </w14:solidFill>
          </w14:textFill>
        </w:rPr>
      </w:pPr>
    </w:p>
    <w:p w14:paraId="1B973809">
      <w:pPr>
        <w:pStyle w:val="3"/>
        <w:ind w:left="5250"/>
        <w:rPr>
          <w:rFonts w:hint="eastAsia" w:ascii="仿宋" w:hAnsi="仿宋" w:eastAsia="仿宋" w:cs="仿宋"/>
          <w:color w:val="000000" w:themeColor="text1"/>
          <w:highlight w:val="none"/>
          <w14:textFill>
            <w14:solidFill>
              <w14:schemeClr w14:val="tx1"/>
            </w14:solidFill>
          </w14:textFill>
        </w:rPr>
      </w:pPr>
    </w:p>
    <w:p w14:paraId="134D6473">
      <w:pPr>
        <w:widowControl/>
        <w:jc w:val="left"/>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br w:type="page"/>
      </w:r>
    </w:p>
    <w:p w14:paraId="1B134594">
      <w:pPr>
        <w:snapToGrid w:val="0"/>
        <w:spacing w:line="560" w:lineRule="exact"/>
        <w:jc w:val="center"/>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30"/>
          <w:szCs w:val="30"/>
          <w:highlight w:val="none"/>
          <w14:textFill>
            <w14:solidFill>
              <w14:schemeClr w14:val="tx1"/>
            </w14:solidFill>
          </w14:textFill>
        </w:rPr>
        <w:t>投标人认为需要提供的资质资格证明文件</w:t>
      </w:r>
    </w:p>
    <w:p w14:paraId="4D610247">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1DA12A86">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4AE90A28">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69377233">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0F250E49">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1BA1AE62">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24ABB15B">
      <w:pPr>
        <w:snapToGrid w:val="0"/>
        <w:spacing w:line="560" w:lineRule="exact"/>
        <w:ind w:firstLine="562" w:firstLineChars="201"/>
        <w:rPr>
          <w:rFonts w:hint="eastAsia" w:ascii="仿宋" w:hAnsi="仿宋" w:eastAsia="仿宋" w:cs="仿宋"/>
          <w:color w:val="000000" w:themeColor="text1"/>
          <w:sz w:val="28"/>
          <w:szCs w:val="28"/>
          <w:highlight w:val="none"/>
          <w14:textFill>
            <w14:solidFill>
              <w14:schemeClr w14:val="tx1"/>
            </w14:solidFill>
          </w14:textFill>
        </w:rPr>
      </w:pPr>
    </w:p>
    <w:p w14:paraId="69BFBC09">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7B9D8626">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65305AAF">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0B13E796">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p>
    <w:p w14:paraId="15A80A36">
      <w:pPr>
        <w:snapToGrid w:val="0"/>
        <w:spacing w:line="560" w:lineRule="exact"/>
        <w:ind w:firstLine="562" w:firstLineChars="201"/>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投标人（盖章）：</w:t>
      </w:r>
    </w:p>
    <w:p w14:paraId="6A9C6D3E">
      <w:pPr>
        <w:widowControl/>
        <w:jc w:val="center"/>
        <w:rPr>
          <w:rFonts w:hint="eastAsia" w:ascii="仿宋" w:hAnsi="仿宋" w:eastAsia="仿宋" w:cs="仿宋"/>
          <w:color w:val="000000" w:themeColor="text1"/>
          <w:highlight w:val="none"/>
          <w14:textFill>
            <w14:solidFill>
              <w14:schemeClr w14:val="tx1"/>
            </w14:solidFill>
          </w14:textFill>
        </w:rPr>
      </w:pPr>
    </w:p>
    <w:p w14:paraId="0E17C323">
      <w:pPr>
        <w:pStyle w:val="33"/>
        <w:rPr>
          <w:rFonts w:hint="eastAsia" w:ascii="仿宋" w:hAnsi="仿宋" w:eastAsia="仿宋" w:cs="仿宋"/>
          <w:color w:val="000000" w:themeColor="text1"/>
          <w:highlight w:val="none"/>
          <w14:textFill>
            <w14:solidFill>
              <w14:schemeClr w14:val="tx1"/>
            </w14:solidFill>
          </w14:textFill>
        </w:rPr>
      </w:pPr>
    </w:p>
    <w:p w14:paraId="40A5C080">
      <w:pPr>
        <w:rPr>
          <w:rFonts w:hint="eastAsia" w:ascii="仿宋" w:hAnsi="仿宋" w:eastAsia="仿宋" w:cs="仿宋"/>
          <w:color w:val="000000" w:themeColor="text1"/>
          <w:highlight w:val="none"/>
          <w14:textFill>
            <w14:solidFill>
              <w14:schemeClr w14:val="tx1"/>
            </w14:solidFill>
          </w14:textFill>
        </w:rPr>
      </w:pPr>
    </w:p>
    <w:p w14:paraId="31D6BD7A">
      <w:pPr>
        <w:widowControl/>
        <w:jc w:val="center"/>
        <w:rPr>
          <w:rFonts w:hint="eastAsia" w:ascii="仿宋" w:hAnsi="仿宋" w:eastAsia="仿宋" w:cs="仿宋"/>
          <w:color w:val="000000" w:themeColor="text1"/>
          <w:highlight w:val="none"/>
          <w14:textFill>
            <w14:solidFill>
              <w14:schemeClr w14:val="tx1"/>
            </w14:solidFill>
          </w14:textFill>
        </w:rPr>
      </w:pPr>
    </w:p>
    <w:p w14:paraId="162FB608">
      <w:pPr>
        <w:widowControl/>
        <w:jc w:val="center"/>
        <w:rPr>
          <w:rFonts w:hint="eastAsia" w:ascii="仿宋" w:hAnsi="仿宋" w:eastAsia="仿宋" w:cs="仿宋"/>
          <w:color w:val="000000" w:themeColor="text1"/>
          <w:highlight w:val="none"/>
          <w14:textFill>
            <w14:solidFill>
              <w14:schemeClr w14:val="tx1"/>
            </w14:solidFill>
          </w14:textFill>
        </w:rPr>
      </w:pPr>
    </w:p>
    <w:p w14:paraId="3F671A09">
      <w:pPr>
        <w:widowControl/>
        <w:jc w:val="center"/>
        <w:rPr>
          <w:rFonts w:hint="eastAsia" w:ascii="仿宋" w:hAnsi="仿宋" w:eastAsia="仿宋" w:cs="仿宋"/>
          <w:color w:val="000000" w:themeColor="text1"/>
          <w:highlight w:val="none"/>
          <w14:textFill>
            <w14:solidFill>
              <w14:schemeClr w14:val="tx1"/>
            </w14:solidFill>
          </w14:textFill>
        </w:rPr>
      </w:pPr>
    </w:p>
    <w:p w14:paraId="715EAFE5">
      <w:pPr>
        <w:widowControl/>
        <w:jc w:val="center"/>
        <w:rPr>
          <w:rFonts w:hint="eastAsia" w:ascii="仿宋" w:hAnsi="仿宋" w:eastAsia="仿宋" w:cs="仿宋"/>
          <w:color w:val="000000" w:themeColor="text1"/>
          <w:highlight w:val="none"/>
          <w14:textFill>
            <w14:solidFill>
              <w14:schemeClr w14:val="tx1"/>
            </w14:solidFill>
          </w14:textFill>
        </w:rPr>
      </w:pPr>
    </w:p>
    <w:p w14:paraId="588EE238">
      <w:pPr>
        <w:widowControl/>
        <w:jc w:val="center"/>
        <w:rPr>
          <w:rFonts w:hint="eastAsia" w:ascii="仿宋" w:hAnsi="仿宋" w:eastAsia="仿宋" w:cs="仿宋"/>
          <w:color w:val="000000" w:themeColor="text1"/>
          <w:highlight w:val="none"/>
          <w14:textFill>
            <w14:solidFill>
              <w14:schemeClr w14:val="tx1"/>
            </w14:solidFill>
          </w14:textFill>
        </w:rPr>
      </w:pPr>
    </w:p>
    <w:p w14:paraId="7C896C43">
      <w:pPr>
        <w:widowControl/>
        <w:jc w:val="center"/>
        <w:rPr>
          <w:rFonts w:hint="eastAsia" w:ascii="仿宋" w:hAnsi="仿宋" w:eastAsia="仿宋" w:cs="仿宋"/>
          <w:color w:val="000000" w:themeColor="text1"/>
          <w:highlight w:val="none"/>
          <w14:textFill>
            <w14:solidFill>
              <w14:schemeClr w14:val="tx1"/>
            </w14:solidFill>
          </w14:textFill>
        </w:rPr>
      </w:pPr>
    </w:p>
    <w:p w14:paraId="3F0B3216">
      <w:pPr>
        <w:widowControl/>
        <w:jc w:val="center"/>
        <w:rPr>
          <w:rFonts w:hint="eastAsia" w:ascii="仿宋" w:hAnsi="仿宋" w:eastAsia="仿宋" w:cs="仿宋"/>
          <w:color w:val="000000" w:themeColor="text1"/>
          <w:highlight w:val="none"/>
          <w14:textFill>
            <w14:solidFill>
              <w14:schemeClr w14:val="tx1"/>
            </w14:solidFill>
          </w14:textFill>
        </w:rPr>
      </w:pPr>
    </w:p>
    <w:p w14:paraId="2B8D57A0">
      <w:pPr>
        <w:widowControl/>
        <w:jc w:val="center"/>
        <w:rPr>
          <w:rFonts w:hint="eastAsia" w:ascii="仿宋" w:hAnsi="仿宋" w:eastAsia="仿宋" w:cs="仿宋"/>
          <w:color w:val="000000" w:themeColor="text1"/>
          <w:highlight w:val="none"/>
          <w14:textFill>
            <w14:solidFill>
              <w14:schemeClr w14:val="tx1"/>
            </w14:solidFill>
          </w14:textFill>
        </w:rPr>
      </w:pPr>
    </w:p>
    <w:p w14:paraId="68676299">
      <w:pPr>
        <w:widowControl/>
        <w:jc w:val="center"/>
        <w:rPr>
          <w:rFonts w:hint="eastAsia" w:ascii="仿宋" w:hAnsi="仿宋" w:eastAsia="仿宋" w:cs="仿宋"/>
          <w:color w:val="000000" w:themeColor="text1"/>
          <w:highlight w:val="none"/>
          <w14:textFill>
            <w14:solidFill>
              <w14:schemeClr w14:val="tx1"/>
            </w14:solidFill>
          </w14:textFill>
        </w:rPr>
      </w:pPr>
    </w:p>
    <w:p w14:paraId="613E80BD">
      <w:pPr>
        <w:widowControl/>
        <w:jc w:val="center"/>
        <w:rPr>
          <w:rFonts w:hint="eastAsia" w:ascii="仿宋" w:hAnsi="仿宋" w:eastAsia="仿宋" w:cs="仿宋"/>
          <w:color w:val="000000" w:themeColor="text1"/>
          <w:highlight w:val="none"/>
          <w14:textFill>
            <w14:solidFill>
              <w14:schemeClr w14:val="tx1"/>
            </w14:solidFill>
          </w14:textFill>
        </w:rPr>
      </w:pPr>
    </w:p>
    <w:p w14:paraId="35DDC7D9">
      <w:pPr>
        <w:widowControl/>
        <w:jc w:val="center"/>
        <w:rPr>
          <w:rFonts w:hint="eastAsia" w:ascii="仿宋" w:hAnsi="仿宋" w:eastAsia="仿宋" w:cs="仿宋"/>
          <w:color w:val="000000" w:themeColor="text1"/>
          <w:highlight w:val="none"/>
          <w14:textFill>
            <w14:solidFill>
              <w14:schemeClr w14:val="tx1"/>
            </w14:solidFill>
          </w14:textFill>
        </w:rPr>
      </w:pPr>
    </w:p>
    <w:p w14:paraId="1848ACF8">
      <w:pPr>
        <w:widowControl/>
        <w:jc w:val="center"/>
        <w:rPr>
          <w:rFonts w:hint="eastAsia" w:ascii="仿宋" w:hAnsi="仿宋" w:eastAsia="仿宋" w:cs="仿宋"/>
          <w:color w:val="000000" w:themeColor="text1"/>
          <w:highlight w:val="none"/>
          <w14:textFill>
            <w14:solidFill>
              <w14:schemeClr w14:val="tx1"/>
            </w14:solidFill>
          </w14:textFill>
        </w:rPr>
      </w:pPr>
    </w:p>
    <w:p w14:paraId="37207777">
      <w:pPr>
        <w:widowControl/>
        <w:jc w:val="center"/>
        <w:rPr>
          <w:rFonts w:hint="eastAsia" w:ascii="仿宋" w:hAnsi="仿宋" w:eastAsia="仿宋" w:cs="仿宋"/>
          <w:color w:val="000000" w:themeColor="text1"/>
          <w:highlight w:val="none"/>
          <w14:textFill>
            <w14:solidFill>
              <w14:schemeClr w14:val="tx1"/>
            </w14:solidFill>
          </w14:textFill>
        </w:rPr>
      </w:pPr>
    </w:p>
    <w:p w14:paraId="7393F41B">
      <w:pPr>
        <w:widowControl/>
        <w:jc w:val="center"/>
        <w:rPr>
          <w:rFonts w:hint="eastAsia" w:ascii="仿宋" w:hAnsi="仿宋" w:eastAsia="仿宋" w:cs="仿宋"/>
          <w:color w:val="000000" w:themeColor="text1"/>
          <w:highlight w:val="none"/>
          <w14:textFill>
            <w14:solidFill>
              <w14:schemeClr w14:val="tx1"/>
            </w14:solidFill>
          </w14:textFill>
        </w:rPr>
      </w:pPr>
    </w:p>
    <w:p w14:paraId="0E08B4E2">
      <w:pPr>
        <w:widowControl/>
        <w:jc w:val="center"/>
        <w:rPr>
          <w:rFonts w:hint="eastAsia" w:ascii="仿宋" w:hAnsi="仿宋" w:eastAsia="仿宋" w:cs="仿宋"/>
          <w:color w:val="000000" w:themeColor="text1"/>
          <w:highlight w:val="none"/>
          <w14:textFill>
            <w14:solidFill>
              <w14:schemeClr w14:val="tx1"/>
            </w14:solidFill>
          </w14:textFill>
        </w:rPr>
      </w:pPr>
    </w:p>
    <w:p w14:paraId="7F100C5A">
      <w:pPr>
        <w:widowControl/>
        <w:jc w:val="center"/>
        <w:rPr>
          <w:rFonts w:hint="eastAsia" w:ascii="仿宋" w:hAnsi="仿宋" w:eastAsia="仿宋" w:cs="仿宋"/>
          <w:color w:val="000000" w:themeColor="text1"/>
          <w:highlight w:val="none"/>
          <w14:textFill>
            <w14:solidFill>
              <w14:schemeClr w14:val="tx1"/>
            </w14:solidFill>
          </w14:textFill>
        </w:rPr>
      </w:pPr>
    </w:p>
    <w:p w14:paraId="25B6D920">
      <w:pPr>
        <w:pStyle w:val="27"/>
        <w:jc w:val="center"/>
        <w:rPr>
          <w:rFonts w:hint="eastAsia" w:ascii="仿宋" w:hAnsi="仿宋" w:eastAsia="仿宋" w:cs="仿宋"/>
          <w:bCs/>
          <w:color w:val="000000" w:themeColor="text1"/>
          <w:kern w:val="2"/>
          <w:sz w:val="44"/>
          <w:szCs w:val="32"/>
          <w:highlight w:val="none"/>
          <w14:textFill>
            <w14:solidFill>
              <w14:schemeClr w14:val="tx1"/>
            </w14:solidFill>
          </w14:textFill>
        </w:rPr>
      </w:pPr>
      <w:r>
        <w:rPr>
          <w:rFonts w:hint="eastAsia" w:ascii="仿宋" w:hAnsi="仿宋" w:eastAsia="仿宋" w:cs="仿宋"/>
          <w:bCs/>
          <w:color w:val="000000" w:themeColor="text1"/>
          <w:kern w:val="2"/>
          <w:sz w:val="44"/>
          <w:szCs w:val="32"/>
          <w:highlight w:val="none"/>
          <w14:textFill>
            <w14:solidFill>
              <w14:schemeClr w14:val="tx1"/>
            </w14:solidFill>
          </w14:textFill>
        </w:rPr>
        <w:t>投标人基本情况表</w:t>
      </w:r>
      <w:bookmarkEnd w:id="125"/>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1687"/>
        <w:gridCol w:w="1029"/>
        <w:gridCol w:w="674"/>
        <w:gridCol w:w="1252"/>
        <w:gridCol w:w="23"/>
        <w:gridCol w:w="2100"/>
        <w:gridCol w:w="2180"/>
      </w:tblGrid>
      <w:tr w14:paraId="2440F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65" w:type="dxa"/>
            <w:gridSpan w:val="2"/>
            <w:vAlign w:val="center"/>
          </w:tcPr>
          <w:p w14:paraId="72B460FC">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单位名称</w:t>
            </w:r>
          </w:p>
        </w:tc>
        <w:tc>
          <w:tcPr>
            <w:tcW w:w="2955" w:type="dxa"/>
            <w:gridSpan w:val="3"/>
            <w:vAlign w:val="center"/>
          </w:tcPr>
          <w:p w14:paraId="0CF9A4E0">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23" w:type="dxa"/>
            <w:gridSpan w:val="2"/>
            <w:vAlign w:val="center"/>
          </w:tcPr>
          <w:p w14:paraId="6036ECA1">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地址</w:t>
            </w:r>
          </w:p>
        </w:tc>
        <w:tc>
          <w:tcPr>
            <w:tcW w:w="2180" w:type="dxa"/>
            <w:vAlign w:val="center"/>
          </w:tcPr>
          <w:p w14:paraId="3620D2BA">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58CBF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65" w:type="dxa"/>
            <w:gridSpan w:val="2"/>
            <w:vAlign w:val="center"/>
          </w:tcPr>
          <w:p w14:paraId="6B0A7D63">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办公电话/传真</w:t>
            </w:r>
          </w:p>
        </w:tc>
        <w:tc>
          <w:tcPr>
            <w:tcW w:w="2955" w:type="dxa"/>
            <w:gridSpan w:val="3"/>
            <w:vAlign w:val="center"/>
          </w:tcPr>
          <w:p w14:paraId="0C792818">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23" w:type="dxa"/>
            <w:gridSpan w:val="2"/>
            <w:vAlign w:val="center"/>
          </w:tcPr>
          <w:p w14:paraId="1F03CE34">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联系人</w:t>
            </w:r>
          </w:p>
        </w:tc>
        <w:tc>
          <w:tcPr>
            <w:tcW w:w="2180" w:type="dxa"/>
            <w:vAlign w:val="center"/>
          </w:tcPr>
          <w:p w14:paraId="700A5E2E">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4076D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2265" w:type="dxa"/>
            <w:gridSpan w:val="2"/>
            <w:vAlign w:val="center"/>
          </w:tcPr>
          <w:p w14:paraId="2464606F">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总经理</w:t>
            </w:r>
          </w:p>
        </w:tc>
        <w:tc>
          <w:tcPr>
            <w:tcW w:w="1703" w:type="dxa"/>
            <w:gridSpan w:val="2"/>
            <w:vAlign w:val="center"/>
          </w:tcPr>
          <w:p w14:paraId="39D43BDF">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3375" w:type="dxa"/>
            <w:gridSpan w:val="3"/>
            <w:vAlign w:val="center"/>
          </w:tcPr>
          <w:p w14:paraId="1E09A0AC">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固定办公面积（平米）</w:t>
            </w:r>
          </w:p>
        </w:tc>
        <w:tc>
          <w:tcPr>
            <w:tcW w:w="2180" w:type="dxa"/>
            <w:vAlign w:val="center"/>
          </w:tcPr>
          <w:p w14:paraId="7265A4F9">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13B4E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restart"/>
            <w:vAlign w:val="center"/>
          </w:tcPr>
          <w:p w14:paraId="293DDB07">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注册情况</w:t>
            </w:r>
          </w:p>
        </w:tc>
        <w:tc>
          <w:tcPr>
            <w:tcW w:w="2716" w:type="dxa"/>
            <w:gridSpan w:val="2"/>
            <w:vAlign w:val="center"/>
          </w:tcPr>
          <w:p w14:paraId="45085B15">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工商注册号</w:t>
            </w:r>
          </w:p>
        </w:tc>
        <w:tc>
          <w:tcPr>
            <w:tcW w:w="6229" w:type="dxa"/>
            <w:gridSpan w:val="5"/>
            <w:vAlign w:val="center"/>
          </w:tcPr>
          <w:p w14:paraId="6C9B0FAA">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22154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1D301F7F">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716" w:type="dxa"/>
            <w:gridSpan w:val="2"/>
            <w:vAlign w:val="center"/>
          </w:tcPr>
          <w:p w14:paraId="5A3506EE">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注册资本（万元）</w:t>
            </w:r>
          </w:p>
        </w:tc>
        <w:tc>
          <w:tcPr>
            <w:tcW w:w="6229" w:type="dxa"/>
            <w:gridSpan w:val="5"/>
            <w:vAlign w:val="center"/>
          </w:tcPr>
          <w:p w14:paraId="3F57B05A">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78100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259EA32D">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716" w:type="dxa"/>
            <w:gridSpan w:val="2"/>
            <w:vAlign w:val="center"/>
          </w:tcPr>
          <w:p w14:paraId="51E6B9D5">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w:t>
            </w:r>
          </w:p>
        </w:tc>
        <w:tc>
          <w:tcPr>
            <w:tcW w:w="1949" w:type="dxa"/>
            <w:gridSpan w:val="3"/>
            <w:vAlign w:val="center"/>
          </w:tcPr>
          <w:p w14:paraId="1B73FAF8">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4B6FC6B9">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单位类型</w:t>
            </w:r>
          </w:p>
        </w:tc>
        <w:tc>
          <w:tcPr>
            <w:tcW w:w="2180" w:type="dxa"/>
            <w:vAlign w:val="center"/>
          </w:tcPr>
          <w:p w14:paraId="1A277DC0">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41EF9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18F8881C">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716" w:type="dxa"/>
            <w:gridSpan w:val="2"/>
            <w:vAlign w:val="center"/>
          </w:tcPr>
          <w:p w14:paraId="118A57FE">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成立时间</w:t>
            </w:r>
          </w:p>
        </w:tc>
        <w:tc>
          <w:tcPr>
            <w:tcW w:w="1949" w:type="dxa"/>
            <w:gridSpan w:val="3"/>
            <w:vAlign w:val="center"/>
          </w:tcPr>
          <w:p w14:paraId="035E5922">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558E271F">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营业期限</w:t>
            </w:r>
          </w:p>
        </w:tc>
        <w:tc>
          <w:tcPr>
            <w:tcW w:w="2180" w:type="dxa"/>
            <w:vAlign w:val="center"/>
          </w:tcPr>
          <w:p w14:paraId="497FABD3">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62538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 w:hRule="atLeast"/>
          <w:jc w:val="center"/>
        </w:trPr>
        <w:tc>
          <w:tcPr>
            <w:tcW w:w="578" w:type="dxa"/>
            <w:vMerge w:val="continue"/>
            <w:textDirection w:val="tbRlV"/>
            <w:vAlign w:val="center"/>
          </w:tcPr>
          <w:p w14:paraId="1F5FD0C7">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c>
          <w:tcPr>
            <w:tcW w:w="2716" w:type="dxa"/>
            <w:gridSpan w:val="2"/>
            <w:vAlign w:val="center"/>
          </w:tcPr>
          <w:p w14:paraId="39D912C6">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经营范围</w:t>
            </w:r>
          </w:p>
        </w:tc>
        <w:tc>
          <w:tcPr>
            <w:tcW w:w="6229" w:type="dxa"/>
            <w:gridSpan w:val="5"/>
            <w:vAlign w:val="center"/>
          </w:tcPr>
          <w:p w14:paraId="57B1FD69">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p>
        </w:tc>
      </w:tr>
      <w:tr w14:paraId="583D5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jc w:val="center"/>
        </w:trPr>
        <w:tc>
          <w:tcPr>
            <w:tcW w:w="3294" w:type="dxa"/>
            <w:gridSpan w:val="3"/>
            <w:vAlign w:val="center"/>
          </w:tcPr>
          <w:p w14:paraId="39DF0856">
            <w:pPr>
              <w:spacing w:line="36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投标人关联企业情况（包括但不限于与投标人法定代表人为同一人或者存在控股、管理关系的不同单位）</w:t>
            </w:r>
          </w:p>
        </w:tc>
        <w:tc>
          <w:tcPr>
            <w:tcW w:w="6229" w:type="dxa"/>
            <w:gridSpan w:val="5"/>
            <w:vAlign w:val="center"/>
          </w:tcPr>
          <w:p w14:paraId="11E50979">
            <w:pPr>
              <w:spacing w:line="360" w:lineRule="auto"/>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1.与我单位法定代表人（负责人）为同一人的其他单位为：</w:t>
            </w:r>
          </w:p>
          <w:p w14:paraId="3C4FB0C5">
            <w:pPr>
              <w:spacing w:line="44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2.与我单位存在直接控股、管理关系的其他单位为：</w:t>
            </w:r>
          </w:p>
        </w:tc>
      </w:tr>
      <w:tr w14:paraId="4B83B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7" w:hRule="atLeast"/>
          <w:jc w:val="center"/>
        </w:trPr>
        <w:tc>
          <w:tcPr>
            <w:tcW w:w="9523" w:type="dxa"/>
            <w:gridSpan w:val="8"/>
            <w:vAlign w:val="center"/>
          </w:tcPr>
          <w:p w14:paraId="43D1324E">
            <w:pPr>
              <w:spacing w:line="440" w:lineRule="exact"/>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投标人情况简介</w:t>
            </w:r>
          </w:p>
        </w:tc>
      </w:tr>
      <w:tr w14:paraId="57E9F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2" w:hRule="atLeast"/>
          <w:jc w:val="center"/>
        </w:trPr>
        <w:tc>
          <w:tcPr>
            <w:tcW w:w="9523" w:type="dxa"/>
            <w:gridSpan w:val="8"/>
          </w:tcPr>
          <w:p w14:paraId="17E8C569">
            <w:pPr>
              <w:spacing w:line="440" w:lineRule="exact"/>
              <w:rPr>
                <w:rFonts w:hint="eastAsia" w:ascii="仿宋" w:hAnsi="仿宋" w:eastAsia="仿宋" w:cs="仿宋"/>
                <w:color w:val="000000" w:themeColor="text1"/>
                <w:sz w:val="28"/>
                <w:szCs w:val="28"/>
                <w:highlight w:val="none"/>
                <w14:textFill>
                  <w14:solidFill>
                    <w14:schemeClr w14:val="tx1"/>
                  </w14:solidFill>
                </w14:textFill>
              </w:rPr>
            </w:pPr>
          </w:p>
        </w:tc>
      </w:tr>
    </w:tbl>
    <w:p w14:paraId="46494F64">
      <w:pPr>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05779323">
      <w:pPr>
        <w:spacing w:line="520" w:lineRule="exact"/>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法定代表人或委托代理人（签字或盖章）：</w:t>
      </w:r>
    </w:p>
    <w:p w14:paraId="57545717">
      <w:pPr>
        <w:wordWrap w:val="0"/>
        <w:snapToGrid w:val="0"/>
        <w:spacing w:line="360" w:lineRule="auto"/>
        <w:jc w:val="left"/>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08A3C977">
      <w:pPr>
        <w:pStyle w:val="27"/>
        <w:spacing w:before="157"/>
        <w:jc w:val="center"/>
        <w:rPr>
          <w:rFonts w:hint="eastAsia" w:ascii="仿宋" w:hAnsi="仿宋" w:eastAsia="仿宋" w:cs="仿宋"/>
          <w:bCs/>
          <w:color w:val="000000" w:themeColor="text1"/>
          <w:kern w:val="2"/>
          <w:sz w:val="44"/>
          <w:szCs w:val="32"/>
          <w:highlight w:val="none"/>
          <w14:textFill>
            <w14:solidFill>
              <w14:schemeClr w14:val="tx1"/>
            </w14:solidFill>
          </w14:textFill>
        </w:rPr>
      </w:pPr>
      <w:bookmarkStart w:id="126" w:name="_Toc523388144"/>
      <w:r>
        <w:rPr>
          <w:rFonts w:hint="eastAsia" w:ascii="仿宋" w:hAnsi="仿宋" w:eastAsia="仿宋" w:cs="仿宋"/>
          <w:bCs/>
          <w:color w:val="000000" w:themeColor="text1"/>
          <w:kern w:val="2"/>
          <w:sz w:val="44"/>
          <w:szCs w:val="32"/>
          <w:highlight w:val="none"/>
          <w14:textFill>
            <w14:solidFill>
              <w14:schemeClr w14:val="tx1"/>
            </w14:solidFill>
          </w14:textFill>
        </w:rPr>
        <w:t>投标人自2023年1月1日至今承揽的类似项目业绩表</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5"/>
        <w:gridCol w:w="2199"/>
        <w:gridCol w:w="2100"/>
        <w:gridCol w:w="1215"/>
        <w:gridCol w:w="1483"/>
        <w:gridCol w:w="1669"/>
      </w:tblGrid>
      <w:tr w14:paraId="00D6A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0E748C49">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序号</w:t>
            </w:r>
          </w:p>
        </w:tc>
        <w:tc>
          <w:tcPr>
            <w:tcW w:w="2199" w:type="dxa"/>
            <w:vAlign w:val="center"/>
          </w:tcPr>
          <w:p w14:paraId="28368CE2">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发包人</w:t>
            </w:r>
          </w:p>
        </w:tc>
        <w:tc>
          <w:tcPr>
            <w:tcW w:w="2100" w:type="dxa"/>
            <w:vAlign w:val="center"/>
          </w:tcPr>
          <w:p w14:paraId="4FC79510">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项目名称</w:t>
            </w:r>
          </w:p>
        </w:tc>
        <w:tc>
          <w:tcPr>
            <w:tcW w:w="1215" w:type="dxa"/>
            <w:vAlign w:val="center"/>
          </w:tcPr>
          <w:p w14:paraId="36AE7449">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合同签订日期</w:t>
            </w:r>
          </w:p>
        </w:tc>
        <w:tc>
          <w:tcPr>
            <w:tcW w:w="1483" w:type="dxa"/>
            <w:vAlign w:val="center"/>
          </w:tcPr>
          <w:p w14:paraId="5DAFD674">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电话/联系人</w:t>
            </w:r>
          </w:p>
        </w:tc>
        <w:tc>
          <w:tcPr>
            <w:tcW w:w="1669" w:type="dxa"/>
            <w:vAlign w:val="center"/>
          </w:tcPr>
          <w:p w14:paraId="3DC31A59">
            <w:pPr>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备注</w:t>
            </w:r>
          </w:p>
        </w:tc>
      </w:tr>
      <w:tr w14:paraId="1703A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4690D2B7">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3CF08D19">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7361DC7C">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0C546A2D">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1D79EDD5">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69A5C1AB">
            <w:pPr>
              <w:rPr>
                <w:rFonts w:hint="eastAsia" w:ascii="仿宋" w:hAnsi="仿宋" w:eastAsia="仿宋" w:cs="仿宋"/>
                <w:color w:val="000000" w:themeColor="text1"/>
                <w:sz w:val="28"/>
                <w:szCs w:val="28"/>
                <w:highlight w:val="none"/>
                <w14:textFill>
                  <w14:solidFill>
                    <w14:schemeClr w14:val="tx1"/>
                  </w14:solidFill>
                </w14:textFill>
              </w:rPr>
            </w:pPr>
          </w:p>
        </w:tc>
      </w:tr>
      <w:tr w14:paraId="0E97D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031BC681">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5B9AF570">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62C6BAD4">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7CFA527E">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2A3BB92A">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503B50CE">
            <w:pPr>
              <w:rPr>
                <w:rFonts w:hint="eastAsia" w:ascii="仿宋" w:hAnsi="仿宋" w:eastAsia="仿宋" w:cs="仿宋"/>
                <w:color w:val="000000" w:themeColor="text1"/>
                <w:sz w:val="28"/>
                <w:szCs w:val="28"/>
                <w:highlight w:val="none"/>
                <w14:textFill>
                  <w14:solidFill>
                    <w14:schemeClr w14:val="tx1"/>
                  </w14:solidFill>
                </w14:textFill>
              </w:rPr>
            </w:pPr>
          </w:p>
        </w:tc>
      </w:tr>
      <w:tr w14:paraId="60A20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717E750F">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1B5DACF3">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73C09A5A">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3EEE51C0">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57C311AF">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718A45BB">
            <w:pPr>
              <w:rPr>
                <w:rFonts w:hint="eastAsia" w:ascii="仿宋" w:hAnsi="仿宋" w:eastAsia="仿宋" w:cs="仿宋"/>
                <w:color w:val="000000" w:themeColor="text1"/>
                <w:sz w:val="28"/>
                <w:szCs w:val="28"/>
                <w:highlight w:val="none"/>
                <w14:textFill>
                  <w14:solidFill>
                    <w14:schemeClr w14:val="tx1"/>
                  </w14:solidFill>
                </w14:textFill>
              </w:rPr>
            </w:pPr>
          </w:p>
        </w:tc>
      </w:tr>
      <w:tr w14:paraId="74093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438CC06A">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09BE6BF1">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693FB053">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4B5C4DB2">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2F1D94EF">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1CE7648D">
            <w:pPr>
              <w:rPr>
                <w:rFonts w:hint="eastAsia" w:ascii="仿宋" w:hAnsi="仿宋" w:eastAsia="仿宋" w:cs="仿宋"/>
                <w:color w:val="000000" w:themeColor="text1"/>
                <w:sz w:val="28"/>
                <w:szCs w:val="28"/>
                <w:highlight w:val="none"/>
                <w14:textFill>
                  <w14:solidFill>
                    <w14:schemeClr w14:val="tx1"/>
                  </w14:solidFill>
                </w14:textFill>
              </w:rPr>
            </w:pPr>
          </w:p>
        </w:tc>
      </w:tr>
      <w:tr w14:paraId="16268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1FF21B1D">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2606E9B3">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72403A69">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250DCBCD">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1D50427A">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2B131558">
            <w:pPr>
              <w:rPr>
                <w:rFonts w:hint="eastAsia" w:ascii="仿宋" w:hAnsi="仿宋" w:eastAsia="仿宋" w:cs="仿宋"/>
                <w:color w:val="000000" w:themeColor="text1"/>
                <w:sz w:val="28"/>
                <w:szCs w:val="28"/>
                <w:highlight w:val="none"/>
                <w14:textFill>
                  <w14:solidFill>
                    <w14:schemeClr w14:val="tx1"/>
                  </w14:solidFill>
                </w14:textFill>
              </w:rPr>
            </w:pPr>
          </w:p>
        </w:tc>
      </w:tr>
      <w:tr w14:paraId="3D0D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602F4A03">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11374DF4">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11B63C98">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173F5A7A">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747ECA31">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3F1FABC4">
            <w:pPr>
              <w:rPr>
                <w:rFonts w:hint="eastAsia" w:ascii="仿宋" w:hAnsi="仿宋" w:eastAsia="仿宋" w:cs="仿宋"/>
                <w:color w:val="000000" w:themeColor="text1"/>
                <w:sz w:val="28"/>
                <w:szCs w:val="28"/>
                <w:highlight w:val="none"/>
                <w14:textFill>
                  <w14:solidFill>
                    <w14:schemeClr w14:val="tx1"/>
                  </w14:solidFill>
                </w14:textFill>
              </w:rPr>
            </w:pPr>
          </w:p>
        </w:tc>
      </w:tr>
      <w:tr w14:paraId="6565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6" w:hRule="atLeast"/>
          <w:jc w:val="center"/>
        </w:trPr>
        <w:tc>
          <w:tcPr>
            <w:tcW w:w="1025" w:type="dxa"/>
            <w:vAlign w:val="center"/>
          </w:tcPr>
          <w:p w14:paraId="458F9D4E">
            <w:pPr>
              <w:rPr>
                <w:rFonts w:hint="eastAsia" w:ascii="仿宋" w:hAnsi="仿宋" w:eastAsia="仿宋" w:cs="仿宋"/>
                <w:color w:val="000000" w:themeColor="text1"/>
                <w:sz w:val="28"/>
                <w:szCs w:val="28"/>
                <w:highlight w:val="none"/>
                <w14:textFill>
                  <w14:solidFill>
                    <w14:schemeClr w14:val="tx1"/>
                  </w14:solidFill>
                </w14:textFill>
              </w:rPr>
            </w:pPr>
          </w:p>
        </w:tc>
        <w:tc>
          <w:tcPr>
            <w:tcW w:w="2199" w:type="dxa"/>
            <w:vAlign w:val="center"/>
          </w:tcPr>
          <w:p w14:paraId="319288FC">
            <w:pPr>
              <w:rPr>
                <w:rFonts w:hint="eastAsia" w:ascii="仿宋" w:hAnsi="仿宋" w:eastAsia="仿宋" w:cs="仿宋"/>
                <w:color w:val="000000" w:themeColor="text1"/>
                <w:sz w:val="28"/>
                <w:szCs w:val="28"/>
                <w:highlight w:val="none"/>
                <w14:textFill>
                  <w14:solidFill>
                    <w14:schemeClr w14:val="tx1"/>
                  </w14:solidFill>
                </w14:textFill>
              </w:rPr>
            </w:pPr>
          </w:p>
        </w:tc>
        <w:tc>
          <w:tcPr>
            <w:tcW w:w="2100" w:type="dxa"/>
            <w:vAlign w:val="center"/>
          </w:tcPr>
          <w:p w14:paraId="5D9E089B">
            <w:pPr>
              <w:rPr>
                <w:rFonts w:hint="eastAsia" w:ascii="仿宋" w:hAnsi="仿宋" w:eastAsia="仿宋" w:cs="仿宋"/>
                <w:color w:val="000000" w:themeColor="text1"/>
                <w:sz w:val="28"/>
                <w:szCs w:val="28"/>
                <w:highlight w:val="none"/>
                <w14:textFill>
                  <w14:solidFill>
                    <w14:schemeClr w14:val="tx1"/>
                  </w14:solidFill>
                </w14:textFill>
              </w:rPr>
            </w:pPr>
          </w:p>
        </w:tc>
        <w:tc>
          <w:tcPr>
            <w:tcW w:w="1215" w:type="dxa"/>
            <w:vAlign w:val="center"/>
          </w:tcPr>
          <w:p w14:paraId="12BD1314">
            <w:pPr>
              <w:rPr>
                <w:rFonts w:hint="eastAsia" w:ascii="仿宋" w:hAnsi="仿宋" w:eastAsia="仿宋" w:cs="仿宋"/>
                <w:color w:val="000000" w:themeColor="text1"/>
                <w:sz w:val="28"/>
                <w:szCs w:val="28"/>
                <w:highlight w:val="none"/>
                <w14:textFill>
                  <w14:solidFill>
                    <w14:schemeClr w14:val="tx1"/>
                  </w14:solidFill>
                </w14:textFill>
              </w:rPr>
            </w:pPr>
          </w:p>
        </w:tc>
        <w:tc>
          <w:tcPr>
            <w:tcW w:w="1483" w:type="dxa"/>
            <w:vAlign w:val="center"/>
          </w:tcPr>
          <w:p w14:paraId="7A91A7E6">
            <w:pPr>
              <w:rPr>
                <w:rFonts w:hint="eastAsia" w:ascii="仿宋" w:hAnsi="仿宋" w:eastAsia="仿宋" w:cs="仿宋"/>
                <w:color w:val="000000" w:themeColor="text1"/>
                <w:sz w:val="28"/>
                <w:szCs w:val="28"/>
                <w:highlight w:val="none"/>
                <w14:textFill>
                  <w14:solidFill>
                    <w14:schemeClr w14:val="tx1"/>
                  </w14:solidFill>
                </w14:textFill>
              </w:rPr>
            </w:pPr>
          </w:p>
        </w:tc>
        <w:tc>
          <w:tcPr>
            <w:tcW w:w="1669" w:type="dxa"/>
            <w:vAlign w:val="center"/>
          </w:tcPr>
          <w:p w14:paraId="40E32741">
            <w:pPr>
              <w:rPr>
                <w:rFonts w:hint="eastAsia" w:ascii="仿宋" w:hAnsi="仿宋" w:eastAsia="仿宋" w:cs="仿宋"/>
                <w:color w:val="000000" w:themeColor="text1"/>
                <w:sz w:val="28"/>
                <w:szCs w:val="28"/>
                <w:highlight w:val="none"/>
                <w14:textFill>
                  <w14:solidFill>
                    <w14:schemeClr w14:val="tx1"/>
                  </w14:solidFill>
                </w14:textFill>
              </w:rPr>
            </w:pPr>
          </w:p>
        </w:tc>
      </w:tr>
    </w:tbl>
    <w:p w14:paraId="0A15C282">
      <w:pPr>
        <w:spacing w:line="500" w:lineRule="exact"/>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注：投标文件中需提供证明材料。</w:t>
      </w:r>
    </w:p>
    <w:p w14:paraId="7FD3AF71">
      <w:pPr>
        <w:spacing w:line="520" w:lineRule="exact"/>
        <w:rPr>
          <w:rFonts w:hint="eastAsia" w:ascii="仿宋" w:hAnsi="仿宋" w:eastAsia="仿宋" w:cs="仿宋"/>
          <w:color w:val="000000" w:themeColor="text1"/>
          <w:sz w:val="24"/>
          <w:highlight w:val="none"/>
          <w14:textFill>
            <w14:solidFill>
              <w14:schemeClr w14:val="tx1"/>
            </w14:solidFill>
          </w14:textFill>
        </w:rPr>
      </w:pPr>
    </w:p>
    <w:p w14:paraId="76FE876C">
      <w:pPr>
        <w:pStyle w:val="2"/>
        <w:rPr>
          <w:rFonts w:hint="eastAsia" w:ascii="仿宋" w:hAnsi="仿宋" w:eastAsia="仿宋" w:cs="仿宋"/>
          <w:color w:val="000000" w:themeColor="text1"/>
          <w:highlight w:val="none"/>
          <w14:textFill>
            <w14:solidFill>
              <w14:schemeClr w14:val="tx1"/>
            </w14:solidFill>
          </w14:textFill>
        </w:rPr>
      </w:pPr>
    </w:p>
    <w:p w14:paraId="1D9E205D">
      <w:pPr>
        <w:spacing w:line="520" w:lineRule="exact"/>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投标人（盖章）：</w:t>
      </w:r>
    </w:p>
    <w:p w14:paraId="564C5970">
      <w:pPr>
        <w:spacing w:line="520" w:lineRule="exact"/>
        <w:rPr>
          <w:rFonts w:hint="eastAsia" w:ascii="仿宋" w:hAnsi="仿宋" w:eastAsia="仿宋" w:cs="仿宋"/>
          <w:color w:val="000000" w:themeColor="text1"/>
          <w:sz w:val="30"/>
          <w:szCs w:val="30"/>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法定代表人或委托代理人（签字或盖章）：</w:t>
      </w:r>
    </w:p>
    <w:p w14:paraId="32CD4A2F">
      <w:pPr>
        <w:widowControl/>
        <w:jc w:val="left"/>
        <w:rPr>
          <w:rFonts w:hint="eastAsia" w:ascii="仿宋" w:hAnsi="仿宋" w:eastAsia="仿宋" w:cs="仿宋"/>
          <w:bCs/>
          <w:color w:val="000000" w:themeColor="text1"/>
          <w:kern w:val="0"/>
          <w:sz w:val="44"/>
          <w:szCs w:val="32"/>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br w:type="page"/>
      </w:r>
    </w:p>
    <w:p w14:paraId="4959CFCF">
      <w:pPr>
        <w:pStyle w:val="27"/>
        <w:jc w:val="center"/>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bCs/>
          <w:color w:val="000000" w:themeColor="text1"/>
          <w:sz w:val="44"/>
          <w:szCs w:val="32"/>
          <w:highlight w:val="none"/>
          <w14:textFill>
            <w14:solidFill>
              <w14:schemeClr w14:val="tx1"/>
            </w14:solidFill>
          </w14:textFill>
        </w:rPr>
        <w:t>技术文件</w:t>
      </w:r>
    </w:p>
    <w:bookmarkEnd w:id="126"/>
    <w:p w14:paraId="15860CDF">
      <w:pPr>
        <w:spacing w:line="520" w:lineRule="exact"/>
        <w:rPr>
          <w:rFonts w:hint="eastAsia" w:ascii="仿宋" w:hAnsi="仿宋" w:eastAsia="仿宋" w:cs="仿宋"/>
          <w:color w:val="000000" w:themeColor="text1"/>
          <w:sz w:val="28"/>
          <w:szCs w:val="28"/>
          <w:highlight w:val="none"/>
          <w14:textFill>
            <w14:solidFill>
              <w14:schemeClr w14:val="tx1"/>
            </w14:solidFill>
          </w14:textFill>
        </w:rPr>
      </w:pPr>
    </w:p>
    <w:p w14:paraId="52A8843A">
      <w:pPr>
        <w:widowControl/>
        <w:jc w:val="left"/>
        <w:rPr>
          <w:rFonts w:hint="eastAsia" w:ascii="仿宋" w:hAnsi="仿宋" w:eastAsia="仿宋" w:cs="仿宋"/>
          <w:bCs/>
          <w:color w:val="000000" w:themeColor="text1"/>
          <w:sz w:val="28"/>
          <w:szCs w:val="28"/>
          <w:highlight w:val="none"/>
          <w14:textFill>
            <w14:solidFill>
              <w14:schemeClr w14:val="tx1"/>
            </w14:solidFill>
          </w14:textFill>
        </w:rPr>
      </w:pPr>
      <w:r>
        <w:rPr>
          <w:rFonts w:hint="eastAsia" w:ascii="仿宋" w:hAnsi="仿宋" w:eastAsia="仿宋" w:cs="仿宋"/>
          <w:bCs/>
          <w:color w:val="000000" w:themeColor="text1"/>
          <w:sz w:val="28"/>
          <w:szCs w:val="28"/>
          <w:highlight w:val="none"/>
          <w14:textFill>
            <w14:solidFill>
              <w14:schemeClr w14:val="tx1"/>
            </w14:solidFill>
          </w14:textFill>
        </w:rPr>
        <w:t>按</w:t>
      </w:r>
      <w:r>
        <w:rPr>
          <w:rFonts w:hint="eastAsia" w:ascii="仿宋" w:hAnsi="仿宋" w:eastAsia="仿宋" w:cs="仿宋"/>
          <w:color w:val="000000" w:themeColor="text1"/>
          <w:sz w:val="28"/>
          <w:szCs w:val="21"/>
          <w:highlight w:val="none"/>
          <w14:textFill>
            <w14:solidFill>
              <w14:schemeClr w14:val="tx1"/>
            </w14:solidFill>
          </w14:textFill>
        </w:rPr>
        <w:t>评标细则进行编制。</w:t>
      </w:r>
    </w:p>
    <w:p w14:paraId="25E58E46">
      <w:pPr>
        <w:pStyle w:val="2"/>
        <w:jc w:val="left"/>
        <w:rPr>
          <w:rFonts w:hint="eastAsia" w:ascii="仿宋" w:hAnsi="仿宋" w:eastAsia="仿宋" w:cs="仿宋"/>
          <w:color w:val="000000" w:themeColor="text1"/>
          <w:highlight w:val="none"/>
          <w14:textFill>
            <w14:solidFill>
              <w14:schemeClr w14:val="tx1"/>
            </w14:solidFill>
          </w14:textFill>
        </w:rPr>
      </w:pPr>
    </w:p>
    <w:p w14:paraId="728FC7CD">
      <w:pPr>
        <w:pStyle w:val="3"/>
        <w:ind w:left="5250"/>
        <w:rPr>
          <w:rFonts w:hint="eastAsia" w:ascii="仿宋" w:hAnsi="仿宋" w:eastAsia="仿宋" w:cs="仿宋"/>
          <w:color w:val="000000" w:themeColor="text1"/>
          <w:highlight w:val="none"/>
          <w14:textFill>
            <w14:solidFill>
              <w14:schemeClr w14:val="tx1"/>
            </w14:solidFill>
          </w14:textFill>
        </w:rPr>
      </w:pPr>
    </w:p>
    <w:p w14:paraId="10F10268">
      <w:pPr>
        <w:rPr>
          <w:rFonts w:hint="eastAsia" w:ascii="仿宋" w:hAnsi="仿宋" w:eastAsia="仿宋" w:cs="仿宋"/>
          <w:color w:val="000000" w:themeColor="text1"/>
          <w:highlight w:val="none"/>
          <w14:textFill>
            <w14:solidFill>
              <w14:schemeClr w14:val="tx1"/>
            </w14:solidFill>
          </w14:textFill>
        </w:rPr>
      </w:pPr>
    </w:p>
    <w:p w14:paraId="08F5F7DF">
      <w:pPr>
        <w:pStyle w:val="2"/>
        <w:rPr>
          <w:rFonts w:hint="eastAsia" w:ascii="仿宋" w:hAnsi="仿宋" w:eastAsia="仿宋" w:cs="仿宋"/>
          <w:color w:val="000000" w:themeColor="text1"/>
          <w:highlight w:val="none"/>
          <w14:textFill>
            <w14:solidFill>
              <w14:schemeClr w14:val="tx1"/>
            </w14:solidFill>
          </w14:textFill>
        </w:rPr>
      </w:pPr>
    </w:p>
    <w:p w14:paraId="5F32E04E">
      <w:pPr>
        <w:pStyle w:val="3"/>
        <w:ind w:left="5250"/>
        <w:rPr>
          <w:rFonts w:hint="eastAsia" w:ascii="仿宋" w:hAnsi="仿宋" w:eastAsia="仿宋" w:cs="仿宋"/>
          <w:color w:val="000000" w:themeColor="text1"/>
          <w:highlight w:val="none"/>
          <w14:textFill>
            <w14:solidFill>
              <w14:schemeClr w14:val="tx1"/>
            </w14:solidFill>
          </w14:textFill>
        </w:rPr>
      </w:pPr>
    </w:p>
    <w:p w14:paraId="3DD3F650">
      <w:pPr>
        <w:rPr>
          <w:rFonts w:hint="eastAsia" w:ascii="仿宋" w:hAnsi="仿宋" w:eastAsia="仿宋" w:cs="仿宋"/>
          <w:color w:val="000000" w:themeColor="text1"/>
          <w:highlight w:val="none"/>
          <w14:textFill>
            <w14:solidFill>
              <w14:schemeClr w14:val="tx1"/>
            </w14:solidFill>
          </w14:textFill>
        </w:rPr>
      </w:pPr>
    </w:p>
    <w:p w14:paraId="079D3D13">
      <w:pPr>
        <w:pStyle w:val="2"/>
        <w:rPr>
          <w:rFonts w:hint="eastAsia" w:ascii="仿宋" w:hAnsi="仿宋" w:eastAsia="仿宋" w:cs="仿宋"/>
          <w:color w:val="000000" w:themeColor="text1"/>
          <w:highlight w:val="none"/>
          <w14:textFill>
            <w14:solidFill>
              <w14:schemeClr w14:val="tx1"/>
            </w14:solidFill>
          </w14:textFill>
        </w:rPr>
      </w:pPr>
    </w:p>
    <w:p w14:paraId="363CA57F">
      <w:pPr>
        <w:pStyle w:val="3"/>
        <w:ind w:left="5250"/>
        <w:rPr>
          <w:rFonts w:hint="eastAsia" w:ascii="仿宋" w:hAnsi="仿宋" w:eastAsia="仿宋" w:cs="仿宋"/>
          <w:color w:val="000000" w:themeColor="text1"/>
          <w:highlight w:val="none"/>
          <w14:textFill>
            <w14:solidFill>
              <w14:schemeClr w14:val="tx1"/>
            </w14:solidFill>
          </w14:textFill>
        </w:rPr>
      </w:pPr>
    </w:p>
    <w:p w14:paraId="4FA5B754">
      <w:pPr>
        <w:rPr>
          <w:rFonts w:hint="eastAsia" w:ascii="仿宋" w:hAnsi="仿宋" w:eastAsia="仿宋" w:cs="仿宋"/>
          <w:color w:val="000000" w:themeColor="text1"/>
          <w:highlight w:val="none"/>
          <w14:textFill>
            <w14:solidFill>
              <w14:schemeClr w14:val="tx1"/>
            </w14:solidFill>
          </w14:textFill>
        </w:rPr>
      </w:pPr>
    </w:p>
    <w:p w14:paraId="2376E237">
      <w:pPr>
        <w:pStyle w:val="2"/>
        <w:rPr>
          <w:rFonts w:hint="eastAsia" w:ascii="仿宋" w:hAnsi="仿宋" w:eastAsia="仿宋" w:cs="仿宋"/>
          <w:color w:val="000000" w:themeColor="text1"/>
          <w:highlight w:val="none"/>
          <w14:textFill>
            <w14:solidFill>
              <w14:schemeClr w14:val="tx1"/>
            </w14:solidFill>
          </w14:textFill>
        </w:rPr>
      </w:pPr>
    </w:p>
    <w:p w14:paraId="22D12383">
      <w:pPr>
        <w:pStyle w:val="3"/>
        <w:ind w:left="5250"/>
        <w:rPr>
          <w:rFonts w:hint="eastAsia" w:ascii="仿宋" w:hAnsi="仿宋" w:eastAsia="仿宋" w:cs="仿宋"/>
          <w:color w:val="000000" w:themeColor="text1"/>
          <w:highlight w:val="none"/>
          <w14:textFill>
            <w14:solidFill>
              <w14:schemeClr w14:val="tx1"/>
            </w14:solidFill>
          </w14:textFill>
        </w:rPr>
      </w:pPr>
    </w:p>
    <w:p w14:paraId="4C4C0FA9">
      <w:pPr>
        <w:rPr>
          <w:rFonts w:hint="eastAsia" w:ascii="仿宋" w:hAnsi="仿宋" w:eastAsia="仿宋" w:cs="仿宋"/>
          <w:color w:val="000000" w:themeColor="text1"/>
          <w:highlight w:val="none"/>
          <w14:textFill>
            <w14:solidFill>
              <w14:schemeClr w14:val="tx1"/>
            </w14:solidFill>
          </w14:textFill>
        </w:rPr>
      </w:pPr>
    </w:p>
    <w:p w14:paraId="1D01B3A4">
      <w:pPr>
        <w:pStyle w:val="2"/>
        <w:rPr>
          <w:rFonts w:hint="eastAsia" w:ascii="仿宋" w:hAnsi="仿宋" w:eastAsia="仿宋" w:cs="仿宋"/>
          <w:color w:val="000000" w:themeColor="text1"/>
          <w:highlight w:val="none"/>
          <w14:textFill>
            <w14:solidFill>
              <w14:schemeClr w14:val="tx1"/>
            </w14:solidFill>
          </w14:textFill>
        </w:rPr>
      </w:pPr>
    </w:p>
    <w:p w14:paraId="65556DF9">
      <w:pPr>
        <w:pStyle w:val="3"/>
        <w:ind w:left="5250"/>
        <w:rPr>
          <w:rFonts w:hint="eastAsia" w:ascii="仿宋" w:hAnsi="仿宋" w:eastAsia="仿宋" w:cs="仿宋"/>
          <w:color w:val="000000" w:themeColor="text1"/>
          <w:highlight w:val="none"/>
          <w14:textFill>
            <w14:solidFill>
              <w14:schemeClr w14:val="tx1"/>
            </w14:solidFill>
          </w14:textFill>
        </w:rPr>
      </w:pPr>
    </w:p>
    <w:p w14:paraId="1968C9AB">
      <w:pPr>
        <w:rPr>
          <w:rFonts w:hint="eastAsia" w:ascii="仿宋" w:hAnsi="仿宋" w:eastAsia="仿宋" w:cs="仿宋"/>
          <w:color w:val="000000" w:themeColor="text1"/>
          <w:highlight w:val="none"/>
          <w14:textFill>
            <w14:solidFill>
              <w14:schemeClr w14:val="tx1"/>
            </w14:solidFill>
          </w14:textFill>
        </w:rPr>
      </w:pPr>
    </w:p>
    <w:p w14:paraId="640D6149">
      <w:pPr>
        <w:pStyle w:val="2"/>
        <w:rPr>
          <w:rFonts w:hint="eastAsia" w:ascii="仿宋" w:hAnsi="仿宋" w:eastAsia="仿宋" w:cs="仿宋"/>
          <w:color w:val="000000" w:themeColor="text1"/>
          <w:highlight w:val="none"/>
          <w14:textFill>
            <w14:solidFill>
              <w14:schemeClr w14:val="tx1"/>
            </w14:solidFill>
          </w14:textFill>
        </w:rPr>
      </w:pPr>
    </w:p>
    <w:p w14:paraId="705A2840">
      <w:pPr>
        <w:pStyle w:val="3"/>
        <w:ind w:left="5250"/>
        <w:rPr>
          <w:rFonts w:hint="eastAsia" w:ascii="仿宋" w:hAnsi="仿宋" w:eastAsia="仿宋" w:cs="仿宋"/>
          <w:color w:val="000000" w:themeColor="text1"/>
          <w:highlight w:val="none"/>
          <w14:textFill>
            <w14:solidFill>
              <w14:schemeClr w14:val="tx1"/>
            </w14:solidFill>
          </w14:textFill>
        </w:rPr>
      </w:pPr>
    </w:p>
    <w:p w14:paraId="4DC70D52">
      <w:pPr>
        <w:rPr>
          <w:rFonts w:hint="eastAsia" w:ascii="仿宋" w:hAnsi="仿宋" w:eastAsia="仿宋" w:cs="仿宋"/>
          <w:color w:val="000000" w:themeColor="text1"/>
          <w:highlight w:val="none"/>
          <w14:textFill>
            <w14:solidFill>
              <w14:schemeClr w14:val="tx1"/>
            </w14:solidFill>
          </w14:textFill>
        </w:rPr>
      </w:pPr>
    </w:p>
    <w:p w14:paraId="6856D62F">
      <w:pPr>
        <w:pStyle w:val="2"/>
        <w:rPr>
          <w:rFonts w:hint="eastAsia" w:ascii="仿宋" w:hAnsi="仿宋" w:eastAsia="仿宋" w:cs="仿宋"/>
          <w:color w:val="000000" w:themeColor="text1"/>
          <w:highlight w:val="none"/>
          <w14:textFill>
            <w14:solidFill>
              <w14:schemeClr w14:val="tx1"/>
            </w14:solidFill>
          </w14:textFill>
        </w:rPr>
      </w:pPr>
    </w:p>
    <w:p w14:paraId="6663A948">
      <w:pPr>
        <w:pStyle w:val="3"/>
        <w:ind w:left="5250"/>
        <w:rPr>
          <w:rFonts w:hint="eastAsia" w:ascii="仿宋" w:hAnsi="仿宋" w:eastAsia="仿宋" w:cs="仿宋"/>
          <w:color w:val="000000" w:themeColor="text1"/>
          <w:highlight w:val="none"/>
          <w14:textFill>
            <w14:solidFill>
              <w14:schemeClr w14:val="tx1"/>
            </w14:solidFill>
          </w14:textFill>
        </w:rPr>
      </w:pPr>
    </w:p>
    <w:p w14:paraId="186211B1">
      <w:pPr>
        <w:rPr>
          <w:rFonts w:hint="eastAsia" w:ascii="仿宋" w:hAnsi="仿宋" w:eastAsia="仿宋" w:cs="仿宋"/>
          <w:color w:val="000000" w:themeColor="text1"/>
          <w:highlight w:val="none"/>
          <w14:textFill>
            <w14:solidFill>
              <w14:schemeClr w14:val="tx1"/>
            </w14:solidFill>
          </w14:textFill>
        </w:rPr>
      </w:pPr>
    </w:p>
    <w:p w14:paraId="054D6150">
      <w:pPr>
        <w:pStyle w:val="2"/>
        <w:rPr>
          <w:rFonts w:hint="eastAsia" w:ascii="仿宋" w:hAnsi="仿宋" w:eastAsia="仿宋" w:cs="仿宋"/>
          <w:color w:val="000000" w:themeColor="text1"/>
          <w:highlight w:val="none"/>
          <w14:textFill>
            <w14:solidFill>
              <w14:schemeClr w14:val="tx1"/>
            </w14:solidFill>
          </w14:textFill>
        </w:rPr>
      </w:pPr>
    </w:p>
    <w:p w14:paraId="049ADB69">
      <w:pPr>
        <w:pStyle w:val="3"/>
        <w:ind w:left="5250"/>
        <w:rPr>
          <w:rFonts w:hint="eastAsia" w:ascii="仿宋" w:hAnsi="仿宋" w:eastAsia="仿宋" w:cs="仿宋"/>
          <w:color w:val="000000" w:themeColor="text1"/>
          <w:highlight w:val="none"/>
          <w14:textFill>
            <w14:solidFill>
              <w14:schemeClr w14:val="tx1"/>
            </w14:solidFill>
          </w14:textFill>
        </w:rPr>
      </w:pPr>
    </w:p>
    <w:p w14:paraId="43DFF81A">
      <w:pPr>
        <w:rPr>
          <w:rFonts w:hint="eastAsia" w:ascii="仿宋" w:hAnsi="仿宋" w:eastAsia="仿宋" w:cs="仿宋"/>
          <w:color w:val="000000" w:themeColor="text1"/>
          <w:highlight w:val="none"/>
          <w14:textFill>
            <w14:solidFill>
              <w14:schemeClr w14:val="tx1"/>
            </w14:solidFill>
          </w14:textFill>
        </w:rPr>
      </w:pPr>
    </w:p>
    <w:p w14:paraId="023DD6B0">
      <w:pPr>
        <w:widowControl/>
        <w:jc w:val="left"/>
        <w:rPr>
          <w:rFonts w:hint="eastAsia" w:ascii="仿宋" w:hAnsi="仿宋" w:eastAsia="仿宋" w:cs="仿宋"/>
          <w:b/>
          <w:bCs/>
          <w:color w:val="000000" w:themeColor="text1"/>
          <w:kern w:val="44"/>
          <w:sz w:val="44"/>
          <w:szCs w:val="44"/>
          <w:highlight w:val="none"/>
          <w14:textFill>
            <w14:solidFill>
              <w14:schemeClr w14:val="tx1"/>
            </w14:solidFill>
          </w14:textFill>
        </w:rPr>
      </w:pPr>
      <w:bookmarkStart w:id="127" w:name="_Toc66864056"/>
      <w:r>
        <w:rPr>
          <w:rFonts w:hint="eastAsia" w:ascii="仿宋" w:hAnsi="仿宋" w:eastAsia="仿宋" w:cs="仿宋"/>
          <w:color w:val="000000" w:themeColor="text1"/>
          <w:highlight w:val="none"/>
          <w14:textFill>
            <w14:solidFill>
              <w14:schemeClr w14:val="tx1"/>
            </w14:solidFill>
          </w14:textFill>
        </w:rPr>
        <w:br w:type="page"/>
      </w:r>
    </w:p>
    <w:p w14:paraId="1961DE3B">
      <w:pPr>
        <w:pStyle w:val="4"/>
        <w:jc w:val="center"/>
        <w:rPr>
          <w:rFonts w:hint="eastAsia" w:ascii="仿宋" w:hAnsi="仿宋" w:eastAsia="仿宋" w:cs="仿宋"/>
          <w:color w:val="000000" w:themeColor="text1"/>
          <w:highlight w:val="none"/>
          <w14:textFill>
            <w14:solidFill>
              <w14:schemeClr w14:val="tx1"/>
            </w14:solidFill>
          </w14:textFill>
        </w:rPr>
      </w:pPr>
      <w:bookmarkStart w:id="128" w:name="_Toc23258"/>
      <w:r>
        <w:rPr>
          <w:rFonts w:hint="eastAsia" w:ascii="仿宋" w:hAnsi="仿宋" w:eastAsia="仿宋" w:cs="仿宋"/>
          <w:color w:val="000000" w:themeColor="text1"/>
          <w:highlight w:val="none"/>
          <w14:textFill>
            <w14:solidFill>
              <w14:schemeClr w14:val="tx1"/>
            </w14:solidFill>
          </w14:textFill>
        </w:rPr>
        <w:t>第六章  合同（范本）</w:t>
      </w:r>
      <w:bookmarkEnd w:id="127"/>
      <w:bookmarkEnd w:id="128"/>
    </w:p>
    <w:p w14:paraId="608B3E6D">
      <w:pPr>
        <w:spacing w:before="62" w:after="62" w:line="520" w:lineRule="exact"/>
        <w:ind w:left="105" w:firstLine="56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r>
        <w:rPr>
          <w:rFonts w:hint="eastAsia" w:ascii="仿宋" w:hAnsi="仿宋" w:eastAsia="仿宋" w:cs="仿宋"/>
          <w:color w:val="000000" w:themeColor="text1"/>
          <w:sz w:val="28"/>
          <w:szCs w:val="28"/>
          <w:highlight w:val="none"/>
          <w14:textFill>
            <w14:solidFill>
              <w14:schemeClr w14:val="tx1"/>
            </w14:solidFill>
          </w14:textFill>
        </w:rPr>
        <w:t>WHWLJT-2026-038</w:t>
      </w:r>
    </w:p>
    <w:p w14:paraId="58E6B630">
      <w:pPr>
        <w:rPr>
          <w:rFonts w:hint="eastAsia" w:ascii="仿宋" w:hAnsi="仿宋" w:eastAsia="仿宋" w:cs="仿宋"/>
          <w:color w:val="000000" w:themeColor="text1"/>
          <w:sz w:val="44"/>
          <w:szCs w:val="44"/>
          <w:highlight w:val="none"/>
          <w14:textFill>
            <w14:solidFill>
              <w14:schemeClr w14:val="tx1"/>
            </w14:solidFill>
          </w14:textFill>
        </w:rPr>
      </w:pPr>
    </w:p>
    <w:p w14:paraId="25E82588">
      <w:pPr>
        <w:jc w:val="center"/>
        <w:rPr>
          <w:rFonts w:hint="eastAsia" w:ascii="仿宋" w:hAnsi="仿宋" w:eastAsia="仿宋" w:cs="仿宋"/>
          <w:color w:val="000000" w:themeColor="text1"/>
          <w:sz w:val="44"/>
          <w:szCs w:val="44"/>
          <w:highlight w:val="none"/>
          <w14:textFill>
            <w14:solidFill>
              <w14:schemeClr w14:val="tx1"/>
            </w14:solidFill>
          </w14:textFill>
        </w:rPr>
      </w:pPr>
      <w:r>
        <w:rPr>
          <w:rFonts w:hint="eastAsia" w:ascii="仿宋" w:hAnsi="仿宋" w:eastAsia="仿宋" w:cs="仿宋"/>
          <w:color w:val="000000" w:themeColor="text1"/>
          <w:sz w:val="44"/>
          <w:szCs w:val="44"/>
          <w:highlight w:val="none"/>
          <w14:textFill>
            <w14:solidFill>
              <w14:schemeClr w14:val="tx1"/>
            </w14:solidFill>
          </w14:textFill>
        </w:rPr>
        <w:t>采购专有云资源服务项目合同书</w:t>
      </w:r>
    </w:p>
    <w:p w14:paraId="55F4A0EE">
      <w:pPr>
        <w:spacing w:line="52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甲方：威海文旅发展集团有限公司</w:t>
      </w:r>
    </w:p>
    <w:p w14:paraId="24CEB217">
      <w:pPr>
        <w:spacing w:line="520" w:lineRule="exac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乙方：</w:t>
      </w:r>
    </w:p>
    <w:p w14:paraId="2892D7DA">
      <w:pPr>
        <w:spacing w:before="62" w:after="62" w:line="520" w:lineRule="exact"/>
        <w:ind w:left="105" w:firstLine="56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本合同于  年  月  日由甲、乙双方共同签订。本合同各方必须遵守《中华人民共和国民法典》,并各自履行应负的全部责任。</w:t>
      </w:r>
    </w:p>
    <w:p w14:paraId="246F8237">
      <w:pPr>
        <w:spacing w:line="520" w:lineRule="exact"/>
        <w:ind w:firstLine="562" w:firstLineChars="200"/>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一、标的</w:t>
      </w:r>
    </w:p>
    <w:p w14:paraId="64E33E69">
      <w:pPr>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本合同标的为乙方为甲方提供专有云资源服务1项，含将现运行的业务系统全部迁移到标的物容器中，且确保</w:t>
      </w:r>
      <w:r>
        <w:rPr>
          <w:rFonts w:hint="eastAsia" w:ascii="仿宋" w:hAnsi="仿宋" w:eastAsia="仿宋" w:cs="仿宋"/>
          <w:color w:val="000000" w:themeColor="text1"/>
          <w:kern w:val="0"/>
          <w:sz w:val="28"/>
          <w:szCs w:val="28"/>
          <w:highlight w:val="none"/>
          <w14:textFill>
            <w14:solidFill>
              <w14:schemeClr w14:val="tx1"/>
            </w14:solidFill>
          </w14:textFill>
        </w:rPr>
        <w:t>迁移期间工作不能中断、历史数据不能丢失，迁移后业务系统可以正常持续运行。</w:t>
      </w:r>
      <w:r>
        <w:rPr>
          <w:rFonts w:hint="eastAsia" w:ascii="仿宋" w:hAnsi="仿宋" w:eastAsia="仿宋" w:cs="仿宋"/>
          <w:color w:val="000000" w:themeColor="text1"/>
          <w:sz w:val="28"/>
          <w:szCs w:val="28"/>
          <w:highlight w:val="none"/>
          <w14:textFill>
            <w14:solidFill>
              <w14:schemeClr w14:val="tx1"/>
            </w14:solidFill>
          </w14:textFill>
        </w:rPr>
        <w:t>具体详见《报价明细表》（附后）。</w:t>
      </w:r>
    </w:p>
    <w:p w14:paraId="7CDE3874">
      <w:pPr>
        <w:spacing w:before="62" w:after="62" w:line="520" w:lineRule="exact"/>
        <w:ind w:left="105" w:firstLine="602"/>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二、价款：</w:t>
      </w:r>
    </w:p>
    <w:p w14:paraId="7428B312">
      <w:pPr>
        <w:tabs>
          <w:tab w:val="left" w:pos="900"/>
        </w:tabs>
        <w:spacing w:before="62" w:after="62"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本合同总价款为人民币        整（￥      元），服务的分项报价详见《报价明细表》（附后）。</w:t>
      </w:r>
    </w:p>
    <w:p w14:paraId="586AC055">
      <w:pPr>
        <w:spacing w:before="62" w:after="62" w:line="520" w:lineRule="exact"/>
        <w:ind w:left="105" w:firstLine="602"/>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三、服务期：</w:t>
      </w:r>
    </w:p>
    <w:p w14:paraId="12617465">
      <w:pPr>
        <w:tabs>
          <w:tab w:val="left" w:pos="1080"/>
          <w:tab w:val="left" w:pos="1260"/>
        </w:tabs>
        <w:spacing w:before="62" w:after="62" w:line="520" w:lineRule="exact"/>
        <w:ind w:firstLine="700" w:firstLineChars="25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自验收合格之日起1年。</w:t>
      </w:r>
    </w:p>
    <w:p w14:paraId="3FBAEF4E">
      <w:pPr>
        <w:spacing w:line="520" w:lineRule="exact"/>
        <w:ind w:firstLine="562" w:firstLineChars="200"/>
        <w:jc w:val="left"/>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四、双方联系方式</w:t>
      </w:r>
    </w:p>
    <w:p w14:paraId="017B480D">
      <w:pPr>
        <w:spacing w:line="520" w:lineRule="exact"/>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甲方：联系人：房永涛</w:t>
      </w:r>
    </w:p>
    <w:p w14:paraId="7187BD7D">
      <w:pPr>
        <w:spacing w:line="520" w:lineRule="exact"/>
        <w:ind w:firstLine="1400" w:firstLineChars="5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联系电话：13754643308</w:t>
      </w:r>
    </w:p>
    <w:p w14:paraId="7F7D4909">
      <w:pPr>
        <w:spacing w:line="520" w:lineRule="exact"/>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乙方：联系人：</w:t>
      </w:r>
    </w:p>
    <w:p w14:paraId="0467E7EB">
      <w:pPr>
        <w:spacing w:line="520" w:lineRule="exact"/>
        <w:ind w:firstLine="560" w:firstLineChars="200"/>
        <w:jc w:val="left"/>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      联系电话：</w:t>
      </w:r>
    </w:p>
    <w:p w14:paraId="2138C969">
      <w:pPr>
        <w:spacing w:before="62" w:after="62" w:line="520" w:lineRule="exact"/>
        <w:ind w:left="105" w:firstLine="602"/>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五、交付时间</w:t>
      </w:r>
    </w:p>
    <w:p w14:paraId="1A938CF9">
      <w:pPr>
        <w:tabs>
          <w:tab w:val="left" w:pos="1080"/>
          <w:tab w:val="left" w:pos="1260"/>
        </w:tabs>
        <w:spacing w:before="62" w:after="62" w:line="520" w:lineRule="exact"/>
        <w:ind w:firstLine="700" w:firstLineChars="25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自合同签订之日起</w:t>
      </w:r>
      <w:r>
        <w:rPr>
          <w:rFonts w:hint="eastAsia" w:ascii="仿宋" w:hAnsi="仿宋" w:eastAsia="仿宋" w:cs="仿宋"/>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8"/>
          <w:szCs w:val="28"/>
          <w:highlight w:val="none"/>
          <w14:textFill>
            <w14:solidFill>
              <w14:schemeClr w14:val="tx1"/>
            </w14:solidFill>
          </w14:textFill>
        </w:rPr>
        <w:t>日内交付。</w:t>
      </w:r>
    </w:p>
    <w:p w14:paraId="2993FF68">
      <w:pPr>
        <w:spacing w:before="62" w:after="62" w:line="520" w:lineRule="exact"/>
        <w:ind w:firstLine="562" w:firstLineChars="200"/>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六、验收：</w:t>
      </w:r>
    </w:p>
    <w:p w14:paraId="2DB9EF2E">
      <w:pPr>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合同标的具备交付条件后由乙方向甲方提出验收申请，甲方应在7个工作日对标的内容进行验收并出具标明“验收合格”的《验收报告》，如有特殊情况无法按照规定时间验收的，甲方需以书面形式通知乙方推迟验收，但最迟不能超过一个月。甲方无正当理由不验收或不在规定时间内验收的，由此给乙方造成损失的由甲方承担。</w:t>
      </w:r>
    </w:p>
    <w:p w14:paraId="51198C9B">
      <w:pPr>
        <w:spacing w:before="62" w:after="62" w:line="520" w:lineRule="exact"/>
        <w:ind w:left="105" w:firstLine="602"/>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七、付款：</w:t>
      </w:r>
    </w:p>
    <w:p w14:paraId="5C33E86E">
      <w:pPr>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1、本合同以人民币付款。</w:t>
      </w:r>
    </w:p>
    <w:p w14:paraId="4E68A0CC">
      <w:pPr>
        <w:tabs>
          <w:tab w:val="left" w:pos="1040"/>
        </w:tabs>
        <w:spacing w:before="62" w:after="62"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 xml:space="preserve">2、付款方式： </w:t>
      </w:r>
    </w:p>
    <w:p w14:paraId="1EED8DF9">
      <w:pPr>
        <w:tabs>
          <w:tab w:val="left" w:pos="1040"/>
        </w:tabs>
        <w:spacing w:before="62" w:after="62"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专有云资源服务交付完毕，由甲方组织验收并出具标明“验收合格”的《验收报告》后，甲方10个工作日内将专有云资源服务费全额支付给乙方。乙方需在甲方付款前提供增值税发票。</w:t>
      </w:r>
    </w:p>
    <w:p w14:paraId="1A6C5776">
      <w:pPr>
        <w:tabs>
          <w:tab w:val="left" w:pos="1040"/>
        </w:tabs>
        <w:spacing w:before="62" w:after="62" w:line="520" w:lineRule="exact"/>
        <w:ind w:left="50"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3、付款按以下资信办理</w:t>
      </w:r>
    </w:p>
    <w:p w14:paraId="496400B7">
      <w:pPr>
        <w:tabs>
          <w:tab w:val="left" w:pos="1040"/>
        </w:tabs>
        <w:spacing w:before="62" w:after="62" w:line="520" w:lineRule="exact"/>
        <w:ind w:left="50"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收 款 人：</w:t>
      </w:r>
    </w:p>
    <w:p w14:paraId="1C7C44D3">
      <w:pPr>
        <w:tabs>
          <w:tab w:val="left" w:pos="1040"/>
        </w:tabs>
        <w:spacing w:before="62" w:after="62" w:line="520" w:lineRule="exact"/>
        <w:ind w:left="50"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开户银行：</w:t>
      </w:r>
    </w:p>
    <w:p w14:paraId="66690C0C">
      <w:pPr>
        <w:tabs>
          <w:tab w:val="left" w:pos="1040"/>
        </w:tabs>
        <w:spacing w:before="62" w:after="62" w:line="520" w:lineRule="exact"/>
        <w:ind w:left="50"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银行账号：</w:t>
      </w:r>
    </w:p>
    <w:p w14:paraId="67000771">
      <w:pPr>
        <w:tabs>
          <w:tab w:val="left" w:pos="1040"/>
        </w:tabs>
        <w:spacing w:before="62" w:after="62" w:line="520" w:lineRule="exact"/>
        <w:ind w:left="50"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 系 人：</w:t>
      </w:r>
    </w:p>
    <w:p w14:paraId="072A6726">
      <w:pPr>
        <w:tabs>
          <w:tab w:val="left" w:pos="1040"/>
        </w:tabs>
        <w:spacing w:before="62" w:after="62" w:line="520" w:lineRule="exact"/>
        <w:ind w:left="50"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联系电话：</w:t>
      </w:r>
    </w:p>
    <w:p w14:paraId="00C3E244">
      <w:pPr>
        <w:spacing w:before="62" w:after="62" w:line="520" w:lineRule="exact"/>
        <w:ind w:left="105" w:firstLine="602"/>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八、服务保障：</w:t>
      </w:r>
    </w:p>
    <w:p w14:paraId="75CC0CC9">
      <w:pPr>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1.乙方应确保业务系统安全迁移、历史数据完整。</w:t>
      </w:r>
    </w:p>
    <w:p w14:paraId="3013832B">
      <w:pPr>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2.乙方应确保提供的专有云资源服务符合国家相关法律法规及行业标准，保障服务的安全、稳定、可靠。</w:t>
      </w:r>
    </w:p>
    <w:p w14:paraId="779BC948">
      <w:pPr>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3.乙方应提供7x24小时的技术支持服务，及时解决甲方在使用专有云资源服务过程中遇到的问题。</w:t>
      </w:r>
    </w:p>
    <w:p w14:paraId="2E85C5FE">
      <w:pPr>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4.乙方应定期对专有云资源服务进行维护、升级，以提高服务质量和用户体验。</w:t>
      </w:r>
    </w:p>
    <w:p w14:paraId="5D097E68">
      <w:pPr>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5.甲方有权根据业务需求，在合同有效期内对租赁的专有云资源服务进行配置调整，乙方需积极响应并全力配合甲方完成相关调整工作。</w:t>
      </w:r>
    </w:p>
    <w:p w14:paraId="50435384">
      <w:pPr>
        <w:spacing w:before="62" w:after="62" w:line="520" w:lineRule="exact"/>
        <w:ind w:left="105" w:firstLine="602"/>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九、数据安全与隐私保护：</w:t>
      </w:r>
    </w:p>
    <w:p w14:paraId="41E7D2D5">
      <w:pPr>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 甲方在使用专有云资源服务过程中产生的所有数据，包括但不限于用户信息、业务数据等，均归甲方所有。</w:t>
      </w:r>
    </w:p>
    <w:p w14:paraId="75901416">
      <w:pPr>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 乙方应采取合理、必要的措施，保护甲方数据的安全与隐私，防止数据泄露、丢失或被非法使用。</w:t>
      </w:r>
    </w:p>
    <w:p w14:paraId="335F809C">
      <w:pPr>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 未经甲方书面同意，乙方不得将甲方数据用于本合同以外的任何目的。</w:t>
      </w:r>
    </w:p>
    <w:p w14:paraId="71D5BACF">
      <w:pPr>
        <w:spacing w:before="62" w:after="62" w:line="520" w:lineRule="exact"/>
        <w:ind w:left="105" w:firstLine="602"/>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十、违约责任</w:t>
      </w:r>
    </w:p>
    <w:p w14:paraId="2F6C84BF">
      <w:pPr>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 如乙方未能按照本合同约定提供服务，甲方有权要求乙方采取补救措施或减免相应费用；若因此给甲方造成损失的，乙方应承担赔偿责任。</w:t>
      </w:r>
    </w:p>
    <w:p w14:paraId="712D5C70">
      <w:pPr>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 如甲方未按时支付服务费用，乙方有权暂停或终止服务。</w:t>
      </w:r>
    </w:p>
    <w:p w14:paraId="744038B5">
      <w:pPr>
        <w:spacing w:line="520" w:lineRule="exact"/>
        <w:ind w:firstLine="546" w:firstLineChars="195"/>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3.若乙方未能在合同规定的时限内完成交付并取得验收报告，甲方有权单方面终止合同。</w:t>
      </w:r>
    </w:p>
    <w:p w14:paraId="5ECC7A0D">
      <w:pPr>
        <w:spacing w:before="62" w:after="62" w:line="520" w:lineRule="exact"/>
        <w:ind w:left="105" w:firstLine="602"/>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十一、争议解决</w:t>
      </w:r>
    </w:p>
    <w:p w14:paraId="65734021">
      <w:pPr>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双方因执行本合同发生的任何争议，应首先通过友好协商解决；协商不成时，任何一方均可向甲方所在地人民法院提起诉讼。</w:t>
      </w:r>
    </w:p>
    <w:p w14:paraId="1170120D">
      <w:pPr>
        <w:spacing w:before="62" w:after="62" w:line="520" w:lineRule="exact"/>
        <w:ind w:left="105" w:firstLine="602"/>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十二、其他</w:t>
      </w:r>
    </w:p>
    <w:p w14:paraId="13712AF5">
      <w:pPr>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1. 本合同未尽事宜，双方可另行签订补充协议，补充协议与本合同具有同等法律效力。</w:t>
      </w:r>
    </w:p>
    <w:p w14:paraId="7789AF40">
      <w:pPr>
        <w:spacing w:line="520" w:lineRule="exact"/>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2. 本合同一式肆份，经双方法定代表人或授权代表人签字并盖章后生效，甲乙双方各执贰份，具有同等法律效力。</w:t>
      </w:r>
    </w:p>
    <w:p w14:paraId="78151791">
      <w:pPr>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p>
    <w:p w14:paraId="5C36167A">
      <w:pPr>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p>
    <w:tbl>
      <w:tblPr>
        <w:tblStyle w:val="52"/>
        <w:tblW w:w="0" w:type="auto"/>
        <w:tblInd w:w="0" w:type="dxa"/>
        <w:tblLayout w:type="autofit"/>
        <w:tblCellMar>
          <w:top w:w="0" w:type="dxa"/>
          <w:left w:w="108" w:type="dxa"/>
          <w:bottom w:w="0" w:type="dxa"/>
          <w:right w:w="108" w:type="dxa"/>
        </w:tblCellMar>
      </w:tblPr>
      <w:tblGrid>
        <w:gridCol w:w="4261"/>
        <w:gridCol w:w="4261"/>
      </w:tblGrid>
      <w:tr w14:paraId="016F5C83">
        <w:tblPrEx>
          <w:tblCellMar>
            <w:top w:w="0" w:type="dxa"/>
            <w:left w:w="108" w:type="dxa"/>
            <w:bottom w:w="0" w:type="dxa"/>
            <w:right w:w="108" w:type="dxa"/>
          </w:tblCellMar>
        </w:tblPrEx>
        <w:trPr>
          <w:trHeight w:val="1025" w:hRule="atLeast"/>
        </w:trPr>
        <w:tc>
          <w:tcPr>
            <w:tcW w:w="4261" w:type="dxa"/>
          </w:tcPr>
          <w:p w14:paraId="22092974">
            <w:pPr>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甲方（盖章）：</w:t>
            </w:r>
          </w:p>
        </w:tc>
        <w:tc>
          <w:tcPr>
            <w:tcW w:w="4261" w:type="dxa"/>
          </w:tcPr>
          <w:p w14:paraId="54880687">
            <w:pPr>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乙方（盖章）：</w:t>
            </w:r>
          </w:p>
        </w:tc>
      </w:tr>
      <w:tr w14:paraId="69D34ADC">
        <w:tblPrEx>
          <w:tblCellMar>
            <w:top w:w="0" w:type="dxa"/>
            <w:left w:w="108" w:type="dxa"/>
            <w:bottom w:w="0" w:type="dxa"/>
            <w:right w:w="108" w:type="dxa"/>
          </w:tblCellMar>
        </w:tblPrEx>
        <w:trPr>
          <w:trHeight w:val="696" w:hRule="atLeast"/>
        </w:trPr>
        <w:tc>
          <w:tcPr>
            <w:tcW w:w="4261" w:type="dxa"/>
          </w:tcPr>
          <w:p w14:paraId="283CBD8C">
            <w:pPr>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法定代表人（签字或盖章）：</w:t>
            </w:r>
          </w:p>
        </w:tc>
        <w:tc>
          <w:tcPr>
            <w:tcW w:w="4261" w:type="dxa"/>
          </w:tcPr>
          <w:p w14:paraId="3D4060ED">
            <w:pPr>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法定代表人（签字或盖章）：</w:t>
            </w:r>
          </w:p>
        </w:tc>
      </w:tr>
      <w:tr w14:paraId="7E49C751">
        <w:tblPrEx>
          <w:tblCellMar>
            <w:top w:w="0" w:type="dxa"/>
            <w:left w:w="108" w:type="dxa"/>
            <w:bottom w:w="0" w:type="dxa"/>
            <w:right w:w="108" w:type="dxa"/>
          </w:tblCellMar>
        </w:tblPrEx>
        <w:trPr>
          <w:trHeight w:val="550" w:hRule="atLeast"/>
        </w:trPr>
        <w:tc>
          <w:tcPr>
            <w:tcW w:w="4261" w:type="dxa"/>
          </w:tcPr>
          <w:p w14:paraId="69EBCB83">
            <w:pPr>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日期：    年   月   日</w:t>
            </w:r>
          </w:p>
        </w:tc>
        <w:tc>
          <w:tcPr>
            <w:tcW w:w="4261" w:type="dxa"/>
          </w:tcPr>
          <w:p w14:paraId="15EB4885">
            <w:pPr>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日期：    年   月   日</w:t>
            </w:r>
          </w:p>
        </w:tc>
      </w:tr>
    </w:tbl>
    <w:p w14:paraId="6F7066AF">
      <w:pPr>
        <w:ind w:firstLine="560" w:firstLineChars="200"/>
        <w:rPr>
          <w:rFonts w:hint="eastAsia" w:ascii="仿宋" w:hAnsi="仿宋" w:eastAsia="仿宋" w:cs="仿宋"/>
          <w:color w:val="000000" w:themeColor="text1"/>
          <w:sz w:val="28"/>
          <w:szCs w:val="28"/>
          <w:highlight w:val="none"/>
          <w14:textFill>
            <w14:solidFill>
              <w14:schemeClr w14:val="tx1"/>
            </w14:solidFill>
          </w14:textFill>
        </w:rPr>
      </w:pPr>
    </w:p>
    <w:p w14:paraId="462035F2">
      <w:pPr>
        <w:rPr>
          <w:rFonts w:hint="eastAsia" w:ascii="仿宋" w:hAnsi="仿宋" w:eastAsia="仿宋" w:cs="仿宋"/>
          <w:color w:val="000000" w:themeColor="text1"/>
          <w:sz w:val="28"/>
          <w:szCs w:val="28"/>
          <w:highlight w:val="none"/>
          <w14:textFill>
            <w14:solidFill>
              <w14:schemeClr w14:val="tx1"/>
            </w14:solidFill>
          </w14:textFill>
        </w:rPr>
      </w:pPr>
    </w:p>
    <w:p w14:paraId="4354E3F5">
      <w:pPr>
        <w:pStyle w:val="2"/>
        <w:rPr>
          <w:rFonts w:hint="eastAsia" w:ascii="仿宋" w:hAnsi="仿宋" w:eastAsia="仿宋" w:cs="仿宋"/>
          <w:color w:val="000000" w:themeColor="text1"/>
          <w:kern w:val="44"/>
          <w:sz w:val="44"/>
          <w:szCs w:val="44"/>
          <w:highlight w:val="none"/>
          <w14:textFill>
            <w14:solidFill>
              <w14:schemeClr w14:val="tx1"/>
            </w14:solidFill>
          </w14:textFill>
        </w:rPr>
      </w:pPr>
    </w:p>
    <w:sectPr>
      <w:pgSz w:w="11906" w:h="16838"/>
      <w:pgMar w:top="1440" w:right="1800" w:bottom="1118" w:left="16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0000000000000000000"/>
    <w:charset w:val="86"/>
    <w:family w:val="auto"/>
    <w:pitch w:val="default"/>
    <w:sig w:usb0="00000000" w:usb1="00000000" w:usb2="00000010" w:usb3="00000000" w:csb0="00040000" w:csb1="00000000"/>
  </w:font>
  <w:font w:name="方正小标宋简体">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
    <w:altName w:val="微软雅黑"/>
    <w:panose1 w:val="00000000000000000000"/>
    <w:charset w:val="00"/>
    <w:family w:val="auto"/>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74896697"/>
      <w:docPartObj>
        <w:docPartGallery w:val="autotext"/>
      </w:docPartObj>
    </w:sdtPr>
    <w:sdtContent>
      <w:p w14:paraId="5195E941">
        <w:pPr>
          <w:pStyle w:val="31"/>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399F0686">
    <w:pPr>
      <w:pStyle w:val="31"/>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8477469"/>
      <w:docPartObj>
        <w:docPartGallery w:val="autotext"/>
      </w:docPartObj>
    </w:sdtPr>
    <w:sdtEndPr>
      <w:rPr>
        <w:rFonts w:ascii="仿宋" w:hAnsi="仿宋" w:eastAsia="仿宋"/>
      </w:rPr>
    </w:sdtEndPr>
    <w:sdtContent>
      <w:p w14:paraId="75DA5C67">
        <w:pPr>
          <w:pStyle w:val="31"/>
          <w:rPr>
            <w:rFonts w:hint="eastAsia" w:ascii="仿宋" w:hAnsi="仿宋" w:eastAsia="仿宋"/>
          </w:rPr>
        </w:pPr>
        <w:r>
          <w:rPr>
            <w:rFonts w:hint="eastAsia" w:ascii="仿宋" w:hAnsi="仿宋" w:eastAsia="仿宋"/>
          </w:rPr>
          <w:t xml:space="preserve">威海市天垣工程咨询管理有限公司                           </w:t>
        </w:r>
        <w:r>
          <w:rPr>
            <w:rFonts w:ascii="仿宋" w:hAnsi="仿宋" w:eastAsia="仿宋"/>
          </w:rPr>
          <w:fldChar w:fldCharType="begin"/>
        </w:r>
        <w:r>
          <w:rPr>
            <w:rFonts w:ascii="仿宋" w:hAnsi="仿宋" w:eastAsia="仿宋"/>
          </w:rPr>
          <w:instrText xml:space="preserve">PAGE   \* MERGEFORMAT</w:instrText>
        </w:r>
        <w:r>
          <w:rPr>
            <w:rFonts w:ascii="仿宋" w:hAnsi="仿宋" w:eastAsia="仿宋"/>
          </w:rPr>
          <w:fldChar w:fldCharType="separate"/>
        </w:r>
        <w:r>
          <w:rPr>
            <w:rFonts w:ascii="仿宋" w:hAnsi="仿宋" w:eastAsia="仿宋"/>
            <w:lang w:val="zh-CN"/>
          </w:rPr>
          <w:t>2</w:t>
        </w:r>
        <w:r>
          <w:rPr>
            <w:rFonts w:ascii="仿宋" w:hAnsi="仿宋" w:eastAsia="仿宋"/>
          </w:rPr>
          <w:fldChar w:fldCharType="end"/>
        </w:r>
        <w:r>
          <w:rPr>
            <w:rFonts w:hint="eastAsia" w:ascii="仿宋" w:hAnsi="仿宋" w:eastAsia="仿宋"/>
          </w:rPr>
          <w:t xml:space="preserve">                                0631-5819542</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AA96B">
    <w:pPr>
      <w:pStyle w:val="32"/>
      <w:jc w:val="right"/>
      <w:rPr>
        <w:rFonts w:hint="eastAsia" w:ascii="仿宋" w:hAnsi="仿宋" w:eastAsia="仿宋"/>
      </w:rPr>
    </w:pPr>
    <w:r>
      <w:rPr>
        <w:rFonts w:hint="eastAsia" w:ascii="仿宋" w:hAnsi="仿宋" w:eastAsia="仿宋"/>
      </w:rPr>
      <w:t>采购专有云资源服务项目招标文件</w:t>
    </w:r>
  </w:p>
  <w:p w14:paraId="4372356D">
    <w:pPr>
      <w:spacing w:after="120" w:afterLines="50" w:line="360" w:lineRule="auto"/>
      <w:jc w:val="right"/>
      <w:rPr>
        <w:rFonts w:hint="eastAsia" w:ascii="仿宋" w:hAnsi="仿宋" w:eastAsia="仿宋"/>
        <w:color w:val="808080"/>
        <w:sz w:val="13"/>
        <w:szCs w:val="13"/>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09497D"/>
    <w:multiLevelType w:val="multilevel"/>
    <w:tmpl w:val="7F09497D"/>
    <w:lvl w:ilvl="0" w:tentative="0">
      <w:start w:val="1"/>
      <w:numFmt w:val="japaneseCounting"/>
      <w:lvlText w:val="第%1章"/>
      <w:lvlJc w:val="left"/>
      <w:pPr>
        <w:ind w:left="1440" w:hanging="1440"/>
      </w:pPr>
      <w:rPr>
        <w:rFonts w:hint="eastAsia" w:ascii="宋体" w:hAnsi="宋体" w:eastAsia="宋体"/>
        <w:b/>
        <w:sz w:val="40"/>
      </w:rPr>
    </w:lvl>
    <w:lvl w:ilvl="1" w:tentative="0">
      <w:start w:val="1"/>
      <w:numFmt w:val="lowerLetter"/>
      <w:pStyle w:val="381"/>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HorizontalSpacing w:val="105"/>
  <w:drawingGridVerticalSpacing w:val="157"/>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M3MzQ0NmMxOTc5ZmJkZGI4MjdkM2NjNmQxMjVlN2EifQ=="/>
  </w:docVars>
  <w:rsids>
    <w:rsidRoot w:val="00EF492A"/>
    <w:rsid w:val="000002BA"/>
    <w:rsid w:val="00000511"/>
    <w:rsid w:val="00000A67"/>
    <w:rsid w:val="00000EA7"/>
    <w:rsid w:val="00000F14"/>
    <w:rsid w:val="00000FFE"/>
    <w:rsid w:val="000024A8"/>
    <w:rsid w:val="00002CCB"/>
    <w:rsid w:val="00003E1B"/>
    <w:rsid w:val="00004586"/>
    <w:rsid w:val="000045DD"/>
    <w:rsid w:val="00004EFA"/>
    <w:rsid w:val="000057DC"/>
    <w:rsid w:val="00007AE7"/>
    <w:rsid w:val="00011721"/>
    <w:rsid w:val="00011FBC"/>
    <w:rsid w:val="000120E9"/>
    <w:rsid w:val="000125FB"/>
    <w:rsid w:val="00013E74"/>
    <w:rsid w:val="00014002"/>
    <w:rsid w:val="000148AA"/>
    <w:rsid w:val="00014AEE"/>
    <w:rsid w:val="00015902"/>
    <w:rsid w:val="00017364"/>
    <w:rsid w:val="000173EA"/>
    <w:rsid w:val="00017CF8"/>
    <w:rsid w:val="00017FF5"/>
    <w:rsid w:val="0002027C"/>
    <w:rsid w:val="00020400"/>
    <w:rsid w:val="00020431"/>
    <w:rsid w:val="000246D1"/>
    <w:rsid w:val="00025156"/>
    <w:rsid w:val="0002548D"/>
    <w:rsid w:val="0002561A"/>
    <w:rsid w:val="00025CC5"/>
    <w:rsid w:val="000275B4"/>
    <w:rsid w:val="00030ABD"/>
    <w:rsid w:val="00031A87"/>
    <w:rsid w:val="00031B64"/>
    <w:rsid w:val="0003236B"/>
    <w:rsid w:val="000339F8"/>
    <w:rsid w:val="00033BEE"/>
    <w:rsid w:val="00033E52"/>
    <w:rsid w:val="0003461A"/>
    <w:rsid w:val="000349B0"/>
    <w:rsid w:val="00034D75"/>
    <w:rsid w:val="0003586F"/>
    <w:rsid w:val="0003766E"/>
    <w:rsid w:val="00037B0C"/>
    <w:rsid w:val="00040A2E"/>
    <w:rsid w:val="00041068"/>
    <w:rsid w:val="0004135A"/>
    <w:rsid w:val="00041C8B"/>
    <w:rsid w:val="00041D07"/>
    <w:rsid w:val="000425A1"/>
    <w:rsid w:val="0004293F"/>
    <w:rsid w:val="00043604"/>
    <w:rsid w:val="000443D7"/>
    <w:rsid w:val="0004489D"/>
    <w:rsid w:val="00044B1F"/>
    <w:rsid w:val="00047A8A"/>
    <w:rsid w:val="00047BB8"/>
    <w:rsid w:val="00051160"/>
    <w:rsid w:val="00051A58"/>
    <w:rsid w:val="00052415"/>
    <w:rsid w:val="0005297E"/>
    <w:rsid w:val="00052B78"/>
    <w:rsid w:val="00052EDC"/>
    <w:rsid w:val="0005326C"/>
    <w:rsid w:val="000534D4"/>
    <w:rsid w:val="00053F87"/>
    <w:rsid w:val="00054096"/>
    <w:rsid w:val="00054EA7"/>
    <w:rsid w:val="00055403"/>
    <w:rsid w:val="00055FF6"/>
    <w:rsid w:val="00057149"/>
    <w:rsid w:val="00057F7E"/>
    <w:rsid w:val="00060F97"/>
    <w:rsid w:val="000619F0"/>
    <w:rsid w:val="00061DE2"/>
    <w:rsid w:val="000628BE"/>
    <w:rsid w:val="00062EDE"/>
    <w:rsid w:val="00063748"/>
    <w:rsid w:val="00063CBD"/>
    <w:rsid w:val="00063E26"/>
    <w:rsid w:val="00063FC4"/>
    <w:rsid w:val="0006491A"/>
    <w:rsid w:val="00064E76"/>
    <w:rsid w:val="000654CC"/>
    <w:rsid w:val="00066330"/>
    <w:rsid w:val="00066985"/>
    <w:rsid w:val="00067ABA"/>
    <w:rsid w:val="00070BE8"/>
    <w:rsid w:val="000710EA"/>
    <w:rsid w:val="000720DE"/>
    <w:rsid w:val="00072257"/>
    <w:rsid w:val="000725B5"/>
    <w:rsid w:val="000746EB"/>
    <w:rsid w:val="00076FA2"/>
    <w:rsid w:val="00077B7B"/>
    <w:rsid w:val="00077C67"/>
    <w:rsid w:val="00080F28"/>
    <w:rsid w:val="000814DD"/>
    <w:rsid w:val="00082049"/>
    <w:rsid w:val="00082809"/>
    <w:rsid w:val="0008297B"/>
    <w:rsid w:val="000829F0"/>
    <w:rsid w:val="000829F9"/>
    <w:rsid w:val="00083426"/>
    <w:rsid w:val="00083941"/>
    <w:rsid w:val="00083C8B"/>
    <w:rsid w:val="000855E1"/>
    <w:rsid w:val="000856F6"/>
    <w:rsid w:val="00085D55"/>
    <w:rsid w:val="00086EDB"/>
    <w:rsid w:val="0008723D"/>
    <w:rsid w:val="000873E7"/>
    <w:rsid w:val="000874B5"/>
    <w:rsid w:val="000879CE"/>
    <w:rsid w:val="000913EC"/>
    <w:rsid w:val="00091B3B"/>
    <w:rsid w:val="00091CF0"/>
    <w:rsid w:val="00092563"/>
    <w:rsid w:val="00092907"/>
    <w:rsid w:val="00092DBB"/>
    <w:rsid w:val="00092E1F"/>
    <w:rsid w:val="000936A7"/>
    <w:rsid w:val="000955B7"/>
    <w:rsid w:val="00097285"/>
    <w:rsid w:val="000977A1"/>
    <w:rsid w:val="00097A08"/>
    <w:rsid w:val="00097CDA"/>
    <w:rsid w:val="00097D73"/>
    <w:rsid w:val="000A1BD5"/>
    <w:rsid w:val="000A3011"/>
    <w:rsid w:val="000A4D68"/>
    <w:rsid w:val="000A5000"/>
    <w:rsid w:val="000A518E"/>
    <w:rsid w:val="000A725A"/>
    <w:rsid w:val="000B214F"/>
    <w:rsid w:val="000B3598"/>
    <w:rsid w:val="000B393B"/>
    <w:rsid w:val="000B3A93"/>
    <w:rsid w:val="000B429A"/>
    <w:rsid w:val="000B4AA1"/>
    <w:rsid w:val="000B4C3B"/>
    <w:rsid w:val="000B573A"/>
    <w:rsid w:val="000B5886"/>
    <w:rsid w:val="000B592D"/>
    <w:rsid w:val="000B6543"/>
    <w:rsid w:val="000B6A10"/>
    <w:rsid w:val="000B6E05"/>
    <w:rsid w:val="000B6E37"/>
    <w:rsid w:val="000B7FC8"/>
    <w:rsid w:val="000C1A81"/>
    <w:rsid w:val="000C276A"/>
    <w:rsid w:val="000C2AE8"/>
    <w:rsid w:val="000C3246"/>
    <w:rsid w:val="000C515B"/>
    <w:rsid w:val="000C6C82"/>
    <w:rsid w:val="000C7C52"/>
    <w:rsid w:val="000C7EF0"/>
    <w:rsid w:val="000D0CE7"/>
    <w:rsid w:val="000D1CDD"/>
    <w:rsid w:val="000D3539"/>
    <w:rsid w:val="000D3DDE"/>
    <w:rsid w:val="000D4679"/>
    <w:rsid w:val="000D4E44"/>
    <w:rsid w:val="000D4F15"/>
    <w:rsid w:val="000D4F16"/>
    <w:rsid w:val="000D6186"/>
    <w:rsid w:val="000D640F"/>
    <w:rsid w:val="000D72BD"/>
    <w:rsid w:val="000D7751"/>
    <w:rsid w:val="000D7884"/>
    <w:rsid w:val="000E170A"/>
    <w:rsid w:val="000E1C5A"/>
    <w:rsid w:val="000E22D9"/>
    <w:rsid w:val="000E2442"/>
    <w:rsid w:val="000E2B93"/>
    <w:rsid w:val="000E3111"/>
    <w:rsid w:val="000E3603"/>
    <w:rsid w:val="000E369B"/>
    <w:rsid w:val="000E370D"/>
    <w:rsid w:val="000E41C3"/>
    <w:rsid w:val="000E4B64"/>
    <w:rsid w:val="000E59BA"/>
    <w:rsid w:val="000E61B8"/>
    <w:rsid w:val="000E6470"/>
    <w:rsid w:val="000E6BC6"/>
    <w:rsid w:val="000E72B6"/>
    <w:rsid w:val="000E7911"/>
    <w:rsid w:val="000E7CFD"/>
    <w:rsid w:val="000F067A"/>
    <w:rsid w:val="000F0C0F"/>
    <w:rsid w:val="000F1A9B"/>
    <w:rsid w:val="000F1DA3"/>
    <w:rsid w:val="000F1FEB"/>
    <w:rsid w:val="000F2C01"/>
    <w:rsid w:val="000F2D7D"/>
    <w:rsid w:val="000F37F9"/>
    <w:rsid w:val="000F3F17"/>
    <w:rsid w:val="000F54F7"/>
    <w:rsid w:val="000F5834"/>
    <w:rsid w:val="000F7231"/>
    <w:rsid w:val="000F7810"/>
    <w:rsid w:val="001001A2"/>
    <w:rsid w:val="001018A2"/>
    <w:rsid w:val="00102107"/>
    <w:rsid w:val="00102396"/>
    <w:rsid w:val="00102DCB"/>
    <w:rsid w:val="001054EF"/>
    <w:rsid w:val="001055B5"/>
    <w:rsid w:val="00106D70"/>
    <w:rsid w:val="00107FB0"/>
    <w:rsid w:val="001108A2"/>
    <w:rsid w:val="00111B0F"/>
    <w:rsid w:val="00111D50"/>
    <w:rsid w:val="00112845"/>
    <w:rsid w:val="0011307A"/>
    <w:rsid w:val="001133BC"/>
    <w:rsid w:val="00113822"/>
    <w:rsid w:val="00113F3A"/>
    <w:rsid w:val="00115310"/>
    <w:rsid w:val="001162AE"/>
    <w:rsid w:val="00116724"/>
    <w:rsid w:val="00116A7C"/>
    <w:rsid w:val="0011707A"/>
    <w:rsid w:val="00117D72"/>
    <w:rsid w:val="00122204"/>
    <w:rsid w:val="0012253B"/>
    <w:rsid w:val="0012273C"/>
    <w:rsid w:val="00122955"/>
    <w:rsid w:val="00123622"/>
    <w:rsid w:val="00123C5D"/>
    <w:rsid w:val="001257F5"/>
    <w:rsid w:val="00125BE1"/>
    <w:rsid w:val="00126E4D"/>
    <w:rsid w:val="00130BAD"/>
    <w:rsid w:val="00131D4D"/>
    <w:rsid w:val="0013262A"/>
    <w:rsid w:val="00133549"/>
    <w:rsid w:val="0013466A"/>
    <w:rsid w:val="001348FC"/>
    <w:rsid w:val="00134D38"/>
    <w:rsid w:val="001350AC"/>
    <w:rsid w:val="00135C1B"/>
    <w:rsid w:val="0013671B"/>
    <w:rsid w:val="00136FF4"/>
    <w:rsid w:val="00140387"/>
    <w:rsid w:val="001405CC"/>
    <w:rsid w:val="001412E5"/>
    <w:rsid w:val="0014202C"/>
    <w:rsid w:val="00142B56"/>
    <w:rsid w:val="00142C9C"/>
    <w:rsid w:val="00142D2E"/>
    <w:rsid w:val="001430F7"/>
    <w:rsid w:val="00143636"/>
    <w:rsid w:val="00143CC1"/>
    <w:rsid w:val="0014431E"/>
    <w:rsid w:val="00144538"/>
    <w:rsid w:val="001448BF"/>
    <w:rsid w:val="0014507C"/>
    <w:rsid w:val="001469D6"/>
    <w:rsid w:val="0014707A"/>
    <w:rsid w:val="001476D0"/>
    <w:rsid w:val="00152B94"/>
    <w:rsid w:val="00153012"/>
    <w:rsid w:val="001533FD"/>
    <w:rsid w:val="00153AD0"/>
    <w:rsid w:val="001543C8"/>
    <w:rsid w:val="001544BD"/>
    <w:rsid w:val="0015635C"/>
    <w:rsid w:val="00156454"/>
    <w:rsid w:val="00156E92"/>
    <w:rsid w:val="001572F4"/>
    <w:rsid w:val="001579BB"/>
    <w:rsid w:val="00160A63"/>
    <w:rsid w:val="00161C29"/>
    <w:rsid w:val="00162617"/>
    <w:rsid w:val="00164CCE"/>
    <w:rsid w:val="00164D65"/>
    <w:rsid w:val="00165518"/>
    <w:rsid w:val="00165A19"/>
    <w:rsid w:val="00165D19"/>
    <w:rsid w:val="00165D93"/>
    <w:rsid w:val="00165DB6"/>
    <w:rsid w:val="00165E55"/>
    <w:rsid w:val="0016646B"/>
    <w:rsid w:val="00167218"/>
    <w:rsid w:val="001673AA"/>
    <w:rsid w:val="00167451"/>
    <w:rsid w:val="00167572"/>
    <w:rsid w:val="00167C04"/>
    <w:rsid w:val="00170114"/>
    <w:rsid w:val="00170655"/>
    <w:rsid w:val="0017066C"/>
    <w:rsid w:val="00170FEA"/>
    <w:rsid w:val="001717F7"/>
    <w:rsid w:val="001726B5"/>
    <w:rsid w:val="0017290B"/>
    <w:rsid w:val="00173101"/>
    <w:rsid w:val="00175374"/>
    <w:rsid w:val="00176705"/>
    <w:rsid w:val="0017766C"/>
    <w:rsid w:val="00177729"/>
    <w:rsid w:val="00177ED7"/>
    <w:rsid w:val="00180335"/>
    <w:rsid w:val="00180B3C"/>
    <w:rsid w:val="001815D6"/>
    <w:rsid w:val="00181603"/>
    <w:rsid w:val="00181C6E"/>
    <w:rsid w:val="00181F7B"/>
    <w:rsid w:val="001821D8"/>
    <w:rsid w:val="001829CB"/>
    <w:rsid w:val="00182B98"/>
    <w:rsid w:val="001831C4"/>
    <w:rsid w:val="0018351A"/>
    <w:rsid w:val="00183DAE"/>
    <w:rsid w:val="00185DD4"/>
    <w:rsid w:val="00185DF8"/>
    <w:rsid w:val="00187107"/>
    <w:rsid w:val="0018784D"/>
    <w:rsid w:val="001878D7"/>
    <w:rsid w:val="0019057E"/>
    <w:rsid w:val="001918E7"/>
    <w:rsid w:val="00192EE2"/>
    <w:rsid w:val="001947BA"/>
    <w:rsid w:val="00194AA1"/>
    <w:rsid w:val="00194ACE"/>
    <w:rsid w:val="00195220"/>
    <w:rsid w:val="001957FD"/>
    <w:rsid w:val="00195C7F"/>
    <w:rsid w:val="001961DC"/>
    <w:rsid w:val="00196BCC"/>
    <w:rsid w:val="001A0F3A"/>
    <w:rsid w:val="001A1A9F"/>
    <w:rsid w:val="001A287C"/>
    <w:rsid w:val="001A2FA8"/>
    <w:rsid w:val="001A3483"/>
    <w:rsid w:val="001A37C0"/>
    <w:rsid w:val="001A3ADC"/>
    <w:rsid w:val="001A410F"/>
    <w:rsid w:val="001A4B60"/>
    <w:rsid w:val="001A5326"/>
    <w:rsid w:val="001A57A4"/>
    <w:rsid w:val="001A58A2"/>
    <w:rsid w:val="001A5A07"/>
    <w:rsid w:val="001A653E"/>
    <w:rsid w:val="001A6E98"/>
    <w:rsid w:val="001A7323"/>
    <w:rsid w:val="001A7635"/>
    <w:rsid w:val="001A7A81"/>
    <w:rsid w:val="001B023C"/>
    <w:rsid w:val="001B05A9"/>
    <w:rsid w:val="001B10A7"/>
    <w:rsid w:val="001B149E"/>
    <w:rsid w:val="001B2422"/>
    <w:rsid w:val="001B243F"/>
    <w:rsid w:val="001B2F0E"/>
    <w:rsid w:val="001B4660"/>
    <w:rsid w:val="001B54CC"/>
    <w:rsid w:val="001B6774"/>
    <w:rsid w:val="001B6A6D"/>
    <w:rsid w:val="001B7348"/>
    <w:rsid w:val="001B7CCC"/>
    <w:rsid w:val="001C05F8"/>
    <w:rsid w:val="001C09E7"/>
    <w:rsid w:val="001C146F"/>
    <w:rsid w:val="001C1717"/>
    <w:rsid w:val="001C1975"/>
    <w:rsid w:val="001C1BA2"/>
    <w:rsid w:val="001C1BDF"/>
    <w:rsid w:val="001C2080"/>
    <w:rsid w:val="001C2E0C"/>
    <w:rsid w:val="001C2ED5"/>
    <w:rsid w:val="001C3A6C"/>
    <w:rsid w:val="001C504D"/>
    <w:rsid w:val="001C52CF"/>
    <w:rsid w:val="001C5BFB"/>
    <w:rsid w:val="001C6553"/>
    <w:rsid w:val="001C7425"/>
    <w:rsid w:val="001C7CFC"/>
    <w:rsid w:val="001D064C"/>
    <w:rsid w:val="001D194D"/>
    <w:rsid w:val="001D1ED7"/>
    <w:rsid w:val="001D208C"/>
    <w:rsid w:val="001D21AF"/>
    <w:rsid w:val="001D2E34"/>
    <w:rsid w:val="001D317E"/>
    <w:rsid w:val="001D38D0"/>
    <w:rsid w:val="001D3EFE"/>
    <w:rsid w:val="001D435B"/>
    <w:rsid w:val="001D4FA6"/>
    <w:rsid w:val="001D4FD9"/>
    <w:rsid w:val="001D501D"/>
    <w:rsid w:val="001D50D4"/>
    <w:rsid w:val="001D6505"/>
    <w:rsid w:val="001D65EA"/>
    <w:rsid w:val="001D66CB"/>
    <w:rsid w:val="001D6A7B"/>
    <w:rsid w:val="001D7A6C"/>
    <w:rsid w:val="001D7ED2"/>
    <w:rsid w:val="001E0DAE"/>
    <w:rsid w:val="001E101D"/>
    <w:rsid w:val="001E1AD3"/>
    <w:rsid w:val="001E24A5"/>
    <w:rsid w:val="001E363C"/>
    <w:rsid w:val="001E3DE8"/>
    <w:rsid w:val="001E4485"/>
    <w:rsid w:val="001E50AD"/>
    <w:rsid w:val="001E5813"/>
    <w:rsid w:val="001E5DF5"/>
    <w:rsid w:val="001E75E7"/>
    <w:rsid w:val="001F01DC"/>
    <w:rsid w:val="001F09EE"/>
    <w:rsid w:val="001F108F"/>
    <w:rsid w:val="001F1B82"/>
    <w:rsid w:val="001F229F"/>
    <w:rsid w:val="001F2F91"/>
    <w:rsid w:val="001F367A"/>
    <w:rsid w:val="001F39CA"/>
    <w:rsid w:val="001F3BC0"/>
    <w:rsid w:val="001F3DA9"/>
    <w:rsid w:val="001F4914"/>
    <w:rsid w:val="001F52D4"/>
    <w:rsid w:val="001F59AC"/>
    <w:rsid w:val="001F5BE4"/>
    <w:rsid w:val="001F5EE8"/>
    <w:rsid w:val="001F666C"/>
    <w:rsid w:val="001F68A8"/>
    <w:rsid w:val="001F7861"/>
    <w:rsid w:val="002009DB"/>
    <w:rsid w:val="00201DFF"/>
    <w:rsid w:val="002021C4"/>
    <w:rsid w:val="002027BC"/>
    <w:rsid w:val="002027CC"/>
    <w:rsid w:val="002047FE"/>
    <w:rsid w:val="002066D4"/>
    <w:rsid w:val="00206EC9"/>
    <w:rsid w:val="00207281"/>
    <w:rsid w:val="002106CD"/>
    <w:rsid w:val="00210A96"/>
    <w:rsid w:val="00210BBF"/>
    <w:rsid w:val="00211036"/>
    <w:rsid w:val="002118EC"/>
    <w:rsid w:val="002129BA"/>
    <w:rsid w:val="0021329F"/>
    <w:rsid w:val="00215D55"/>
    <w:rsid w:val="00216454"/>
    <w:rsid w:val="0021736B"/>
    <w:rsid w:val="002175DB"/>
    <w:rsid w:val="002178E5"/>
    <w:rsid w:val="00220817"/>
    <w:rsid w:val="002220A1"/>
    <w:rsid w:val="002236B2"/>
    <w:rsid w:val="002261EE"/>
    <w:rsid w:val="00226EFD"/>
    <w:rsid w:val="0022726A"/>
    <w:rsid w:val="00230413"/>
    <w:rsid w:val="0023063B"/>
    <w:rsid w:val="00230BED"/>
    <w:rsid w:val="00230EE5"/>
    <w:rsid w:val="00231D7F"/>
    <w:rsid w:val="00231E1E"/>
    <w:rsid w:val="00232009"/>
    <w:rsid w:val="00233216"/>
    <w:rsid w:val="00233AD1"/>
    <w:rsid w:val="00233B7B"/>
    <w:rsid w:val="00234F11"/>
    <w:rsid w:val="00235C93"/>
    <w:rsid w:val="0023645E"/>
    <w:rsid w:val="00237012"/>
    <w:rsid w:val="00237CB8"/>
    <w:rsid w:val="0024027C"/>
    <w:rsid w:val="0024054B"/>
    <w:rsid w:val="00240CE1"/>
    <w:rsid w:val="00241927"/>
    <w:rsid w:val="002425CC"/>
    <w:rsid w:val="0024297F"/>
    <w:rsid w:val="00242983"/>
    <w:rsid w:val="00242C31"/>
    <w:rsid w:val="00243B4C"/>
    <w:rsid w:val="00245522"/>
    <w:rsid w:val="00245F8D"/>
    <w:rsid w:val="00246825"/>
    <w:rsid w:val="002473AF"/>
    <w:rsid w:val="002473D0"/>
    <w:rsid w:val="002473E5"/>
    <w:rsid w:val="002475C4"/>
    <w:rsid w:val="00247C0C"/>
    <w:rsid w:val="002501EB"/>
    <w:rsid w:val="0025069B"/>
    <w:rsid w:val="00250BEA"/>
    <w:rsid w:val="00251662"/>
    <w:rsid w:val="002518E8"/>
    <w:rsid w:val="00253838"/>
    <w:rsid w:val="00253E3F"/>
    <w:rsid w:val="0025400E"/>
    <w:rsid w:val="002552FA"/>
    <w:rsid w:val="0025558D"/>
    <w:rsid w:val="00255590"/>
    <w:rsid w:val="002568E4"/>
    <w:rsid w:val="0025695E"/>
    <w:rsid w:val="002573BC"/>
    <w:rsid w:val="00257954"/>
    <w:rsid w:val="00257B0A"/>
    <w:rsid w:val="00257EBD"/>
    <w:rsid w:val="00260816"/>
    <w:rsid w:val="00260FA9"/>
    <w:rsid w:val="00261356"/>
    <w:rsid w:val="00261890"/>
    <w:rsid w:val="002621D5"/>
    <w:rsid w:val="0026237B"/>
    <w:rsid w:val="002624C1"/>
    <w:rsid w:val="00262596"/>
    <w:rsid w:val="002631EB"/>
    <w:rsid w:val="00265548"/>
    <w:rsid w:val="00265778"/>
    <w:rsid w:val="00265783"/>
    <w:rsid w:val="00265EF3"/>
    <w:rsid w:val="00266AF5"/>
    <w:rsid w:val="00266FFF"/>
    <w:rsid w:val="00267405"/>
    <w:rsid w:val="002677B9"/>
    <w:rsid w:val="00270A53"/>
    <w:rsid w:val="00270C1A"/>
    <w:rsid w:val="00271ECB"/>
    <w:rsid w:val="00272A77"/>
    <w:rsid w:val="00273183"/>
    <w:rsid w:val="0027345D"/>
    <w:rsid w:val="00273E63"/>
    <w:rsid w:val="00274280"/>
    <w:rsid w:val="00274E7A"/>
    <w:rsid w:val="00275962"/>
    <w:rsid w:val="00275C31"/>
    <w:rsid w:val="002762CB"/>
    <w:rsid w:val="00276558"/>
    <w:rsid w:val="0028108E"/>
    <w:rsid w:val="002811E8"/>
    <w:rsid w:val="002817E2"/>
    <w:rsid w:val="00282590"/>
    <w:rsid w:val="00282A44"/>
    <w:rsid w:val="00282D30"/>
    <w:rsid w:val="00285329"/>
    <w:rsid w:val="002863B4"/>
    <w:rsid w:val="0028709A"/>
    <w:rsid w:val="0028796B"/>
    <w:rsid w:val="00287AF7"/>
    <w:rsid w:val="00287E07"/>
    <w:rsid w:val="00290034"/>
    <w:rsid w:val="0029181A"/>
    <w:rsid w:val="00291DB5"/>
    <w:rsid w:val="00292B72"/>
    <w:rsid w:val="00292F2B"/>
    <w:rsid w:val="00293984"/>
    <w:rsid w:val="00294E04"/>
    <w:rsid w:val="0029535C"/>
    <w:rsid w:val="00295CA4"/>
    <w:rsid w:val="00295F64"/>
    <w:rsid w:val="00297079"/>
    <w:rsid w:val="002972E7"/>
    <w:rsid w:val="00297998"/>
    <w:rsid w:val="002A1BFD"/>
    <w:rsid w:val="002A2834"/>
    <w:rsid w:val="002A2ABA"/>
    <w:rsid w:val="002A3EBB"/>
    <w:rsid w:val="002A4727"/>
    <w:rsid w:val="002A4B3E"/>
    <w:rsid w:val="002A4D75"/>
    <w:rsid w:val="002A665E"/>
    <w:rsid w:val="002A6EB0"/>
    <w:rsid w:val="002B0298"/>
    <w:rsid w:val="002B17D2"/>
    <w:rsid w:val="002B1E68"/>
    <w:rsid w:val="002B4186"/>
    <w:rsid w:val="002B608A"/>
    <w:rsid w:val="002B6227"/>
    <w:rsid w:val="002B63E9"/>
    <w:rsid w:val="002B6547"/>
    <w:rsid w:val="002B6B25"/>
    <w:rsid w:val="002B6CDC"/>
    <w:rsid w:val="002B7202"/>
    <w:rsid w:val="002B7320"/>
    <w:rsid w:val="002B7366"/>
    <w:rsid w:val="002C098E"/>
    <w:rsid w:val="002C12BB"/>
    <w:rsid w:val="002C20FD"/>
    <w:rsid w:val="002C2796"/>
    <w:rsid w:val="002C5F5A"/>
    <w:rsid w:val="002C64B5"/>
    <w:rsid w:val="002C6C66"/>
    <w:rsid w:val="002C6DF1"/>
    <w:rsid w:val="002C73F1"/>
    <w:rsid w:val="002D0AFD"/>
    <w:rsid w:val="002D11C8"/>
    <w:rsid w:val="002D1FDE"/>
    <w:rsid w:val="002D2EAE"/>
    <w:rsid w:val="002D34CF"/>
    <w:rsid w:val="002D470C"/>
    <w:rsid w:val="002D47E3"/>
    <w:rsid w:val="002D49FE"/>
    <w:rsid w:val="002D4C9E"/>
    <w:rsid w:val="002D6C77"/>
    <w:rsid w:val="002E0355"/>
    <w:rsid w:val="002E0E46"/>
    <w:rsid w:val="002E1792"/>
    <w:rsid w:val="002E2B13"/>
    <w:rsid w:val="002E2EC3"/>
    <w:rsid w:val="002E3ECF"/>
    <w:rsid w:val="002E437D"/>
    <w:rsid w:val="002E4595"/>
    <w:rsid w:val="002E4EF3"/>
    <w:rsid w:val="002E74D9"/>
    <w:rsid w:val="002E753C"/>
    <w:rsid w:val="002E76AE"/>
    <w:rsid w:val="002F070F"/>
    <w:rsid w:val="002F0C4E"/>
    <w:rsid w:val="002F0FCB"/>
    <w:rsid w:val="002F1EFF"/>
    <w:rsid w:val="002F343A"/>
    <w:rsid w:val="002F3C1D"/>
    <w:rsid w:val="002F3D60"/>
    <w:rsid w:val="002F3DE6"/>
    <w:rsid w:val="002F492A"/>
    <w:rsid w:val="002F52A6"/>
    <w:rsid w:val="002F656E"/>
    <w:rsid w:val="002F6E1F"/>
    <w:rsid w:val="002F764B"/>
    <w:rsid w:val="002F7B17"/>
    <w:rsid w:val="00300042"/>
    <w:rsid w:val="003003BE"/>
    <w:rsid w:val="003014F1"/>
    <w:rsid w:val="003019F5"/>
    <w:rsid w:val="00301E58"/>
    <w:rsid w:val="00301F2D"/>
    <w:rsid w:val="00301FD6"/>
    <w:rsid w:val="003021BE"/>
    <w:rsid w:val="0030282D"/>
    <w:rsid w:val="003029FA"/>
    <w:rsid w:val="00302B5B"/>
    <w:rsid w:val="0030422B"/>
    <w:rsid w:val="00304AD3"/>
    <w:rsid w:val="00305AAE"/>
    <w:rsid w:val="00305DAA"/>
    <w:rsid w:val="00307063"/>
    <w:rsid w:val="0031045E"/>
    <w:rsid w:val="0031078A"/>
    <w:rsid w:val="003107EB"/>
    <w:rsid w:val="00310A47"/>
    <w:rsid w:val="0031126E"/>
    <w:rsid w:val="00311515"/>
    <w:rsid w:val="00311C38"/>
    <w:rsid w:val="003120B6"/>
    <w:rsid w:val="00312135"/>
    <w:rsid w:val="0031240A"/>
    <w:rsid w:val="003135AC"/>
    <w:rsid w:val="00313781"/>
    <w:rsid w:val="003139B6"/>
    <w:rsid w:val="00313D72"/>
    <w:rsid w:val="003145CC"/>
    <w:rsid w:val="00315685"/>
    <w:rsid w:val="00316C99"/>
    <w:rsid w:val="00317886"/>
    <w:rsid w:val="00317DA0"/>
    <w:rsid w:val="003208C6"/>
    <w:rsid w:val="003229E8"/>
    <w:rsid w:val="00322AA3"/>
    <w:rsid w:val="00322C79"/>
    <w:rsid w:val="003235DD"/>
    <w:rsid w:val="00323C00"/>
    <w:rsid w:val="00323C71"/>
    <w:rsid w:val="00323E98"/>
    <w:rsid w:val="00324A07"/>
    <w:rsid w:val="00324C5D"/>
    <w:rsid w:val="00325A71"/>
    <w:rsid w:val="00325FBD"/>
    <w:rsid w:val="00326072"/>
    <w:rsid w:val="00326B0F"/>
    <w:rsid w:val="00326F06"/>
    <w:rsid w:val="0032733A"/>
    <w:rsid w:val="00327644"/>
    <w:rsid w:val="00327975"/>
    <w:rsid w:val="00330A8F"/>
    <w:rsid w:val="003316A0"/>
    <w:rsid w:val="00331B67"/>
    <w:rsid w:val="003325F3"/>
    <w:rsid w:val="00332ACD"/>
    <w:rsid w:val="00332DA4"/>
    <w:rsid w:val="00333179"/>
    <w:rsid w:val="0033346D"/>
    <w:rsid w:val="00333C89"/>
    <w:rsid w:val="00336B0C"/>
    <w:rsid w:val="00336CD3"/>
    <w:rsid w:val="00337D92"/>
    <w:rsid w:val="00337FB7"/>
    <w:rsid w:val="0034003C"/>
    <w:rsid w:val="003401AC"/>
    <w:rsid w:val="00340388"/>
    <w:rsid w:val="003407FB"/>
    <w:rsid w:val="00340800"/>
    <w:rsid w:val="00341444"/>
    <w:rsid w:val="00341621"/>
    <w:rsid w:val="003416DE"/>
    <w:rsid w:val="00342AAC"/>
    <w:rsid w:val="0034418D"/>
    <w:rsid w:val="00344EBD"/>
    <w:rsid w:val="0034524D"/>
    <w:rsid w:val="00346121"/>
    <w:rsid w:val="00347BE8"/>
    <w:rsid w:val="00347F7F"/>
    <w:rsid w:val="00353F58"/>
    <w:rsid w:val="00354413"/>
    <w:rsid w:val="003545E5"/>
    <w:rsid w:val="0035479F"/>
    <w:rsid w:val="003552A7"/>
    <w:rsid w:val="00355A7B"/>
    <w:rsid w:val="00356090"/>
    <w:rsid w:val="003561D3"/>
    <w:rsid w:val="003565E8"/>
    <w:rsid w:val="00357D32"/>
    <w:rsid w:val="00360733"/>
    <w:rsid w:val="0036257D"/>
    <w:rsid w:val="0036279E"/>
    <w:rsid w:val="00362BA9"/>
    <w:rsid w:val="003630CC"/>
    <w:rsid w:val="003630DE"/>
    <w:rsid w:val="00365BF4"/>
    <w:rsid w:val="0036605F"/>
    <w:rsid w:val="00366A85"/>
    <w:rsid w:val="00366EA5"/>
    <w:rsid w:val="00367DF2"/>
    <w:rsid w:val="0037048E"/>
    <w:rsid w:val="003708AB"/>
    <w:rsid w:val="0037106E"/>
    <w:rsid w:val="00371468"/>
    <w:rsid w:val="0037184E"/>
    <w:rsid w:val="003719E5"/>
    <w:rsid w:val="00371A55"/>
    <w:rsid w:val="003730E8"/>
    <w:rsid w:val="003762D7"/>
    <w:rsid w:val="00376572"/>
    <w:rsid w:val="00376C48"/>
    <w:rsid w:val="003779B2"/>
    <w:rsid w:val="00377F34"/>
    <w:rsid w:val="0038035C"/>
    <w:rsid w:val="003808A0"/>
    <w:rsid w:val="00380BFC"/>
    <w:rsid w:val="00381CF0"/>
    <w:rsid w:val="00381EBD"/>
    <w:rsid w:val="003830C0"/>
    <w:rsid w:val="00384425"/>
    <w:rsid w:val="00385158"/>
    <w:rsid w:val="00385667"/>
    <w:rsid w:val="003858C1"/>
    <w:rsid w:val="00386A45"/>
    <w:rsid w:val="003871C9"/>
    <w:rsid w:val="00387385"/>
    <w:rsid w:val="003874E5"/>
    <w:rsid w:val="00390E18"/>
    <w:rsid w:val="0039107B"/>
    <w:rsid w:val="003912A8"/>
    <w:rsid w:val="003916AD"/>
    <w:rsid w:val="00393042"/>
    <w:rsid w:val="00394CC2"/>
    <w:rsid w:val="003957D7"/>
    <w:rsid w:val="00395954"/>
    <w:rsid w:val="00396E6F"/>
    <w:rsid w:val="003A0E7D"/>
    <w:rsid w:val="003A2110"/>
    <w:rsid w:val="003A2CA1"/>
    <w:rsid w:val="003A3C1D"/>
    <w:rsid w:val="003A3DC7"/>
    <w:rsid w:val="003A3E6D"/>
    <w:rsid w:val="003A3EAD"/>
    <w:rsid w:val="003A44E1"/>
    <w:rsid w:val="003A4FA9"/>
    <w:rsid w:val="003A503E"/>
    <w:rsid w:val="003A52AF"/>
    <w:rsid w:val="003A5BD5"/>
    <w:rsid w:val="003A618E"/>
    <w:rsid w:val="003A6FAD"/>
    <w:rsid w:val="003A7770"/>
    <w:rsid w:val="003B0855"/>
    <w:rsid w:val="003B0BE3"/>
    <w:rsid w:val="003B1583"/>
    <w:rsid w:val="003B15EF"/>
    <w:rsid w:val="003B1D7C"/>
    <w:rsid w:val="003B1D9C"/>
    <w:rsid w:val="003B2637"/>
    <w:rsid w:val="003B3292"/>
    <w:rsid w:val="003B3EBC"/>
    <w:rsid w:val="003B42CD"/>
    <w:rsid w:val="003B43B0"/>
    <w:rsid w:val="003B4FA2"/>
    <w:rsid w:val="003B53EA"/>
    <w:rsid w:val="003B7AE3"/>
    <w:rsid w:val="003C048B"/>
    <w:rsid w:val="003C0C84"/>
    <w:rsid w:val="003C0D66"/>
    <w:rsid w:val="003C1177"/>
    <w:rsid w:val="003C124A"/>
    <w:rsid w:val="003C1A9E"/>
    <w:rsid w:val="003C1B3D"/>
    <w:rsid w:val="003C2E35"/>
    <w:rsid w:val="003C3A1A"/>
    <w:rsid w:val="003C49E5"/>
    <w:rsid w:val="003C5454"/>
    <w:rsid w:val="003C5547"/>
    <w:rsid w:val="003C5A8E"/>
    <w:rsid w:val="003C5B7A"/>
    <w:rsid w:val="003C5E04"/>
    <w:rsid w:val="003C66C2"/>
    <w:rsid w:val="003C7CD8"/>
    <w:rsid w:val="003C7CFD"/>
    <w:rsid w:val="003D02CF"/>
    <w:rsid w:val="003D12C3"/>
    <w:rsid w:val="003D16D7"/>
    <w:rsid w:val="003D2527"/>
    <w:rsid w:val="003D2E1B"/>
    <w:rsid w:val="003D2EDA"/>
    <w:rsid w:val="003D300B"/>
    <w:rsid w:val="003D36A2"/>
    <w:rsid w:val="003D51EF"/>
    <w:rsid w:val="003D52D2"/>
    <w:rsid w:val="003D5373"/>
    <w:rsid w:val="003D5B43"/>
    <w:rsid w:val="003D5C90"/>
    <w:rsid w:val="003D5D73"/>
    <w:rsid w:val="003D6EC7"/>
    <w:rsid w:val="003D7D37"/>
    <w:rsid w:val="003E032F"/>
    <w:rsid w:val="003E0903"/>
    <w:rsid w:val="003E0FA1"/>
    <w:rsid w:val="003E1934"/>
    <w:rsid w:val="003E1B02"/>
    <w:rsid w:val="003E2F64"/>
    <w:rsid w:val="003E4032"/>
    <w:rsid w:val="003E4658"/>
    <w:rsid w:val="003E46CC"/>
    <w:rsid w:val="003E554F"/>
    <w:rsid w:val="003E6070"/>
    <w:rsid w:val="003E71CB"/>
    <w:rsid w:val="003F0566"/>
    <w:rsid w:val="003F0DDA"/>
    <w:rsid w:val="003F0E23"/>
    <w:rsid w:val="003F2397"/>
    <w:rsid w:val="003F2A6A"/>
    <w:rsid w:val="003F2ADA"/>
    <w:rsid w:val="003F3222"/>
    <w:rsid w:val="003F36AA"/>
    <w:rsid w:val="003F43BB"/>
    <w:rsid w:val="003F4D1E"/>
    <w:rsid w:val="003F5072"/>
    <w:rsid w:val="003F5563"/>
    <w:rsid w:val="003F5AC4"/>
    <w:rsid w:val="003F67B0"/>
    <w:rsid w:val="003F67D4"/>
    <w:rsid w:val="003F6FB8"/>
    <w:rsid w:val="003F76F5"/>
    <w:rsid w:val="003F7949"/>
    <w:rsid w:val="003F7FA7"/>
    <w:rsid w:val="004006CD"/>
    <w:rsid w:val="004016E1"/>
    <w:rsid w:val="00402AA7"/>
    <w:rsid w:val="00402BBE"/>
    <w:rsid w:val="00403C14"/>
    <w:rsid w:val="0040424B"/>
    <w:rsid w:val="00404B55"/>
    <w:rsid w:val="004050B8"/>
    <w:rsid w:val="00406016"/>
    <w:rsid w:val="0040673A"/>
    <w:rsid w:val="00406ACC"/>
    <w:rsid w:val="0040769E"/>
    <w:rsid w:val="00410503"/>
    <w:rsid w:val="00413844"/>
    <w:rsid w:val="00414817"/>
    <w:rsid w:val="00415CE7"/>
    <w:rsid w:val="00416297"/>
    <w:rsid w:val="0041641A"/>
    <w:rsid w:val="00416560"/>
    <w:rsid w:val="0041666C"/>
    <w:rsid w:val="0041731B"/>
    <w:rsid w:val="00417856"/>
    <w:rsid w:val="00417DA8"/>
    <w:rsid w:val="004203ED"/>
    <w:rsid w:val="00420681"/>
    <w:rsid w:val="004212FC"/>
    <w:rsid w:val="0042169F"/>
    <w:rsid w:val="00421CF7"/>
    <w:rsid w:val="00422591"/>
    <w:rsid w:val="00422CFD"/>
    <w:rsid w:val="00423D20"/>
    <w:rsid w:val="00424212"/>
    <w:rsid w:val="004245B1"/>
    <w:rsid w:val="00424932"/>
    <w:rsid w:val="0042573C"/>
    <w:rsid w:val="004301B4"/>
    <w:rsid w:val="004304D7"/>
    <w:rsid w:val="00430795"/>
    <w:rsid w:val="0043081F"/>
    <w:rsid w:val="00430EBA"/>
    <w:rsid w:val="00431353"/>
    <w:rsid w:val="004313CA"/>
    <w:rsid w:val="0043284F"/>
    <w:rsid w:val="00432D53"/>
    <w:rsid w:val="004354FC"/>
    <w:rsid w:val="004358A0"/>
    <w:rsid w:val="00435F87"/>
    <w:rsid w:val="00435FBD"/>
    <w:rsid w:val="0043631B"/>
    <w:rsid w:val="0043632A"/>
    <w:rsid w:val="00436937"/>
    <w:rsid w:val="00436EAC"/>
    <w:rsid w:val="004406B3"/>
    <w:rsid w:val="004407A3"/>
    <w:rsid w:val="0044424E"/>
    <w:rsid w:val="0044525C"/>
    <w:rsid w:val="0044679B"/>
    <w:rsid w:val="00446BD2"/>
    <w:rsid w:val="00447155"/>
    <w:rsid w:val="00450B50"/>
    <w:rsid w:val="00451AB6"/>
    <w:rsid w:val="00452479"/>
    <w:rsid w:val="004544F5"/>
    <w:rsid w:val="00455221"/>
    <w:rsid w:val="004554FF"/>
    <w:rsid w:val="00456E3F"/>
    <w:rsid w:val="00457893"/>
    <w:rsid w:val="00460811"/>
    <w:rsid w:val="00460983"/>
    <w:rsid w:val="0046148C"/>
    <w:rsid w:val="00461897"/>
    <w:rsid w:val="004623D7"/>
    <w:rsid w:val="00462655"/>
    <w:rsid w:val="00462753"/>
    <w:rsid w:val="0046365B"/>
    <w:rsid w:val="00464417"/>
    <w:rsid w:val="0046466E"/>
    <w:rsid w:val="00464F34"/>
    <w:rsid w:val="0046524A"/>
    <w:rsid w:val="0046670C"/>
    <w:rsid w:val="00466D76"/>
    <w:rsid w:val="00466D79"/>
    <w:rsid w:val="004670B2"/>
    <w:rsid w:val="0046738B"/>
    <w:rsid w:val="00467BA1"/>
    <w:rsid w:val="004708DA"/>
    <w:rsid w:val="00470EF9"/>
    <w:rsid w:val="00471AAE"/>
    <w:rsid w:val="00473D90"/>
    <w:rsid w:val="00474CD5"/>
    <w:rsid w:val="00474E4F"/>
    <w:rsid w:val="00475369"/>
    <w:rsid w:val="00475A1E"/>
    <w:rsid w:val="004766D9"/>
    <w:rsid w:val="00477985"/>
    <w:rsid w:val="00480549"/>
    <w:rsid w:val="00480B43"/>
    <w:rsid w:val="00481052"/>
    <w:rsid w:val="00481E0C"/>
    <w:rsid w:val="00481F10"/>
    <w:rsid w:val="004826AA"/>
    <w:rsid w:val="0048359A"/>
    <w:rsid w:val="00483BE7"/>
    <w:rsid w:val="00484B4C"/>
    <w:rsid w:val="00485236"/>
    <w:rsid w:val="004859EB"/>
    <w:rsid w:val="00485C32"/>
    <w:rsid w:val="00486D01"/>
    <w:rsid w:val="00487029"/>
    <w:rsid w:val="004902CC"/>
    <w:rsid w:val="0049052D"/>
    <w:rsid w:val="00490B2F"/>
    <w:rsid w:val="00491A27"/>
    <w:rsid w:val="00492A2D"/>
    <w:rsid w:val="004933CE"/>
    <w:rsid w:val="00493663"/>
    <w:rsid w:val="00494F27"/>
    <w:rsid w:val="0049531A"/>
    <w:rsid w:val="0049569C"/>
    <w:rsid w:val="00495CA2"/>
    <w:rsid w:val="00495D97"/>
    <w:rsid w:val="004965D6"/>
    <w:rsid w:val="004967C0"/>
    <w:rsid w:val="004978E1"/>
    <w:rsid w:val="00497E5D"/>
    <w:rsid w:val="004A060F"/>
    <w:rsid w:val="004A09D5"/>
    <w:rsid w:val="004A4C8E"/>
    <w:rsid w:val="004A623D"/>
    <w:rsid w:val="004A6CA3"/>
    <w:rsid w:val="004A717F"/>
    <w:rsid w:val="004A7182"/>
    <w:rsid w:val="004A72D8"/>
    <w:rsid w:val="004B052B"/>
    <w:rsid w:val="004B0534"/>
    <w:rsid w:val="004B0A30"/>
    <w:rsid w:val="004B0CF1"/>
    <w:rsid w:val="004B0FBF"/>
    <w:rsid w:val="004B14C3"/>
    <w:rsid w:val="004B30B6"/>
    <w:rsid w:val="004B361E"/>
    <w:rsid w:val="004B3CF3"/>
    <w:rsid w:val="004B3F96"/>
    <w:rsid w:val="004B47BD"/>
    <w:rsid w:val="004B494C"/>
    <w:rsid w:val="004B53C7"/>
    <w:rsid w:val="004B6634"/>
    <w:rsid w:val="004B6B9B"/>
    <w:rsid w:val="004B78AB"/>
    <w:rsid w:val="004B7BB7"/>
    <w:rsid w:val="004B7FBD"/>
    <w:rsid w:val="004C07CB"/>
    <w:rsid w:val="004C09A8"/>
    <w:rsid w:val="004C1657"/>
    <w:rsid w:val="004C277B"/>
    <w:rsid w:val="004C3922"/>
    <w:rsid w:val="004C4397"/>
    <w:rsid w:val="004C4F8D"/>
    <w:rsid w:val="004C6847"/>
    <w:rsid w:val="004C6D30"/>
    <w:rsid w:val="004C7E87"/>
    <w:rsid w:val="004D04D3"/>
    <w:rsid w:val="004D1C5D"/>
    <w:rsid w:val="004D3122"/>
    <w:rsid w:val="004D3234"/>
    <w:rsid w:val="004D3F3C"/>
    <w:rsid w:val="004D433E"/>
    <w:rsid w:val="004D489C"/>
    <w:rsid w:val="004D48DD"/>
    <w:rsid w:val="004D5F0B"/>
    <w:rsid w:val="004D62C6"/>
    <w:rsid w:val="004D6D06"/>
    <w:rsid w:val="004D7AC8"/>
    <w:rsid w:val="004E0BAC"/>
    <w:rsid w:val="004E101B"/>
    <w:rsid w:val="004E105A"/>
    <w:rsid w:val="004E1528"/>
    <w:rsid w:val="004E19A4"/>
    <w:rsid w:val="004E1C50"/>
    <w:rsid w:val="004E274B"/>
    <w:rsid w:val="004E2BCD"/>
    <w:rsid w:val="004E2E17"/>
    <w:rsid w:val="004E3156"/>
    <w:rsid w:val="004E43E4"/>
    <w:rsid w:val="004E49A7"/>
    <w:rsid w:val="004E521C"/>
    <w:rsid w:val="004E5E18"/>
    <w:rsid w:val="004E6312"/>
    <w:rsid w:val="004E70F4"/>
    <w:rsid w:val="004F016C"/>
    <w:rsid w:val="004F0326"/>
    <w:rsid w:val="004F187C"/>
    <w:rsid w:val="004F18DD"/>
    <w:rsid w:val="004F1D1E"/>
    <w:rsid w:val="004F1F89"/>
    <w:rsid w:val="004F2151"/>
    <w:rsid w:val="004F3675"/>
    <w:rsid w:val="004F4E51"/>
    <w:rsid w:val="004F53E5"/>
    <w:rsid w:val="004F5637"/>
    <w:rsid w:val="004F57C5"/>
    <w:rsid w:val="004F6A4A"/>
    <w:rsid w:val="004F73EA"/>
    <w:rsid w:val="00500360"/>
    <w:rsid w:val="0050094A"/>
    <w:rsid w:val="0050113B"/>
    <w:rsid w:val="005018DF"/>
    <w:rsid w:val="0050236E"/>
    <w:rsid w:val="00502BA4"/>
    <w:rsid w:val="00502BB1"/>
    <w:rsid w:val="005037CD"/>
    <w:rsid w:val="0050433B"/>
    <w:rsid w:val="005053A6"/>
    <w:rsid w:val="0050605A"/>
    <w:rsid w:val="00507B5F"/>
    <w:rsid w:val="00507CA4"/>
    <w:rsid w:val="00510F19"/>
    <w:rsid w:val="00511C27"/>
    <w:rsid w:val="00512290"/>
    <w:rsid w:val="00512DFB"/>
    <w:rsid w:val="00514A8E"/>
    <w:rsid w:val="0051509D"/>
    <w:rsid w:val="005158D1"/>
    <w:rsid w:val="00515992"/>
    <w:rsid w:val="0051600E"/>
    <w:rsid w:val="00516B30"/>
    <w:rsid w:val="00521535"/>
    <w:rsid w:val="005222F8"/>
    <w:rsid w:val="00522D0D"/>
    <w:rsid w:val="00522ECE"/>
    <w:rsid w:val="005245EB"/>
    <w:rsid w:val="00524D2C"/>
    <w:rsid w:val="00524D67"/>
    <w:rsid w:val="00525137"/>
    <w:rsid w:val="0052520F"/>
    <w:rsid w:val="005254B0"/>
    <w:rsid w:val="0052607D"/>
    <w:rsid w:val="0052691B"/>
    <w:rsid w:val="00526AC7"/>
    <w:rsid w:val="00526EA3"/>
    <w:rsid w:val="005272A4"/>
    <w:rsid w:val="005275C6"/>
    <w:rsid w:val="00527613"/>
    <w:rsid w:val="005276D3"/>
    <w:rsid w:val="00527FBC"/>
    <w:rsid w:val="00530D32"/>
    <w:rsid w:val="0053136C"/>
    <w:rsid w:val="00532666"/>
    <w:rsid w:val="0053291C"/>
    <w:rsid w:val="00532B82"/>
    <w:rsid w:val="00533A1A"/>
    <w:rsid w:val="00533C76"/>
    <w:rsid w:val="00535186"/>
    <w:rsid w:val="0053594D"/>
    <w:rsid w:val="00537882"/>
    <w:rsid w:val="00537A98"/>
    <w:rsid w:val="00537E3C"/>
    <w:rsid w:val="005403A2"/>
    <w:rsid w:val="00540608"/>
    <w:rsid w:val="0054088B"/>
    <w:rsid w:val="00541B41"/>
    <w:rsid w:val="005432E9"/>
    <w:rsid w:val="00543E8F"/>
    <w:rsid w:val="005447B5"/>
    <w:rsid w:val="00545104"/>
    <w:rsid w:val="005451D8"/>
    <w:rsid w:val="0054724D"/>
    <w:rsid w:val="0054772E"/>
    <w:rsid w:val="00547F2F"/>
    <w:rsid w:val="00550276"/>
    <w:rsid w:val="00550437"/>
    <w:rsid w:val="005511B3"/>
    <w:rsid w:val="0055130C"/>
    <w:rsid w:val="00551834"/>
    <w:rsid w:val="00552434"/>
    <w:rsid w:val="00554AEA"/>
    <w:rsid w:val="00554FCB"/>
    <w:rsid w:val="005560FC"/>
    <w:rsid w:val="005570C3"/>
    <w:rsid w:val="0055745E"/>
    <w:rsid w:val="005575E6"/>
    <w:rsid w:val="005603B2"/>
    <w:rsid w:val="00560621"/>
    <w:rsid w:val="00561151"/>
    <w:rsid w:val="005616CE"/>
    <w:rsid w:val="00561BF3"/>
    <w:rsid w:val="00561E48"/>
    <w:rsid w:val="005623CE"/>
    <w:rsid w:val="00562EA4"/>
    <w:rsid w:val="0056353A"/>
    <w:rsid w:val="00563920"/>
    <w:rsid w:val="00563990"/>
    <w:rsid w:val="00563ED2"/>
    <w:rsid w:val="0056472A"/>
    <w:rsid w:val="00564BD8"/>
    <w:rsid w:val="00564C74"/>
    <w:rsid w:val="00565A74"/>
    <w:rsid w:val="00565B14"/>
    <w:rsid w:val="0056648B"/>
    <w:rsid w:val="0056663B"/>
    <w:rsid w:val="0057101A"/>
    <w:rsid w:val="00571104"/>
    <w:rsid w:val="005711E3"/>
    <w:rsid w:val="00571493"/>
    <w:rsid w:val="00572C2E"/>
    <w:rsid w:val="00572E09"/>
    <w:rsid w:val="0057368E"/>
    <w:rsid w:val="00573B30"/>
    <w:rsid w:val="005740A3"/>
    <w:rsid w:val="00574511"/>
    <w:rsid w:val="0057521C"/>
    <w:rsid w:val="005769A5"/>
    <w:rsid w:val="00577BCC"/>
    <w:rsid w:val="00580627"/>
    <w:rsid w:val="00581EE6"/>
    <w:rsid w:val="00582B3E"/>
    <w:rsid w:val="005839FC"/>
    <w:rsid w:val="00584037"/>
    <w:rsid w:val="0058449D"/>
    <w:rsid w:val="00584FF0"/>
    <w:rsid w:val="005850D8"/>
    <w:rsid w:val="005851D0"/>
    <w:rsid w:val="005852D9"/>
    <w:rsid w:val="005867ED"/>
    <w:rsid w:val="005869B3"/>
    <w:rsid w:val="00586FEC"/>
    <w:rsid w:val="00587512"/>
    <w:rsid w:val="00590235"/>
    <w:rsid w:val="005915F3"/>
    <w:rsid w:val="00591842"/>
    <w:rsid w:val="00591C68"/>
    <w:rsid w:val="00591C90"/>
    <w:rsid w:val="005929C3"/>
    <w:rsid w:val="00592EA0"/>
    <w:rsid w:val="005948ED"/>
    <w:rsid w:val="00595233"/>
    <w:rsid w:val="005954F5"/>
    <w:rsid w:val="0059576F"/>
    <w:rsid w:val="005962F3"/>
    <w:rsid w:val="005968ED"/>
    <w:rsid w:val="00596DA7"/>
    <w:rsid w:val="005A0A75"/>
    <w:rsid w:val="005A0D69"/>
    <w:rsid w:val="005A1084"/>
    <w:rsid w:val="005A11B1"/>
    <w:rsid w:val="005A1428"/>
    <w:rsid w:val="005A1946"/>
    <w:rsid w:val="005A2C6D"/>
    <w:rsid w:val="005A2E81"/>
    <w:rsid w:val="005A30F3"/>
    <w:rsid w:val="005A343D"/>
    <w:rsid w:val="005A3E54"/>
    <w:rsid w:val="005A3F11"/>
    <w:rsid w:val="005A47A1"/>
    <w:rsid w:val="005A483A"/>
    <w:rsid w:val="005A6A4F"/>
    <w:rsid w:val="005B00FD"/>
    <w:rsid w:val="005B1886"/>
    <w:rsid w:val="005B219E"/>
    <w:rsid w:val="005B23EC"/>
    <w:rsid w:val="005B241D"/>
    <w:rsid w:val="005B2F81"/>
    <w:rsid w:val="005B3014"/>
    <w:rsid w:val="005B38C2"/>
    <w:rsid w:val="005B3936"/>
    <w:rsid w:val="005B4F39"/>
    <w:rsid w:val="005B6415"/>
    <w:rsid w:val="005B6A1E"/>
    <w:rsid w:val="005B73E8"/>
    <w:rsid w:val="005B7D14"/>
    <w:rsid w:val="005C061C"/>
    <w:rsid w:val="005C0973"/>
    <w:rsid w:val="005C135F"/>
    <w:rsid w:val="005C162F"/>
    <w:rsid w:val="005C1EEB"/>
    <w:rsid w:val="005C2155"/>
    <w:rsid w:val="005C2390"/>
    <w:rsid w:val="005C3077"/>
    <w:rsid w:val="005C397E"/>
    <w:rsid w:val="005C39E4"/>
    <w:rsid w:val="005C3BE7"/>
    <w:rsid w:val="005C4538"/>
    <w:rsid w:val="005C4B6A"/>
    <w:rsid w:val="005C586D"/>
    <w:rsid w:val="005C5B62"/>
    <w:rsid w:val="005C6487"/>
    <w:rsid w:val="005C6F70"/>
    <w:rsid w:val="005C7676"/>
    <w:rsid w:val="005C7931"/>
    <w:rsid w:val="005C7E13"/>
    <w:rsid w:val="005D00E7"/>
    <w:rsid w:val="005D0269"/>
    <w:rsid w:val="005D070F"/>
    <w:rsid w:val="005D0F2A"/>
    <w:rsid w:val="005D156C"/>
    <w:rsid w:val="005D191A"/>
    <w:rsid w:val="005D2462"/>
    <w:rsid w:val="005D2600"/>
    <w:rsid w:val="005D26F6"/>
    <w:rsid w:val="005D2DF7"/>
    <w:rsid w:val="005D37B5"/>
    <w:rsid w:val="005D44C7"/>
    <w:rsid w:val="005D452F"/>
    <w:rsid w:val="005D4FB8"/>
    <w:rsid w:val="005D5713"/>
    <w:rsid w:val="005D588A"/>
    <w:rsid w:val="005D60A9"/>
    <w:rsid w:val="005D6BBA"/>
    <w:rsid w:val="005D6C55"/>
    <w:rsid w:val="005D7397"/>
    <w:rsid w:val="005D7416"/>
    <w:rsid w:val="005D7D2B"/>
    <w:rsid w:val="005D7F5C"/>
    <w:rsid w:val="005D7FBA"/>
    <w:rsid w:val="005E0C2D"/>
    <w:rsid w:val="005E126D"/>
    <w:rsid w:val="005E2B21"/>
    <w:rsid w:val="005E2C53"/>
    <w:rsid w:val="005E2C8F"/>
    <w:rsid w:val="005E33A3"/>
    <w:rsid w:val="005E43ED"/>
    <w:rsid w:val="005E554D"/>
    <w:rsid w:val="005E681F"/>
    <w:rsid w:val="005E69A2"/>
    <w:rsid w:val="005E7451"/>
    <w:rsid w:val="005E7581"/>
    <w:rsid w:val="005E7E9B"/>
    <w:rsid w:val="005F0C72"/>
    <w:rsid w:val="005F1BD2"/>
    <w:rsid w:val="005F1F25"/>
    <w:rsid w:val="005F26F4"/>
    <w:rsid w:val="005F2A80"/>
    <w:rsid w:val="005F2A8D"/>
    <w:rsid w:val="005F2BBE"/>
    <w:rsid w:val="005F3AA6"/>
    <w:rsid w:val="005F3E31"/>
    <w:rsid w:val="005F414B"/>
    <w:rsid w:val="005F52DE"/>
    <w:rsid w:val="005F5300"/>
    <w:rsid w:val="005F538F"/>
    <w:rsid w:val="005F5E76"/>
    <w:rsid w:val="005F62E1"/>
    <w:rsid w:val="005F7E42"/>
    <w:rsid w:val="00600C74"/>
    <w:rsid w:val="00600DCC"/>
    <w:rsid w:val="0060204F"/>
    <w:rsid w:val="00602AC3"/>
    <w:rsid w:val="006034E2"/>
    <w:rsid w:val="00603620"/>
    <w:rsid w:val="00603B50"/>
    <w:rsid w:val="006040C7"/>
    <w:rsid w:val="00607B45"/>
    <w:rsid w:val="00607C44"/>
    <w:rsid w:val="0061171B"/>
    <w:rsid w:val="006125D5"/>
    <w:rsid w:val="00613450"/>
    <w:rsid w:val="00613D62"/>
    <w:rsid w:val="00613E4F"/>
    <w:rsid w:val="00614D1E"/>
    <w:rsid w:val="00615153"/>
    <w:rsid w:val="00615F5F"/>
    <w:rsid w:val="0061638D"/>
    <w:rsid w:val="006163F0"/>
    <w:rsid w:val="00616AFC"/>
    <w:rsid w:val="00617337"/>
    <w:rsid w:val="00617903"/>
    <w:rsid w:val="00620541"/>
    <w:rsid w:val="006208D6"/>
    <w:rsid w:val="00620F9D"/>
    <w:rsid w:val="0062176E"/>
    <w:rsid w:val="00622891"/>
    <w:rsid w:val="006230A9"/>
    <w:rsid w:val="00624E8B"/>
    <w:rsid w:val="00625B92"/>
    <w:rsid w:val="006302DE"/>
    <w:rsid w:val="00631A51"/>
    <w:rsid w:val="00633603"/>
    <w:rsid w:val="00633852"/>
    <w:rsid w:val="00634DC7"/>
    <w:rsid w:val="00635F49"/>
    <w:rsid w:val="0063639D"/>
    <w:rsid w:val="0063648E"/>
    <w:rsid w:val="00636781"/>
    <w:rsid w:val="00637012"/>
    <w:rsid w:val="006373A6"/>
    <w:rsid w:val="00637978"/>
    <w:rsid w:val="00637D87"/>
    <w:rsid w:val="00643035"/>
    <w:rsid w:val="00644785"/>
    <w:rsid w:val="006454CA"/>
    <w:rsid w:val="0064568A"/>
    <w:rsid w:val="00645775"/>
    <w:rsid w:val="00646387"/>
    <w:rsid w:val="006466FA"/>
    <w:rsid w:val="00646CAB"/>
    <w:rsid w:val="0065070E"/>
    <w:rsid w:val="00651DAE"/>
    <w:rsid w:val="0065206D"/>
    <w:rsid w:val="00653E43"/>
    <w:rsid w:val="00654131"/>
    <w:rsid w:val="006555CB"/>
    <w:rsid w:val="00655D4F"/>
    <w:rsid w:val="00657C75"/>
    <w:rsid w:val="00660663"/>
    <w:rsid w:val="00660F0F"/>
    <w:rsid w:val="00660FF1"/>
    <w:rsid w:val="00661796"/>
    <w:rsid w:val="00662D59"/>
    <w:rsid w:val="00663287"/>
    <w:rsid w:val="006638BE"/>
    <w:rsid w:val="00663C7A"/>
    <w:rsid w:val="00664288"/>
    <w:rsid w:val="00665032"/>
    <w:rsid w:val="00665AEC"/>
    <w:rsid w:val="00666958"/>
    <w:rsid w:val="00666A44"/>
    <w:rsid w:val="00666B1D"/>
    <w:rsid w:val="00666DC3"/>
    <w:rsid w:val="006674D0"/>
    <w:rsid w:val="006677FF"/>
    <w:rsid w:val="0067037E"/>
    <w:rsid w:val="00670AFE"/>
    <w:rsid w:val="00670EB1"/>
    <w:rsid w:val="00672B03"/>
    <w:rsid w:val="00673307"/>
    <w:rsid w:val="00673A9B"/>
    <w:rsid w:val="00673E4F"/>
    <w:rsid w:val="0067443B"/>
    <w:rsid w:val="006747BD"/>
    <w:rsid w:val="0067494F"/>
    <w:rsid w:val="006761E1"/>
    <w:rsid w:val="00676FD8"/>
    <w:rsid w:val="00677D9B"/>
    <w:rsid w:val="0068038C"/>
    <w:rsid w:val="00680FF1"/>
    <w:rsid w:val="0068299C"/>
    <w:rsid w:val="006839DE"/>
    <w:rsid w:val="00683AFF"/>
    <w:rsid w:val="006853D7"/>
    <w:rsid w:val="006857A4"/>
    <w:rsid w:val="0068680C"/>
    <w:rsid w:val="006869F8"/>
    <w:rsid w:val="00686D30"/>
    <w:rsid w:val="00687ADB"/>
    <w:rsid w:val="00690952"/>
    <w:rsid w:val="006913F6"/>
    <w:rsid w:val="00691D63"/>
    <w:rsid w:val="006921E2"/>
    <w:rsid w:val="0069227B"/>
    <w:rsid w:val="00692A17"/>
    <w:rsid w:val="0069389F"/>
    <w:rsid w:val="00694683"/>
    <w:rsid w:val="00694A9C"/>
    <w:rsid w:val="0069577F"/>
    <w:rsid w:val="00695C50"/>
    <w:rsid w:val="006977AF"/>
    <w:rsid w:val="00697891"/>
    <w:rsid w:val="00697898"/>
    <w:rsid w:val="00697CFA"/>
    <w:rsid w:val="006A0490"/>
    <w:rsid w:val="006A05D2"/>
    <w:rsid w:val="006A0D40"/>
    <w:rsid w:val="006A15F8"/>
    <w:rsid w:val="006A1AAE"/>
    <w:rsid w:val="006A2AB4"/>
    <w:rsid w:val="006A432F"/>
    <w:rsid w:val="006A5AA7"/>
    <w:rsid w:val="006A5AB9"/>
    <w:rsid w:val="006A6505"/>
    <w:rsid w:val="006A6995"/>
    <w:rsid w:val="006A77D7"/>
    <w:rsid w:val="006A7F4F"/>
    <w:rsid w:val="006B008C"/>
    <w:rsid w:val="006B057C"/>
    <w:rsid w:val="006B08CC"/>
    <w:rsid w:val="006B1D78"/>
    <w:rsid w:val="006B3951"/>
    <w:rsid w:val="006B54C4"/>
    <w:rsid w:val="006B5DB4"/>
    <w:rsid w:val="006B6553"/>
    <w:rsid w:val="006C1CF7"/>
    <w:rsid w:val="006C24B5"/>
    <w:rsid w:val="006C27EC"/>
    <w:rsid w:val="006C30B5"/>
    <w:rsid w:val="006C400C"/>
    <w:rsid w:val="006C4B32"/>
    <w:rsid w:val="006C5910"/>
    <w:rsid w:val="006D0144"/>
    <w:rsid w:val="006D04E6"/>
    <w:rsid w:val="006D06F3"/>
    <w:rsid w:val="006D1532"/>
    <w:rsid w:val="006D15D0"/>
    <w:rsid w:val="006D2163"/>
    <w:rsid w:val="006D2D30"/>
    <w:rsid w:val="006D4420"/>
    <w:rsid w:val="006D5FFD"/>
    <w:rsid w:val="006D6118"/>
    <w:rsid w:val="006D6C1E"/>
    <w:rsid w:val="006E124A"/>
    <w:rsid w:val="006E1423"/>
    <w:rsid w:val="006E24D9"/>
    <w:rsid w:val="006E2656"/>
    <w:rsid w:val="006E3A20"/>
    <w:rsid w:val="006E3C18"/>
    <w:rsid w:val="006E4C8C"/>
    <w:rsid w:val="006E4CF1"/>
    <w:rsid w:val="006E4DAB"/>
    <w:rsid w:val="006E5146"/>
    <w:rsid w:val="006E522E"/>
    <w:rsid w:val="006E59E8"/>
    <w:rsid w:val="006E64B8"/>
    <w:rsid w:val="006E7517"/>
    <w:rsid w:val="006E78AF"/>
    <w:rsid w:val="006E7EA2"/>
    <w:rsid w:val="006F00A3"/>
    <w:rsid w:val="006F049D"/>
    <w:rsid w:val="006F0618"/>
    <w:rsid w:val="006F0C46"/>
    <w:rsid w:val="006F13FB"/>
    <w:rsid w:val="006F3EAF"/>
    <w:rsid w:val="006F4A00"/>
    <w:rsid w:val="006F5E23"/>
    <w:rsid w:val="006F65BF"/>
    <w:rsid w:val="006F749A"/>
    <w:rsid w:val="006F7920"/>
    <w:rsid w:val="006F7A4B"/>
    <w:rsid w:val="007026FC"/>
    <w:rsid w:val="00702B18"/>
    <w:rsid w:val="00702F51"/>
    <w:rsid w:val="00703AB2"/>
    <w:rsid w:val="0070412E"/>
    <w:rsid w:val="00704151"/>
    <w:rsid w:val="00704D5F"/>
    <w:rsid w:val="00705F1C"/>
    <w:rsid w:val="007069EA"/>
    <w:rsid w:val="00706D44"/>
    <w:rsid w:val="00707468"/>
    <w:rsid w:val="00707D48"/>
    <w:rsid w:val="007105DA"/>
    <w:rsid w:val="00710BBD"/>
    <w:rsid w:val="00710F76"/>
    <w:rsid w:val="0071371C"/>
    <w:rsid w:val="00713742"/>
    <w:rsid w:val="00713749"/>
    <w:rsid w:val="00713864"/>
    <w:rsid w:val="007144EF"/>
    <w:rsid w:val="00714749"/>
    <w:rsid w:val="00715854"/>
    <w:rsid w:val="00716CAB"/>
    <w:rsid w:val="00717534"/>
    <w:rsid w:val="0071779F"/>
    <w:rsid w:val="0072018F"/>
    <w:rsid w:val="00720390"/>
    <w:rsid w:val="00720CBB"/>
    <w:rsid w:val="00721B9E"/>
    <w:rsid w:val="00722098"/>
    <w:rsid w:val="007223F3"/>
    <w:rsid w:val="007226B0"/>
    <w:rsid w:val="007231FC"/>
    <w:rsid w:val="00723498"/>
    <w:rsid w:val="00723ACF"/>
    <w:rsid w:val="00723C54"/>
    <w:rsid w:val="00726DB1"/>
    <w:rsid w:val="007271BC"/>
    <w:rsid w:val="007276AC"/>
    <w:rsid w:val="007301ED"/>
    <w:rsid w:val="007307AF"/>
    <w:rsid w:val="00730D1E"/>
    <w:rsid w:val="00732D53"/>
    <w:rsid w:val="00733F31"/>
    <w:rsid w:val="00734E9E"/>
    <w:rsid w:val="007351E9"/>
    <w:rsid w:val="00735473"/>
    <w:rsid w:val="00735578"/>
    <w:rsid w:val="0073592D"/>
    <w:rsid w:val="007361C6"/>
    <w:rsid w:val="0074058D"/>
    <w:rsid w:val="00742DDA"/>
    <w:rsid w:val="007437FB"/>
    <w:rsid w:val="00743B51"/>
    <w:rsid w:val="00744188"/>
    <w:rsid w:val="00744D0F"/>
    <w:rsid w:val="007451ED"/>
    <w:rsid w:val="00745951"/>
    <w:rsid w:val="0074646B"/>
    <w:rsid w:val="00746570"/>
    <w:rsid w:val="00747162"/>
    <w:rsid w:val="0074726C"/>
    <w:rsid w:val="00747A22"/>
    <w:rsid w:val="00747A40"/>
    <w:rsid w:val="0075067F"/>
    <w:rsid w:val="007508C4"/>
    <w:rsid w:val="007515D3"/>
    <w:rsid w:val="0075181D"/>
    <w:rsid w:val="00751E34"/>
    <w:rsid w:val="00753249"/>
    <w:rsid w:val="007543AC"/>
    <w:rsid w:val="00754DC8"/>
    <w:rsid w:val="00755403"/>
    <w:rsid w:val="007556DA"/>
    <w:rsid w:val="007560AC"/>
    <w:rsid w:val="007562BC"/>
    <w:rsid w:val="00756FFD"/>
    <w:rsid w:val="007570C5"/>
    <w:rsid w:val="0076092D"/>
    <w:rsid w:val="00761B30"/>
    <w:rsid w:val="00761D5E"/>
    <w:rsid w:val="00761E69"/>
    <w:rsid w:val="00762CD1"/>
    <w:rsid w:val="007636D8"/>
    <w:rsid w:val="0076416A"/>
    <w:rsid w:val="00764A83"/>
    <w:rsid w:val="00764BCC"/>
    <w:rsid w:val="007650D2"/>
    <w:rsid w:val="007655D2"/>
    <w:rsid w:val="00765D50"/>
    <w:rsid w:val="0076630D"/>
    <w:rsid w:val="007664A0"/>
    <w:rsid w:val="0076662B"/>
    <w:rsid w:val="007668F1"/>
    <w:rsid w:val="00766BFF"/>
    <w:rsid w:val="00767F33"/>
    <w:rsid w:val="00770C1D"/>
    <w:rsid w:val="007711FF"/>
    <w:rsid w:val="00771729"/>
    <w:rsid w:val="00771A30"/>
    <w:rsid w:val="00773208"/>
    <w:rsid w:val="0077542B"/>
    <w:rsid w:val="00776C54"/>
    <w:rsid w:val="00777923"/>
    <w:rsid w:val="00780054"/>
    <w:rsid w:val="0078138C"/>
    <w:rsid w:val="00781D7A"/>
    <w:rsid w:val="00782138"/>
    <w:rsid w:val="0078349E"/>
    <w:rsid w:val="00784836"/>
    <w:rsid w:val="00784BB7"/>
    <w:rsid w:val="00785DE0"/>
    <w:rsid w:val="00787941"/>
    <w:rsid w:val="00790653"/>
    <w:rsid w:val="00790E27"/>
    <w:rsid w:val="00791B49"/>
    <w:rsid w:val="00793CB2"/>
    <w:rsid w:val="0079409A"/>
    <w:rsid w:val="00795CC9"/>
    <w:rsid w:val="00796789"/>
    <w:rsid w:val="00797404"/>
    <w:rsid w:val="007A0E38"/>
    <w:rsid w:val="007A0EEF"/>
    <w:rsid w:val="007A11A8"/>
    <w:rsid w:val="007A174E"/>
    <w:rsid w:val="007A1947"/>
    <w:rsid w:val="007A2E76"/>
    <w:rsid w:val="007A3508"/>
    <w:rsid w:val="007A36B1"/>
    <w:rsid w:val="007A3973"/>
    <w:rsid w:val="007A48F8"/>
    <w:rsid w:val="007A513B"/>
    <w:rsid w:val="007A5522"/>
    <w:rsid w:val="007A5B8C"/>
    <w:rsid w:val="007A6FD5"/>
    <w:rsid w:val="007A763F"/>
    <w:rsid w:val="007A7BFC"/>
    <w:rsid w:val="007B07CD"/>
    <w:rsid w:val="007B0CF0"/>
    <w:rsid w:val="007B10CF"/>
    <w:rsid w:val="007B382A"/>
    <w:rsid w:val="007B3FEF"/>
    <w:rsid w:val="007B42A1"/>
    <w:rsid w:val="007B43CC"/>
    <w:rsid w:val="007B4BA9"/>
    <w:rsid w:val="007B58C6"/>
    <w:rsid w:val="007B5FEA"/>
    <w:rsid w:val="007B6677"/>
    <w:rsid w:val="007B72F8"/>
    <w:rsid w:val="007B7369"/>
    <w:rsid w:val="007B74FA"/>
    <w:rsid w:val="007B7ABD"/>
    <w:rsid w:val="007C12CB"/>
    <w:rsid w:val="007C1399"/>
    <w:rsid w:val="007C1A3E"/>
    <w:rsid w:val="007C1BED"/>
    <w:rsid w:val="007C3635"/>
    <w:rsid w:val="007C4EE1"/>
    <w:rsid w:val="007C58FF"/>
    <w:rsid w:val="007C590C"/>
    <w:rsid w:val="007C6340"/>
    <w:rsid w:val="007C717D"/>
    <w:rsid w:val="007C74FA"/>
    <w:rsid w:val="007C7D49"/>
    <w:rsid w:val="007D0181"/>
    <w:rsid w:val="007D0431"/>
    <w:rsid w:val="007D145A"/>
    <w:rsid w:val="007D182B"/>
    <w:rsid w:val="007D4BC3"/>
    <w:rsid w:val="007D50A4"/>
    <w:rsid w:val="007D534F"/>
    <w:rsid w:val="007D5C3A"/>
    <w:rsid w:val="007D6958"/>
    <w:rsid w:val="007D6E9B"/>
    <w:rsid w:val="007D7A95"/>
    <w:rsid w:val="007D7CF1"/>
    <w:rsid w:val="007E0CF6"/>
    <w:rsid w:val="007E15C1"/>
    <w:rsid w:val="007E2EF6"/>
    <w:rsid w:val="007E3719"/>
    <w:rsid w:val="007E3D9B"/>
    <w:rsid w:val="007E3DCF"/>
    <w:rsid w:val="007E3E78"/>
    <w:rsid w:val="007E4C4A"/>
    <w:rsid w:val="007E54C0"/>
    <w:rsid w:val="007E573B"/>
    <w:rsid w:val="007E5C39"/>
    <w:rsid w:val="007E7567"/>
    <w:rsid w:val="007E7E44"/>
    <w:rsid w:val="007F1416"/>
    <w:rsid w:val="007F19F5"/>
    <w:rsid w:val="007F2C75"/>
    <w:rsid w:val="007F4BD1"/>
    <w:rsid w:val="007F513F"/>
    <w:rsid w:val="007F518A"/>
    <w:rsid w:val="007F6D3F"/>
    <w:rsid w:val="007F6F7D"/>
    <w:rsid w:val="00800090"/>
    <w:rsid w:val="00800595"/>
    <w:rsid w:val="00800C0E"/>
    <w:rsid w:val="00801ECF"/>
    <w:rsid w:val="00802EFD"/>
    <w:rsid w:val="00803251"/>
    <w:rsid w:val="00803EBB"/>
    <w:rsid w:val="008047AA"/>
    <w:rsid w:val="00804F2A"/>
    <w:rsid w:val="00806903"/>
    <w:rsid w:val="00806E5A"/>
    <w:rsid w:val="00807232"/>
    <w:rsid w:val="00807901"/>
    <w:rsid w:val="00807E3F"/>
    <w:rsid w:val="00812423"/>
    <w:rsid w:val="008135D9"/>
    <w:rsid w:val="00813821"/>
    <w:rsid w:val="00814010"/>
    <w:rsid w:val="008150BD"/>
    <w:rsid w:val="008152EF"/>
    <w:rsid w:val="00815A50"/>
    <w:rsid w:val="00815AFA"/>
    <w:rsid w:val="00815F79"/>
    <w:rsid w:val="00816CD9"/>
    <w:rsid w:val="0081712A"/>
    <w:rsid w:val="00820ADF"/>
    <w:rsid w:val="008214E6"/>
    <w:rsid w:val="0082165F"/>
    <w:rsid w:val="00822446"/>
    <w:rsid w:val="008234B1"/>
    <w:rsid w:val="00823ED7"/>
    <w:rsid w:val="008261DD"/>
    <w:rsid w:val="0082716D"/>
    <w:rsid w:val="008274A3"/>
    <w:rsid w:val="00832508"/>
    <w:rsid w:val="0083263C"/>
    <w:rsid w:val="00832E15"/>
    <w:rsid w:val="008338E6"/>
    <w:rsid w:val="008346FC"/>
    <w:rsid w:val="008349ED"/>
    <w:rsid w:val="00834E99"/>
    <w:rsid w:val="008358EB"/>
    <w:rsid w:val="008360F2"/>
    <w:rsid w:val="00836678"/>
    <w:rsid w:val="00836736"/>
    <w:rsid w:val="00836EDA"/>
    <w:rsid w:val="00836FC1"/>
    <w:rsid w:val="008372ED"/>
    <w:rsid w:val="008375DA"/>
    <w:rsid w:val="00837EC4"/>
    <w:rsid w:val="0084037F"/>
    <w:rsid w:val="00840AAB"/>
    <w:rsid w:val="00840DA2"/>
    <w:rsid w:val="00841806"/>
    <w:rsid w:val="0084291F"/>
    <w:rsid w:val="0084300B"/>
    <w:rsid w:val="00843D7A"/>
    <w:rsid w:val="00843E3D"/>
    <w:rsid w:val="00844FCA"/>
    <w:rsid w:val="00846CEC"/>
    <w:rsid w:val="00846F2D"/>
    <w:rsid w:val="00846FAE"/>
    <w:rsid w:val="0084733E"/>
    <w:rsid w:val="00847424"/>
    <w:rsid w:val="00847569"/>
    <w:rsid w:val="00847F03"/>
    <w:rsid w:val="00847FC5"/>
    <w:rsid w:val="008502D6"/>
    <w:rsid w:val="0085078D"/>
    <w:rsid w:val="00852403"/>
    <w:rsid w:val="008532E9"/>
    <w:rsid w:val="00853386"/>
    <w:rsid w:val="00856CE1"/>
    <w:rsid w:val="00857463"/>
    <w:rsid w:val="0085758F"/>
    <w:rsid w:val="008577B1"/>
    <w:rsid w:val="00857DCB"/>
    <w:rsid w:val="00860B04"/>
    <w:rsid w:val="00860D31"/>
    <w:rsid w:val="00861260"/>
    <w:rsid w:val="0086194E"/>
    <w:rsid w:val="00861EFC"/>
    <w:rsid w:val="00862424"/>
    <w:rsid w:val="00862584"/>
    <w:rsid w:val="008647AD"/>
    <w:rsid w:val="00865D3F"/>
    <w:rsid w:val="00866C95"/>
    <w:rsid w:val="00866CE7"/>
    <w:rsid w:val="00867269"/>
    <w:rsid w:val="00867975"/>
    <w:rsid w:val="00870627"/>
    <w:rsid w:val="008714B7"/>
    <w:rsid w:val="0087392D"/>
    <w:rsid w:val="0087426D"/>
    <w:rsid w:val="00874ABB"/>
    <w:rsid w:val="0087526B"/>
    <w:rsid w:val="00875745"/>
    <w:rsid w:val="00875C7B"/>
    <w:rsid w:val="008761A2"/>
    <w:rsid w:val="00876306"/>
    <w:rsid w:val="00876A6F"/>
    <w:rsid w:val="00877254"/>
    <w:rsid w:val="00877D04"/>
    <w:rsid w:val="008817B4"/>
    <w:rsid w:val="00881921"/>
    <w:rsid w:val="008819C5"/>
    <w:rsid w:val="00881E58"/>
    <w:rsid w:val="008820B2"/>
    <w:rsid w:val="008821A8"/>
    <w:rsid w:val="008823F2"/>
    <w:rsid w:val="0088466D"/>
    <w:rsid w:val="0088469F"/>
    <w:rsid w:val="00884C32"/>
    <w:rsid w:val="00885759"/>
    <w:rsid w:val="0088606A"/>
    <w:rsid w:val="0088645B"/>
    <w:rsid w:val="00886CC9"/>
    <w:rsid w:val="00887B9A"/>
    <w:rsid w:val="00887D61"/>
    <w:rsid w:val="00887FD0"/>
    <w:rsid w:val="008907BA"/>
    <w:rsid w:val="008911F3"/>
    <w:rsid w:val="00891D7D"/>
    <w:rsid w:val="0089278D"/>
    <w:rsid w:val="008946CB"/>
    <w:rsid w:val="00894959"/>
    <w:rsid w:val="0089495D"/>
    <w:rsid w:val="00895839"/>
    <w:rsid w:val="00895DF4"/>
    <w:rsid w:val="00896086"/>
    <w:rsid w:val="00896AFA"/>
    <w:rsid w:val="00896CAE"/>
    <w:rsid w:val="00896D45"/>
    <w:rsid w:val="00896F5D"/>
    <w:rsid w:val="0089724B"/>
    <w:rsid w:val="008973CD"/>
    <w:rsid w:val="008A1C1A"/>
    <w:rsid w:val="008A1E8C"/>
    <w:rsid w:val="008A1FED"/>
    <w:rsid w:val="008A243D"/>
    <w:rsid w:val="008A2AFF"/>
    <w:rsid w:val="008A2CB1"/>
    <w:rsid w:val="008A37E0"/>
    <w:rsid w:val="008A38C2"/>
    <w:rsid w:val="008A3B59"/>
    <w:rsid w:val="008A3C25"/>
    <w:rsid w:val="008A4072"/>
    <w:rsid w:val="008A49D5"/>
    <w:rsid w:val="008A4A98"/>
    <w:rsid w:val="008A746C"/>
    <w:rsid w:val="008B0B36"/>
    <w:rsid w:val="008B2201"/>
    <w:rsid w:val="008B2596"/>
    <w:rsid w:val="008B27C4"/>
    <w:rsid w:val="008B3DD9"/>
    <w:rsid w:val="008B5C09"/>
    <w:rsid w:val="008B5FE6"/>
    <w:rsid w:val="008B67D4"/>
    <w:rsid w:val="008C0234"/>
    <w:rsid w:val="008C04ED"/>
    <w:rsid w:val="008C0AD5"/>
    <w:rsid w:val="008C0AF4"/>
    <w:rsid w:val="008C0BE4"/>
    <w:rsid w:val="008C0C21"/>
    <w:rsid w:val="008C12DF"/>
    <w:rsid w:val="008C2273"/>
    <w:rsid w:val="008C2364"/>
    <w:rsid w:val="008C23AC"/>
    <w:rsid w:val="008C26AB"/>
    <w:rsid w:val="008C2B7C"/>
    <w:rsid w:val="008C3F9A"/>
    <w:rsid w:val="008C401D"/>
    <w:rsid w:val="008C58EA"/>
    <w:rsid w:val="008C6069"/>
    <w:rsid w:val="008C6813"/>
    <w:rsid w:val="008C6FDA"/>
    <w:rsid w:val="008C73AB"/>
    <w:rsid w:val="008D0D9C"/>
    <w:rsid w:val="008D123A"/>
    <w:rsid w:val="008D14BC"/>
    <w:rsid w:val="008D15A5"/>
    <w:rsid w:val="008D2897"/>
    <w:rsid w:val="008D561A"/>
    <w:rsid w:val="008D5A30"/>
    <w:rsid w:val="008D6F4B"/>
    <w:rsid w:val="008D7394"/>
    <w:rsid w:val="008E01C1"/>
    <w:rsid w:val="008E0D14"/>
    <w:rsid w:val="008E13BC"/>
    <w:rsid w:val="008E1962"/>
    <w:rsid w:val="008E1A89"/>
    <w:rsid w:val="008E2890"/>
    <w:rsid w:val="008E3874"/>
    <w:rsid w:val="008E4A1C"/>
    <w:rsid w:val="008E5C30"/>
    <w:rsid w:val="008E6578"/>
    <w:rsid w:val="008E68D4"/>
    <w:rsid w:val="008E6C7F"/>
    <w:rsid w:val="008E6E16"/>
    <w:rsid w:val="008F0937"/>
    <w:rsid w:val="008F19D1"/>
    <w:rsid w:val="008F2DF2"/>
    <w:rsid w:val="008F3FF9"/>
    <w:rsid w:val="008F4C48"/>
    <w:rsid w:val="008F5482"/>
    <w:rsid w:val="008F690B"/>
    <w:rsid w:val="008F6CE3"/>
    <w:rsid w:val="008F6DAD"/>
    <w:rsid w:val="008F7000"/>
    <w:rsid w:val="008F7C17"/>
    <w:rsid w:val="008F7E7E"/>
    <w:rsid w:val="00900065"/>
    <w:rsid w:val="0090104B"/>
    <w:rsid w:val="0090117F"/>
    <w:rsid w:val="0090166D"/>
    <w:rsid w:val="00901CF1"/>
    <w:rsid w:val="00902540"/>
    <w:rsid w:val="00902720"/>
    <w:rsid w:val="00903F12"/>
    <w:rsid w:val="0090418B"/>
    <w:rsid w:val="0090537E"/>
    <w:rsid w:val="009053C8"/>
    <w:rsid w:val="009071AD"/>
    <w:rsid w:val="00907482"/>
    <w:rsid w:val="00911DF7"/>
    <w:rsid w:val="00912745"/>
    <w:rsid w:val="009128FA"/>
    <w:rsid w:val="009132B2"/>
    <w:rsid w:val="009134C8"/>
    <w:rsid w:val="00913DC4"/>
    <w:rsid w:val="009150ED"/>
    <w:rsid w:val="00917129"/>
    <w:rsid w:val="00917149"/>
    <w:rsid w:val="00917440"/>
    <w:rsid w:val="0092140E"/>
    <w:rsid w:val="00921EAA"/>
    <w:rsid w:val="009221D7"/>
    <w:rsid w:val="00922537"/>
    <w:rsid w:val="00923435"/>
    <w:rsid w:val="00923DD7"/>
    <w:rsid w:val="00925977"/>
    <w:rsid w:val="00925C33"/>
    <w:rsid w:val="0092607E"/>
    <w:rsid w:val="0092698D"/>
    <w:rsid w:val="00932D2D"/>
    <w:rsid w:val="00933E10"/>
    <w:rsid w:val="009341F0"/>
    <w:rsid w:val="00934530"/>
    <w:rsid w:val="009348FA"/>
    <w:rsid w:val="00934E33"/>
    <w:rsid w:val="00935539"/>
    <w:rsid w:val="00935877"/>
    <w:rsid w:val="00935B91"/>
    <w:rsid w:val="00936704"/>
    <w:rsid w:val="009368E7"/>
    <w:rsid w:val="00936905"/>
    <w:rsid w:val="009376D2"/>
    <w:rsid w:val="00937ED3"/>
    <w:rsid w:val="009405D1"/>
    <w:rsid w:val="00940980"/>
    <w:rsid w:val="00941E1C"/>
    <w:rsid w:val="009428DD"/>
    <w:rsid w:val="00942C19"/>
    <w:rsid w:val="00942FD9"/>
    <w:rsid w:val="0094455F"/>
    <w:rsid w:val="00944687"/>
    <w:rsid w:val="0094573B"/>
    <w:rsid w:val="00945841"/>
    <w:rsid w:val="0094669F"/>
    <w:rsid w:val="009507DC"/>
    <w:rsid w:val="00951645"/>
    <w:rsid w:val="0095302A"/>
    <w:rsid w:val="009536B7"/>
    <w:rsid w:val="00953D4B"/>
    <w:rsid w:val="00954942"/>
    <w:rsid w:val="009561BC"/>
    <w:rsid w:val="00956A10"/>
    <w:rsid w:val="009579DF"/>
    <w:rsid w:val="009603FF"/>
    <w:rsid w:val="00960409"/>
    <w:rsid w:val="00960F2E"/>
    <w:rsid w:val="00961881"/>
    <w:rsid w:val="009618ED"/>
    <w:rsid w:val="0096397B"/>
    <w:rsid w:val="0096453F"/>
    <w:rsid w:val="0096763E"/>
    <w:rsid w:val="00967A31"/>
    <w:rsid w:val="00967CF5"/>
    <w:rsid w:val="0097089D"/>
    <w:rsid w:val="00971984"/>
    <w:rsid w:val="00971BE3"/>
    <w:rsid w:val="00971D86"/>
    <w:rsid w:val="00971E70"/>
    <w:rsid w:val="0097296C"/>
    <w:rsid w:val="00972D4D"/>
    <w:rsid w:val="00972FA9"/>
    <w:rsid w:val="009739C3"/>
    <w:rsid w:val="00973D88"/>
    <w:rsid w:val="00973DE6"/>
    <w:rsid w:val="00973E75"/>
    <w:rsid w:val="00974166"/>
    <w:rsid w:val="009748E2"/>
    <w:rsid w:val="00974963"/>
    <w:rsid w:val="00974C27"/>
    <w:rsid w:val="00974E54"/>
    <w:rsid w:val="0097649E"/>
    <w:rsid w:val="00981650"/>
    <w:rsid w:val="00981F3E"/>
    <w:rsid w:val="009829BE"/>
    <w:rsid w:val="009836FE"/>
    <w:rsid w:val="00983D6F"/>
    <w:rsid w:val="0098417B"/>
    <w:rsid w:val="0098428B"/>
    <w:rsid w:val="0098470E"/>
    <w:rsid w:val="00984CD0"/>
    <w:rsid w:val="00986284"/>
    <w:rsid w:val="00986502"/>
    <w:rsid w:val="00986927"/>
    <w:rsid w:val="009879D1"/>
    <w:rsid w:val="00987A3F"/>
    <w:rsid w:val="00987AD5"/>
    <w:rsid w:val="00987C6B"/>
    <w:rsid w:val="00987C70"/>
    <w:rsid w:val="0099062D"/>
    <w:rsid w:val="009916C7"/>
    <w:rsid w:val="00991AF7"/>
    <w:rsid w:val="00992052"/>
    <w:rsid w:val="00993701"/>
    <w:rsid w:val="009946B2"/>
    <w:rsid w:val="009948C2"/>
    <w:rsid w:val="00996186"/>
    <w:rsid w:val="009A05DD"/>
    <w:rsid w:val="009A0B75"/>
    <w:rsid w:val="009A2123"/>
    <w:rsid w:val="009A2DB0"/>
    <w:rsid w:val="009A36A7"/>
    <w:rsid w:val="009A3D68"/>
    <w:rsid w:val="009A4117"/>
    <w:rsid w:val="009A4D4F"/>
    <w:rsid w:val="009A4E95"/>
    <w:rsid w:val="009A52E0"/>
    <w:rsid w:val="009A5888"/>
    <w:rsid w:val="009A62FD"/>
    <w:rsid w:val="009A6481"/>
    <w:rsid w:val="009A6A91"/>
    <w:rsid w:val="009A7488"/>
    <w:rsid w:val="009A7F43"/>
    <w:rsid w:val="009B0EAC"/>
    <w:rsid w:val="009B175E"/>
    <w:rsid w:val="009B1E0C"/>
    <w:rsid w:val="009B23A9"/>
    <w:rsid w:val="009B2AB6"/>
    <w:rsid w:val="009B2E31"/>
    <w:rsid w:val="009B3C64"/>
    <w:rsid w:val="009B3F1C"/>
    <w:rsid w:val="009B3F26"/>
    <w:rsid w:val="009B5838"/>
    <w:rsid w:val="009B5E49"/>
    <w:rsid w:val="009B6B8B"/>
    <w:rsid w:val="009B6EF6"/>
    <w:rsid w:val="009B70B2"/>
    <w:rsid w:val="009B7633"/>
    <w:rsid w:val="009B79FE"/>
    <w:rsid w:val="009C028B"/>
    <w:rsid w:val="009C03A7"/>
    <w:rsid w:val="009C1468"/>
    <w:rsid w:val="009C1C71"/>
    <w:rsid w:val="009C2A63"/>
    <w:rsid w:val="009C3201"/>
    <w:rsid w:val="009C45C2"/>
    <w:rsid w:val="009C4FC3"/>
    <w:rsid w:val="009C612E"/>
    <w:rsid w:val="009C6B49"/>
    <w:rsid w:val="009C71DC"/>
    <w:rsid w:val="009C72F6"/>
    <w:rsid w:val="009C7BFA"/>
    <w:rsid w:val="009C7D37"/>
    <w:rsid w:val="009D061F"/>
    <w:rsid w:val="009D0848"/>
    <w:rsid w:val="009D2620"/>
    <w:rsid w:val="009D3D59"/>
    <w:rsid w:val="009D4668"/>
    <w:rsid w:val="009D4F2E"/>
    <w:rsid w:val="009D70B9"/>
    <w:rsid w:val="009D798F"/>
    <w:rsid w:val="009D7EA2"/>
    <w:rsid w:val="009E0E9C"/>
    <w:rsid w:val="009E1181"/>
    <w:rsid w:val="009E1AA7"/>
    <w:rsid w:val="009E1AFC"/>
    <w:rsid w:val="009E1B77"/>
    <w:rsid w:val="009E23C6"/>
    <w:rsid w:val="009E3234"/>
    <w:rsid w:val="009E3276"/>
    <w:rsid w:val="009E4E3E"/>
    <w:rsid w:val="009E650B"/>
    <w:rsid w:val="009E7115"/>
    <w:rsid w:val="009E722C"/>
    <w:rsid w:val="009E7619"/>
    <w:rsid w:val="009E7917"/>
    <w:rsid w:val="009E7DEF"/>
    <w:rsid w:val="009E7FC2"/>
    <w:rsid w:val="009F0269"/>
    <w:rsid w:val="009F112F"/>
    <w:rsid w:val="009F215E"/>
    <w:rsid w:val="009F21F9"/>
    <w:rsid w:val="009F285C"/>
    <w:rsid w:val="009F3412"/>
    <w:rsid w:val="009F3930"/>
    <w:rsid w:val="009F4D74"/>
    <w:rsid w:val="009F5AD2"/>
    <w:rsid w:val="009F5EDB"/>
    <w:rsid w:val="009F63FE"/>
    <w:rsid w:val="009F6539"/>
    <w:rsid w:val="009F7089"/>
    <w:rsid w:val="00A0020E"/>
    <w:rsid w:val="00A008C2"/>
    <w:rsid w:val="00A00C6C"/>
    <w:rsid w:val="00A00D13"/>
    <w:rsid w:val="00A01C02"/>
    <w:rsid w:val="00A0251F"/>
    <w:rsid w:val="00A03531"/>
    <w:rsid w:val="00A03C31"/>
    <w:rsid w:val="00A03E7F"/>
    <w:rsid w:val="00A0405F"/>
    <w:rsid w:val="00A047DA"/>
    <w:rsid w:val="00A05520"/>
    <w:rsid w:val="00A0626F"/>
    <w:rsid w:val="00A06A72"/>
    <w:rsid w:val="00A07688"/>
    <w:rsid w:val="00A07E79"/>
    <w:rsid w:val="00A100F9"/>
    <w:rsid w:val="00A110E3"/>
    <w:rsid w:val="00A11DFC"/>
    <w:rsid w:val="00A125DE"/>
    <w:rsid w:val="00A12861"/>
    <w:rsid w:val="00A12A8B"/>
    <w:rsid w:val="00A13672"/>
    <w:rsid w:val="00A1388B"/>
    <w:rsid w:val="00A1479E"/>
    <w:rsid w:val="00A15198"/>
    <w:rsid w:val="00A15FF1"/>
    <w:rsid w:val="00A16042"/>
    <w:rsid w:val="00A17697"/>
    <w:rsid w:val="00A21895"/>
    <w:rsid w:val="00A24068"/>
    <w:rsid w:val="00A24082"/>
    <w:rsid w:val="00A25EC2"/>
    <w:rsid w:val="00A25F8C"/>
    <w:rsid w:val="00A261B5"/>
    <w:rsid w:val="00A26CA0"/>
    <w:rsid w:val="00A272E7"/>
    <w:rsid w:val="00A2751B"/>
    <w:rsid w:val="00A27651"/>
    <w:rsid w:val="00A277DF"/>
    <w:rsid w:val="00A27829"/>
    <w:rsid w:val="00A318E5"/>
    <w:rsid w:val="00A34279"/>
    <w:rsid w:val="00A34404"/>
    <w:rsid w:val="00A34A23"/>
    <w:rsid w:val="00A3511B"/>
    <w:rsid w:val="00A352B0"/>
    <w:rsid w:val="00A35604"/>
    <w:rsid w:val="00A35DFA"/>
    <w:rsid w:val="00A371AB"/>
    <w:rsid w:val="00A372ED"/>
    <w:rsid w:val="00A37BD0"/>
    <w:rsid w:val="00A410F5"/>
    <w:rsid w:val="00A4120F"/>
    <w:rsid w:val="00A41AE7"/>
    <w:rsid w:val="00A42101"/>
    <w:rsid w:val="00A438C5"/>
    <w:rsid w:val="00A43BD6"/>
    <w:rsid w:val="00A44335"/>
    <w:rsid w:val="00A44DE4"/>
    <w:rsid w:val="00A44E87"/>
    <w:rsid w:val="00A467FE"/>
    <w:rsid w:val="00A47205"/>
    <w:rsid w:val="00A472DE"/>
    <w:rsid w:val="00A477C5"/>
    <w:rsid w:val="00A47CAB"/>
    <w:rsid w:val="00A51500"/>
    <w:rsid w:val="00A520F5"/>
    <w:rsid w:val="00A52405"/>
    <w:rsid w:val="00A526A9"/>
    <w:rsid w:val="00A52939"/>
    <w:rsid w:val="00A52F0D"/>
    <w:rsid w:val="00A53364"/>
    <w:rsid w:val="00A53E5C"/>
    <w:rsid w:val="00A53FAD"/>
    <w:rsid w:val="00A55443"/>
    <w:rsid w:val="00A57CBE"/>
    <w:rsid w:val="00A60E2A"/>
    <w:rsid w:val="00A60EA1"/>
    <w:rsid w:val="00A61452"/>
    <w:rsid w:val="00A61940"/>
    <w:rsid w:val="00A61D94"/>
    <w:rsid w:val="00A62B1C"/>
    <w:rsid w:val="00A62C21"/>
    <w:rsid w:val="00A62E2C"/>
    <w:rsid w:val="00A6394B"/>
    <w:rsid w:val="00A6434A"/>
    <w:rsid w:val="00A65C85"/>
    <w:rsid w:val="00A660A0"/>
    <w:rsid w:val="00A664BF"/>
    <w:rsid w:val="00A666B2"/>
    <w:rsid w:val="00A67532"/>
    <w:rsid w:val="00A67C71"/>
    <w:rsid w:val="00A7059B"/>
    <w:rsid w:val="00A71578"/>
    <w:rsid w:val="00A72221"/>
    <w:rsid w:val="00A723F0"/>
    <w:rsid w:val="00A731BF"/>
    <w:rsid w:val="00A731F0"/>
    <w:rsid w:val="00A73E24"/>
    <w:rsid w:val="00A7531A"/>
    <w:rsid w:val="00A7554A"/>
    <w:rsid w:val="00A76445"/>
    <w:rsid w:val="00A76470"/>
    <w:rsid w:val="00A77894"/>
    <w:rsid w:val="00A77902"/>
    <w:rsid w:val="00A8033E"/>
    <w:rsid w:val="00A81A9D"/>
    <w:rsid w:val="00A8258D"/>
    <w:rsid w:val="00A8271C"/>
    <w:rsid w:val="00A82CD7"/>
    <w:rsid w:val="00A836D0"/>
    <w:rsid w:val="00A8382B"/>
    <w:rsid w:val="00A83C79"/>
    <w:rsid w:val="00A8469D"/>
    <w:rsid w:val="00A8513C"/>
    <w:rsid w:val="00A86C6C"/>
    <w:rsid w:val="00A86EFD"/>
    <w:rsid w:val="00A87921"/>
    <w:rsid w:val="00A87CF4"/>
    <w:rsid w:val="00A90B55"/>
    <w:rsid w:val="00A90F2F"/>
    <w:rsid w:val="00A91321"/>
    <w:rsid w:val="00A9169E"/>
    <w:rsid w:val="00A91AB4"/>
    <w:rsid w:val="00A91C62"/>
    <w:rsid w:val="00A92510"/>
    <w:rsid w:val="00A92AB5"/>
    <w:rsid w:val="00A9344D"/>
    <w:rsid w:val="00A93F07"/>
    <w:rsid w:val="00A93FC7"/>
    <w:rsid w:val="00A941C7"/>
    <w:rsid w:val="00A944F9"/>
    <w:rsid w:val="00A95CE1"/>
    <w:rsid w:val="00A962E6"/>
    <w:rsid w:val="00A97C46"/>
    <w:rsid w:val="00A97CA7"/>
    <w:rsid w:val="00AA0D9D"/>
    <w:rsid w:val="00AA1E3C"/>
    <w:rsid w:val="00AA22CF"/>
    <w:rsid w:val="00AA286E"/>
    <w:rsid w:val="00AA2CBA"/>
    <w:rsid w:val="00AA34F0"/>
    <w:rsid w:val="00AA3DA6"/>
    <w:rsid w:val="00AA42BE"/>
    <w:rsid w:val="00AA43A9"/>
    <w:rsid w:val="00AA462C"/>
    <w:rsid w:val="00AA6FBC"/>
    <w:rsid w:val="00AA7056"/>
    <w:rsid w:val="00AA72E7"/>
    <w:rsid w:val="00AA7780"/>
    <w:rsid w:val="00AB0260"/>
    <w:rsid w:val="00AB0B76"/>
    <w:rsid w:val="00AB10F7"/>
    <w:rsid w:val="00AB31CE"/>
    <w:rsid w:val="00AB4403"/>
    <w:rsid w:val="00AB4899"/>
    <w:rsid w:val="00AB4D59"/>
    <w:rsid w:val="00AB51BE"/>
    <w:rsid w:val="00AB5638"/>
    <w:rsid w:val="00AB5B15"/>
    <w:rsid w:val="00AB68E4"/>
    <w:rsid w:val="00AB6E77"/>
    <w:rsid w:val="00AB717B"/>
    <w:rsid w:val="00AB78AE"/>
    <w:rsid w:val="00AC01F0"/>
    <w:rsid w:val="00AC0833"/>
    <w:rsid w:val="00AC0893"/>
    <w:rsid w:val="00AC0FF0"/>
    <w:rsid w:val="00AC1588"/>
    <w:rsid w:val="00AC2CFC"/>
    <w:rsid w:val="00AC35CA"/>
    <w:rsid w:val="00AC40BA"/>
    <w:rsid w:val="00AC453F"/>
    <w:rsid w:val="00AC491E"/>
    <w:rsid w:val="00AC530B"/>
    <w:rsid w:val="00AC6309"/>
    <w:rsid w:val="00AC6977"/>
    <w:rsid w:val="00AC743C"/>
    <w:rsid w:val="00AC7AD0"/>
    <w:rsid w:val="00AD17DD"/>
    <w:rsid w:val="00AD3075"/>
    <w:rsid w:val="00AD366E"/>
    <w:rsid w:val="00AD37FF"/>
    <w:rsid w:val="00AD4B10"/>
    <w:rsid w:val="00AD65B7"/>
    <w:rsid w:val="00AD67EB"/>
    <w:rsid w:val="00AD77E2"/>
    <w:rsid w:val="00AD7F06"/>
    <w:rsid w:val="00AE0107"/>
    <w:rsid w:val="00AE10F2"/>
    <w:rsid w:val="00AE167C"/>
    <w:rsid w:val="00AE1744"/>
    <w:rsid w:val="00AE1A19"/>
    <w:rsid w:val="00AE2362"/>
    <w:rsid w:val="00AE295E"/>
    <w:rsid w:val="00AE2D75"/>
    <w:rsid w:val="00AE3767"/>
    <w:rsid w:val="00AE5C78"/>
    <w:rsid w:val="00AE5EC3"/>
    <w:rsid w:val="00AE5EF4"/>
    <w:rsid w:val="00AE71AF"/>
    <w:rsid w:val="00AE75DE"/>
    <w:rsid w:val="00AE787D"/>
    <w:rsid w:val="00AF00FB"/>
    <w:rsid w:val="00AF1554"/>
    <w:rsid w:val="00AF1779"/>
    <w:rsid w:val="00AF1F7F"/>
    <w:rsid w:val="00AF3753"/>
    <w:rsid w:val="00AF38AE"/>
    <w:rsid w:val="00AF3BFF"/>
    <w:rsid w:val="00AF3D6C"/>
    <w:rsid w:val="00AF42F9"/>
    <w:rsid w:val="00AF4633"/>
    <w:rsid w:val="00AF47A0"/>
    <w:rsid w:val="00AF4E61"/>
    <w:rsid w:val="00AF571D"/>
    <w:rsid w:val="00AF5DF7"/>
    <w:rsid w:val="00AF6072"/>
    <w:rsid w:val="00AF6B21"/>
    <w:rsid w:val="00AF783B"/>
    <w:rsid w:val="00AF7AB7"/>
    <w:rsid w:val="00B005F8"/>
    <w:rsid w:val="00B006F4"/>
    <w:rsid w:val="00B00A3E"/>
    <w:rsid w:val="00B012C1"/>
    <w:rsid w:val="00B015F3"/>
    <w:rsid w:val="00B017F8"/>
    <w:rsid w:val="00B01E5E"/>
    <w:rsid w:val="00B036A0"/>
    <w:rsid w:val="00B03F29"/>
    <w:rsid w:val="00B053C7"/>
    <w:rsid w:val="00B06B58"/>
    <w:rsid w:val="00B076FD"/>
    <w:rsid w:val="00B07FAE"/>
    <w:rsid w:val="00B10563"/>
    <w:rsid w:val="00B10667"/>
    <w:rsid w:val="00B107A4"/>
    <w:rsid w:val="00B10C73"/>
    <w:rsid w:val="00B11BB2"/>
    <w:rsid w:val="00B1233C"/>
    <w:rsid w:val="00B1262C"/>
    <w:rsid w:val="00B1272D"/>
    <w:rsid w:val="00B12ED9"/>
    <w:rsid w:val="00B13719"/>
    <w:rsid w:val="00B138E8"/>
    <w:rsid w:val="00B13AFE"/>
    <w:rsid w:val="00B14CB0"/>
    <w:rsid w:val="00B15E69"/>
    <w:rsid w:val="00B160B5"/>
    <w:rsid w:val="00B16335"/>
    <w:rsid w:val="00B16B42"/>
    <w:rsid w:val="00B17C60"/>
    <w:rsid w:val="00B20362"/>
    <w:rsid w:val="00B21D91"/>
    <w:rsid w:val="00B220A2"/>
    <w:rsid w:val="00B22432"/>
    <w:rsid w:val="00B25A1B"/>
    <w:rsid w:val="00B25A45"/>
    <w:rsid w:val="00B25CB3"/>
    <w:rsid w:val="00B2652D"/>
    <w:rsid w:val="00B27138"/>
    <w:rsid w:val="00B27232"/>
    <w:rsid w:val="00B278B4"/>
    <w:rsid w:val="00B30D7C"/>
    <w:rsid w:val="00B30FC4"/>
    <w:rsid w:val="00B311FF"/>
    <w:rsid w:val="00B32200"/>
    <w:rsid w:val="00B32BF6"/>
    <w:rsid w:val="00B3397F"/>
    <w:rsid w:val="00B34251"/>
    <w:rsid w:val="00B34340"/>
    <w:rsid w:val="00B35607"/>
    <w:rsid w:val="00B35FB9"/>
    <w:rsid w:val="00B361F6"/>
    <w:rsid w:val="00B368D6"/>
    <w:rsid w:val="00B368F0"/>
    <w:rsid w:val="00B3702C"/>
    <w:rsid w:val="00B40AC2"/>
    <w:rsid w:val="00B4119F"/>
    <w:rsid w:val="00B41550"/>
    <w:rsid w:val="00B41DF8"/>
    <w:rsid w:val="00B4241B"/>
    <w:rsid w:val="00B42E29"/>
    <w:rsid w:val="00B446E9"/>
    <w:rsid w:val="00B44D5B"/>
    <w:rsid w:val="00B45003"/>
    <w:rsid w:val="00B45186"/>
    <w:rsid w:val="00B4548D"/>
    <w:rsid w:val="00B45E5B"/>
    <w:rsid w:val="00B461DF"/>
    <w:rsid w:val="00B46233"/>
    <w:rsid w:val="00B46483"/>
    <w:rsid w:val="00B46CDD"/>
    <w:rsid w:val="00B46F73"/>
    <w:rsid w:val="00B46FF7"/>
    <w:rsid w:val="00B47C25"/>
    <w:rsid w:val="00B505BC"/>
    <w:rsid w:val="00B50EFF"/>
    <w:rsid w:val="00B51AD7"/>
    <w:rsid w:val="00B524F1"/>
    <w:rsid w:val="00B52527"/>
    <w:rsid w:val="00B52D42"/>
    <w:rsid w:val="00B530E1"/>
    <w:rsid w:val="00B53D95"/>
    <w:rsid w:val="00B53F11"/>
    <w:rsid w:val="00B5439F"/>
    <w:rsid w:val="00B546E5"/>
    <w:rsid w:val="00B548DE"/>
    <w:rsid w:val="00B56340"/>
    <w:rsid w:val="00B567DE"/>
    <w:rsid w:val="00B5694E"/>
    <w:rsid w:val="00B569BB"/>
    <w:rsid w:val="00B573C7"/>
    <w:rsid w:val="00B57A1D"/>
    <w:rsid w:val="00B57ED1"/>
    <w:rsid w:val="00B618A7"/>
    <w:rsid w:val="00B627D4"/>
    <w:rsid w:val="00B63CE4"/>
    <w:rsid w:val="00B66639"/>
    <w:rsid w:val="00B66944"/>
    <w:rsid w:val="00B66DBA"/>
    <w:rsid w:val="00B67018"/>
    <w:rsid w:val="00B67339"/>
    <w:rsid w:val="00B70DC4"/>
    <w:rsid w:val="00B71FB4"/>
    <w:rsid w:val="00B7211A"/>
    <w:rsid w:val="00B72161"/>
    <w:rsid w:val="00B72576"/>
    <w:rsid w:val="00B728D5"/>
    <w:rsid w:val="00B72F0C"/>
    <w:rsid w:val="00B739BD"/>
    <w:rsid w:val="00B73DD2"/>
    <w:rsid w:val="00B73E96"/>
    <w:rsid w:val="00B75CFC"/>
    <w:rsid w:val="00B770D4"/>
    <w:rsid w:val="00B772EA"/>
    <w:rsid w:val="00B77854"/>
    <w:rsid w:val="00B77A1B"/>
    <w:rsid w:val="00B77B70"/>
    <w:rsid w:val="00B816C5"/>
    <w:rsid w:val="00B81D7B"/>
    <w:rsid w:val="00B830BD"/>
    <w:rsid w:val="00B843DE"/>
    <w:rsid w:val="00B848E6"/>
    <w:rsid w:val="00B849EF"/>
    <w:rsid w:val="00B85939"/>
    <w:rsid w:val="00B85A97"/>
    <w:rsid w:val="00B86D4B"/>
    <w:rsid w:val="00B86F72"/>
    <w:rsid w:val="00B87578"/>
    <w:rsid w:val="00B90A04"/>
    <w:rsid w:val="00B90BCE"/>
    <w:rsid w:val="00B914E5"/>
    <w:rsid w:val="00B921DB"/>
    <w:rsid w:val="00B9260F"/>
    <w:rsid w:val="00B934ED"/>
    <w:rsid w:val="00B93914"/>
    <w:rsid w:val="00B9400B"/>
    <w:rsid w:val="00B953CD"/>
    <w:rsid w:val="00B96237"/>
    <w:rsid w:val="00B962EC"/>
    <w:rsid w:val="00B96465"/>
    <w:rsid w:val="00B96529"/>
    <w:rsid w:val="00B96A5C"/>
    <w:rsid w:val="00B9746A"/>
    <w:rsid w:val="00BA0529"/>
    <w:rsid w:val="00BA0E4E"/>
    <w:rsid w:val="00BA1468"/>
    <w:rsid w:val="00BA1FED"/>
    <w:rsid w:val="00BA2508"/>
    <w:rsid w:val="00BA26B4"/>
    <w:rsid w:val="00BA4982"/>
    <w:rsid w:val="00BA513F"/>
    <w:rsid w:val="00BA540E"/>
    <w:rsid w:val="00BA5894"/>
    <w:rsid w:val="00BA5B90"/>
    <w:rsid w:val="00BA7B80"/>
    <w:rsid w:val="00BB1ABB"/>
    <w:rsid w:val="00BB211E"/>
    <w:rsid w:val="00BB26F8"/>
    <w:rsid w:val="00BB279B"/>
    <w:rsid w:val="00BB4A81"/>
    <w:rsid w:val="00BB5333"/>
    <w:rsid w:val="00BB5449"/>
    <w:rsid w:val="00BB6AF8"/>
    <w:rsid w:val="00BB6BF3"/>
    <w:rsid w:val="00BB75D9"/>
    <w:rsid w:val="00BC3C84"/>
    <w:rsid w:val="00BC432D"/>
    <w:rsid w:val="00BC4485"/>
    <w:rsid w:val="00BC5B24"/>
    <w:rsid w:val="00BC71FB"/>
    <w:rsid w:val="00BC7F1C"/>
    <w:rsid w:val="00BD0A28"/>
    <w:rsid w:val="00BD0D2E"/>
    <w:rsid w:val="00BD0F47"/>
    <w:rsid w:val="00BD150A"/>
    <w:rsid w:val="00BD16F2"/>
    <w:rsid w:val="00BD216D"/>
    <w:rsid w:val="00BD26F6"/>
    <w:rsid w:val="00BD3006"/>
    <w:rsid w:val="00BD60CE"/>
    <w:rsid w:val="00BD7E38"/>
    <w:rsid w:val="00BE0435"/>
    <w:rsid w:val="00BE0874"/>
    <w:rsid w:val="00BE133A"/>
    <w:rsid w:val="00BE152D"/>
    <w:rsid w:val="00BE17D7"/>
    <w:rsid w:val="00BE1895"/>
    <w:rsid w:val="00BE273E"/>
    <w:rsid w:val="00BE2A05"/>
    <w:rsid w:val="00BE3A1E"/>
    <w:rsid w:val="00BE401C"/>
    <w:rsid w:val="00BE4161"/>
    <w:rsid w:val="00BE455B"/>
    <w:rsid w:val="00BE51BC"/>
    <w:rsid w:val="00BE5660"/>
    <w:rsid w:val="00BE5764"/>
    <w:rsid w:val="00BE5FAE"/>
    <w:rsid w:val="00BE60CD"/>
    <w:rsid w:val="00BE6A5F"/>
    <w:rsid w:val="00BE6A87"/>
    <w:rsid w:val="00BE7374"/>
    <w:rsid w:val="00BE75A2"/>
    <w:rsid w:val="00BE7E32"/>
    <w:rsid w:val="00BF0557"/>
    <w:rsid w:val="00BF059C"/>
    <w:rsid w:val="00BF0BB5"/>
    <w:rsid w:val="00BF1013"/>
    <w:rsid w:val="00BF246D"/>
    <w:rsid w:val="00BF2A3B"/>
    <w:rsid w:val="00BF2B27"/>
    <w:rsid w:val="00BF2B9A"/>
    <w:rsid w:val="00BF3AD2"/>
    <w:rsid w:val="00BF40C9"/>
    <w:rsid w:val="00BF47F7"/>
    <w:rsid w:val="00BF481A"/>
    <w:rsid w:val="00BF57FE"/>
    <w:rsid w:val="00BF5C00"/>
    <w:rsid w:val="00BF5F23"/>
    <w:rsid w:val="00BF6B03"/>
    <w:rsid w:val="00BF7A8B"/>
    <w:rsid w:val="00C00641"/>
    <w:rsid w:val="00C00AE9"/>
    <w:rsid w:val="00C00DCD"/>
    <w:rsid w:val="00C0163A"/>
    <w:rsid w:val="00C01D73"/>
    <w:rsid w:val="00C01F74"/>
    <w:rsid w:val="00C021AC"/>
    <w:rsid w:val="00C0351B"/>
    <w:rsid w:val="00C059E8"/>
    <w:rsid w:val="00C05BBB"/>
    <w:rsid w:val="00C05D06"/>
    <w:rsid w:val="00C05E97"/>
    <w:rsid w:val="00C066B4"/>
    <w:rsid w:val="00C07284"/>
    <w:rsid w:val="00C072B8"/>
    <w:rsid w:val="00C0756C"/>
    <w:rsid w:val="00C10204"/>
    <w:rsid w:val="00C10699"/>
    <w:rsid w:val="00C11D11"/>
    <w:rsid w:val="00C11FF6"/>
    <w:rsid w:val="00C1237C"/>
    <w:rsid w:val="00C14304"/>
    <w:rsid w:val="00C14366"/>
    <w:rsid w:val="00C14A19"/>
    <w:rsid w:val="00C15342"/>
    <w:rsid w:val="00C15D59"/>
    <w:rsid w:val="00C1661A"/>
    <w:rsid w:val="00C1724E"/>
    <w:rsid w:val="00C21829"/>
    <w:rsid w:val="00C21854"/>
    <w:rsid w:val="00C238F1"/>
    <w:rsid w:val="00C23F8F"/>
    <w:rsid w:val="00C244CD"/>
    <w:rsid w:val="00C24AE9"/>
    <w:rsid w:val="00C2550E"/>
    <w:rsid w:val="00C255AA"/>
    <w:rsid w:val="00C25832"/>
    <w:rsid w:val="00C25DF6"/>
    <w:rsid w:val="00C26012"/>
    <w:rsid w:val="00C27049"/>
    <w:rsid w:val="00C27257"/>
    <w:rsid w:val="00C278B5"/>
    <w:rsid w:val="00C27CDD"/>
    <w:rsid w:val="00C30911"/>
    <w:rsid w:val="00C312AA"/>
    <w:rsid w:val="00C31351"/>
    <w:rsid w:val="00C324C6"/>
    <w:rsid w:val="00C32592"/>
    <w:rsid w:val="00C32670"/>
    <w:rsid w:val="00C32813"/>
    <w:rsid w:val="00C32DDD"/>
    <w:rsid w:val="00C333BF"/>
    <w:rsid w:val="00C352EB"/>
    <w:rsid w:val="00C35747"/>
    <w:rsid w:val="00C3694D"/>
    <w:rsid w:val="00C3758E"/>
    <w:rsid w:val="00C40A48"/>
    <w:rsid w:val="00C40CF8"/>
    <w:rsid w:val="00C4157D"/>
    <w:rsid w:val="00C416BA"/>
    <w:rsid w:val="00C41C15"/>
    <w:rsid w:val="00C42052"/>
    <w:rsid w:val="00C4220F"/>
    <w:rsid w:val="00C42CED"/>
    <w:rsid w:val="00C434B9"/>
    <w:rsid w:val="00C436CB"/>
    <w:rsid w:val="00C4448B"/>
    <w:rsid w:val="00C44846"/>
    <w:rsid w:val="00C44C22"/>
    <w:rsid w:val="00C456E5"/>
    <w:rsid w:val="00C45E23"/>
    <w:rsid w:val="00C45FAA"/>
    <w:rsid w:val="00C461DB"/>
    <w:rsid w:val="00C46970"/>
    <w:rsid w:val="00C476C3"/>
    <w:rsid w:val="00C50592"/>
    <w:rsid w:val="00C506AB"/>
    <w:rsid w:val="00C518D7"/>
    <w:rsid w:val="00C52BCE"/>
    <w:rsid w:val="00C53FDC"/>
    <w:rsid w:val="00C544F7"/>
    <w:rsid w:val="00C5490A"/>
    <w:rsid w:val="00C556E5"/>
    <w:rsid w:val="00C55AE0"/>
    <w:rsid w:val="00C55E8A"/>
    <w:rsid w:val="00C564A3"/>
    <w:rsid w:val="00C56540"/>
    <w:rsid w:val="00C569F6"/>
    <w:rsid w:val="00C60B08"/>
    <w:rsid w:val="00C613B4"/>
    <w:rsid w:val="00C626AE"/>
    <w:rsid w:val="00C62BD7"/>
    <w:rsid w:val="00C63971"/>
    <w:rsid w:val="00C63A4C"/>
    <w:rsid w:val="00C64191"/>
    <w:rsid w:val="00C64478"/>
    <w:rsid w:val="00C65DAB"/>
    <w:rsid w:val="00C65ECD"/>
    <w:rsid w:val="00C6678F"/>
    <w:rsid w:val="00C675F9"/>
    <w:rsid w:val="00C70532"/>
    <w:rsid w:val="00C721D7"/>
    <w:rsid w:val="00C72422"/>
    <w:rsid w:val="00C7248E"/>
    <w:rsid w:val="00C72F39"/>
    <w:rsid w:val="00C73677"/>
    <w:rsid w:val="00C73FAD"/>
    <w:rsid w:val="00C7444D"/>
    <w:rsid w:val="00C7459D"/>
    <w:rsid w:val="00C75E1A"/>
    <w:rsid w:val="00C76DE5"/>
    <w:rsid w:val="00C77E94"/>
    <w:rsid w:val="00C807C3"/>
    <w:rsid w:val="00C80F12"/>
    <w:rsid w:val="00C82562"/>
    <w:rsid w:val="00C8344F"/>
    <w:rsid w:val="00C837B9"/>
    <w:rsid w:val="00C837DC"/>
    <w:rsid w:val="00C841C4"/>
    <w:rsid w:val="00C841DB"/>
    <w:rsid w:val="00C852AD"/>
    <w:rsid w:val="00C8648C"/>
    <w:rsid w:val="00C86E1C"/>
    <w:rsid w:val="00C87A16"/>
    <w:rsid w:val="00C87D14"/>
    <w:rsid w:val="00C87DBB"/>
    <w:rsid w:val="00C87F21"/>
    <w:rsid w:val="00C907B8"/>
    <w:rsid w:val="00C90F48"/>
    <w:rsid w:val="00C916A2"/>
    <w:rsid w:val="00C918B2"/>
    <w:rsid w:val="00C918CA"/>
    <w:rsid w:val="00C939A1"/>
    <w:rsid w:val="00C93F76"/>
    <w:rsid w:val="00C95B1E"/>
    <w:rsid w:val="00C96CFE"/>
    <w:rsid w:val="00C96DEF"/>
    <w:rsid w:val="00C9712A"/>
    <w:rsid w:val="00C9757B"/>
    <w:rsid w:val="00C97745"/>
    <w:rsid w:val="00CA1383"/>
    <w:rsid w:val="00CA1B54"/>
    <w:rsid w:val="00CA1CD3"/>
    <w:rsid w:val="00CA2B7B"/>
    <w:rsid w:val="00CA2FB6"/>
    <w:rsid w:val="00CA307E"/>
    <w:rsid w:val="00CA33C3"/>
    <w:rsid w:val="00CA3DC0"/>
    <w:rsid w:val="00CA40DB"/>
    <w:rsid w:val="00CA587B"/>
    <w:rsid w:val="00CA6096"/>
    <w:rsid w:val="00CA6C79"/>
    <w:rsid w:val="00CA75E5"/>
    <w:rsid w:val="00CA7844"/>
    <w:rsid w:val="00CB12B8"/>
    <w:rsid w:val="00CB1BAC"/>
    <w:rsid w:val="00CB239B"/>
    <w:rsid w:val="00CB2AEE"/>
    <w:rsid w:val="00CB2AF2"/>
    <w:rsid w:val="00CB2E75"/>
    <w:rsid w:val="00CB4120"/>
    <w:rsid w:val="00CB4A11"/>
    <w:rsid w:val="00CB5C55"/>
    <w:rsid w:val="00CB6161"/>
    <w:rsid w:val="00CB6F84"/>
    <w:rsid w:val="00CB7A71"/>
    <w:rsid w:val="00CC07B9"/>
    <w:rsid w:val="00CC2C8A"/>
    <w:rsid w:val="00CC3ECC"/>
    <w:rsid w:val="00CC4385"/>
    <w:rsid w:val="00CC4AD1"/>
    <w:rsid w:val="00CC5230"/>
    <w:rsid w:val="00CC5376"/>
    <w:rsid w:val="00CC6CD8"/>
    <w:rsid w:val="00CD06E1"/>
    <w:rsid w:val="00CD0870"/>
    <w:rsid w:val="00CD0B3B"/>
    <w:rsid w:val="00CD1AB2"/>
    <w:rsid w:val="00CD1C4A"/>
    <w:rsid w:val="00CD3056"/>
    <w:rsid w:val="00CD38F8"/>
    <w:rsid w:val="00CD3FF0"/>
    <w:rsid w:val="00CD4FAC"/>
    <w:rsid w:val="00CD5CFB"/>
    <w:rsid w:val="00CD5EB3"/>
    <w:rsid w:val="00CD7B08"/>
    <w:rsid w:val="00CD7CCD"/>
    <w:rsid w:val="00CE00A7"/>
    <w:rsid w:val="00CE263D"/>
    <w:rsid w:val="00CE2C88"/>
    <w:rsid w:val="00CE3109"/>
    <w:rsid w:val="00CE35EE"/>
    <w:rsid w:val="00CE394A"/>
    <w:rsid w:val="00CE39F1"/>
    <w:rsid w:val="00CE438B"/>
    <w:rsid w:val="00CE4DFF"/>
    <w:rsid w:val="00CE4F82"/>
    <w:rsid w:val="00CE5362"/>
    <w:rsid w:val="00CE6D3B"/>
    <w:rsid w:val="00CF0004"/>
    <w:rsid w:val="00CF162E"/>
    <w:rsid w:val="00CF1C14"/>
    <w:rsid w:val="00CF26E5"/>
    <w:rsid w:val="00CF2725"/>
    <w:rsid w:val="00CF2761"/>
    <w:rsid w:val="00CF2CA2"/>
    <w:rsid w:val="00CF3525"/>
    <w:rsid w:val="00CF3795"/>
    <w:rsid w:val="00CF4F4C"/>
    <w:rsid w:val="00CF544D"/>
    <w:rsid w:val="00CF56FC"/>
    <w:rsid w:val="00CF5A56"/>
    <w:rsid w:val="00CF5D41"/>
    <w:rsid w:val="00CF66FD"/>
    <w:rsid w:val="00CF6FA4"/>
    <w:rsid w:val="00CF75C9"/>
    <w:rsid w:val="00CF7E65"/>
    <w:rsid w:val="00CF7EF1"/>
    <w:rsid w:val="00D003E9"/>
    <w:rsid w:val="00D01789"/>
    <w:rsid w:val="00D0179D"/>
    <w:rsid w:val="00D02B5C"/>
    <w:rsid w:val="00D02F1E"/>
    <w:rsid w:val="00D03C2E"/>
    <w:rsid w:val="00D04A82"/>
    <w:rsid w:val="00D052DC"/>
    <w:rsid w:val="00D06280"/>
    <w:rsid w:val="00D0643B"/>
    <w:rsid w:val="00D06C4F"/>
    <w:rsid w:val="00D06E33"/>
    <w:rsid w:val="00D077EE"/>
    <w:rsid w:val="00D10578"/>
    <w:rsid w:val="00D105B0"/>
    <w:rsid w:val="00D10F30"/>
    <w:rsid w:val="00D111BA"/>
    <w:rsid w:val="00D11236"/>
    <w:rsid w:val="00D11753"/>
    <w:rsid w:val="00D119E6"/>
    <w:rsid w:val="00D12077"/>
    <w:rsid w:val="00D124D6"/>
    <w:rsid w:val="00D129D0"/>
    <w:rsid w:val="00D13858"/>
    <w:rsid w:val="00D1460C"/>
    <w:rsid w:val="00D14ED3"/>
    <w:rsid w:val="00D1507E"/>
    <w:rsid w:val="00D162EA"/>
    <w:rsid w:val="00D16492"/>
    <w:rsid w:val="00D17289"/>
    <w:rsid w:val="00D1737D"/>
    <w:rsid w:val="00D17A58"/>
    <w:rsid w:val="00D17FCA"/>
    <w:rsid w:val="00D202F1"/>
    <w:rsid w:val="00D21A0A"/>
    <w:rsid w:val="00D21CC3"/>
    <w:rsid w:val="00D22370"/>
    <w:rsid w:val="00D22396"/>
    <w:rsid w:val="00D22D15"/>
    <w:rsid w:val="00D22D96"/>
    <w:rsid w:val="00D22FE8"/>
    <w:rsid w:val="00D24C48"/>
    <w:rsid w:val="00D24FB8"/>
    <w:rsid w:val="00D25F82"/>
    <w:rsid w:val="00D26E98"/>
    <w:rsid w:val="00D27F9C"/>
    <w:rsid w:val="00D30393"/>
    <w:rsid w:val="00D31393"/>
    <w:rsid w:val="00D31595"/>
    <w:rsid w:val="00D32C6D"/>
    <w:rsid w:val="00D3380E"/>
    <w:rsid w:val="00D33A9D"/>
    <w:rsid w:val="00D34931"/>
    <w:rsid w:val="00D3495F"/>
    <w:rsid w:val="00D34E80"/>
    <w:rsid w:val="00D35464"/>
    <w:rsid w:val="00D366BC"/>
    <w:rsid w:val="00D36BEA"/>
    <w:rsid w:val="00D378EC"/>
    <w:rsid w:val="00D37FD3"/>
    <w:rsid w:val="00D4005E"/>
    <w:rsid w:val="00D40214"/>
    <w:rsid w:val="00D44480"/>
    <w:rsid w:val="00D449C4"/>
    <w:rsid w:val="00D45B8C"/>
    <w:rsid w:val="00D45BCE"/>
    <w:rsid w:val="00D4720D"/>
    <w:rsid w:val="00D47258"/>
    <w:rsid w:val="00D47468"/>
    <w:rsid w:val="00D47D36"/>
    <w:rsid w:val="00D47F8C"/>
    <w:rsid w:val="00D50B94"/>
    <w:rsid w:val="00D50BF6"/>
    <w:rsid w:val="00D513E2"/>
    <w:rsid w:val="00D515A6"/>
    <w:rsid w:val="00D51CBB"/>
    <w:rsid w:val="00D51EA6"/>
    <w:rsid w:val="00D53784"/>
    <w:rsid w:val="00D53C5A"/>
    <w:rsid w:val="00D544CA"/>
    <w:rsid w:val="00D54715"/>
    <w:rsid w:val="00D60206"/>
    <w:rsid w:val="00D602EF"/>
    <w:rsid w:val="00D60616"/>
    <w:rsid w:val="00D60E5B"/>
    <w:rsid w:val="00D6150B"/>
    <w:rsid w:val="00D621B5"/>
    <w:rsid w:val="00D63376"/>
    <w:rsid w:val="00D63A01"/>
    <w:rsid w:val="00D6406A"/>
    <w:rsid w:val="00D64717"/>
    <w:rsid w:val="00D671B2"/>
    <w:rsid w:val="00D6766A"/>
    <w:rsid w:val="00D706E0"/>
    <w:rsid w:val="00D71559"/>
    <w:rsid w:val="00D71B70"/>
    <w:rsid w:val="00D71D32"/>
    <w:rsid w:val="00D7257A"/>
    <w:rsid w:val="00D7270A"/>
    <w:rsid w:val="00D73924"/>
    <w:rsid w:val="00D73A2F"/>
    <w:rsid w:val="00D740CA"/>
    <w:rsid w:val="00D7468B"/>
    <w:rsid w:val="00D74749"/>
    <w:rsid w:val="00D75429"/>
    <w:rsid w:val="00D75FA8"/>
    <w:rsid w:val="00D779E0"/>
    <w:rsid w:val="00D77C6F"/>
    <w:rsid w:val="00D8064F"/>
    <w:rsid w:val="00D809AD"/>
    <w:rsid w:val="00D80D71"/>
    <w:rsid w:val="00D813D0"/>
    <w:rsid w:val="00D82442"/>
    <w:rsid w:val="00D82586"/>
    <w:rsid w:val="00D834CD"/>
    <w:rsid w:val="00D83773"/>
    <w:rsid w:val="00D84759"/>
    <w:rsid w:val="00D847F4"/>
    <w:rsid w:val="00D85063"/>
    <w:rsid w:val="00D865FE"/>
    <w:rsid w:val="00D87B11"/>
    <w:rsid w:val="00D87DAD"/>
    <w:rsid w:val="00D90190"/>
    <w:rsid w:val="00D907A7"/>
    <w:rsid w:val="00D9255F"/>
    <w:rsid w:val="00D9286E"/>
    <w:rsid w:val="00D930E3"/>
    <w:rsid w:val="00D93495"/>
    <w:rsid w:val="00D939C1"/>
    <w:rsid w:val="00D94C37"/>
    <w:rsid w:val="00D94EF4"/>
    <w:rsid w:val="00D951D2"/>
    <w:rsid w:val="00D95EF8"/>
    <w:rsid w:val="00D96150"/>
    <w:rsid w:val="00D96456"/>
    <w:rsid w:val="00D971FB"/>
    <w:rsid w:val="00DA0253"/>
    <w:rsid w:val="00DA051A"/>
    <w:rsid w:val="00DA0A2A"/>
    <w:rsid w:val="00DA0BFB"/>
    <w:rsid w:val="00DA1681"/>
    <w:rsid w:val="00DA2320"/>
    <w:rsid w:val="00DA2DAC"/>
    <w:rsid w:val="00DA46CA"/>
    <w:rsid w:val="00DA4778"/>
    <w:rsid w:val="00DA4876"/>
    <w:rsid w:val="00DA4C61"/>
    <w:rsid w:val="00DA4C86"/>
    <w:rsid w:val="00DA5717"/>
    <w:rsid w:val="00DA5D13"/>
    <w:rsid w:val="00DA61B8"/>
    <w:rsid w:val="00DA6367"/>
    <w:rsid w:val="00DA693E"/>
    <w:rsid w:val="00DA6CB3"/>
    <w:rsid w:val="00DA6E0E"/>
    <w:rsid w:val="00DA6EA5"/>
    <w:rsid w:val="00DB0D8F"/>
    <w:rsid w:val="00DB11BA"/>
    <w:rsid w:val="00DB13AD"/>
    <w:rsid w:val="00DB3027"/>
    <w:rsid w:val="00DB31D1"/>
    <w:rsid w:val="00DB35C8"/>
    <w:rsid w:val="00DB3752"/>
    <w:rsid w:val="00DB3C30"/>
    <w:rsid w:val="00DB3FCE"/>
    <w:rsid w:val="00DB4421"/>
    <w:rsid w:val="00DB6BFE"/>
    <w:rsid w:val="00DC050B"/>
    <w:rsid w:val="00DC0553"/>
    <w:rsid w:val="00DC16F6"/>
    <w:rsid w:val="00DC1FE4"/>
    <w:rsid w:val="00DC2081"/>
    <w:rsid w:val="00DC3110"/>
    <w:rsid w:val="00DC3246"/>
    <w:rsid w:val="00DC33C6"/>
    <w:rsid w:val="00DC48EC"/>
    <w:rsid w:val="00DC4B8D"/>
    <w:rsid w:val="00DC4C0F"/>
    <w:rsid w:val="00DC514A"/>
    <w:rsid w:val="00DC517D"/>
    <w:rsid w:val="00DC6282"/>
    <w:rsid w:val="00DC706E"/>
    <w:rsid w:val="00DC7286"/>
    <w:rsid w:val="00DD2916"/>
    <w:rsid w:val="00DD30D3"/>
    <w:rsid w:val="00DD4D11"/>
    <w:rsid w:val="00DD562B"/>
    <w:rsid w:val="00DD568B"/>
    <w:rsid w:val="00DD654B"/>
    <w:rsid w:val="00DD7783"/>
    <w:rsid w:val="00DD781C"/>
    <w:rsid w:val="00DE0713"/>
    <w:rsid w:val="00DE1381"/>
    <w:rsid w:val="00DE1729"/>
    <w:rsid w:val="00DE22A7"/>
    <w:rsid w:val="00DE2881"/>
    <w:rsid w:val="00DE2C29"/>
    <w:rsid w:val="00DE3F42"/>
    <w:rsid w:val="00DE43AA"/>
    <w:rsid w:val="00DE4AF3"/>
    <w:rsid w:val="00DE56CB"/>
    <w:rsid w:val="00DE5A1D"/>
    <w:rsid w:val="00DE659D"/>
    <w:rsid w:val="00DE7800"/>
    <w:rsid w:val="00DF04F0"/>
    <w:rsid w:val="00DF14E8"/>
    <w:rsid w:val="00DF18EC"/>
    <w:rsid w:val="00DF3304"/>
    <w:rsid w:val="00DF33DE"/>
    <w:rsid w:val="00DF4308"/>
    <w:rsid w:val="00DF44F7"/>
    <w:rsid w:val="00DF4AA0"/>
    <w:rsid w:val="00DF4F39"/>
    <w:rsid w:val="00DF4FB7"/>
    <w:rsid w:val="00DF5D87"/>
    <w:rsid w:val="00DF6B88"/>
    <w:rsid w:val="00DF7556"/>
    <w:rsid w:val="00DF7AE6"/>
    <w:rsid w:val="00DF7FED"/>
    <w:rsid w:val="00E00D7F"/>
    <w:rsid w:val="00E01E3B"/>
    <w:rsid w:val="00E0359D"/>
    <w:rsid w:val="00E03863"/>
    <w:rsid w:val="00E03EF7"/>
    <w:rsid w:val="00E05AB8"/>
    <w:rsid w:val="00E064E1"/>
    <w:rsid w:val="00E07189"/>
    <w:rsid w:val="00E07996"/>
    <w:rsid w:val="00E07AC1"/>
    <w:rsid w:val="00E10B98"/>
    <w:rsid w:val="00E10F88"/>
    <w:rsid w:val="00E1148D"/>
    <w:rsid w:val="00E125BA"/>
    <w:rsid w:val="00E1281A"/>
    <w:rsid w:val="00E12C6A"/>
    <w:rsid w:val="00E12F43"/>
    <w:rsid w:val="00E13627"/>
    <w:rsid w:val="00E13885"/>
    <w:rsid w:val="00E145F9"/>
    <w:rsid w:val="00E151F4"/>
    <w:rsid w:val="00E179F6"/>
    <w:rsid w:val="00E20010"/>
    <w:rsid w:val="00E2019F"/>
    <w:rsid w:val="00E204A0"/>
    <w:rsid w:val="00E20F47"/>
    <w:rsid w:val="00E21492"/>
    <w:rsid w:val="00E21699"/>
    <w:rsid w:val="00E22362"/>
    <w:rsid w:val="00E2346B"/>
    <w:rsid w:val="00E23EF6"/>
    <w:rsid w:val="00E23FF5"/>
    <w:rsid w:val="00E242D6"/>
    <w:rsid w:val="00E24E7C"/>
    <w:rsid w:val="00E24F0A"/>
    <w:rsid w:val="00E253ED"/>
    <w:rsid w:val="00E25C89"/>
    <w:rsid w:val="00E2678F"/>
    <w:rsid w:val="00E27146"/>
    <w:rsid w:val="00E30482"/>
    <w:rsid w:val="00E3070A"/>
    <w:rsid w:val="00E3077E"/>
    <w:rsid w:val="00E30C14"/>
    <w:rsid w:val="00E30FA2"/>
    <w:rsid w:val="00E30FCD"/>
    <w:rsid w:val="00E3128A"/>
    <w:rsid w:val="00E34DAC"/>
    <w:rsid w:val="00E365AF"/>
    <w:rsid w:val="00E37134"/>
    <w:rsid w:val="00E37ADD"/>
    <w:rsid w:val="00E40257"/>
    <w:rsid w:val="00E404F2"/>
    <w:rsid w:val="00E40879"/>
    <w:rsid w:val="00E4196C"/>
    <w:rsid w:val="00E41DAC"/>
    <w:rsid w:val="00E423F4"/>
    <w:rsid w:val="00E4376D"/>
    <w:rsid w:val="00E443EF"/>
    <w:rsid w:val="00E45BF6"/>
    <w:rsid w:val="00E464FC"/>
    <w:rsid w:val="00E4781C"/>
    <w:rsid w:val="00E50240"/>
    <w:rsid w:val="00E50972"/>
    <w:rsid w:val="00E52119"/>
    <w:rsid w:val="00E52971"/>
    <w:rsid w:val="00E52BC7"/>
    <w:rsid w:val="00E52F3C"/>
    <w:rsid w:val="00E53185"/>
    <w:rsid w:val="00E5327B"/>
    <w:rsid w:val="00E536BA"/>
    <w:rsid w:val="00E53EF4"/>
    <w:rsid w:val="00E53FFE"/>
    <w:rsid w:val="00E54DC9"/>
    <w:rsid w:val="00E55E6B"/>
    <w:rsid w:val="00E56D73"/>
    <w:rsid w:val="00E5716F"/>
    <w:rsid w:val="00E6040B"/>
    <w:rsid w:val="00E60F21"/>
    <w:rsid w:val="00E615A8"/>
    <w:rsid w:val="00E61CBF"/>
    <w:rsid w:val="00E62C51"/>
    <w:rsid w:val="00E630B7"/>
    <w:rsid w:val="00E639EB"/>
    <w:rsid w:val="00E6409F"/>
    <w:rsid w:val="00E64178"/>
    <w:rsid w:val="00E64548"/>
    <w:rsid w:val="00E646B1"/>
    <w:rsid w:val="00E64959"/>
    <w:rsid w:val="00E64D74"/>
    <w:rsid w:val="00E659A5"/>
    <w:rsid w:val="00E6677A"/>
    <w:rsid w:val="00E66C0A"/>
    <w:rsid w:val="00E71809"/>
    <w:rsid w:val="00E72067"/>
    <w:rsid w:val="00E725DE"/>
    <w:rsid w:val="00E7265B"/>
    <w:rsid w:val="00E7274C"/>
    <w:rsid w:val="00E72E4A"/>
    <w:rsid w:val="00E73625"/>
    <w:rsid w:val="00E74A90"/>
    <w:rsid w:val="00E74E47"/>
    <w:rsid w:val="00E7597C"/>
    <w:rsid w:val="00E77B02"/>
    <w:rsid w:val="00E77EB2"/>
    <w:rsid w:val="00E77F5A"/>
    <w:rsid w:val="00E80212"/>
    <w:rsid w:val="00E81B1A"/>
    <w:rsid w:val="00E81C1B"/>
    <w:rsid w:val="00E82AE1"/>
    <w:rsid w:val="00E8345C"/>
    <w:rsid w:val="00E87A8B"/>
    <w:rsid w:val="00E87C26"/>
    <w:rsid w:val="00E90181"/>
    <w:rsid w:val="00E919E3"/>
    <w:rsid w:val="00E92B26"/>
    <w:rsid w:val="00E93298"/>
    <w:rsid w:val="00E944CE"/>
    <w:rsid w:val="00E95031"/>
    <w:rsid w:val="00E979DC"/>
    <w:rsid w:val="00E97AD8"/>
    <w:rsid w:val="00EA005B"/>
    <w:rsid w:val="00EA031C"/>
    <w:rsid w:val="00EA0331"/>
    <w:rsid w:val="00EA0730"/>
    <w:rsid w:val="00EA23EE"/>
    <w:rsid w:val="00EA2DF7"/>
    <w:rsid w:val="00EA3115"/>
    <w:rsid w:val="00EA31BA"/>
    <w:rsid w:val="00EA3F37"/>
    <w:rsid w:val="00EA4CA5"/>
    <w:rsid w:val="00EA4F28"/>
    <w:rsid w:val="00EA5171"/>
    <w:rsid w:val="00EA544D"/>
    <w:rsid w:val="00EA6AC0"/>
    <w:rsid w:val="00EA6D0E"/>
    <w:rsid w:val="00EB031D"/>
    <w:rsid w:val="00EB059A"/>
    <w:rsid w:val="00EB0E38"/>
    <w:rsid w:val="00EB10EE"/>
    <w:rsid w:val="00EB1BAC"/>
    <w:rsid w:val="00EB2004"/>
    <w:rsid w:val="00EB3951"/>
    <w:rsid w:val="00EB3A84"/>
    <w:rsid w:val="00EB3B37"/>
    <w:rsid w:val="00EB4DB7"/>
    <w:rsid w:val="00EB51E4"/>
    <w:rsid w:val="00EB5267"/>
    <w:rsid w:val="00EB5274"/>
    <w:rsid w:val="00EB55E8"/>
    <w:rsid w:val="00EB5847"/>
    <w:rsid w:val="00EB597B"/>
    <w:rsid w:val="00EB5E8E"/>
    <w:rsid w:val="00EB681F"/>
    <w:rsid w:val="00EB6C8E"/>
    <w:rsid w:val="00EB6ECF"/>
    <w:rsid w:val="00EB7BE1"/>
    <w:rsid w:val="00EC02B8"/>
    <w:rsid w:val="00EC0504"/>
    <w:rsid w:val="00EC238E"/>
    <w:rsid w:val="00EC2BF6"/>
    <w:rsid w:val="00EC3EBB"/>
    <w:rsid w:val="00EC632F"/>
    <w:rsid w:val="00EC64E6"/>
    <w:rsid w:val="00EC6910"/>
    <w:rsid w:val="00EC6C98"/>
    <w:rsid w:val="00EC6EE3"/>
    <w:rsid w:val="00EC750F"/>
    <w:rsid w:val="00ED022E"/>
    <w:rsid w:val="00ED0E9D"/>
    <w:rsid w:val="00ED2A90"/>
    <w:rsid w:val="00ED3494"/>
    <w:rsid w:val="00ED44F0"/>
    <w:rsid w:val="00ED454C"/>
    <w:rsid w:val="00EE0DBF"/>
    <w:rsid w:val="00EE0FAB"/>
    <w:rsid w:val="00EE1E90"/>
    <w:rsid w:val="00EE1F08"/>
    <w:rsid w:val="00EE25CD"/>
    <w:rsid w:val="00EE2833"/>
    <w:rsid w:val="00EE2AC2"/>
    <w:rsid w:val="00EE3BCE"/>
    <w:rsid w:val="00EE3C32"/>
    <w:rsid w:val="00EE3F98"/>
    <w:rsid w:val="00EE4939"/>
    <w:rsid w:val="00EE52BF"/>
    <w:rsid w:val="00EE5805"/>
    <w:rsid w:val="00EE63EE"/>
    <w:rsid w:val="00EE7C18"/>
    <w:rsid w:val="00EF0A56"/>
    <w:rsid w:val="00EF0DFF"/>
    <w:rsid w:val="00EF0E36"/>
    <w:rsid w:val="00EF0F26"/>
    <w:rsid w:val="00EF227F"/>
    <w:rsid w:val="00EF245F"/>
    <w:rsid w:val="00EF29B2"/>
    <w:rsid w:val="00EF2C01"/>
    <w:rsid w:val="00EF2E52"/>
    <w:rsid w:val="00EF475A"/>
    <w:rsid w:val="00EF481F"/>
    <w:rsid w:val="00EF492A"/>
    <w:rsid w:val="00EF4DB5"/>
    <w:rsid w:val="00EF5335"/>
    <w:rsid w:val="00EF56AF"/>
    <w:rsid w:val="00EF6E3B"/>
    <w:rsid w:val="00F00BEC"/>
    <w:rsid w:val="00F00C80"/>
    <w:rsid w:val="00F0166C"/>
    <w:rsid w:val="00F01A2A"/>
    <w:rsid w:val="00F0273F"/>
    <w:rsid w:val="00F02E70"/>
    <w:rsid w:val="00F03827"/>
    <w:rsid w:val="00F03FC6"/>
    <w:rsid w:val="00F045E0"/>
    <w:rsid w:val="00F06AC7"/>
    <w:rsid w:val="00F07567"/>
    <w:rsid w:val="00F078DC"/>
    <w:rsid w:val="00F07C18"/>
    <w:rsid w:val="00F07F39"/>
    <w:rsid w:val="00F10F4B"/>
    <w:rsid w:val="00F10FF4"/>
    <w:rsid w:val="00F11C70"/>
    <w:rsid w:val="00F124A7"/>
    <w:rsid w:val="00F12E86"/>
    <w:rsid w:val="00F13C43"/>
    <w:rsid w:val="00F13F01"/>
    <w:rsid w:val="00F14BB2"/>
    <w:rsid w:val="00F15330"/>
    <w:rsid w:val="00F156E6"/>
    <w:rsid w:val="00F15DED"/>
    <w:rsid w:val="00F164B0"/>
    <w:rsid w:val="00F16569"/>
    <w:rsid w:val="00F16B9C"/>
    <w:rsid w:val="00F202D6"/>
    <w:rsid w:val="00F207CC"/>
    <w:rsid w:val="00F20D1E"/>
    <w:rsid w:val="00F217D6"/>
    <w:rsid w:val="00F23053"/>
    <w:rsid w:val="00F232D5"/>
    <w:rsid w:val="00F23D7D"/>
    <w:rsid w:val="00F24544"/>
    <w:rsid w:val="00F24FFA"/>
    <w:rsid w:val="00F25A35"/>
    <w:rsid w:val="00F26363"/>
    <w:rsid w:val="00F276AF"/>
    <w:rsid w:val="00F27741"/>
    <w:rsid w:val="00F3084D"/>
    <w:rsid w:val="00F30EF2"/>
    <w:rsid w:val="00F31419"/>
    <w:rsid w:val="00F32BD4"/>
    <w:rsid w:val="00F32E9E"/>
    <w:rsid w:val="00F32EF8"/>
    <w:rsid w:val="00F349EB"/>
    <w:rsid w:val="00F35696"/>
    <w:rsid w:val="00F35B17"/>
    <w:rsid w:val="00F36F3F"/>
    <w:rsid w:val="00F36FD7"/>
    <w:rsid w:val="00F37631"/>
    <w:rsid w:val="00F37D5C"/>
    <w:rsid w:val="00F40986"/>
    <w:rsid w:val="00F415BF"/>
    <w:rsid w:val="00F416A3"/>
    <w:rsid w:val="00F42ACB"/>
    <w:rsid w:val="00F437A4"/>
    <w:rsid w:val="00F43F28"/>
    <w:rsid w:val="00F4579D"/>
    <w:rsid w:val="00F460E9"/>
    <w:rsid w:val="00F4624D"/>
    <w:rsid w:val="00F465F3"/>
    <w:rsid w:val="00F46ED9"/>
    <w:rsid w:val="00F4748A"/>
    <w:rsid w:val="00F479A9"/>
    <w:rsid w:val="00F507B0"/>
    <w:rsid w:val="00F508E1"/>
    <w:rsid w:val="00F5264A"/>
    <w:rsid w:val="00F52C6C"/>
    <w:rsid w:val="00F5495E"/>
    <w:rsid w:val="00F549F0"/>
    <w:rsid w:val="00F5532D"/>
    <w:rsid w:val="00F555DB"/>
    <w:rsid w:val="00F57109"/>
    <w:rsid w:val="00F57604"/>
    <w:rsid w:val="00F57629"/>
    <w:rsid w:val="00F607ED"/>
    <w:rsid w:val="00F60E63"/>
    <w:rsid w:val="00F616F9"/>
    <w:rsid w:val="00F617CF"/>
    <w:rsid w:val="00F61A08"/>
    <w:rsid w:val="00F622C1"/>
    <w:rsid w:val="00F63A46"/>
    <w:rsid w:val="00F64FD7"/>
    <w:rsid w:val="00F65211"/>
    <w:rsid w:val="00F657E2"/>
    <w:rsid w:val="00F65869"/>
    <w:rsid w:val="00F658D9"/>
    <w:rsid w:val="00F66ADD"/>
    <w:rsid w:val="00F66E56"/>
    <w:rsid w:val="00F6728C"/>
    <w:rsid w:val="00F679A3"/>
    <w:rsid w:val="00F7101F"/>
    <w:rsid w:val="00F735AE"/>
    <w:rsid w:val="00F7396B"/>
    <w:rsid w:val="00F74ABF"/>
    <w:rsid w:val="00F75810"/>
    <w:rsid w:val="00F75B71"/>
    <w:rsid w:val="00F769D3"/>
    <w:rsid w:val="00F76B13"/>
    <w:rsid w:val="00F77918"/>
    <w:rsid w:val="00F77BBE"/>
    <w:rsid w:val="00F8061A"/>
    <w:rsid w:val="00F8067B"/>
    <w:rsid w:val="00F81D38"/>
    <w:rsid w:val="00F8215A"/>
    <w:rsid w:val="00F82A04"/>
    <w:rsid w:val="00F82C50"/>
    <w:rsid w:val="00F82C59"/>
    <w:rsid w:val="00F8349B"/>
    <w:rsid w:val="00F8402E"/>
    <w:rsid w:val="00F84476"/>
    <w:rsid w:val="00F846D0"/>
    <w:rsid w:val="00F847FB"/>
    <w:rsid w:val="00F849AF"/>
    <w:rsid w:val="00F85341"/>
    <w:rsid w:val="00F8537E"/>
    <w:rsid w:val="00F85A10"/>
    <w:rsid w:val="00F86D6E"/>
    <w:rsid w:val="00F871CD"/>
    <w:rsid w:val="00F87C4A"/>
    <w:rsid w:val="00F87E8F"/>
    <w:rsid w:val="00F904EB"/>
    <w:rsid w:val="00F90533"/>
    <w:rsid w:val="00F9078C"/>
    <w:rsid w:val="00F907DB"/>
    <w:rsid w:val="00F91E1F"/>
    <w:rsid w:val="00F92130"/>
    <w:rsid w:val="00F9247F"/>
    <w:rsid w:val="00F929CE"/>
    <w:rsid w:val="00F9350D"/>
    <w:rsid w:val="00F93696"/>
    <w:rsid w:val="00F938FB"/>
    <w:rsid w:val="00F93BC0"/>
    <w:rsid w:val="00F94C35"/>
    <w:rsid w:val="00F966A9"/>
    <w:rsid w:val="00F96C72"/>
    <w:rsid w:val="00FA08C9"/>
    <w:rsid w:val="00FA1D57"/>
    <w:rsid w:val="00FA2176"/>
    <w:rsid w:val="00FA2728"/>
    <w:rsid w:val="00FA2933"/>
    <w:rsid w:val="00FA3ACD"/>
    <w:rsid w:val="00FA4AA9"/>
    <w:rsid w:val="00FA64FA"/>
    <w:rsid w:val="00FA70D6"/>
    <w:rsid w:val="00FB04B1"/>
    <w:rsid w:val="00FB0796"/>
    <w:rsid w:val="00FB15BE"/>
    <w:rsid w:val="00FB1B18"/>
    <w:rsid w:val="00FB1C0D"/>
    <w:rsid w:val="00FB1F97"/>
    <w:rsid w:val="00FB26A7"/>
    <w:rsid w:val="00FB2EFA"/>
    <w:rsid w:val="00FB3BDA"/>
    <w:rsid w:val="00FB3C3D"/>
    <w:rsid w:val="00FB4048"/>
    <w:rsid w:val="00FB433C"/>
    <w:rsid w:val="00FB4E8C"/>
    <w:rsid w:val="00FB608F"/>
    <w:rsid w:val="00FB609D"/>
    <w:rsid w:val="00FB672C"/>
    <w:rsid w:val="00FB769A"/>
    <w:rsid w:val="00FC01D2"/>
    <w:rsid w:val="00FC170E"/>
    <w:rsid w:val="00FC1A9C"/>
    <w:rsid w:val="00FC3AB1"/>
    <w:rsid w:val="00FC3B6D"/>
    <w:rsid w:val="00FC3C4F"/>
    <w:rsid w:val="00FC57A2"/>
    <w:rsid w:val="00FC586A"/>
    <w:rsid w:val="00FC5986"/>
    <w:rsid w:val="00FC6291"/>
    <w:rsid w:val="00FC6421"/>
    <w:rsid w:val="00FC6B8A"/>
    <w:rsid w:val="00FC71BC"/>
    <w:rsid w:val="00FD1A55"/>
    <w:rsid w:val="00FD20EE"/>
    <w:rsid w:val="00FD2E52"/>
    <w:rsid w:val="00FD35D3"/>
    <w:rsid w:val="00FD5ABE"/>
    <w:rsid w:val="00FD6793"/>
    <w:rsid w:val="00FD71AC"/>
    <w:rsid w:val="00FE1A1A"/>
    <w:rsid w:val="00FE25D5"/>
    <w:rsid w:val="00FE260C"/>
    <w:rsid w:val="00FE2B44"/>
    <w:rsid w:val="00FE2B71"/>
    <w:rsid w:val="00FE2CDB"/>
    <w:rsid w:val="00FE3089"/>
    <w:rsid w:val="00FE30A9"/>
    <w:rsid w:val="00FE44DF"/>
    <w:rsid w:val="00FE488D"/>
    <w:rsid w:val="00FE4F11"/>
    <w:rsid w:val="00FE5D12"/>
    <w:rsid w:val="00FE6151"/>
    <w:rsid w:val="00FE6742"/>
    <w:rsid w:val="00FE69CB"/>
    <w:rsid w:val="00FE6B8C"/>
    <w:rsid w:val="00FE6DC7"/>
    <w:rsid w:val="00FE7499"/>
    <w:rsid w:val="00FF2A22"/>
    <w:rsid w:val="00FF3C7B"/>
    <w:rsid w:val="00FF408A"/>
    <w:rsid w:val="00FF4308"/>
    <w:rsid w:val="00FF443F"/>
    <w:rsid w:val="00FF48AC"/>
    <w:rsid w:val="00FF4988"/>
    <w:rsid w:val="00FF4FE9"/>
    <w:rsid w:val="00FF603B"/>
    <w:rsid w:val="00FF664E"/>
    <w:rsid w:val="00FF7573"/>
    <w:rsid w:val="011253ED"/>
    <w:rsid w:val="01353AE6"/>
    <w:rsid w:val="013B22BF"/>
    <w:rsid w:val="014838DC"/>
    <w:rsid w:val="01883182"/>
    <w:rsid w:val="0257529A"/>
    <w:rsid w:val="02D436B7"/>
    <w:rsid w:val="03433A17"/>
    <w:rsid w:val="034D0F5A"/>
    <w:rsid w:val="03B35391"/>
    <w:rsid w:val="044C2800"/>
    <w:rsid w:val="047B6C88"/>
    <w:rsid w:val="04FE7F15"/>
    <w:rsid w:val="05AF02CF"/>
    <w:rsid w:val="05B475CC"/>
    <w:rsid w:val="05C515F4"/>
    <w:rsid w:val="060C2D53"/>
    <w:rsid w:val="062D4F46"/>
    <w:rsid w:val="06A25842"/>
    <w:rsid w:val="06AF5670"/>
    <w:rsid w:val="06E76218"/>
    <w:rsid w:val="073D0B74"/>
    <w:rsid w:val="0768045D"/>
    <w:rsid w:val="079A5979"/>
    <w:rsid w:val="07A50A58"/>
    <w:rsid w:val="07B80611"/>
    <w:rsid w:val="085631C9"/>
    <w:rsid w:val="088257A5"/>
    <w:rsid w:val="08F1113D"/>
    <w:rsid w:val="08F11A25"/>
    <w:rsid w:val="08FE2AB1"/>
    <w:rsid w:val="093E0880"/>
    <w:rsid w:val="0970461D"/>
    <w:rsid w:val="097F4AD0"/>
    <w:rsid w:val="09A0026F"/>
    <w:rsid w:val="0A545D73"/>
    <w:rsid w:val="0A6601F9"/>
    <w:rsid w:val="0A9E1C57"/>
    <w:rsid w:val="0AFC3827"/>
    <w:rsid w:val="0B1F0E32"/>
    <w:rsid w:val="0B9121BF"/>
    <w:rsid w:val="0BF95130"/>
    <w:rsid w:val="0C1A6E93"/>
    <w:rsid w:val="0C4501CE"/>
    <w:rsid w:val="0C60163F"/>
    <w:rsid w:val="0C6142E8"/>
    <w:rsid w:val="0C822C5E"/>
    <w:rsid w:val="0CDD0BB5"/>
    <w:rsid w:val="0D374AC5"/>
    <w:rsid w:val="0D4B42C1"/>
    <w:rsid w:val="0E155384"/>
    <w:rsid w:val="0E16317A"/>
    <w:rsid w:val="0E5232CD"/>
    <w:rsid w:val="0EA8373B"/>
    <w:rsid w:val="0F0D2F2C"/>
    <w:rsid w:val="0F133F84"/>
    <w:rsid w:val="0F1D3C3E"/>
    <w:rsid w:val="0F9D1F37"/>
    <w:rsid w:val="0FB660D7"/>
    <w:rsid w:val="0FD8210B"/>
    <w:rsid w:val="0FF035AC"/>
    <w:rsid w:val="0FF81642"/>
    <w:rsid w:val="10692390"/>
    <w:rsid w:val="10D21EAF"/>
    <w:rsid w:val="10F0590C"/>
    <w:rsid w:val="11397FF2"/>
    <w:rsid w:val="114A39B7"/>
    <w:rsid w:val="1167581E"/>
    <w:rsid w:val="116E2B13"/>
    <w:rsid w:val="11CF045F"/>
    <w:rsid w:val="1254505F"/>
    <w:rsid w:val="12776333"/>
    <w:rsid w:val="1280341C"/>
    <w:rsid w:val="136D5594"/>
    <w:rsid w:val="13CA2479"/>
    <w:rsid w:val="147E3368"/>
    <w:rsid w:val="14E804E7"/>
    <w:rsid w:val="151F2C18"/>
    <w:rsid w:val="15D53161"/>
    <w:rsid w:val="15F64745"/>
    <w:rsid w:val="1601481A"/>
    <w:rsid w:val="16186717"/>
    <w:rsid w:val="166C73ED"/>
    <w:rsid w:val="169522D7"/>
    <w:rsid w:val="174325C2"/>
    <w:rsid w:val="175554DF"/>
    <w:rsid w:val="175A62B6"/>
    <w:rsid w:val="17810C39"/>
    <w:rsid w:val="178B5F49"/>
    <w:rsid w:val="17B90EAB"/>
    <w:rsid w:val="17C330B1"/>
    <w:rsid w:val="17E1192A"/>
    <w:rsid w:val="17E14091"/>
    <w:rsid w:val="17FC5942"/>
    <w:rsid w:val="189C3747"/>
    <w:rsid w:val="18A64B89"/>
    <w:rsid w:val="18CD2331"/>
    <w:rsid w:val="18D06062"/>
    <w:rsid w:val="19353CD3"/>
    <w:rsid w:val="19F55F5E"/>
    <w:rsid w:val="1A104088"/>
    <w:rsid w:val="1A1D4A30"/>
    <w:rsid w:val="1A203696"/>
    <w:rsid w:val="1A4A28F5"/>
    <w:rsid w:val="1A616039"/>
    <w:rsid w:val="1B167EE4"/>
    <w:rsid w:val="1B1C7F55"/>
    <w:rsid w:val="1B474C7C"/>
    <w:rsid w:val="1B5F5A93"/>
    <w:rsid w:val="1BA34642"/>
    <w:rsid w:val="1C504E03"/>
    <w:rsid w:val="1C7B0D9F"/>
    <w:rsid w:val="1CD67AA5"/>
    <w:rsid w:val="1D6E655D"/>
    <w:rsid w:val="1DAA2521"/>
    <w:rsid w:val="1E1E4201"/>
    <w:rsid w:val="1E280FE5"/>
    <w:rsid w:val="1E2B5DA6"/>
    <w:rsid w:val="1E796654"/>
    <w:rsid w:val="1ED513BA"/>
    <w:rsid w:val="1F1F544D"/>
    <w:rsid w:val="1F214722"/>
    <w:rsid w:val="1F3D5393"/>
    <w:rsid w:val="1F6751C9"/>
    <w:rsid w:val="1FE725CB"/>
    <w:rsid w:val="20224D55"/>
    <w:rsid w:val="20A06EA1"/>
    <w:rsid w:val="20D87EC1"/>
    <w:rsid w:val="21144747"/>
    <w:rsid w:val="21152AEA"/>
    <w:rsid w:val="211F6B56"/>
    <w:rsid w:val="212B5A64"/>
    <w:rsid w:val="214379DD"/>
    <w:rsid w:val="21F726B1"/>
    <w:rsid w:val="220F481B"/>
    <w:rsid w:val="224B4DCD"/>
    <w:rsid w:val="22531CF7"/>
    <w:rsid w:val="225517D6"/>
    <w:rsid w:val="226E178F"/>
    <w:rsid w:val="227B6E4F"/>
    <w:rsid w:val="22812B35"/>
    <w:rsid w:val="22D0340F"/>
    <w:rsid w:val="2302547A"/>
    <w:rsid w:val="23313782"/>
    <w:rsid w:val="2357354F"/>
    <w:rsid w:val="23AE718D"/>
    <w:rsid w:val="23C545F4"/>
    <w:rsid w:val="23CE3F10"/>
    <w:rsid w:val="23E2718D"/>
    <w:rsid w:val="23E71222"/>
    <w:rsid w:val="23EC0881"/>
    <w:rsid w:val="24082FAE"/>
    <w:rsid w:val="24677424"/>
    <w:rsid w:val="24DE5462"/>
    <w:rsid w:val="250A129B"/>
    <w:rsid w:val="25175BEE"/>
    <w:rsid w:val="251D41DD"/>
    <w:rsid w:val="2582731D"/>
    <w:rsid w:val="25A0096A"/>
    <w:rsid w:val="26610781"/>
    <w:rsid w:val="27112EF7"/>
    <w:rsid w:val="27133AC9"/>
    <w:rsid w:val="278C10BD"/>
    <w:rsid w:val="27A750B0"/>
    <w:rsid w:val="27FF6E20"/>
    <w:rsid w:val="285940DB"/>
    <w:rsid w:val="285C5C0E"/>
    <w:rsid w:val="28800F1F"/>
    <w:rsid w:val="28C933DC"/>
    <w:rsid w:val="28D27225"/>
    <w:rsid w:val="28E54779"/>
    <w:rsid w:val="28EF3807"/>
    <w:rsid w:val="29235E38"/>
    <w:rsid w:val="29372DC9"/>
    <w:rsid w:val="294B3490"/>
    <w:rsid w:val="29516ED1"/>
    <w:rsid w:val="29783213"/>
    <w:rsid w:val="29B136FE"/>
    <w:rsid w:val="29D543D2"/>
    <w:rsid w:val="29E65834"/>
    <w:rsid w:val="2A9E7061"/>
    <w:rsid w:val="2AE40825"/>
    <w:rsid w:val="2B1C4080"/>
    <w:rsid w:val="2B2E3ACB"/>
    <w:rsid w:val="2B511252"/>
    <w:rsid w:val="2B52449D"/>
    <w:rsid w:val="2B7B0BE8"/>
    <w:rsid w:val="2BA74568"/>
    <w:rsid w:val="2BD9671E"/>
    <w:rsid w:val="2BDA3A9B"/>
    <w:rsid w:val="2BF4630C"/>
    <w:rsid w:val="2C016FFC"/>
    <w:rsid w:val="2C1F16F1"/>
    <w:rsid w:val="2C546594"/>
    <w:rsid w:val="2CC1070D"/>
    <w:rsid w:val="2CC220BD"/>
    <w:rsid w:val="2CD7666F"/>
    <w:rsid w:val="2CED0939"/>
    <w:rsid w:val="2D151291"/>
    <w:rsid w:val="2D473EB8"/>
    <w:rsid w:val="2D665AAB"/>
    <w:rsid w:val="2DF8268C"/>
    <w:rsid w:val="2E2F01FA"/>
    <w:rsid w:val="2E7344B1"/>
    <w:rsid w:val="2E8E4B4E"/>
    <w:rsid w:val="2F181BAE"/>
    <w:rsid w:val="2F181F65"/>
    <w:rsid w:val="2F4528EF"/>
    <w:rsid w:val="2F6649D2"/>
    <w:rsid w:val="2FD302BA"/>
    <w:rsid w:val="2FD85612"/>
    <w:rsid w:val="306759C0"/>
    <w:rsid w:val="30E503E0"/>
    <w:rsid w:val="31440242"/>
    <w:rsid w:val="31466EBB"/>
    <w:rsid w:val="314A64EF"/>
    <w:rsid w:val="315E0067"/>
    <w:rsid w:val="320E73B9"/>
    <w:rsid w:val="32633A3C"/>
    <w:rsid w:val="32831E3B"/>
    <w:rsid w:val="333F5C66"/>
    <w:rsid w:val="336C673E"/>
    <w:rsid w:val="33BF3586"/>
    <w:rsid w:val="33D34197"/>
    <w:rsid w:val="33DA7B3A"/>
    <w:rsid w:val="33E36CF5"/>
    <w:rsid w:val="347055A6"/>
    <w:rsid w:val="348C5706"/>
    <w:rsid w:val="34D2441F"/>
    <w:rsid w:val="34D96007"/>
    <w:rsid w:val="350C25E8"/>
    <w:rsid w:val="357C0F07"/>
    <w:rsid w:val="358926E6"/>
    <w:rsid w:val="3590148A"/>
    <w:rsid w:val="35E0728C"/>
    <w:rsid w:val="35E860DC"/>
    <w:rsid w:val="36423762"/>
    <w:rsid w:val="36826E9D"/>
    <w:rsid w:val="36D81F00"/>
    <w:rsid w:val="377F3CCF"/>
    <w:rsid w:val="37CD052A"/>
    <w:rsid w:val="3852536B"/>
    <w:rsid w:val="38A907AC"/>
    <w:rsid w:val="390E775E"/>
    <w:rsid w:val="3922119F"/>
    <w:rsid w:val="395F3AEA"/>
    <w:rsid w:val="396D605C"/>
    <w:rsid w:val="39732C58"/>
    <w:rsid w:val="399B0A74"/>
    <w:rsid w:val="39BB3F14"/>
    <w:rsid w:val="39F124B6"/>
    <w:rsid w:val="3A0F1648"/>
    <w:rsid w:val="3A1A01BF"/>
    <w:rsid w:val="3AA34D2C"/>
    <w:rsid w:val="3ACD3C53"/>
    <w:rsid w:val="3ADF778E"/>
    <w:rsid w:val="3B20302E"/>
    <w:rsid w:val="3BB970C6"/>
    <w:rsid w:val="3BCE02F2"/>
    <w:rsid w:val="3BEE6B19"/>
    <w:rsid w:val="3CAD1E92"/>
    <w:rsid w:val="3D1F5F39"/>
    <w:rsid w:val="3D2A2388"/>
    <w:rsid w:val="3E69425A"/>
    <w:rsid w:val="3FEEA4CB"/>
    <w:rsid w:val="40090163"/>
    <w:rsid w:val="40354679"/>
    <w:rsid w:val="408D14D1"/>
    <w:rsid w:val="40F167F2"/>
    <w:rsid w:val="40F26D6A"/>
    <w:rsid w:val="40F63E08"/>
    <w:rsid w:val="41C92456"/>
    <w:rsid w:val="42012B91"/>
    <w:rsid w:val="425C413F"/>
    <w:rsid w:val="427F0281"/>
    <w:rsid w:val="429D72A3"/>
    <w:rsid w:val="42BA67E7"/>
    <w:rsid w:val="44192907"/>
    <w:rsid w:val="44296A38"/>
    <w:rsid w:val="442E38B9"/>
    <w:rsid w:val="44382ADF"/>
    <w:rsid w:val="444A6D77"/>
    <w:rsid w:val="44534092"/>
    <w:rsid w:val="44894759"/>
    <w:rsid w:val="44EA2EF1"/>
    <w:rsid w:val="451C0B79"/>
    <w:rsid w:val="455A784A"/>
    <w:rsid w:val="45C269A9"/>
    <w:rsid w:val="45D47A85"/>
    <w:rsid w:val="45F51841"/>
    <w:rsid w:val="4634361B"/>
    <w:rsid w:val="46BF6084"/>
    <w:rsid w:val="47340CF7"/>
    <w:rsid w:val="47EC272B"/>
    <w:rsid w:val="48695B00"/>
    <w:rsid w:val="488E737E"/>
    <w:rsid w:val="49E40AA8"/>
    <w:rsid w:val="4A226926"/>
    <w:rsid w:val="4A42444F"/>
    <w:rsid w:val="4A7C7F8F"/>
    <w:rsid w:val="4A9C3992"/>
    <w:rsid w:val="4AE235D1"/>
    <w:rsid w:val="4AF94389"/>
    <w:rsid w:val="4B15206C"/>
    <w:rsid w:val="4BCD3D4C"/>
    <w:rsid w:val="4C5A55C7"/>
    <w:rsid w:val="4C8668CB"/>
    <w:rsid w:val="4D4B2F88"/>
    <w:rsid w:val="4D7367E0"/>
    <w:rsid w:val="4DB62832"/>
    <w:rsid w:val="4DCB6A8C"/>
    <w:rsid w:val="4E35312C"/>
    <w:rsid w:val="4E5370E8"/>
    <w:rsid w:val="4E88094B"/>
    <w:rsid w:val="4E90333A"/>
    <w:rsid w:val="4EB17794"/>
    <w:rsid w:val="4EE2728B"/>
    <w:rsid w:val="4EF14FE4"/>
    <w:rsid w:val="4F3526FA"/>
    <w:rsid w:val="4F4E1791"/>
    <w:rsid w:val="4F665D03"/>
    <w:rsid w:val="4F6C4459"/>
    <w:rsid w:val="4F756840"/>
    <w:rsid w:val="4FF41947"/>
    <w:rsid w:val="500B7EA2"/>
    <w:rsid w:val="509A57EA"/>
    <w:rsid w:val="509D05C4"/>
    <w:rsid w:val="50A638B9"/>
    <w:rsid w:val="50DD1205"/>
    <w:rsid w:val="5264443D"/>
    <w:rsid w:val="52E42074"/>
    <w:rsid w:val="533A1C0F"/>
    <w:rsid w:val="535421F8"/>
    <w:rsid w:val="537D2167"/>
    <w:rsid w:val="53826A19"/>
    <w:rsid w:val="53F475A6"/>
    <w:rsid w:val="54006F56"/>
    <w:rsid w:val="547A6D00"/>
    <w:rsid w:val="54834037"/>
    <w:rsid w:val="54DA0EF3"/>
    <w:rsid w:val="54E62E5E"/>
    <w:rsid w:val="54FE5F43"/>
    <w:rsid w:val="551179C2"/>
    <w:rsid w:val="55445BD9"/>
    <w:rsid w:val="55603AEE"/>
    <w:rsid w:val="558B3FFA"/>
    <w:rsid w:val="56891F7D"/>
    <w:rsid w:val="568B723D"/>
    <w:rsid w:val="56CC7EC6"/>
    <w:rsid w:val="56CF2CD9"/>
    <w:rsid w:val="57182211"/>
    <w:rsid w:val="57212B95"/>
    <w:rsid w:val="57552BC8"/>
    <w:rsid w:val="57D53EAB"/>
    <w:rsid w:val="57F8000E"/>
    <w:rsid w:val="583B1E66"/>
    <w:rsid w:val="58550366"/>
    <w:rsid w:val="58710D0E"/>
    <w:rsid w:val="58764F47"/>
    <w:rsid w:val="58A2694D"/>
    <w:rsid w:val="58B17165"/>
    <w:rsid w:val="59414BC8"/>
    <w:rsid w:val="594C1C33"/>
    <w:rsid w:val="59622AE1"/>
    <w:rsid w:val="599441A2"/>
    <w:rsid w:val="59BE1569"/>
    <w:rsid w:val="5A6B0F6B"/>
    <w:rsid w:val="5B514A88"/>
    <w:rsid w:val="5B5E7A47"/>
    <w:rsid w:val="5BD07B07"/>
    <w:rsid w:val="5BF1683C"/>
    <w:rsid w:val="5C242774"/>
    <w:rsid w:val="5C4330EC"/>
    <w:rsid w:val="5C831C73"/>
    <w:rsid w:val="5CAC13C7"/>
    <w:rsid w:val="5CBB4565"/>
    <w:rsid w:val="5D036F9A"/>
    <w:rsid w:val="5D2A024C"/>
    <w:rsid w:val="5D526412"/>
    <w:rsid w:val="5D764216"/>
    <w:rsid w:val="5DB527BD"/>
    <w:rsid w:val="5DD00244"/>
    <w:rsid w:val="5E067FE9"/>
    <w:rsid w:val="5E2749FB"/>
    <w:rsid w:val="5E3A3C2C"/>
    <w:rsid w:val="5E4E415F"/>
    <w:rsid w:val="5E7E0871"/>
    <w:rsid w:val="5E7E1DD8"/>
    <w:rsid w:val="5EBE1510"/>
    <w:rsid w:val="5ED46FEC"/>
    <w:rsid w:val="5ED526F5"/>
    <w:rsid w:val="5EE24F84"/>
    <w:rsid w:val="5F0968D9"/>
    <w:rsid w:val="5F3A558E"/>
    <w:rsid w:val="5F63244C"/>
    <w:rsid w:val="5F76718E"/>
    <w:rsid w:val="5FA1305A"/>
    <w:rsid w:val="5FAB3BB8"/>
    <w:rsid w:val="5FB15BD0"/>
    <w:rsid w:val="5FC353A5"/>
    <w:rsid w:val="5FD76A12"/>
    <w:rsid w:val="60840A34"/>
    <w:rsid w:val="60E037AB"/>
    <w:rsid w:val="61034A38"/>
    <w:rsid w:val="61063914"/>
    <w:rsid w:val="610B4254"/>
    <w:rsid w:val="615E5992"/>
    <w:rsid w:val="61E87D1B"/>
    <w:rsid w:val="623C290D"/>
    <w:rsid w:val="623F6DF9"/>
    <w:rsid w:val="62502FAC"/>
    <w:rsid w:val="6295542A"/>
    <w:rsid w:val="62AC30A7"/>
    <w:rsid w:val="62F30C4D"/>
    <w:rsid w:val="63640AD8"/>
    <w:rsid w:val="63672AD2"/>
    <w:rsid w:val="6368016D"/>
    <w:rsid w:val="639C7912"/>
    <w:rsid w:val="64E47E41"/>
    <w:rsid w:val="64FA3A2E"/>
    <w:rsid w:val="64FC55D6"/>
    <w:rsid w:val="65414E39"/>
    <w:rsid w:val="65725F92"/>
    <w:rsid w:val="657F1BC3"/>
    <w:rsid w:val="658074C8"/>
    <w:rsid w:val="65AE1260"/>
    <w:rsid w:val="65E246FB"/>
    <w:rsid w:val="6627269B"/>
    <w:rsid w:val="66556532"/>
    <w:rsid w:val="66790C73"/>
    <w:rsid w:val="67346B89"/>
    <w:rsid w:val="67505C4C"/>
    <w:rsid w:val="676F2E0B"/>
    <w:rsid w:val="677920C5"/>
    <w:rsid w:val="67F16D38"/>
    <w:rsid w:val="67F53B1D"/>
    <w:rsid w:val="67FC2632"/>
    <w:rsid w:val="67FC4FEA"/>
    <w:rsid w:val="6852735E"/>
    <w:rsid w:val="68EB0D59"/>
    <w:rsid w:val="690B73F7"/>
    <w:rsid w:val="69594E76"/>
    <w:rsid w:val="695A0EC4"/>
    <w:rsid w:val="695E7070"/>
    <w:rsid w:val="698544C9"/>
    <w:rsid w:val="69D00EF1"/>
    <w:rsid w:val="69E113F6"/>
    <w:rsid w:val="6A34211E"/>
    <w:rsid w:val="6A5621A9"/>
    <w:rsid w:val="6A8D061C"/>
    <w:rsid w:val="6AD00976"/>
    <w:rsid w:val="6B2A277C"/>
    <w:rsid w:val="6BB55E5C"/>
    <w:rsid w:val="6C413741"/>
    <w:rsid w:val="6C9440E6"/>
    <w:rsid w:val="6CA13246"/>
    <w:rsid w:val="6CBE35F6"/>
    <w:rsid w:val="6D2064EA"/>
    <w:rsid w:val="6D64021D"/>
    <w:rsid w:val="6D8E0FD5"/>
    <w:rsid w:val="6DD1348F"/>
    <w:rsid w:val="6DDB19AD"/>
    <w:rsid w:val="6DDD4DB0"/>
    <w:rsid w:val="6E281365"/>
    <w:rsid w:val="6E685168"/>
    <w:rsid w:val="6E784501"/>
    <w:rsid w:val="6E961512"/>
    <w:rsid w:val="6F010B22"/>
    <w:rsid w:val="6F337B84"/>
    <w:rsid w:val="6F43357F"/>
    <w:rsid w:val="6F8142E5"/>
    <w:rsid w:val="70022762"/>
    <w:rsid w:val="70A771A6"/>
    <w:rsid w:val="713F2A2B"/>
    <w:rsid w:val="71524DCB"/>
    <w:rsid w:val="71A37B39"/>
    <w:rsid w:val="71FE52CE"/>
    <w:rsid w:val="72190AC4"/>
    <w:rsid w:val="7241371E"/>
    <w:rsid w:val="72927AE7"/>
    <w:rsid w:val="72A82F95"/>
    <w:rsid w:val="72B02137"/>
    <w:rsid w:val="73907D5F"/>
    <w:rsid w:val="73EF2BAE"/>
    <w:rsid w:val="74EF0E42"/>
    <w:rsid w:val="750F518A"/>
    <w:rsid w:val="752D5280"/>
    <w:rsid w:val="761261C6"/>
    <w:rsid w:val="76DC3885"/>
    <w:rsid w:val="76DF550A"/>
    <w:rsid w:val="76E97F1E"/>
    <w:rsid w:val="770A460E"/>
    <w:rsid w:val="7778003E"/>
    <w:rsid w:val="779D6F26"/>
    <w:rsid w:val="780954C8"/>
    <w:rsid w:val="783D09B5"/>
    <w:rsid w:val="785F205D"/>
    <w:rsid w:val="7892370F"/>
    <w:rsid w:val="7A0568BE"/>
    <w:rsid w:val="7AB27881"/>
    <w:rsid w:val="7AC04656"/>
    <w:rsid w:val="7AC8338F"/>
    <w:rsid w:val="7ADF5D39"/>
    <w:rsid w:val="7B330D36"/>
    <w:rsid w:val="7B5D1DB2"/>
    <w:rsid w:val="7BBC6686"/>
    <w:rsid w:val="7BE26BF7"/>
    <w:rsid w:val="7C0F7305"/>
    <w:rsid w:val="7C171FF4"/>
    <w:rsid w:val="7C33293B"/>
    <w:rsid w:val="7C9B6FAA"/>
    <w:rsid w:val="7CBE5277"/>
    <w:rsid w:val="7D871368"/>
    <w:rsid w:val="7E2343CF"/>
    <w:rsid w:val="7E320591"/>
    <w:rsid w:val="7E5D2D91"/>
    <w:rsid w:val="7F280929"/>
    <w:rsid w:val="7F761695"/>
    <w:rsid w:val="7F7A1B6B"/>
    <w:rsid w:val="7F9164CE"/>
    <w:rsid w:val="DEEE651C"/>
    <w:rsid w:val="EFBF869B"/>
    <w:rsid w:val="FFF644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qFormat="1"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link w:val="239"/>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491"/>
    <w:qFormat/>
    <w:uiPriority w:val="0"/>
    <w:pPr>
      <w:keepNext/>
      <w:keepLines/>
      <w:spacing w:before="260" w:after="260" w:line="416" w:lineRule="auto"/>
      <w:outlineLvl w:val="1"/>
    </w:pPr>
    <w:rPr>
      <w:rFonts w:eastAsia="仿宋" w:asciiTheme="majorHAnsi" w:hAnsiTheme="majorHAnsi" w:cstheme="majorBidi"/>
      <w:b/>
      <w:bCs/>
      <w:sz w:val="28"/>
      <w:szCs w:val="32"/>
    </w:rPr>
  </w:style>
  <w:style w:type="paragraph" w:styleId="6">
    <w:name w:val="heading 3"/>
    <w:basedOn w:val="1"/>
    <w:next w:val="1"/>
    <w:link w:val="165"/>
    <w:qFormat/>
    <w:uiPriority w:val="0"/>
    <w:pPr>
      <w:keepNext/>
      <w:keepLines/>
      <w:spacing w:before="260" w:after="260" w:line="416" w:lineRule="auto"/>
      <w:outlineLvl w:val="2"/>
    </w:pPr>
    <w:rPr>
      <w:b/>
      <w:bCs/>
      <w:sz w:val="32"/>
      <w:szCs w:val="32"/>
    </w:rPr>
  </w:style>
  <w:style w:type="paragraph" w:styleId="7">
    <w:name w:val="heading 4"/>
    <w:basedOn w:val="1"/>
    <w:next w:val="1"/>
    <w:link w:val="338"/>
    <w:qFormat/>
    <w:uiPriority w:val="0"/>
    <w:pPr>
      <w:keepNext/>
      <w:spacing w:line="440" w:lineRule="exact"/>
      <w:jc w:val="center"/>
      <w:outlineLvl w:val="3"/>
    </w:pPr>
    <w:rPr>
      <w:rFonts w:ascii="仿宋_GB2312" w:eastAsia="仿宋_GB2312"/>
      <w:sz w:val="28"/>
      <w:szCs w:val="28"/>
    </w:rPr>
  </w:style>
  <w:style w:type="paragraph" w:styleId="8">
    <w:name w:val="heading 5"/>
    <w:basedOn w:val="1"/>
    <w:next w:val="1"/>
    <w:link w:val="389"/>
    <w:qFormat/>
    <w:uiPriority w:val="0"/>
    <w:pPr>
      <w:keepNext/>
      <w:keepLines/>
      <w:spacing w:before="280" w:after="290" w:line="372" w:lineRule="auto"/>
      <w:outlineLvl w:val="4"/>
    </w:pPr>
    <w:rPr>
      <w:b/>
      <w:bCs/>
      <w:sz w:val="28"/>
      <w:szCs w:val="28"/>
    </w:rPr>
  </w:style>
  <w:style w:type="paragraph" w:styleId="9">
    <w:name w:val="heading 6"/>
    <w:basedOn w:val="1"/>
    <w:next w:val="1"/>
    <w:link w:val="112"/>
    <w:qFormat/>
    <w:uiPriority w:val="0"/>
    <w:pPr>
      <w:keepNext/>
      <w:keepLines/>
      <w:widowControl/>
      <w:tabs>
        <w:tab w:val="left" w:pos="1440"/>
      </w:tabs>
      <w:spacing w:before="240" w:after="64" w:line="317" w:lineRule="auto"/>
      <w:ind w:left="1152" w:hanging="1152"/>
      <w:jc w:val="left"/>
      <w:outlineLvl w:val="5"/>
    </w:pPr>
    <w:rPr>
      <w:rFonts w:ascii="Arial" w:hAnsi="Arial" w:eastAsia="黑体"/>
      <w:b/>
      <w:bCs/>
      <w:kern w:val="0"/>
      <w:sz w:val="24"/>
    </w:rPr>
  </w:style>
  <w:style w:type="paragraph" w:styleId="10">
    <w:name w:val="heading 7"/>
    <w:basedOn w:val="1"/>
    <w:next w:val="1"/>
    <w:link w:val="63"/>
    <w:qFormat/>
    <w:uiPriority w:val="0"/>
    <w:pPr>
      <w:keepNext/>
      <w:keepLines/>
      <w:widowControl/>
      <w:tabs>
        <w:tab w:val="left" w:pos="2520"/>
      </w:tabs>
      <w:spacing w:before="240" w:after="64" w:line="317" w:lineRule="auto"/>
      <w:ind w:left="1296" w:hanging="1296"/>
      <w:jc w:val="left"/>
      <w:outlineLvl w:val="6"/>
    </w:pPr>
    <w:rPr>
      <w:b/>
      <w:bCs/>
      <w:kern w:val="0"/>
      <w:sz w:val="24"/>
    </w:rPr>
  </w:style>
  <w:style w:type="paragraph" w:styleId="11">
    <w:name w:val="heading 8"/>
    <w:basedOn w:val="1"/>
    <w:next w:val="1"/>
    <w:link w:val="394"/>
    <w:qFormat/>
    <w:uiPriority w:val="0"/>
    <w:pPr>
      <w:keepNext/>
      <w:keepLines/>
      <w:widowControl/>
      <w:tabs>
        <w:tab w:val="left" w:pos="1440"/>
      </w:tabs>
      <w:spacing w:before="240" w:after="64" w:line="317" w:lineRule="auto"/>
      <w:ind w:left="1440" w:hanging="1440"/>
      <w:jc w:val="left"/>
      <w:outlineLvl w:val="7"/>
    </w:pPr>
    <w:rPr>
      <w:rFonts w:ascii="Arial" w:hAnsi="Arial" w:eastAsia="黑体"/>
      <w:kern w:val="0"/>
      <w:sz w:val="24"/>
    </w:rPr>
  </w:style>
  <w:style w:type="paragraph" w:styleId="12">
    <w:name w:val="heading 9"/>
    <w:basedOn w:val="1"/>
    <w:next w:val="1"/>
    <w:link w:val="287"/>
    <w:qFormat/>
    <w:uiPriority w:val="0"/>
    <w:pPr>
      <w:keepNext/>
      <w:keepLines/>
      <w:widowControl/>
      <w:tabs>
        <w:tab w:val="left" w:pos="1584"/>
      </w:tabs>
      <w:spacing w:before="240" w:after="64" w:line="317" w:lineRule="auto"/>
      <w:ind w:left="1584" w:hanging="1584"/>
      <w:jc w:val="left"/>
      <w:outlineLvl w:val="8"/>
    </w:pPr>
    <w:rPr>
      <w:rFonts w:ascii="Arial" w:hAnsi="Arial" w:eastAsia="黑体"/>
      <w:kern w:val="0"/>
      <w:szCs w:val="21"/>
    </w:rPr>
  </w:style>
  <w:style w:type="character" w:default="1" w:styleId="54">
    <w:name w:val="Default Paragraph Font"/>
    <w:semiHidden/>
    <w:unhideWhenUsed/>
    <w:qFormat/>
    <w:uiPriority w:val="1"/>
  </w:style>
  <w:style w:type="table" w:default="1" w:styleId="52">
    <w:name w:val="Normal Table"/>
    <w:semiHidden/>
    <w:unhideWhenUsed/>
    <w:qFormat/>
    <w:uiPriority w:val="99"/>
    <w:tblPr>
      <w:tblCellMar>
        <w:top w:w="0" w:type="dxa"/>
        <w:left w:w="108" w:type="dxa"/>
        <w:bottom w:w="0" w:type="dxa"/>
        <w:right w:w="108" w:type="dxa"/>
      </w:tblCellMar>
    </w:tblPr>
  </w:style>
  <w:style w:type="paragraph" w:styleId="2">
    <w:name w:val="Body Text"/>
    <w:next w:val="3"/>
    <w:link w:val="480"/>
    <w:qFormat/>
    <w:uiPriority w:val="0"/>
    <w:pPr>
      <w:widowControl w:val="0"/>
      <w:spacing w:after="120"/>
      <w:jc w:val="both"/>
    </w:pPr>
    <w:rPr>
      <w:rFonts w:asciiTheme="minorHAnsi" w:hAnsiTheme="minorHAnsi" w:eastAsiaTheme="minorEastAsia" w:cstheme="minorBidi"/>
      <w:kern w:val="0"/>
      <w:sz w:val="24"/>
      <w:szCs w:val="24"/>
      <w:lang w:val="en-US" w:eastAsia="zh-CN" w:bidi="ar-SA"/>
    </w:rPr>
  </w:style>
  <w:style w:type="paragraph" w:styleId="3">
    <w:name w:val="Date"/>
    <w:next w:val="1"/>
    <w:link w:val="145"/>
    <w:qFormat/>
    <w:uiPriority w:val="0"/>
    <w:pPr>
      <w:widowControl w:val="0"/>
      <w:ind w:left="100" w:leftChars="2500"/>
      <w:jc w:val="both"/>
    </w:pPr>
    <w:rPr>
      <w:rFonts w:ascii="宋体" w:hAnsi="Courier New" w:eastAsiaTheme="minorEastAsia" w:cstheme="minorBidi"/>
      <w:kern w:val="0"/>
      <w:sz w:val="21"/>
      <w:szCs w:val="21"/>
      <w:lang w:val="en-US" w:eastAsia="zh-CN" w:bidi="ar-SA"/>
    </w:rPr>
  </w:style>
  <w:style w:type="paragraph" w:styleId="13">
    <w:name w:val="List 3"/>
    <w:basedOn w:val="1"/>
    <w:qFormat/>
    <w:uiPriority w:val="0"/>
    <w:pPr>
      <w:ind w:left="100" w:leftChars="400" w:hanging="200" w:hangingChars="200"/>
    </w:pPr>
  </w:style>
  <w:style w:type="paragraph" w:styleId="14">
    <w:name w:val="toc 7"/>
    <w:basedOn w:val="1"/>
    <w:next w:val="1"/>
    <w:qFormat/>
    <w:uiPriority w:val="39"/>
    <w:pPr>
      <w:ind w:left="1260"/>
      <w:jc w:val="left"/>
    </w:pPr>
    <w:rPr>
      <w:sz w:val="18"/>
      <w:szCs w:val="18"/>
    </w:rPr>
  </w:style>
  <w:style w:type="paragraph" w:styleId="15">
    <w:name w:val="Normal Indent"/>
    <w:basedOn w:val="1"/>
    <w:link w:val="146"/>
    <w:qFormat/>
    <w:uiPriority w:val="0"/>
    <w:pPr>
      <w:ind w:firstLine="420"/>
    </w:pPr>
    <w:rPr>
      <w:szCs w:val="21"/>
    </w:rPr>
  </w:style>
  <w:style w:type="paragraph" w:styleId="16">
    <w:name w:val="caption"/>
    <w:basedOn w:val="1"/>
    <w:next w:val="1"/>
    <w:qFormat/>
    <w:uiPriority w:val="0"/>
    <w:rPr>
      <w:rFonts w:ascii="Cambria" w:hAnsi="Cambria" w:eastAsia="黑体"/>
      <w:sz w:val="20"/>
      <w:szCs w:val="20"/>
    </w:rPr>
  </w:style>
  <w:style w:type="paragraph" w:styleId="17">
    <w:name w:val="Document Map"/>
    <w:basedOn w:val="1"/>
    <w:link w:val="365"/>
    <w:qFormat/>
    <w:uiPriority w:val="99"/>
    <w:pPr>
      <w:shd w:val="clear" w:color="auto" w:fill="000080"/>
    </w:pPr>
  </w:style>
  <w:style w:type="paragraph" w:styleId="18">
    <w:name w:val="annotation text"/>
    <w:basedOn w:val="1"/>
    <w:link w:val="322"/>
    <w:qFormat/>
    <w:uiPriority w:val="0"/>
    <w:pPr>
      <w:jc w:val="left"/>
    </w:pPr>
  </w:style>
  <w:style w:type="paragraph" w:styleId="19">
    <w:name w:val="Body Text 3"/>
    <w:basedOn w:val="1"/>
    <w:link w:val="64"/>
    <w:qFormat/>
    <w:uiPriority w:val="99"/>
    <w:pPr>
      <w:spacing w:after="120"/>
    </w:pPr>
    <w:rPr>
      <w:sz w:val="16"/>
      <w:szCs w:val="16"/>
    </w:rPr>
  </w:style>
  <w:style w:type="paragraph" w:styleId="20">
    <w:name w:val="Body Text Indent"/>
    <w:basedOn w:val="1"/>
    <w:next w:val="21"/>
    <w:link w:val="118"/>
    <w:qFormat/>
    <w:uiPriority w:val="99"/>
    <w:pPr>
      <w:ind w:firstLine="830" w:firstLineChars="352"/>
    </w:pPr>
    <w:rPr>
      <w:rFonts w:ascii="仿宋_GB2312" w:eastAsia="仿宋_GB2312"/>
      <w:kern w:val="0"/>
      <w:sz w:val="32"/>
      <w:szCs w:val="32"/>
    </w:rPr>
  </w:style>
  <w:style w:type="paragraph" w:styleId="21">
    <w:name w:val="envelope return"/>
    <w:basedOn w:val="1"/>
    <w:qFormat/>
    <w:uiPriority w:val="0"/>
    <w:pPr>
      <w:snapToGrid w:val="0"/>
      <w:spacing w:line="360" w:lineRule="auto"/>
      <w:ind w:firstLine="200" w:firstLineChars="200"/>
    </w:pPr>
    <w:rPr>
      <w:rFonts w:ascii="Arial" w:hAnsi="Arial" w:cs="Arial"/>
      <w:sz w:val="24"/>
    </w:rPr>
  </w:style>
  <w:style w:type="paragraph" w:styleId="22">
    <w:name w:val="List 2"/>
    <w:basedOn w:val="1"/>
    <w:qFormat/>
    <w:uiPriority w:val="0"/>
    <w:pPr>
      <w:ind w:left="100" w:leftChars="200" w:hanging="200" w:hangingChars="200"/>
    </w:pPr>
  </w:style>
  <w:style w:type="paragraph" w:styleId="23">
    <w:name w:val="Block Text"/>
    <w:basedOn w:val="1"/>
    <w:link w:val="193"/>
    <w:qFormat/>
    <w:uiPriority w:val="0"/>
    <w:pPr>
      <w:autoSpaceDE w:val="0"/>
      <w:autoSpaceDN w:val="0"/>
      <w:adjustRightInd w:val="0"/>
      <w:spacing w:line="500" w:lineRule="exact"/>
      <w:ind w:left="391" w:right="246"/>
    </w:pPr>
    <w:rPr>
      <w:rFonts w:ascii="仿宋_GB2312" w:eastAsia="仿宋_GB2312"/>
      <w:kern w:val="0"/>
      <w:sz w:val="24"/>
    </w:rPr>
  </w:style>
  <w:style w:type="paragraph" w:styleId="24">
    <w:name w:val="index 4"/>
    <w:basedOn w:val="1"/>
    <w:next w:val="1"/>
    <w:qFormat/>
    <w:uiPriority w:val="0"/>
    <w:pPr>
      <w:ind w:left="600" w:leftChars="600"/>
    </w:pPr>
  </w:style>
  <w:style w:type="paragraph" w:styleId="25">
    <w:name w:val="toc 5"/>
    <w:basedOn w:val="1"/>
    <w:next w:val="1"/>
    <w:qFormat/>
    <w:uiPriority w:val="39"/>
    <w:pPr>
      <w:ind w:left="1680" w:leftChars="800"/>
    </w:pPr>
  </w:style>
  <w:style w:type="paragraph" w:styleId="26">
    <w:name w:val="toc 3"/>
    <w:basedOn w:val="1"/>
    <w:next w:val="1"/>
    <w:qFormat/>
    <w:uiPriority w:val="39"/>
    <w:pPr>
      <w:widowControl/>
      <w:spacing w:after="100" w:line="276" w:lineRule="auto"/>
      <w:ind w:left="440"/>
      <w:jc w:val="left"/>
    </w:pPr>
    <w:rPr>
      <w:rFonts w:ascii="Calibri" w:hAnsi="Calibri"/>
      <w:kern w:val="0"/>
      <w:sz w:val="22"/>
      <w:szCs w:val="22"/>
    </w:rPr>
  </w:style>
  <w:style w:type="paragraph" w:styleId="27">
    <w:name w:val="Plain Text"/>
    <w:basedOn w:val="1"/>
    <w:link w:val="442"/>
    <w:qFormat/>
    <w:uiPriority w:val="0"/>
    <w:rPr>
      <w:rFonts w:ascii="宋体" w:hAnsi="Courier New"/>
      <w:kern w:val="0"/>
      <w:szCs w:val="21"/>
    </w:rPr>
  </w:style>
  <w:style w:type="paragraph" w:styleId="28">
    <w:name w:val="toc 8"/>
    <w:basedOn w:val="1"/>
    <w:next w:val="1"/>
    <w:qFormat/>
    <w:uiPriority w:val="39"/>
    <w:pPr>
      <w:ind w:left="1470"/>
      <w:jc w:val="left"/>
    </w:pPr>
    <w:rPr>
      <w:sz w:val="18"/>
      <w:szCs w:val="18"/>
    </w:rPr>
  </w:style>
  <w:style w:type="paragraph" w:styleId="29">
    <w:name w:val="Body Text Indent 2"/>
    <w:basedOn w:val="1"/>
    <w:link w:val="259"/>
    <w:qFormat/>
    <w:uiPriority w:val="99"/>
    <w:pPr>
      <w:spacing w:after="120" w:line="480" w:lineRule="auto"/>
      <w:ind w:left="420" w:leftChars="200"/>
    </w:pPr>
    <w:rPr>
      <w:kern w:val="0"/>
      <w:sz w:val="24"/>
    </w:rPr>
  </w:style>
  <w:style w:type="paragraph" w:styleId="30">
    <w:name w:val="Balloon Text"/>
    <w:basedOn w:val="1"/>
    <w:link w:val="266"/>
    <w:qFormat/>
    <w:uiPriority w:val="99"/>
    <w:rPr>
      <w:sz w:val="18"/>
      <w:szCs w:val="18"/>
    </w:rPr>
  </w:style>
  <w:style w:type="paragraph" w:styleId="31">
    <w:name w:val="footer"/>
    <w:basedOn w:val="1"/>
    <w:link w:val="144"/>
    <w:qFormat/>
    <w:uiPriority w:val="99"/>
    <w:pPr>
      <w:tabs>
        <w:tab w:val="center" w:pos="4153"/>
        <w:tab w:val="right" w:pos="8306"/>
      </w:tabs>
      <w:snapToGrid w:val="0"/>
      <w:jc w:val="left"/>
    </w:pPr>
    <w:rPr>
      <w:sz w:val="18"/>
      <w:szCs w:val="18"/>
    </w:rPr>
  </w:style>
  <w:style w:type="paragraph" w:styleId="32">
    <w:name w:val="header"/>
    <w:basedOn w:val="1"/>
    <w:link w:val="122"/>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tabs>
        <w:tab w:val="right" w:leader="dot" w:pos="8834"/>
      </w:tabs>
      <w:spacing w:before="120" w:after="120"/>
      <w:jc w:val="left"/>
    </w:pPr>
    <w:rPr>
      <w:b/>
      <w:bCs/>
      <w:caps/>
      <w:sz w:val="28"/>
      <w:szCs w:val="28"/>
    </w:rPr>
  </w:style>
  <w:style w:type="paragraph" w:styleId="34">
    <w:name w:val="toc 4"/>
    <w:basedOn w:val="1"/>
    <w:next w:val="1"/>
    <w:qFormat/>
    <w:uiPriority w:val="39"/>
    <w:pPr>
      <w:ind w:left="630"/>
      <w:jc w:val="left"/>
    </w:pPr>
    <w:rPr>
      <w:sz w:val="18"/>
      <w:szCs w:val="18"/>
    </w:rPr>
  </w:style>
  <w:style w:type="paragraph" w:styleId="35">
    <w:name w:val="Subtitle"/>
    <w:basedOn w:val="1"/>
    <w:next w:val="1"/>
    <w:link w:val="216"/>
    <w:qFormat/>
    <w:uiPriority w:val="11"/>
    <w:pPr>
      <w:spacing w:before="240" w:after="60" w:line="312" w:lineRule="auto"/>
      <w:jc w:val="center"/>
      <w:outlineLvl w:val="1"/>
    </w:pPr>
    <w:rPr>
      <w:rFonts w:ascii="Cambria" w:hAnsi="Cambria" w:eastAsia="方正楷体简体"/>
      <w:kern w:val="28"/>
      <w:sz w:val="32"/>
      <w:szCs w:val="32"/>
    </w:rPr>
  </w:style>
  <w:style w:type="paragraph" w:styleId="36">
    <w:name w:val="List"/>
    <w:basedOn w:val="1"/>
    <w:qFormat/>
    <w:uiPriority w:val="0"/>
    <w:pPr>
      <w:ind w:left="200" w:hanging="200" w:hangingChars="200"/>
    </w:pPr>
  </w:style>
  <w:style w:type="paragraph" w:styleId="37">
    <w:name w:val="footnote text"/>
    <w:basedOn w:val="1"/>
    <w:link w:val="367"/>
    <w:qFormat/>
    <w:uiPriority w:val="0"/>
    <w:rPr>
      <w:rFonts w:ascii="Calibri" w:hAnsi="Calibri"/>
      <w:szCs w:val="22"/>
    </w:rPr>
  </w:style>
  <w:style w:type="paragraph" w:styleId="38">
    <w:name w:val="toc 6"/>
    <w:basedOn w:val="1"/>
    <w:next w:val="1"/>
    <w:qFormat/>
    <w:uiPriority w:val="39"/>
    <w:pPr>
      <w:ind w:left="1050"/>
      <w:jc w:val="left"/>
    </w:pPr>
    <w:rPr>
      <w:sz w:val="18"/>
      <w:szCs w:val="18"/>
    </w:rPr>
  </w:style>
  <w:style w:type="paragraph" w:styleId="39">
    <w:name w:val="Body Text Indent 3"/>
    <w:basedOn w:val="1"/>
    <w:link w:val="133"/>
    <w:qFormat/>
    <w:uiPriority w:val="99"/>
    <w:pPr>
      <w:spacing w:after="120"/>
      <w:ind w:left="420" w:leftChars="200"/>
    </w:pPr>
    <w:rPr>
      <w:kern w:val="0"/>
      <w:sz w:val="16"/>
      <w:szCs w:val="16"/>
    </w:rPr>
  </w:style>
  <w:style w:type="paragraph" w:styleId="40">
    <w:name w:val="table of figures"/>
    <w:basedOn w:val="1"/>
    <w:next w:val="1"/>
    <w:qFormat/>
    <w:uiPriority w:val="0"/>
    <w:pPr>
      <w:ind w:left="200" w:leftChars="200" w:hanging="200" w:hangingChars="200"/>
    </w:pPr>
  </w:style>
  <w:style w:type="paragraph" w:styleId="41">
    <w:name w:val="toc 2"/>
    <w:basedOn w:val="1"/>
    <w:next w:val="1"/>
    <w:qFormat/>
    <w:uiPriority w:val="39"/>
    <w:pPr>
      <w:ind w:left="420" w:leftChars="200"/>
    </w:pPr>
    <w:rPr>
      <w:szCs w:val="21"/>
    </w:rPr>
  </w:style>
  <w:style w:type="paragraph" w:styleId="42">
    <w:name w:val="toc 9"/>
    <w:basedOn w:val="1"/>
    <w:next w:val="1"/>
    <w:qFormat/>
    <w:uiPriority w:val="39"/>
    <w:pPr>
      <w:ind w:left="1680"/>
      <w:jc w:val="left"/>
    </w:pPr>
    <w:rPr>
      <w:sz w:val="18"/>
      <w:szCs w:val="18"/>
    </w:rPr>
  </w:style>
  <w:style w:type="paragraph" w:styleId="43">
    <w:name w:val="Body Text 2"/>
    <w:basedOn w:val="1"/>
    <w:link w:val="461"/>
    <w:qFormat/>
    <w:uiPriority w:val="0"/>
    <w:pPr>
      <w:jc w:val="center"/>
    </w:pPr>
    <w:rPr>
      <w:rFonts w:ascii="Calibri" w:hAnsi="Calibri"/>
      <w:sz w:val="24"/>
      <w:szCs w:val="22"/>
    </w:rPr>
  </w:style>
  <w:style w:type="paragraph" w:styleId="44">
    <w:name w:val="List 4"/>
    <w:basedOn w:val="1"/>
    <w:qFormat/>
    <w:uiPriority w:val="0"/>
    <w:pPr>
      <w:ind w:left="100" w:leftChars="600" w:hanging="200" w:hangingChars="200"/>
    </w:pPr>
  </w:style>
  <w:style w:type="paragraph" w:styleId="45">
    <w:name w:val="List Continue 2"/>
    <w:basedOn w:val="1"/>
    <w:qFormat/>
    <w:uiPriority w:val="0"/>
    <w:pPr>
      <w:spacing w:after="120"/>
      <w:ind w:left="840" w:leftChars="400"/>
    </w:pPr>
  </w:style>
  <w:style w:type="paragraph" w:styleId="46">
    <w:name w:val="HTML Preformatted"/>
    <w:basedOn w:val="1"/>
    <w:link w:val="414"/>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kern w:val="0"/>
      <w:sz w:val="20"/>
      <w:szCs w:val="20"/>
      <w:lang w:eastAsia="en-US"/>
    </w:rPr>
  </w:style>
  <w:style w:type="paragraph" w:styleId="47">
    <w:name w:val="Normal (Web)"/>
    <w:link w:val="499"/>
    <w:qFormat/>
    <w:uiPriority w:val="0"/>
    <w:pPr>
      <w:spacing w:before="100" w:beforeAutospacing="1" w:after="100" w:afterAutospacing="1"/>
    </w:pPr>
    <w:rPr>
      <w:rFonts w:ascii="宋体" w:hAnsi="宋体" w:cs="宋体" w:eastAsiaTheme="minorEastAsia"/>
      <w:kern w:val="0"/>
      <w:sz w:val="24"/>
      <w:szCs w:val="24"/>
      <w:lang w:val="en-US" w:eastAsia="zh-CN" w:bidi="ar-SA"/>
    </w:rPr>
  </w:style>
  <w:style w:type="paragraph" w:styleId="48">
    <w:name w:val="Title"/>
    <w:basedOn w:val="1"/>
    <w:next w:val="1"/>
    <w:link w:val="66"/>
    <w:qFormat/>
    <w:uiPriority w:val="10"/>
    <w:pPr>
      <w:spacing w:before="240" w:after="60"/>
      <w:jc w:val="center"/>
      <w:outlineLvl w:val="0"/>
    </w:pPr>
    <w:rPr>
      <w:rFonts w:ascii="Cambria" w:hAnsi="Cambria" w:eastAsia="方正小标宋简体"/>
      <w:b/>
      <w:bCs/>
      <w:sz w:val="32"/>
      <w:szCs w:val="32"/>
    </w:rPr>
  </w:style>
  <w:style w:type="paragraph" w:styleId="49">
    <w:name w:val="annotation subject"/>
    <w:basedOn w:val="18"/>
    <w:next w:val="18"/>
    <w:link w:val="460"/>
    <w:qFormat/>
    <w:uiPriority w:val="99"/>
    <w:rPr>
      <w:b/>
      <w:bCs/>
      <w:szCs w:val="21"/>
    </w:rPr>
  </w:style>
  <w:style w:type="paragraph" w:styleId="50">
    <w:name w:val="Body Text First Indent"/>
    <w:basedOn w:val="2"/>
    <w:link w:val="157"/>
    <w:qFormat/>
    <w:uiPriority w:val="99"/>
    <w:pPr>
      <w:spacing w:line="560" w:lineRule="exact"/>
      <w:ind w:firstLine="420" w:firstLineChars="100"/>
    </w:pPr>
    <w:rPr>
      <w:kern w:val="2"/>
      <w:sz w:val="21"/>
      <w:szCs w:val="22"/>
    </w:rPr>
  </w:style>
  <w:style w:type="paragraph" w:styleId="51">
    <w:name w:val="Body Text First Indent 2"/>
    <w:basedOn w:val="20"/>
    <w:next w:val="1"/>
    <w:link w:val="221"/>
    <w:qFormat/>
    <w:uiPriority w:val="0"/>
    <w:pPr>
      <w:spacing w:after="120"/>
      <w:ind w:left="420" w:leftChars="200" w:firstLine="420" w:firstLineChars="200"/>
    </w:pPr>
    <w:rPr>
      <w:rFonts w:ascii="Calibri" w:hAnsi="Calibri"/>
      <w:kern w:val="2"/>
      <w:sz w:val="21"/>
      <w:szCs w:val="24"/>
    </w:rPr>
  </w:style>
  <w:style w:type="table" w:styleId="53">
    <w:name w:val="Table Grid"/>
    <w:basedOn w:val="5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5">
    <w:name w:val="Strong"/>
    <w:qFormat/>
    <w:uiPriority w:val="22"/>
    <w:rPr>
      <w:b/>
      <w:bCs/>
    </w:rPr>
  </w:style>
  <w:style w:type="character" w:styleId="56">
    <w:name w:val="page number"/>
    <w:qFormat/>
    <w:uiPriority w:val="0"/>
  </w:style>
  <w:style w:type="character" w:styleId="57">
    <w:name w:val="FollowedHyperlink"/>
    <w:qFormat/>
    <w:uiPriority w:val="99"/>
    <w:rPr>
      <w:color w:val="800080"/>
      <w:u w:val="single"/>
    </w:rPr>
  </w:style>
  <w:style w:type="character" w:styleId="58">
    <w:name w:val="Emphasis"/>
    <w:qFormat/>
    <w:uiPriority w:val="0"/>
    <w:rPr>
      <w:i/>
    </w:rPr>
  </w:style>
  <w:style w:type="character" w:styleId="59">
    <w:name w:val="Hyperlink"/>
    <w:qFormat/>
    <w:uiPriority w:val="99"/>
    <w:rPr>
      <w:color w:val="0000FF"/>
      <w:u w:val="single"/>
    </w:rPr>
  </w:style>
  <w:style w:type="character" w:styleId="60">
    <w:name w:val="annotation reference"/>
    <w:qFormat/>
    <w:uiPriority w:val="0"/>
    <w:rPr>
      <w:sz w:val="21"/>
      <w:szCs w:val="21"/>
    </w:rPr>
  </w:style>
  <w:style w:type="character" w:styleId="61">
    <w:name w:val="footnote reference"/>
    <w:qFormat/>
    <w:uiPriority w:val="0"/>
    <w:rPr>
      <w:vertAlign w:val="superscript"/>
    </w:rPr>
  </w:style>
  <w:style w:type="character" w:customStyle="1" w:styleId="62">
    <w:name w:val="Char Char16"/>
    <w:qFormat/>
    <w:uiPriority w:val="0"/>
    <w:rPr>
      <w:rFonts w:eastAsia="宋体"/>
      <w:b/>
      <w:bCs/>
      <w:kern w:val="44"/>
      <w:sz w:val="44"/>
      <w:szCs w:val="44"/>
      <w:lang w:val="en-US" w:eastAsia="zh-CN" w:bidi="ar-SA"/>
    </w:rPr>
  </w:style>
  <w:style w:type="character" w:customStyle="1" w:styleId="63">
    <w:name w:val="标题 7 字符"/>
    <w:link w:val="10"/>
    <w:qFormat/>
    <w:uiPriority w:val="0"/>
    <w:rPr>
      <w:b/>
      <w:bCs/>
      <w:sz w:val="24"/>
      <w:szCs w:val="24"/>
    </w:rPr>
  </w:style>
  <w:style w:type="character" w:customStyle="1" w:styleId="64">
    <w:name w:val="正文文本 3 字符"/>
    <w:link w:val="19"/>
    <w:qFormat/>
    <w:uiPriority w:val="99"/>
    <w:rPr>
      <w:kern w:val="2"/>
      <w:sz w:val="16"/>
      <w:szCs w:val="16"/>
    </w:rPr>
  </w:style>
  <w:style w:type="character" w:customStyle="1" w:styleId="65">
    <w:name w:val="书籍标题2"/>
    <w:qFormat/>
    <w:uiPriority w:val="0"/>
    <w:rPr>
      <w:b/>
      <w:bCs/>
      <w:smallCaps/>
      <w:spacing w:val="5"/>
    </w:rPr>
  </w:style>
  <w:style w:type="character" w:customStyle="1" w:styleId="66">
    <w:name w:val="标题 字符"/>
    <w:link w:val="48"/>
    <w:qFormat/>
    <w:uiPriority w:val="10"/>
    <w:rPr>
      <w:rFonts w:ascii="Cambria" w:hAnsi="Cambria" w:eastAsia="方正小标宋简体"/>
      <w:b/>
      <w:bCs/>
      <w:kern w:val="2"/>
      <w:sz w:val="32"/>
      <w:szCs w:val="32"/>
    </w:rPr>
  </w:style>
  <w:style w:type="character" w:customStyle="1" w:styleId="67">
    <w:name w:val="Char Char17"/>
    <w:qFormat/>
    <w:uiPriority w:val="0"/>
    <w:rPr>
      <w:rFonts w:ascii="Cambria" w:hAnsi="Cambria" w:eastAsia="宋体" w:cs="Times New Roman"/>
      <w:b/>
      <w:bCs/>
      <w:kern w:val="2"/>
      <w:sz w:val="32"/>
      <w:szCs w:val="32"/>
    </w:rPr>
  </w:style>
  <w:style w:type="character" w:customStyle="1" w:styleId="68">
    <w:name w:val="Char Char151"/>
    <w:qFormat/>
    <w:uiPriority w:val="0"/>
    <w:rPr>
      <w:rFonts w:ascii="Arial" w:hAnsi="Arial" w:eastAsia="黑体"/>
      <w:b/>
      <w:bCs/>
      <w:kern w:val="2"/>
      <w:sz w:val="32"/>
      <w:szCs w:val="32"/>
      <w:lang w:val="en-US" w:eastAsia="zh-CN" w:bidi="ar-SA"/>
    </w:rPr>
  </w:style>
  <w:style w:type="paragraph" w:customStyle="1" w:styleId="69">
    <w:name w:val="xl100"/>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70">
    <w:name w:val="页眉 Char"/>
    <w:qFormat/>
    <w:uiPriority w:val="0"/>
    <w:rPr>
      <w:rFonts w:eastAsia="宋体"/>
      <w:kern w:val="2"/>
      <w:sz w:val="18"/>
      <w:szCs w:val="18"/>
      <w:lang w:val="en-US" w:eastAsia="zh-CN" w:bidi="ar-SA"/>
    </w:rPr>
  </w:style>
  <w:style w:type="paragraph" w:customStyle="1" w:styleId="71">
    <w:name w:val="_Style 62"/>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72">
    <w:name w:val="明显强调1"/>
    <w:qFormat/>
    <w:uiPriority w:val="0"/>
    <w:rPr>
      <w:rFonts w:cs="Times New Roman"/>
      <w:b/>
      <w:i/>
      <w:color w:val="4F81BD"/>
    </w:rPr>
  </w:style>
  <w:style w:type="paragraph" w:customStyle="1" w:styleId="73">
    <w:name w:val="Char Char Char1 Char Char Char Char Char Char Char1"/>
    <w:basedOn w:val="1"/>
    <w:qFormat/>
    <w:uiPriority w:val="0"/>
    <w:rPr>
      <w:sz w:val="28"/>
      <w:szCs w:val="28"/>
    </w:rPr>
  </w:style>
  <w:style w:type="paragraph" w:customStyle="1" w:styleId="74">
    <w:name w:val="xl87"/>
    <w:basedOn w:val="1"/>
    <w:qFormat/>
    <w:uiPriority w:val="0"/>
    <w:pPr>
      <w:widowControl/>
      <w:pBdr>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75">
    <w:name w:val="修订1"/>
    <w:qFormat/>
    <w:uiPriority w:val="0"/>
    <w:rPr>
      <w:rFonts w:asciiTheme="minorHAnsi" w:hAnsiTheme="minorHAnsi" w:eastAsiaTheme="minorEastAsia" w:cstheme="minorBidi"/>
      <w:kern w:val="2"/>
      <w:sz w:val="21"/>
      <w:szCs w:val="21"/>
      <w:lang w:val="en-US" w:eastAsia="zh-CN" w:bidi="ar-SA"/>
    </w:rPr>
  </w:style>
  <w:style w:type="paragraph" w:customStyle="1" w:styleId="76">
    <w:name w:val="0"/>
    <w:basedOn w:val="1"/>
    <w:qFormat/>
    <w:uiPriority w:val="0"/>
    <w:pPr>
      <w:widowControl/>
      <w:snapToGrid w:val="0"/>
      <w:spacing w:line="365" w:lineRule="atLeast"/>
      <w:ind w:left="1"/>
      <w:textAlignment w:val="bottom"/>
    </w:pPr>
    <w:rPr>
      <w:kern w:val="0"/>
      <w:sz w:val="20"/>
      <w:szCs w:val="20"/>
    </w:rPr>
  </w:style>
  <w:style w:type="paragraph" w:customStyle="1" w:styleId="77">
    <w:name w:val="批注主题1"/>
    <w:basedOn w:val="18"/>
    <w:next w:val="18"/>
    <w:qFormat/>
    <w:uiPriority w:val="0"/>
    <w:rPr>
      <w:rFonts w:ascii="宋体" w:hAnsi="Calibri"/>
      <w:b/>
      <w:bCs/>
      <w:kern w:val="0"/>
      <w:sz w:val="28"/>
      <w:szCs w:val="20"/>
    </w:rPr>
  </w:style>
  <w:style w:type="character" w:customStyle="1" w:styleId="78">
    <w:name w:val="标题 2李洪 Char"/>
    <w:qFormat/>
    <w:uiPriority w:val="0"/>
    <w:rPr>
      <w:rFonts w:hint="eastAsia" w:ascii="宋体" w:hAnsi="宋体" w:eastAsia="宋体"/>
      <w:kern w:val="2"/>
      <w:sz w:val="21"/>
      <w:szCs w:val="24"/>
      <w:lang w:val="en-US" w:eastAsia="zh-CN" w:bidi="ar-SA"/>
    </w:rPr>
  </w:style>
  <w:style w:type="character" w:customStyle="1" w:styleId="79">
    <w:name w:val="不明显强调1"/>
    <w:qFormat/>
    <w:uiPriority w:val="0"/>
    <w:rPr>
      <w:i/>
      <w:iCs/>
      <w:color w:val="808080"/>
    </w:rPr>
  </w:style>
  <w:style w:type="paragraph" w:customStyle="1" w:styleId="80">
    <w:name w:val="正文要点"/>
    <w:basedOn w:val="1"/>
    <w:next w:val="81"/>
    <w:link w:val="472"/>
    <w:qFormat/>
    <w:uiPriority w:val="0"/>
    <w:pPr>
      <w:tabs>
        <w:tab w:val="left" w:pos="420"/>
      </w:tabs>
      <w:spacing w:line="360" w:lineRule="auto"/>
      <w:ind w:left="840" w:hanging="420"/>
    </w:pPr>
    <w:rPr>
      <w:szCs w:val="21"/>
    </w:rPr>
  </w:style>
  <w:style w:type="paragraph" w:customStyle="1" w:styleId="81">
    <w:name w:val="正文要点内容"/>
    <w:basedOn w:val="80"/>
    <w:link w:val="346"/>
    <w:qFormat/>
    <w:uiPriority w:val="0"/>
    <w:pPr>
      <w:tabs>
        <w:tab w:val="left" w:pos="840"/>
        <w:tab w:val="clear" w:pos="420"/>
      </w:tabs>
      <w:ind w:left="400" w:leftChars="400" w:firstLine="200" w:firstLineChars="200"/>
    </w:pPr>
  </w:style>
  <w:style w:type="paragraph" w:customStyle="1" w:styleId="82">
    <w:name w:val="xl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83">
    <w:name w:val="样式 标题 1 + 黑体 三号 非加粗 居中 段前: 6 磅 段后: 6 磅 行距: 固定值 20 磅"/>
    <w:basedOn w:val="4"/>
    <w:qFormat/>
    <w:uiPriority w:val="0"/>
    <w:pPr>
      <w:spacing w:before="120" w:after="120" w:line="400" w:lineRule="exact"/>
      <w:jc w:val="center"/>
    </w:pPr>
    <w:rPr>
      <w:rFonts w:ascii="黑体" w:hAnsi="黑体" w:eastAsia="黑体" w:cs="宋体"/>
      <w:b w:val="0"/>
      <w:bCs w:val="0"/>
      <w:sz w:val="32"/>
      <w:szCs w:val="20"/>
    </w:rPr>
  </w:style>
  <w:style w:type="paragraph" w:customStyle="1" w:styleId="84">
    <w:name w:val="Char Char1 Char Char Char Char1"/>
    <w:basedOn w:val="17"/>
    <w:qFormat/>
    <w:uiPriority w:val="0"/>
    <w:rPr>
      <w:rFonts w:ascii="宋体" w:hAnsi="Calibri"/>
      <w:kern w:val="0"/>
    </w:rPr>
  </w:style>
  <w:style w:type="character" w:customStyle="1" w:styleId="85">
    <w:name w:val="标题 6 Char"/>
    <w:qFormat/>
    <w:uiPriority w:val="99"/>
    <w:rPr>
      <w:rFonts w:ascii="Arial" w:hAnsi="Arial" w:eastAsia="黑体"/>
      <w:b/>
      <w:bCs/>
      <w:sz w:val="24"/>
      <w:szCs w:val="24"/>
      <w:lang w:val="en-US" w:eastAsia="zh-CN" w:bidi="ar-SA"/>
    </w:rPr>
  </w:style>
  <w:style w:type="paragraph" w:customStyle="1" w:styleId="86">
    <w:name w:val="Char Char1 Char Char Char Char Char Char2"/>
    <w:basedOn w:val="17"/>
    <w:qFormat/>
    <w:uiPriority w:val="0"/>
    <w:rPr>
      <w:rFonts w:ascii="Calibri" w:hAnsi="Calibri"/>
      <w:szCs w:val="22"/>
    </w:rPr>
  </w:style>
  <w:style w:type="paragraph" w:customStyle="1" w:styleId="87">
    <w:name w:val="Blockquote"/>
    <w:basedOn w:val="1"/>
    <w:link w:val="238"/>
    <w:qFormat/>
    <w:uiPriority w:val="99"/>
    <w:pPr>
      <w:autoSpaceDE w:val="0"/>
      <w:autoSpaceDN w:val="0"/>
      <w:adjustRightInd w:val="0"/>
      <w:spacing w:before="100" w:after="100"/>
      <w:ind w:left="360" w:right="360"/>
      <w:jc w:val="left"/>
    </w:pPr>
    <w:rPr>
      <w:kern w:val="0"/>
      <w:sz w:val="24"/>
      <w:szCs w:val="20"/>
    </w:rPr>
  </w:style>
  <w:style w:type="paragraph" w:customStyle="1" w:styleId="88">
    <w:name w:val="无间隔1"/>
    <w:link w:val="244"/>
    <w:qFormat/>
    <w:uiPriority w:val="0"/>
    <w:rPr>
      <w:rFonts w:cs="Calibri" w:asciiTheme="minorHAnsi" w:hAnsiTheme="minorHAnsi" w:eastAsiaTheme="minorEastAsia"/>
      <w:kern w:val="2"/>
      <w:sz w:val="22"/>
      <w:szCs w:val="22"/>
      <w:lang w:val="en-US" w:eastAsia="zh-CN" w:bidi="ar-SA"/>
    </w:rPr>
  </w:style>
  <w:style w:type="character" w:customStyle="1" w:styleId="89">
    <w:name w:val="Plain Text Char"/>
    <w:qFormat/>
    <w:locked/>
    <w:uiPriority w:val="0"/>
    <w:rPr>
      <w:rFonts w:ascii="宋体" w:hAnsi="Courier New" w:cs="宋体"/>
      <w:sz w:val="21"/>
      <w:szCs w:val="21"/>
    </w:rPr>
  </w:style>
  <w:style w:type="character" w:customStyle="1" w:styleId="90">
    <w:name w:val="批注主题 Char2"/>
    <w:qFormat/>
    <w:uiPriority w:val="99"/>
    <w:rPr>
      <w:rFonts w:ascii="Times New Roman" w:hAnsi="Times New Roman" w:eastAsia="宋体" w:cs="Times New Roman"/>
      <w:b/>
      <w:bCs/>
      <w:kern w:val="2"/>
      <w:sz w:val="21"/>
      <w:szCs w:val="24"/>
    </w:rPr>
  </w:style>
  <w:style w:type="character" w:customStyle="1" w:styleId="91">
    <w:name w:val="页眉 Char2"/>
    <w:semiHidden/>
    <w:qFormat/>
    <w:uiPriority w:val="99"/>
    <w:rPr>
      <w:rFonts w:ascii="Times New Roman" w:hAnsi="Times New Roman" w:eastAsia="宋体" w:cs="Times New Roman"/>
      <w:sz w:val="18"/>
      <w:szCs w:val="18"/>
    </w:rPr>
  </w:style>
  <w:style w:type="paragraph" w:customStyle="1" w:styleId="92">
    <w:name w:val="文档结构图2"/>
    <w:basedOn w:val="1"/>
    <w:qFormat/>
    <w:uiPriority w:val="0"/>
    <w:pPr>
      <w:shd w:val="clear" w:color="auto" w:fill="000080"/>
    </w:pPr>
    <w:rPr>
      <w:kern w:val="0"/>
      <w:sz w:val="20"/>
      <w:shd w:val="clear" w:color="auto" w:fill="000080"/>
    </w:rPr>
  </w:style>
  <w:style w:type="character" w:customStyle="1" w:styleId="93">
    <w:name w:val="正文文本缩进 3 Char"/>
    <w:qFormat/>
    <w:locked/>
    <w:uiPriority w:val="0"/>
    <w:rPr>
      <w:rFonts w:eastAsia="宋体"/>
      <w:sz w:val="16"/>
      <w:szCs w:val="16"/>
    </w:rPr>
  </w:style>
  <w:style w:type="character" w:customStyle="1" w:styleId="94">
    <w:name w:val="脚注文本 Char"/>
    <w:qFormat/>
    <w:locked/>
    <w:uiPriority w:val="99"/>
    <w:rPr>
      <w:rFonts w:eastAsia="宋体"/>
    </w:rPr>
  </w:style>
  <w:style w:type="character" w:customStyle="1" w:styleId="95">
    <w:name w:val="批注框文本 Char1"/>
    <w:qFormat/>
    <w:uiPriority w:val="0"/>
    <w:rPr>
      <w:kern w:val="2"/>
      <w:sz w:val="18"/>
    </w:rPr>
  </w:style>
  <w:style w:type="character" w:customStyle="1" w:styleId="96">
    <w:name w:val="t-in"/>
    <w:qFormat/>
    <w:uiPriority w:val="0"/>
    <w:rPr>
      <w:u w:val="none"/>
    </w:rPr>
  </w:style>
  <w:style w:type="character" w:customStyle="1" w:styleId="97">
    <w:name w:val="明显强调211"/>
    <w:qFormat/>
    <w:uiPriority w:val="0"/>
    <w:rPr>
      <w:b/>
      <w:i/>
      <w:color w:val="4F81BD"/>
    </w:rPr>
  </w:style>
  <w:style w:type="character" w:customStyle="1" w:styleId="98">
    <w:name w:val="Body Text Indent 3 Char"/>
    <w:qFormat/>
    <w:locked/>
    <w:uiPriority w:val="0"/>
    <w:rPr>
      <w:rFonts w:ascii="Times New Roman" w:hAnsi="Times New Roman" w:cs="Times New Roman"/>
      <w:sz w:val="16"/>
      <w:szCs w:val="16"/>
    </w:rPr>
  </w:style>
  <w:style w:type="character" w:customStyle="1" w:styleId="99">
    <w:name w:val="正文文本 3 Char1"/>
    <w:semiHidden/>
    <w:qFormat/>
    <w:uiPriority w:val="99"/>
    <w:rPr>
      <w:rFonts w:ascii="Times New Roman" w:hAnsi="Times New Roman" w:eastAsia="宋体" w:cs="Times New Roman"/>
      <w:sz w:val="16"/>
      <w:szCs w:val="16"/>
    </w:rPr>
  </w:style>
  <w:style w:type="paragraph" w:customStyle="1" w:styleId="100">
    <w:name w:val="索引 411"/>
    <w:basedOn w:val="1"/>
    <w:next w:val="1"/>
    <w:qFormat/>
    <w:uiPriority w:val="0"/>
    <w:pPr>
      <w:ind w:left="600" w:leftChars="600"/>
    </w:pPr>
  </w:style>
  <w:style w:type="paragraph" w:customStyle="1" w:styleId="101">
    <w:name w:val="Char Char Char Char Char Char"/>
    <w:basedOn w:val="1"/>
    <w:qFormat/>
    <w:uiPriority w:val="0"/>
    <w:pPr>
      <w:ind w:firstLine="200" w:firstLineChars="200"/>
    </w:pPr>
    <w:rPr>
      <w:rFonts w:ascii="Tahoma" w:hAnsi="Tahoma"/>
      <w:sz w:val="24"/>
      <w:szCs w:val="20"/>
    </w:rPr>
  </w:style>
  <w:style w:type="character" w:customStyle="1" w:styleId="102">
    <w:name w:val="明显参考21"/>
    <w:qFormat/>
    <w:uiPriority w:val="0"/>
    <w:rPr>
      <w:b/>
      <w:bCs/>
      <w:smallCaps/>
      <w:color w:val="C0504D"/>
      <w:spacing w:val="5"/>
      <w:u w:val="single"/>
    </w:rPr>
  </w:style>
  <w:style w:type="paragraph" w:customStyle="1" w:styleId="103">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Cs w:val="21"/>
    </w:rPr>
  </w:style>
  <w:style w:type="character" w:customStyle="1" w:styleId="104">
    <w:name w:val="标题 1 字符"/>
    <w:qFormat/>
    <w:uiPriority w:val="0"/>
    <w:rPr>
      <w:b/>
      <w:kern w:val="44"/>
      <w:sz w:val="44"/>
    </w:rPr>
  </w:style>
  <w:style w:type="paragraph" w:customStyle="1" w:styleId="105">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0"/>
      <w:szCs w:val="20"/>
    </w:rPr>
  </w:style>
  <w:style w:type="character" w:customStyle="1" w:styleId="106">
    <w:name w:val="Char Char181"/>
    <w:qFormat/>
    <w:uiPriority w:val="0"/>
    <w:rPr>
      <w:b/>
      <w:bCs/>
      <w:kern w:val="44"/>
      <w:sz w:val="44"/>
      <w:szCs w:val="44"/>
    </w:rPr>
  </w:style>
  <w:style w:type="character" w:customStyle="1" w:styleId="107">
    <w:name w:val="Char Char12"/>
    <w:semiHidden/>
    <w:qFormat/>
    <w:locked/>
    <w:uiPriority w:val="0"/>
    <w:rPr>
      <w:rFonts w:ascii="Courier New" w:hAnsi="Courier New" w:eastAsia="宋体"/>
      <w:kern w:val="2"/>
      <w:sz w:val="21"/>
      <w:lang w:val="en-US" w:eastAsia="zh-CN" w:bidi="ar-SA"/>
    </w:rPr>
  </w:style>
  <w:style w:type="paragraph" w:customStyle="1" w:styleId="108">
    <w:name w:val="正文文本 31"/>
    <w:basedOn w:val="1"/>
    <w:qFormat/>
    <w:uiPriority w:val="0"/>
    <w:pPr>
      <w:spacing w:after="120"/>
    </w:pPr>
    <w:rPr>
      <w:sz w:val="16"/>
      <w:szCs w:val="16"/>
    </w:rPr>
  </w:style>
  <w:style w:type="character" w:customStyle="1" w:styleId="109">
    <w:name w:val="Intense Emphasis"/>
    <w:qFormat/>
    <w:uiPriority w:val="99"/>
    <w:rPr>
      <w:b/>
      <w:bCs/>
      <w:i/>
      <w:iCs/>
      <w:color w:val="4F81BD"/>
    </w:rPr>
  </w:style>
  <w:style w:type="character" w:customStyle="1" w:styleId="110">
    <w:name w:val="Char Char23"/>
    <w:qFormat/>
    <w:locked/>
    <w:uiPriority w:val="0"/>
    <w:rPr>
      <w:rFonts w:eastAsia="宋体"/>
      <w:b/>
      <w:bCs/>
      <w:sz w:val="28"/>
      <w:szCs w:val="32"/>
      <w:lang w:val="en-US" w:eastAsia="zh-CN" w:bidi="ar-SA"/>
    </w:rPr>
  </w:style>
  <w:style w:type="paragraph" w:customStyle="1" w:styleId="111">
    <w:name w:val="列表段落1"/>
    <w:basedOn w:val="1"/>
    <w:qFormat/>
    <w:uiPriority w:val="0"/>
    <w:pPr>
      <w:ind w:firstLine="420" w:firstLineChars="200"/>
    </w:pPr>
    <w:rPr>
      <w:rFonts w:ascii="Calibri" w:hAnsi="Calibri"/>
      <w:szCs w:val="22"/>
    </w:rPr>
  </w:style>
  <w:style w:type="character" w:customStyle="1" w:styleId="112">
    <w:name w:val="标题 6 字符"/>
    <w:link w:val="9"/>
    <w:qFormat/>
    <w:uiPriority w:val="0"/>
    <w:rPr>
      <w:rFonts w:ascii="Arial" w:hAnsi="Arial" w:eastAsia="黑体"/>
      <w:b/>
      <w:bCs/>
      <w:sz w:val="24"/>
      <w:szCs w:val="24"/>
    </w:rPr>
  </w:style>
  <w:style w:type="character" w:customStyle="1" w:styleId="113">
    <w:name w:val="标题 2 Char Char Char Char Char Char Char Char Char Char Char Char Char Char Char Char Char Char Char Char Char"/>
    <w:qFormat/>
    <w:uiPriority w:val="0"/>
  </w:style>
  <w:style w:type="paragraph" w:customStyle="1" w:styleId="114">
    <w:name w:val="font6"/>
    <w:basedOn w:val="1"/>
    <w:qFormat/>
    <w:uiPriority w:val="0"/>
    <w:pPr>
      <w:widowControl/>
      <w:spacing w:before="100" w:beforeAutospacing="1" w:after="100" w:afterAutospacing="1"/>
      <w:jc w:val="left"/>
    </w:pPr>
    <w:rPr>
      <w:kern w:val="0"/>
      <w:szCs w:val="21"/>
    </w:rPr>
  </w:style>
  <w:style w:type="character" w:customStyle="1" w:styleId="115">
    <w:name w:val="正文缩进 Char1"/>
    <w:qFormat/>
    <w:uiPriority w:val="0"/>
    <w:rPr>
      <w:kern w:val="2"/>
      <w:sz w:val="21"/>
      <w:szCs w:val="21"/>
    </w:rPr>
  </w:style>
  <w:style w:type="paragraph" w:customStyle="1" w:styleId="116">
    <w:name w:val="Char Char Char1 Char Char Char Char Char Char Char"/>
    <w:basedOn w:val="1"/>
    <w:qFormat/>
    <w:uiPriority w:val="0"/>
    <w:rPr>
      <w:sz w:val="28"/>
      <w:szCs w:val="28"/>
    </w:rPr>
  </w:style>
  <w:style w:type="character" w:customStyle="1" w:styleId="117">
    <w:name w:val="标题 Char"/>
    <w:qFormat/>
    <w:locked/>
    <w:uiPriority w:val="99"/>
    <w:rPr>
      <w:rFonts w:ascii="Arial" w:hAnsi="Arial" w:eastAsia="宋体"/>
      <w:b/>
      <w:sz w:val="32"/>
    </w:rPr>
  </w:style>
  <w:style w:type="character" w:customStyle="1" w:styleId="118">
    <w:name w:val="正文文本缩进 字符"/>
    <w:link w:val="20"/>
    <w:qFormat/>
    <w:uiPriority w:val="99"/>
    <w:rPr>
      <w:rFonts w:ascii="仿宋_GB2312" w:eastAsia="仿宋_GB2312"/>
      <w:sz w:val="32"/>
      <w:szCs w:val="32"/>
    </w:rPr>
  </w:style>
  <w:style w:type="character" w:customStyle="1" w:styleId="119">
    <w:name w:val="正文文本 2 Char1"/>
    <w:qFormat/>
    <w:uiPriority w:val="0"/>
    <w:rPr>
      <w:rFonts w:ascii="Times New Roman" w:hAnsi="Times New Roman" w:eastAsia="宋体" w:cs="Times New Roman"/>
      <w:szCs w:val="24"/>
    </w:rPr>
  </w:style>
  <w:style w:type="paragraph" w:customStyle="1" w:styleId="120">
    <w:name w:val="xl68"/>
    <w:basedOn w:val="1"/>
    <w:qFormat/>
    <w:uiPriority w:val="0"/>
    <w:pPr>
      <w:widowControl/>
      <w:spacing w:before="100" w:beforeAutospacing="1" w:after="100" w:afterAutospacing="1"/>
      <w:jc w:val="left"/>
      <w:textAlignment w:val="center"/>
    </w:pPr>
    <w:rPr>
      <w:rFonts w:ascii="宋体" w:hAnsi="宋体" w:cs="宋体"/>
      <w:kern w:val="0"/>
      <w:szCs w:val="21"/>
    </w:rPr>
  </w:style>
  <w:style w:type="character" w:customStyle="1" w:styleId="121">
    <w:name w:val="纯文本 字符2"/>
    <w:qFormat/>
    <w:locked/>
    <w:uiPriority w:val="0"/>
    <w:rPr>
      <w:rFonts w:ascii="宋体" w:hAnsi="Courier New" w:eastAsia="宋体" w:cs="Times New Roman"/>
      <w:kern w:val="0"/>
      <w:szCs w:val="21"/>
    </w:rPr>
  </w:style>
  <w:style w:type="character" w:customStyle="1" w:styleId="122">
    <w:name w:val="页眉 字符"/>
    <w:link w:val="32"/>
    <w:qFormat/>
    <w:uiPriority w:val="99"/>
    <w:rPr>
      <w:kern w:val="2"/>
      <w:sz w:val="18"/>
      <w:szCs w:val="18"/>
    </w:rPr>
  </w:style>
  <w:style w:type="paragraph" w:customStyle="1" w:styleId="123">
    <w:name w:val="Char"/>
    <w:basedOn w:val="1"/>
    <w:qFormat/>
    <w:uiPriority w:val="0"/>
    <w:rPr>
      <w:szCs w:val="21"/>
    </w:rPr>
  </w:style>
  <w:style w:type="character" w:customStyle="1" w:styleId="124">
    <w:name w:val="批注主题 Char1"/>
    <w:qFormat/>
    <w:uiPriority w:val="0"/>
    <w:rPr>
      <w:b/>
      <w:bCs/>
      <w:kern w:val="2"/>
      <w:sz w:val="21"/>
      <w:szCs w:val="22"/>
    </w:rPr>
  </w:style>
  <w:style w:type="character" w:customStyle="1" w:styleId="125">
    <w:name w:val="副标题 Char2"/>
    <w:qFormat/>
    <w:uiPriority w:val="11"/>
    <w:rPr>
      <w:rFonts w:ascii="Cambria" w:hAnsi="Cambria" w:eastAsia="宋体" w:cs="Times New Roman"/>
      <w:b/>
      <w:bCs/>
      <w:kern w:val="28"/>
      <w:sz w:val="32"/>
      <w:szCs w:val="32"/>
    </w:rPr>
  </w:style>
  <w:style w:type="paragraph" w:customStyle="1" w:styleId="126">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127">
    <w:name w:val="reader-word-layer reader-word-s1-4"/>
    <w:basedOn w:val="1"/>
    <w:qFormat/>
    <w:uiPriority w:val="0"/>
    <w:pPr>
      <w:widowControl/>
      <w:spacing w:before="100" w:beforeAutospacing="1" w:after="100" w:afterAutospacing="1"/>
      <w:jc w:val="left"/>
    </w:pPr>
    <w:rPr>
      <w:rFonts w:ascii="宋体" w:hAnsi="宋体" w:cs="宋体"/>
      <w:kern w:val="0"/>
      <w:sz w:val="24"/>
    </w:rPr>
  </w:style>
  <w:style w:type="character" w:customStyle="1" w:styleId="128">
    <w:name w:val="Footer Char"/>
    <w:qFormat/>
    <w:locked/>
    <w:uiPriority w:val="0"/>
    <w:rPr>
      <w:rFonts w:ascii="Times New Roman" w:hAnsi="Times New Roman" w:cs="Times New Roman"/>
      <w:sz w:val="18"/>
      <w:szCs w:val="18"/>
    </w:rPr>
  </w:style>
  <w:style w:type="paragraph" w:customStyle="1" w:styleId="129">
    <w:name w:val="正文文本 311"/>
    <w:basedOn w:val="1"/>
    <w:qFormat/>
    <w:uiPriority w:val="0"/>
    <w:pPr>
      <w:spacing w:after="120"/>
    </w:pPr>
    <w:rPr>
      <w:sz w:val="16"/>
      <w:szCs w:val="16"/>
    </w:rPr>
  </w:style>
  <w:style w:type="paragraph" w:customStyle="1" w:styleId="130">
    <w:name w:val="标题4"/>
    <w:basedOn w:val="131"/>
    <w:next w:val="24"/>
    <w:link w:val="231"/>
    <w:qFormat/>
    <w:uiPriority w:val="99"/>
    <w:pPr>
      <w:spacing w:line="413" w:lineRule="auto"/>
    </w:pPr>
  </w:style>
  <w:style w:type="paragraph" w:customStyle="1" w:styleId="131">
    <w:name w:val="xl39"/>
    <w:link w:val="288"/>
    <w:qFormat/>
    <w:uiPriority w:val="0"/>
    <w:pPr>
      <w:spacing w:before="100" w:beforeAutospacing="1" w:after="100" w:afterAutospacing="1"/>
    </w:pPr>
    <w:rPr>
      <w:rFonts w:asciiTheme="minorHAnsi" w:hAnsiTheme="minorHAnsi" w:eastAsiaTheme="minorEastAsia" w:cstheme="minorBidi"/>
      <w:kern w:val="0"/>
      <w:sz w:val="20"/>
      <w:szCs w:val="20"/>
      <w:lang w:val="en-US" w:eastAsia="zh-CN" w:bidi="ar-SA"/>
    </w:rPr>
  </w:style>
  <w:style w:type="character" w:customStyle="1" w:styleId="132">
    <w:name w:val="Char Char7"/>
    <w:qFormat/>
    <w:uiPriority w:val="0"/>
    <w:rPr>
      <w:rFonts w:ascii="Arial" w:hAnsi="Arial" w:eastAsia="黑体"/>
      <w:b/>
      <w:bCs/>
      <w:kern w:val="2"/>
      <w:sz w:val="32"/>
      <w:szCs w:val="32"/>
      <w:lang w:val="en-US" w:eastAsia="zh-CN" w:bidi="ar-SA"/>
    </w:rPr>
  </w:style>
  <w:style w:type="character" w:customStyle="1" w:styleId="133">
    <w:name w:val="正文文本缩进 3 字符"/>
    <w:link w:val="39"/>
    <w:qFormat/>
    <w:uiPriority w:val="99"/>
    <w:rPr>
      <w:sz w:val="16"/>
      <w:szCs w:val="16"/>
    </w:rPr>
  </w:style>
  <w:style w:type="paragraph" w:customStyle="1" w:styleId="134">
    <w:name w:val="xl66"/>
    <w:basedOn w:val="1"/>
    <w:qFormat/>
    <w:uiPriority w:val="0"/>
    <w:pPr>
      <w:widowControl/>
      <w:pBdr>
        <w:left w:val="single" w:color="auto" w:sz="8" w:space="0"/>
      </w:pBdr>
      <w:spacing w:before="100" w:beforeAutospacing="1" w:after="100" w:afterAutospacing="1"/>
      <w:jc w:val="left"/>
      <w:textAlignment w:val="center"/>
    </w:pPr>
    <w:rPr>
      <w:rFonts w:ascii="宋体" w:hAnsi="宋体" w:cs="宋体"/>
      <w:b/>
      <w:bCs/>
      <w:kern w:val="0"/>
      <w:szCs w:val="21"/>
    </w:rPr>
  </w:style>
  <w:style w:type="character" w:customStyle="1" w:styleId="135">
    <w:name w:val="文档结构图 Char2"/>
    <w:qFormat/>
    <w:uiPriority w:val="0"/>
    <w:rPr>
      <w:rFonts w:eastAsia="宋体"/>
      <w:szCs w:val="24"/>
      <w:shd w:val="clear" w:color="auto" w:fill="000080"/>
    </w:rPr>
  </w:style>
  <w:style w:type="paragraph" w:customStyle="1" w:styleId="136">
    <w:name w:val="Char Char 字元 字元 字元 Char Char Char Char"/>
    <w:basedOn w:val="1"/>
    <w:qFormat/>
    <w:uiPriority w:val="0"/>
    <w:pPr>
      <w:adjustRightInd w:val="0"/>
      <w:spacing w:line="360" w:lineRule="auto"/>
    </w:pPr>
    <w:rPr>
      <w:szCs w:val="20"/>
    </w:rPr>
  </w:style>
  <w:style w:type="character" w:customStyle="1" w:styleId="137">
    <w:name w:val="font71"/>
    <w:qFormat/>
    <w:uiPriority w:val="0"/>
    <w:rPr>
      <w:rFonts w:hint="default" w:ascii="Times New Roman" w:hAnsi="Times New Roman" w:cs="Times New Roman"/>
      <w:color w:val="000000"/>
      <w:sz w:val="22"/>
      <w:szCs w:val="22"/>
      <w:u w:val="none"/>
    </w:rPr>
  </w:style>
  <w:style w:type="paragraph" w:customStyle="1" w:styleId="138">
    <w:name w:val="xl86"/>
    <w:basedOn w:val="1"/>
    <w:qFormat/>
    <w:uiPriority w:val="0"/>
    <w:pPr>
      <w:widowControl/>
      <w:shd w:val="clear" w:color="000000" w:fill="F2F2F2"/>
      <w:spacing w:before="100" w:beforeAutospacing="1" w:after="100" w:afterAutospacing="1"/>
      <w:jc w:val="left"/>
    </w:pPr>
    <w:rPr>
      <w:rFonts w:ascii="宋体" w:hAnsi="宋体" w:cs="宋体"/>
      <w:kern w:val="0"/>
      <w:sz w:val="24"/>
    </w:rPr>
  </w:style>
  <w:style w:type="paragraph" w:customStyle="1" w:styleId="139">
    <w:name w:val="xl9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140">
    <w:name w:val="TOC 标题11"/>
    <w:basedOn w:val="4"/>
    <w:next w:val="1"/>
    <w:qFormat/>
    <w:uiPriority w:val="0"/>
    <w:pPr>
      <w:spacing w:line="576" w:lineRule="auto"/>
      <w:jc w:val="center"/>
      <w:outlineLvl w:val="9"/>
    </w:pPr>
    <w:rPr>
      <w:rFonts w:ascii="Calibri" w:hAnsi="Calibri"/>
    </w:rPr>
  </w:style>
  <w:style w:type="character" w:customStyle="1" w:styleId="141">
    <w:name w:val="批注主题 Char"/>
    <w:qFormat/>
    <w:locked/>
    <w:uiPriority w:val="99"/>
    <w:rPr>
      <w:rFonts w:eastAsia="宋体"/>
      <w:b/>
      <w:bCs/>
      <w:sz w:val="24"/>
      <w:szCs w:val="24"/>
    </w:rPr>
  </w:style>
  <w:style w:type="paragraph" w:customStyle="1" w:styleId="142">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143">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44">
    <w:name w:val="页脚 字符"/>
    <w:link w:val="31"/>
    <w:qFormat/>
    <w:uiPriority w:val="99"/>
    <w:rPr>
      <w:kern w:val="2"/>
      <w:sz w:val="18"/>
      <w:szCs w:val="18"/>
    </w:rPr>
  </w:style>
  <w:style w:type="character" w:customStyle="1" w:styleId="145">
    <w:name w:val="日期 字符"/>
    <w:link w:val="3"/>
    <w:qFormat/>
    <w:uiPriority w:val="0"/>
    <w:rPr>
      <w:rFonts w:ascii="宋体" w:hAnsi="Courier New"/>
      <w:sz w:val="21"/>
      <w:szCs w:val="21"/>
    </w:rPr>
  </w:style>
  <w:style w:type="character" w:customStyle="1" w:styleId="146">
    <w:name w:val="正文缩进 字符1"/>
    <w:link w:val="15"/>
    <w:qFormat/>
    <w:uiPriority w:val="0"/>
    <w:rPr>
      <w:kern w:val="2"/>
      <w:sz w:val="21"/>
      <w:szCs w:val="21"/>
    </w:rPr>
  </w:style>
  <w:style w:type="character" w:customStyle="1" w:styleId="147">
    <w:name w:val="HTML 预设格式 Char"/>
    <w:qFormat/>
    <w:uiPriority w:val="0"/>
    <w:rPr>
      <w:rFonts w:ascii="Arial" w:hAnsi="Arial"/>
      <w:szCs w:val="24"/>
    </w:rPr>
  </w:style>
  <w:style w:type="paragraph" w:customStyle="1" w:styleId="148">
    <w:name w:val="Char11"/>
    <w:basedOn w:val="1"/>
    <w:qFormat/>
    <w:uiPriority w:val="0"/>
    <w:pPr>
      <w:tabs>
        <w:tab w:val="left" w:pos="360"/>
      </w:tabs>
    </w:pPr>
    <w:rPr>
      <w:sz w:val="24"/>
    </w:rPr>
  </w:style>
  <w:style w:type="character" w:customStyle="1" w:styleId="149">
    <w:name w:val="纯文本 Char"/>
    <w:qFormat/>
    <w:locked/>
    <w:uiPriority w:val="99"/>
    <w:rPr>
      <w:rFonts w:ascii="Courier New" w:hAnsi="Courier New" w:eastAsia="宋体"/>
    </w:rPr>
  </w:style>
  <w:style w:type="paragraph" w:customStyle="1" w:styleId="150">
    <w:name w:val="Normal_21"/>
    <w:qFormat/>
    <w:uiPriority w:val="0"/>
    <w:pPr>
      <w:spacing w:before="120" w:after="240"/>
      <w:jc w:val="both"/>
    </w:pPr>
    <w:rPr>
      <w:rFonts w:asciiTheme="minorHAnsi" w:hAnsiTheme="minorHAnsi" w:eastAsiaTheme="minorEastAsia" w:cstheme="minorBidi"/>
      <w:kern w:val="2"/>
      <w:sz w:val="22"/>
      <w:szCs w:val="22"/>
      <w:lang w:val="en-US" w:eastAsia="en-US" w:bidi="ar-SA"/>
    </w:rPr>
  </w:style>
  <w:style w:type="paragraph" w:customStyle="1" w:styleId="151">
    <w:name w:val="样式 标题 3 + (中文) 黑体 小四 非加粗 段前: 7.8 磅 段后: 0 磅 行距: 固定值 20 磅"/>
    <w:basedOn w:val="6"/>
    <w:qFormat/>
    <w:uiPriority w:val="0"/>
    <w:pPr>
      <w:spacing w:before="0" w:after="0" w:line="400" w:lineRule="exact"/>
    </w:pPr>
    <w:rPr>
      <w:rFonts w:eastAsia="黑体" w:cs="宋体"/>
      <w:b w:val="0"/>
      <w:bCs w:val="0"/>
      <w:sz w:val="24"/>
      <w:szCs w:val="20"/>
    </w:rPr>
  </w:style>
  <w:style w:type="character" w:customStyle="1" w:styleId="152">
    <w:name w:val="Book Title"/>
    <w:qFormat/>
    <w:uiPriority w:val="99"/>
    <w:rPr>
      <w:b/>
      <w:bCs/>
      <w:smallCaps/>
      <w:spacing w:val="5"/>
    </w:rPr>
  </w:style>
  <w:style w:type="character" w:customStyle="1" w:styleId="153">
    <w:name w:val="标题 4 Char"/>
    <w:qFormat/>
    <w:uiPriority w:val="0"/>
    <w:rPr>
      <w:rFonts w:ascii="Arial" w:hAnsi="Arial" w:eastAsia="黑体"/>
      <w:b/>
      <w:bCs/>
      <w:kern w:val="2"/>
      <w:sz w:val="28"/>
      <w:szCs w:val="28"/>
      <w:lang w:val="en-US" w:eastAsia="zh-CN" w:bidi="ar-SA"/>
    </w:rPr>
  </w:style>
  <w:style w:type="paragraph" w:customStyle="1" w:styleId="154">
    <w:name w:val="引用11"/>
    <w:basedOn w:val="1"/>
    <w:next w:val="1"/>
    <w:qFormat/>
    <w:uiPriority w:val="0"/>
    <w:rPr>
      <w:rFonts w:ascii="Calibri" w:hAnsi="Calibri"/>
      <w:i/>
      <w:color w:val="000000"/>
      <w:kern w:val="0"/>
      <w:sz w:val="22"/>
      <w:szCs w:val="20"/>
    </w:rPr>
  </w:style>
  <w:style w:type="character" w:customStyle="1" w:styleId="155">
    <w:name w:val="正文文本缩进 Char"/>
    <w:qFormat/>
    <w:locked/>
    <w:uiPriority w:val="99"/>
    <w:rPr>
      <w:rFonts w:eastAsia="宋体"/>
      <w:szCs w:val="24"/>
    </w:rPr>
  </w:style>
  <w:style w:type="paragraph" w:customStyle="1" w:styleId="156">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157">
    <w:name w:val="正文文本首行缩进 字符"/>
    <w:link w:val="50"/>
    <w:qFormat/>
    <w:uiPriority w:val="99"/>
    <w:rPr>
      <w:kern w:val="2"/>
      <w:sz w:val="21"/>
      <w:szCs w:val="22"/>
    </w:rPr>
  </w:style>
  <w:style w:type="character" w:customStyle="1" w:styleId="158">
    <w:name w:val="批注框文本 Char2"/>
    <w:semiHidden/>
    <w:qFormat/>
    <w:uiPriority w:val="99"/>
    <w:rPr>
      <w:sz w:val="18"/>
      <w:szCs w:val="18"/>
    </w:rPr>
  </w:style>
  <w:style w:type="character" w:customStyle="1" w:styleId="159">
    <w:name w:val="font21"/>
    <w:qFormat/>
    <w:uiPriority w:val="0"/>
    <w:rPr>
      <w:rFonts w:hint="eastAsia" w:ascii="宋体" w:hAnsi="宋体" w:eastAsia="宋体" w:cs="宋体"/>
      <w:color w:val="000000"/>
      <w:sz w:val="20"/>
      <w:szCs w:val="20"/>
      <w:u w:val="none"/>
    </w:rPr>
  </w:style>
  <w:style w:type="character" w:customStyle="1" w:styleId="160">
    <w:name w:val="正文缩进 字符"/>
    <w:qFormat/>
    <w:uiPriority w:val="0"/>
    <w:rPr>
      <w:kern w:val="2"/>
      <w:sz w:val="21"/>
      <w:szCs w:val="21"/>
    </w:rPr>
  </w:style>
  <w:style w:type="character" w:customStyle="1" w:styleId="161">
    <w:name w:val="文档结构图 Char Char"/>
    <w:qFormat/>
    <w:uiPriority w:val="0"/>
    <w:rPr>
      <w:szCs w:val="24"/>
      <w:shd w:val="clear" w:color="auto" w:fill="000080"/>
      <w:lang w:bidi="ar-SA"/>
    </w:rPr>
  </w:style>
  <w:style w:type="paragraph" w:customStyle="1" w:styleId="162">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163">
    <w:name w:val="无间隔 字符"/>
    <w:link w:val="164"/>
    <w:qFormat/>
    <w:uiPriority w:val="99"/>
    <w:rPr>
      <w:rFonts w:cs="Calibri"/>
      <w:sz w:val="22"/>
      <w:szCs w:val="22"/>
      <w:lang w:val="en-US" w:eastAsia="zh-CN" w:bidi="ar-SA"/>
    </w:rPr>
  </w:style>
  <w:style w:type="paragraph" w:styleId="164">
    <w:name w:val="No Spacing"/>
    <w:link w:val="163"/>
    <w:qFormat/>
    <w:uiPriority w:val="99"/>
    <w:rPr>
      <w:rFonts w:cs="Calibri" w:asciiTheme="minorHAnsi" w:hAnsiTheme="minorHAnsi" w:eastAsiaTheme="minorEastAsia"/>
      <w:kern w:val="2"/>
      <w:sz w:val="22"/>
      <w:szCs w:val="22"/>
      <w:lang w:val="en-US" w:eastAsia="zh-CN" w:bidi="ar-SA"/>
    </w:rPr>
  </w:style>
  <w:style w:type="character" w:customStyle="1" w:styleId="165">
    <w:name w:val="标题 3 字符"/>
    <w:link w:val="6"/>
    <w:qFormat/>
    <w:uiPriority w:val="0"/>
    <w:rPr>
      <w:b/>
      <w:bCs/>
      <w:kern w:val="2"/>
      <w:sz w:val="32"/>
      <w:szCs w:val="32"/>
    </w:rPr>
  </w:style>
  <w:style w:type="paragraph" w:customStyle="1" w:styleId="166">
    <w:name w:val="技术规范书正文"/>
    <w:qFormat/>
    <w:uiPriority w:val="0"/>
    <w:pPr>
      <w:widowControl w:val="0"/>
      <w:snapToGrid w:val="0"/>
      <w:spacing w:line="360" w:lineRule="auto"/>
    </w:pPr>
    <w:rPr>
      <w:rFonts w:asciiTheme="minorHAnsi" w:hAnsiTheme="minorHAnsi" w:eastAsiaTheme="minorEastAsia" w:cstheme="minorBidi"/>
      <w:kern w:val="2"/>
      <w:sz w:val="24"/>
      <w:szCs w:val="22"/>
      <w:lang w:val="en-US" w:eastAsia="zh-CN" w:bidi="ar-SA"/>
    </w:rPr>
  </w:style>
  <w:style w:type="character" w:customStyle="1" w:styleId="167">
    <w:name w:val="Char Char29"/>
    <w:qFormat/>
    <w:uiPriority w:val="0"/>
    <w:rPr>
      <w:rFonts w:eastAsia="宋体"/>
      <w:b/>
      <w:bCs/>
      <w:kern w:val="2"/>
      <w:sz w:val="32"/>
      <w:szCs w:val="32"/>
      <w:lang w:val="en-US" w:eastAsia="zh-CN" w:bidi="ar-SA"/>
    </w:rPr>
  </w:style>
  <w:style w:type="paragraph" w:customStyle="1" w:styleId="168">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kern w:val="0"/>
      <w:szCs w:val="21"/>
    </w:rPr>
  </w:style>
  <w:style w:type="character" w:customStyle="1" w:styleId="169">
    <w:name w:val="Char Char30"/>
    <w:qFormat/>
    <w:uiPriority w:val="0"/>
    <w:rPr>
      <w:rFonts w:ascii="Arial" w:hAnsi="Arial" w:eastAsia="黑体"/>
      <w:b/>
      <w:bCs/>
      <w:kern w:val="2"/>
      <w:sz w:val="32"/>
      <w:szCs w:val="32"/>
      <w:lang w:val="en-US" w:eastAsia="zh-CN" w:bidi="ar-SA"/>
    </w:rPr>
  </w:style>
  <w:style w:type="paragraph" w:customStyle="1" w:styleId="170">
    <w:name w:val="图注"/>
    <w:basedOn w:val="16"/>
    <w:qFormat/>
    <w:uiPriority w:val="0"/>
    <w:pPr>
      <w:jc w:val="center"/>
    </w:pPr>
    <w:rPr>
      <w:rFonts w:ascii="Times New Roman" w:hAnsi="Times New Roman" w:eastAsia="宋体"/>
      <w:spacing w:val="20"/>
      <w:sz w:val="21"/>
    </w:rPr>
  </w:style>
  <w:style w:type="paragraph" w:customStyle="1" w:styleId="171">
    <w:name w:val="列出段落2"/>
    <w:basedOn w:val="1"/>
    <w:qFormat/>
    <w:uiPriority w:val="34"/>
    <w:pPr>
      <w:ind w:firstLine="420" w:firstLineChars="200"/>
    </w:pPr>
    <w:rPr>
      <w:rFonts w:ascii="Calibri" w:hAnsi="Calibri"/>
      <w:szCs w:val="22"/>
    </w:rPr>
  </w:style>
  <w:style w:type="paragraph" w:customStyle="1" w:styleId="172">
    <w:name w:val="Char81"/>
    <w:basedOn w:val="17"/>
    <w:qFormat/>
    <w:uiPriority w:val="0"/>
    <w:rPr>
      <w:rFonts w:ascii="Calibri" w:hAnsi="Calibri"/>
    </w:rPr>
  </w:style>
  <w:style w:type="character" w:customStyle="1" w:styleId="173">
    <w:name w:val="fontstyle01"/>
    <w:qFormat/>
    <w:uiPriority w:val="0"/>
    <w:rPr>
      <w:rFonts w:ascii="宋体" w:eastAsia="宋体"/>
      <w:color w:val="000000"/>
      <w:sz w:val="24"/>
      <w:szCs w:val="24"/>
    </w:rPr>
  </w:style>
  <w:style w:type="paragraph" w:customStyle="1" w:styleId="174">
    <w:name w:val="font8"/>
    <w:basedOn w:val="1"/>
    <w:qFormat/>
    <w:uiPriority w:val="0"/>
    <w:pPr>
      <w:widowControl/>
      <w:spacing w:before="100" w:beforeAutospacing="1" w:after="100" w:afterAutospacing="1"/>
      <w:jc w:val="left"/>
    </w:pPr>
    <w:rPr>
      <w:rFonts w:ascii="黑体" w:hAnsi="Arial Unicode MS" w:eastAsia="黑体" w:cs="黑体"/>
      <w:kern w:val="0"/>
      <w:sz w:val="22"/>
      <w:szCs w:val="22"/>
    </w:rPr>
  </w:style>
  <w:style w:type="character" w:customStyle="1" w:styleId="175">
    <w:name w:val="批注框文本 Char"/>
    <w:qFormat/>
    <w:locked/>
    <w:uiPriority w:val="99"/>
    <w:rPr>
      <w:rFonts w:eastAsia="宋体"/>
      <w:sz w:val="18"/>
      <w:szCs w:val="18"/>
    </w:rPr>
  </w:style>
  <w:style w:type="character" w:customStyle="1" w:styleId="176">
    <w:name w:val="页脚 Char"/>
    <w:qFormat/>
    <w:uiPriority w:val="99"/>
    <w:rPr>
      <w:kern w:val="2"/>
      <w:sz w:val="18"/>
      <w:szCs w:val="18"/>
    </w:rPr>
  </w:style>
  <w:style w:type="character" w:customStyle="1" w:styleId="177">
    <w:name w:val="Char Char"/>
    <w:qFormat/>
    <w:uiPriority w:val="0"/>
    <w:rPr>
      <w:rFonts w:ascii="Arial" w:hAnsi="Arial" w:eastAsia="黑体"/>
      <w:b/>
      <w:bCs/>
      <w:kern w:val="2"/>
      <w:sz w:val="32"/>
      <w:szCs w:val="32"/>
      <w:lang w:val="en-US" w:eastAsia="zh-CN" w:bidi="ar-SA"/>
    </w:rPr>
  </w:style>
  <w:style w:type="paragraph" w:customStyle="1" w:styleId="178">
    <w:name w:val="Char Char1 Char Char Char Char"/>
    <w:basedOn w:val="17"/>
    <w:qFormat/>
    <w:uiPriority w:val="0"/>
    <w:rPr>
      <w:rFonts w:ascii="Calibri" w:hAnsi="Calibri"/>
    </w:rPr>
  </w:style>
  <w:style w:type="paragraph" w:customStyle="1" w:styleId="179">
    <w:name w:val="样式4"/>
    <w:basedOn w:val="6"/>
    <w:qFormat/>
    <w:uiPriority w:val="0"/>
    <w:pPr>
      <w:spacing w:line="415" w:lineRule="auto"/>
    </w:pPr>
    <w:rPr>
      <w:rFonts w:eastAsia="Arial"/>
    </w:rPr>
  </w:style>
  <w:style w:type="paragraph" w:customStyle="1" w:styleId="180">
    <w:name w:val="普通(网站)111"/>
    <w:basedOn w:val="1"/>
    <w:qFormat/>
    <w:uiPriority w:val="0"/>
    <w:pPr>
      <w:widowControl/>
      <w:spacing w:before="100" w:beforeAutospacing="1" w:after="100" w:afterAutospacing="1"/>
      <w:jc w:val="left"/>
    </w:pPr>
    <w:rPr>
      <w:rFonts w:ascii="宋体" w:hAnsi="宋体"/>
      <w:kern w:val="0"/>
      <w:sz w:val="24"/>
    </w:rPr>
  </w:style>
  <w:style w:type="paragraph" w:customStyle="1" w:styleId="181">
    <w:name w:val="xl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182">
    <w:name w:val="批注框文本 Char3"/>
    <w:semiHidden/>
    <w:qFormat/>
    <w:uiPriority w:val="99"/>
    <w:rPr>
      <w:rFonts w:ascii="Times New Roman" w:hAnsi="Times New Roman" w:eastAsia="宋体" w:cs="Times New Roman"/>
      <w:sz w:val="18"/>
      <w:szCs w:val="18"/>
    </w:rPr>
  </w:style>
  <w:style w:type="paragraph" w:customStyle="1" w:styleId="183">
    <w:name w:val="_Style 33"/>
    <w:basedOn w:val="17"/>
    <w:qFormat/>
    <w:uiPriority w:val="0"/>
    <w:rPr>
      <w:rFonts w:ascii="Calibri" w:hAnsi="Calibri"/>
      <w:szCs w:val="22"/>
    </w:rPr>
  </w:style>
  <w:style w:type="paragraph" w:customStyle="1" w:styleId="184">
    <w:name w:val="xl9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185">
    <w:name w:val="Char Char Char1"/>
    <w:qFormat/>
    <w:locked/>
    <w:uiPriority w:val="0"/>
    <w:rPr>
      <w:rFonts w:eastAsia="宋体"/>
      <w:b/>
      <w:bCs/>
      <w:kern w:val="44"/>
      <w:sz w:val="44"/>
      <w:szCs w:val="44"/>
      <w:lang w:val="en-US" w:eastAsia="zh-CN" w:bidi="ar-SA"/>
    </w:rPr>
  </w:style>
  <w:style w:type="paragraph" w:customStyle="1" w:styleId="186">
    <w:name w:val="reader-word-layer reader-word-s1-2"/>
    <w:basedOn w:val="1"/>
    <w:qFormat/>
    <w:uiPriority w:val="0"/>
    <w:pPr>
      <w:widowControl/>
      <w:spacing w:before="100" w:beforeAutospacing="1" w:after="100" w:afterAutospacing="1"/>
      <w:jc w:val="left"/>
    </w:pPr>
    <w:rPr>
      <w:rFonts w:ascii="宋体" w:hAnsi="宋体" w:cs="宋体"/>
      <w:kern w:val="0"/>
      <w:sz w:val="24"/>
    </w:rPr>
  </w:style>
  <w:style w:type="paragraph" w:customStyle="1" w:styleId="187">
    <w:name w:val="引用1"/>
    <w:basedOn w:val="1"/>
    <w:next w:val="1"/>
    <w:link w:val="286"/>
    <w:qFormat/>
    <w:uiPriority w:val="0"/>
    <w:rPr>
      <w:i/>
      <w:color w:val="000000"/>
      <w:kern w:val="0"/>
      <w:sz w:val="22"/>
      <w:szCs w:val="20"/>
    </w:rPr>
  </w:style>
  <w:style w:type="paragraph" w:customStyle="1" w:styleId="188">
    <w:name w:val="xl81"/>
    <w:basedOn w:val="1"/>
    <w:qFormat/>
    <w:uiPriority w:val="0"/>
    <w:pPr>
      <w:widowControl/>
      <w:spacing w:before="100" w:beforeAutospacing="1" w:after="100" w:afterAutospacing="1"/>
      <w:jc w:val="left"/>
    </w:pPr>
    <w:rPr>
      <w:rFonts w:ascii="宋体" w:hAnsi="宋体" w:cs="宋体"/>
      <w:kern w:val="0"/>
      <w:szCs w:val="21"/>
    </w:rPr>
  </w:style>
  <w:style w:type="character" w:customStyle="1" w:styleId="189">
    <w:name w:val="apple-style-span"/>
    <w:qFormat/>
    <w:uiPriority w:val="0"/>
  </w:style>
  <w:style w:type="paragraph" w:customStyle="1" w:styleId="190">
    <w:name w:val="Char2"/>
    <w:basedOn w:val="17"/>
    <w:qFormat/>
    <w:uiPriority w:val="0"/>
    <w:pPr>
      <w:widowControl/>
    </w:pPr>
    <w:rPr>
      <w:rFonts w:ascii="Tahoma" w:hAnsi="Tahoma" w:cs="Tahoma"/>
      <w:kern w:val="0"/>
      <w:sz w:val="18"/>
    </w:rPr>
  </w:style>
  <w:style w:type="character" w:customStyle="1" w:styleId="191">
    <w:name w:val="Char Char291"/>
    <w:qFormat/>
    <w:uiPriority w:val="0"/>
    <w:rPr>
      <w:rFonts w:eastAsia="宋体"/>
      <w:b/>
      <w:bCs/>
      <w:kern w:val="2"/>
      <w:sz w:val="32"/>
      <w:szCs w:val="32"/>
      <w:lang w:val="en-US" w:eastAsia="zh-CN" w:bidi="ar-SA"/>
    </w:rPr>
  </w:style>
  <w:style w:type="paragraph" w:customStyle="1" w:styleId="192">
    <w:name w:val="普通(网站)11"/>
    <w:basedOn w:val="1"/>
    <w:qFormat/>
    <w:uiPriority w:val="0"/>
    <w:pPr>
      <w:widowControl/>
      <w:spacing w:before="100" w:beforeAutospacing="1" w:after="100" w:afterAutospacing="1"/>
      <w:jc w:val="left"/>
    </w:pPr>
    <w:rPr>
      <w:rFonts w:ascii="宋体" w:hAnsi="宋体"/>
      <w:kern w:val="0"/>
      <w:sz w:val="24"/>
    </w:rPr>
  </w:style>
  <w:style w:type="character" w:customStyle="1" w:styleId="193">
    <w:name w:val="文本块 字符"/>
    <w:link w:val="23"/>
    <w:qFormat/>
    <w:uiPriority w:val="0"/>
    <w:rPr>
      <w:rFonts w:ascii="仿宋_GB2312" w:eastAsia="仿宋_GB2312" w:cs="仿宋_GB2312"/>
      <w:sz w:val="24"/>
      <w:szCs w:val="24"/>
    </w:rPr>
  </w:style>
  <w:style w:type="character" w:customStyle="1" w:styleId="194">
    <w:name w:val="Body Text Indent 2 Char"/>
    <w:qFormat/>
    <w:locked/>
    <w:uiPriority w:val="0"/>
    <w:rPr>
      <w:rFonts w:ascii="Times New Roman" w:hAnsi="Times New Roman" w:cs="Times New Roman"/>
      <w:sz w:val="24"/>
      <w:szCs w:val="24"/>
    </w:rPr>
  </w:style>
  <w:style w:type="character" w:customStyle="1" w:styleId="195">
    <w:name w:val="Date Char"/>
    <w:qFormat/>
    <w:locked/>
    <w:uiPriority w:val="0"/>
    <w:rPr>
      <w:rFonts w:ascii="宋体" w:hAnsi="Courier New" w:cs="宋体"/>
      <w:sz w:val="21"/>
      <w:szCs w:val="21"/>
    </w:rPr>
  </w:style>
  <w:style w:type="character" w:customStyle="1" w:styleId="196">
    <w:name w:val="Char Char311"/>
    <w:qFormat/>
    <w:locked/>
    <w:uiPriority w:val="0"/>
    <w:rPr>
      <w:rFonts w:ascii="Arial" w:hAnsi="Arial" w:eastAsia="黑体"/>
      <w:b/>
      <w:bCs/>
      <w:kern w:val="2"/>
      <w:sz w:val="32"/>
      <w:szCs w:val="32"/>
      <w:lang w:val="en-US" w:eastAsia="zh-CN" w:bidi="ar-SA"/>
    </w:rPr>
  </w:style>
  <w:style w:type="paragraph" w:customStyle="1" w:styleId="197">
    <w:name w:val="二级标题"/>
    <w:basedOn w:val="166"/>
    <w:qFormat/>
    <w:uiPriority w:val="0"/>
    <w:pPr>
      <w:spacing w:beforeLines="50"/>
    </w:pPr>
    <w:rPr>
      <w:b/>
      <w:sz w:val="28"/>
    </w:rPr>
  </w:style>
  <w:style w:type="paragraph" w:customStyle="1" w:styleId="198">
    <w:name w:val="Char Char Char1 Char Char Char Char Char Char Char2"/>
    <w:basedOn w:val="1"/>
    <w:qFormat/>
    <w:uiPriority w:val="0"/>
    <w:rPr>
      <w:sz w:val="28"/>
      <w:szCs w:val="28"/>
    </w:rPr>
  </w:style>
  <w:style w:type="paragraph" w:customStyle="1" w:styleId="199">
    <w:name w:val="Char Char11"/>
    <w:basedOn w:val="17"/>
    <w:qFormat/>
    <w:uiPriority w:val="0"/>
    <w:rPr>
      <w:rFonts w:ascii="宋体" w:hAnsi="Calibri"/>
      <w:kern w:val="0"/>
      <w:szCs w:val="18"/>
    </w:rPr>
  </w:style>
  <w:style w:type="character" w:customStyle="1" w:styleId="200">
    <w:name w:val="Char Char25"/>
    <w:qFormat/>
    <w:uiPriority w:val="0"/>
    <w:rPr>
      <w:rFonts w:ascii="Times New Roman" w:hAnsi="Times New Roman" w:eastAsia="宋体" w:cs="Times New Roman"/>
      <w:b/>
      <w:bCs/>
      <w:kern w:val="0"/>
      <w:sz w:val="28"/>
      <w:szCs w:val="32"/>
    </w:rPr>
  </w:style>
  <w:style w:type="paragraph" w:customStyle="1" w:styleId="201">
    <w:name w:val="无间隔1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2">
    <w:name w:val="font9"/>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203">
    <w:name w:val="Default Char"/>
    <w:link w:val="204"/>
    <w:qFormat/>
    <w:locked/>
    <w:uiPriority w:val="0"/>
    <w:rPr>
      <w:rFonts w:ascii="......." w:eastAsia="......."/>
      <w:color w:val="000000"/>
      <w:sz w:val="24"/>
      <w:szCs w:val="24"/>
      <w:lang w:val="en-US" w:eastAsia="zh-CN" w:bidi="ar-SA"/>
    </w:rPr>
  </w:style>
  <w:style w:type="paragraph" w:customStyle="1" w:styleId="204">
    <w:name w:val="Default"/>
    <w:next w:val="205"/>
    <w:link w:val="203"/>
    <w:qFormat/>
    <w:uiPriority w:val="0"/>
    <w:pPr>
      <w:widowControl w:val="0"/>
      <w:autoSpaceDE w:val="0"/>
      <w:autoSpaceDN w:val="0"/>
      <w:adjustRightInd w:val="0"/>
    </w:pPr>
    <w:rPr>
      <w:rFonts w:ascii="......." w:eastAsia="......." w:hAnsiTheme="minorHAnsi" w:cstheme="minorBidi"/>
      <w:color w:val="000000"/>
      <w:kern w:val="2"/>
      <w:sz w:val="24"/>
      <w:szCs w:val="24"/>
      <w:lang w:val="en-US" w:eastAsia="zh-CN" w:bidi="ar-SA"/>
    </w:rPr>
  </w:style>
  <w:style w:type="paragraph" w:customStyle="1" w:styleId="205">
    <w:name w:val="大标题"/>
    <w:basedOn w:val="48"/>
    <w:next w:val="51"/>
    <w:qFormat/>
    <w:uiPriority w:val="0"/>
    <w:pPr>
      <w:tabs>
        <w:tab w:val="left" w:pos="795"/>
        <w:tab w:val="center" w:pos="4156"/>
      </w:tabs>
      <w:spacing w:line="360" w:lineRule="auto"/>
      <w:ind w:firstLine="200" w:firstLineChars="200"/>
    </w:pPr>
    <w:rPr>
      <w:rFonts w:ascii="宋体" w:hAnsi="宋体" w:eastAsia="宋体"/>
      <w:bCs w:val="0"/>
      <w:kern w:val="0"/>
      <w:szCs w:val="20"/>
    </w:rPr>
  </w:style>
  <w:style w:type="paragraph" w:customStyle="1" w:styleId="206">
    <w:name w:val="_Style 61"/>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customStyle="1" w:styleId="207">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208">
    <w:name w:val="文档结构图11"/>
    <w:basedOn w:val="1"/>
    <w:qFormat/>
    <w:uiPriority w:val="0"/>
    <w:pPr>
      <w:shd w:val="clear" w:color="auto" w:fill="000080"/>
    </w:pPr>
    <w:rPr>
      <w:kern w:val="0"/>
      <w:sz w:val="20"/>
      <w:shd w:val="clear" w:color="auto" w:fill="000080"/>
    </w:rPr>
  </w:style>
  <w:style w:type="paragraph" w:customStyle="1" w:styleId="209">
    <w:name w:val="font10"/>
    <w:basedOn w:val="1"/>
    <w:qFormat/>
    <w:uiPriority w:val="0"/>
    <w:pPr>
      <w:widowControl/>
      <w:spacing w:before="100" w:beforeAutospacing="1" w:after="100" w:afterAutospacing="1"/>
      <w:jc w:val="left"/>
    </w:pPr>
    <w:rPr>
      <w:rFonts w:hint="eastAsia" w:ascii="宋体" w:hAnsi="宋体"/>
      <w:b/>
      <w:bCs/>
      <w:kern w:val="0"/>
      <w:sz w:val="28"/>
      <w:szCs w:val="28"/>
    </w:rPr>
  </w:style>
  <w:style w:type="character" w:customStyle="1" w:styleId="210">
    <w:name w:val="文档结构图 Char1"/>
    <w:qFormat/>
    <w:uiPriority w:val="0"/>
    <w:rPr>
      <w:rFonts w:ascii="宋体"/>
      <w:kern w:val="2"/>
      <w:sz w:val="18"/>
    </w:rPr>
  </w:style>
  <w:style w:type="paragraph" w:customStyle="1" w:styleId="211">
    <w:name w:val="xl102"/>
    <w:basedOn w:val="1"/>
    <w:qFormat/>
    <w:uiPriority w:val="0"/>
    <w:pPr>
      <w:widowControl/>
      <w:pBdr>
        <w:top w:val="single" w:color="auto" w:sz="4" w:space="0"/>
        <w:left w:val="single" w:color="auto" w:sz="4" w:space="0"/>
        <w:bottom w:val="single" w:color="auto" w:sz="8"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paragraph" w:styleId="212">
    <w:name w:val="Intense Quote"/>
    <w:basedOn w:val="1"/>
    <w:next w:val="1"/>
    <w:link w:val="318"/>
    <w:qFormat/>
    <w:uiPriority w:val="0"/>
    <w:pPr>
      <w:pBdr>
        <w:bottom w:val="single" w:color="4F81BD" w:sz="4" w:space="4"/>
      </w:pBdr>
      <w:spacing w:before="200" w:after="280"/>
      <w:ind w:left="936" w:right="936"/>
    </w:pPr>
    <w:rPr>
      <w:rFonts w:ascii="Calibri" w:hAnsi="Calibri"/>
      <w:b/>
      <w:i/>
      <w:color w:val="4F81BD"/>
      <w:sz w:val="22"/>
      <w:szCs w:val="22"/>
    </w:rPr>
  </w:style>
  <w:style w:type="paragraph" w:customStyle="1" w:styleId="213">
    <w:name w:val="_Style 429"/>
    <w:basedOn w:val="1"/>
    <w:next w:val="214"/>
    <w:qFormat/>
    <w:uiPriority w:val="99"/>
    <w:pPr>
      <w:ind w:firstLine="420" w:firstLineChars="200"/>
    </w:pPr>
    <w:rPr>
      <w:rFonts w:ascii="Calibri" w:hAnsi="Calibri"/>
      <w:szCs w:val="22"/>
    </w:rPr>
  </w:style>
  <w:style w:type="paragraph" w:styleId="214">
    <w:name w:val="List Paragraph"/>
    <w:basedOn w:val="1"/>
    <w:link w:val="434"/>
    <w:qFormat/>
    <w:uiPriority w:val="34"/>
    <w:pPr>
      <w:ind w:firstLine="420" w:firstLineChars="200"/>
    </w:pPr>
    <w:rPr>
      <w:szCs w:val="21"/>
    </w:rPr>
  </w:style>
  <w:style w:type="character" w:customStyle="1" w:styleId="215">
    <w:name w:val="已访问的超链接1"/>
    <w:qFormat/>
    <w:uiPriority w:val="0"/>
    <w:rPr>
      <w:color w:val="800080"/>
      <w:u w:val="single"/>
    </w:rPr>
  </w:style>
  <w:style w:type="character" w:customStyle="1" w:styleId="216">
    <w:name w:val="副标题 字符"/>
    <w:link w:val="35"/>
    <w:qFormat/>
    <w:uiPriority w:val="11"/>
    <w:rPr>
      <w:rFonts w:ascii="Cambria" w:hAnsi="Cambria" w:eastAsia="方正楷体简体"/>
      <w:kern w:val="28"/>
      <w:sz w:val="32"/>
      <w:szCs w:val="32"/>
    </w:rPr>
  </w:style>
  <w:style w:type="paragraph" w:customStyle="1" w:styleId="217">
    <w:name w:val="TOC 标题2"/>
    <w:basedOn w:val="4"/>
    <w:next w:val="1"/>
    <w:qFormat/>
    <w:uiPriority w:val="39"/>
    <w:pPr>
      <w:widowControl/>
      <w:spacing w:before="480" w:after="0" w:line="276" w:lineRule="auto"/>
      <w:jc w:val="left"/>
      <w:outlineLvl w:val="9"/>
    </w:pPr>
    <w:rPr>
      <w:rFonts w:ascii="Cambria" w:hAnsi="Cambria"/>
      <w:color w:val="365F91"/>
      <w:kern w:val="0"/>
      <w:sz w:val="28"/>
      <w:szCs w:val="28"/>
    </w:rPr>
  </w:style>
  <w:style w:type="character" w:customStyle="1" w:styleId="218">
    <w:name w:val="批注文字 Char1"/>
    <w:qFormat/>
    <w:uiPriority w:val="0"/>
    <w:rPr>
      <w:kern w:val="2"/>
      <w:sz w:val="21"/>
      <w:szCs w:val="24"/>
    </w:rPr>
  </w:style>
  <w:style w:type="paragraph" w:customStyle="1" w:styleId="219">
    <w:name w:val="xl67"/>
    <w:basedOn w:val="1"/>
    <w:qFormat/>
    <w:uiPriority w:val="0"/>
    <w:pPr>
      <w:widowControl/>
      <w:pBdr>
        <w:left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220">
    <w:name w:val="表格文字"/>
    <w:basedOn w:val="1"/>
    <w:qFormat/>
    <w:uiPriority w:val="0"/>
    <w:pPr>
      <w:adjustRightInd w:val="0"/>
      <w:spacing w:line="420" w:lineRule="atLeast"/>
      <w:jc w:val="left"/>
      <w:textAlignment w:val="baseline"/>
    </w:pPr>
    <w:rPr>
      <w:kern w:val="0"/>
      <w:szCs w:val="20"/>
    </w:rPr>
  </w:style>
  <w:style w:type="character" w:customStyle="1" w:styleId="221">
    <w:name w:val="正文文本首行缩进 2 字符"/>
    <w:link w:val="51"/>
    <w:qFormat/>
    <w:uiPriority w:val="0"/>
    <w:rPr>
      <w:rFonts w:ascii="Calibri" w:hAnsi="Calibri" w:eastAsia="仿宋_GB2312"/>
      <w:kern w:val="2"/>
      <w:sz w:val="21"/>
      <w:szCs w:val="24"/>
    </w:rPr>
  </w:style>
  <w:style w:type="paragraph" w:customStyle="1" w:styleId="222">
    <w:name w:val="xl74"/>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b/>
      <w:bCs/>
      <w:kern w:val="0"/>
      <w:szCs w:val="21"/>
    </w:rPr>
  </w:style>
  <w:style w:type="paragraph" w:customStyle="1" w:styleId="223">
    <w:name w:val="Char Char13"/>
    <w:basedOn w:val="17"/>
    <w:qFormat/>
    <w:uiPriority w:val="0"/>
    <w:rPr>
      <w:rFonts w:ascii="Calibri" w:hAnsi="Calibri"/>
      <w:szCs w:val="22"/>
    </w:rPr>
  </w:style>
  <w:style w:type="character" w:customStyle="1" w:styleId="224">
    <w:name w:val="Char Char71"/>
    <w:qFormat/>
    <w:uiPriority w:val="0"/>
    <w:rPr>
      <w:rFonts w:ascii="Arial" w:hAnsi="Arial" w:eastAsia="黑体"/>
      <w:b/>
      <w:bCs/>
      <w:kern w:val="2"/>
      <w:sz w:val="32"/>
      <w:szCs w:val="32"/>
      <w:lang w:val="en-US" w:eastAsia="zh-CN" w:bidi="ar-SA"/>
    </w:rPr>
  </w:style>
  <w:style w:type="character" w:customStyle="1" w:styleId="225">
    <w:name w:val="标题 5 Char"/>
    <w:qFormat/>
    <w:uiPriority w:val="99"/>
    <w:rPr>
      <w:rFonts w:eastAsia="宋体"/>
      <w:b/>
      <w:kern w:val="2"/>
      <w:sz w:val="28"/>
      <w:lang w:val="en-US" w:eastAsia="zh-CN" w:bidi="ar-SA"/>
    </w:rPr>
  </w:style>
  <w:style w:type="paragraph" w:customStyle="1" w:styleId="226">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paragraph" w:customStyle="1" w:styleId="227">
    <w:name w:val="Char Char1 Char Char Char Char Char Char1"/>
    <w:basedOn w:val="17"/>
    <w:qFormat/>
    <w:uiPriority w:val="0"/>
    <w:rPr>
      <w:rFonts w:ascii="宋体" w:hAnsi="Calibri"/>
      <w:kern w:val="0"/>
      <w:szCs w:val="18"/>
    </w:rPr>
  </w:style>
  <w:style w:type="paragraph" w:customStyle="1" w:styleId="228">
    <w:name w:val="15"/>
    <w:basedOn w:val="1"/>
    <w:qFormat/>
    <w:uiPriority w:val="0"/>
    <w:pPr>
      <w:widowControl/>
      <w:snapToGrid w:val="0"/>
      <w:spacing w:before="100" w:beforeAutospacing="1" w:after="100" w:afterAutospacing="1"/>
    </w:pPr>
    <w:rPr>
      <w:kern w:val="0"/>
      <w:sz w:val="20"/>
      <w:szCs w:val="20"/>
    </w:rPr>
  </w:style>
  <w:style w:type="paragraph" w:customStyle="1" w:styleId="229">
    <w:name w:val="xl71"/>
    <w:basedOn w:val="1"/>
    <w:qFormat/>
    <w:uiPriority w:val="0"/>
    <w:pPr>
      <w:widowControl/>
      <w:pBdr>
        <w:bottom w:val="single" w:color="auto" w:sz="8" w:space="0"/>
      </w:pBdr>
      <w:spacing w:before="100" w:beforeAutospacing="1" w:after="100" w:afterAutospacing="1"/>
      <w:jc w:val="left"/>
      <w:textAlignment w:val="center"/>
    </w:pPr>
    <w:rPr>
      <w:rFonts w:ascii="宋体" w:hAnsi="宋体" w:cs="宋体"/>
      <w:kern w:val="0"/>
      <w:szCs w:val="21"/>
    </w:rPr>
  </w:style>
  <w:style w:type="character" w:customStyle="1" w:styleId="230">
    <w:name w:val="Char Char Char Char Char Char1"/>
    <w:qFormat/>
    <w:uiPriority w:val="0"/>
    <w:rPr>
      <w:rFonts w:ascii="Cambria" w:hAnsi="Cambria"/>
      <w:b/>
      <w:bCs/>
      <w:kern w:val="2"/>
      <w:sz w:val="32"/>
      <w:szCs w:val="32"/>
      <w:lang w:bidi="ar-SA"/>
    </w:rPr>
  </w:style>
  <w:style w:type="character" w:customStyle="1" w:styleId="231">
    <w:name w:val="标题4 Char Char"/>
    <w:link w:val="130"/>
    <w:qFormat/>
    <w:locked/>
    <w:uiPriority w:val="99"/>
    <w:rPr>
      <w:rFonts w:ascii="Arial" w:hAnsi="Arial"/>
      <w:b/>
      <w:sz w:val="32"/>
    </w:rPr>
  </w:style>
  <w:style w:type="paragraph" w:customStyle="1" w:styleId="232">
    <w:name w:val="_Style 63"/>
    <w:next w:val="1"/>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233">
    <w:name w:val="明显引用 Char"/>
    <w:qFormat/>
    <w:locked/>
    <w:uiPriority w:val="99"/>
    <w:rPr>
      <w:b/>
      <w:i/>
      <w:color w:val="4F81BD"/>
      <w:sz w:val="22"/>
    </w:rPr>
  </w:style>
  <w:style w:type="paragraph" w:customStyle="1" w:styleId="234">
    <w:name w:val="文本块11"/>
    <w:basedOn w:val="1"/>
    <w:next w:val="1"/>
    <w:qFormat/>
    <w:uiPriority w:val="0"/>
    <w:rPr>
      <w:i/>
      <w:iCs/>
      <w:color w:val="000000"/>
      <w:szCs w:val="22"/>
    </w:rPr>
  </w:style>
  <w:style w:type="paragraph" w:customStyle="1" w:styleId="235">
    <w:name w:val="xl33"/>
    <w:basedOn w:val="1"/>
    <w:qFormat/>
    <w:uiPriority w:val="0"/>
    <w:pPr>
      <w:widowControl/>
      <w:spacing w:before="100" w:beforeAutospacing="1" w:after="100" w:afterAutospacing="1"/>
      <w:jc w:val="center"/>
      <w:textAlignment w:val="center"/>
    </w:pPr>
    <w:rPr>
      <w:rFonts w:ascii="黑体" w:hAnsi="Arial Unicode MS" w:eastAsia="黑体" w:cs="黑体"/>
      <w:kern w:val="0"/>
      <w:sz w:val="22"/>
      <w:szCs w:val="22"/>
    </w:rPr>
  </w:style>
  <w:style w:type="character" w:customStyle="1" w:styleId="236">
    <w:name w:val="引用 Char1"/>
    <w:qFormat/>
    <w:uiPriority w:val="0"/>
    <w:rPr>
      <w:rFonts w:ascii="Times New Roman" w:hAnsi="Times New Roman" w:eastAsia="宋体" w:cs="Times New Roman"/>
      <w:i/>
      <w:iCs/>
      <w:color w:val="000000"/>
      <w:szCs w:val="24"/>
    </w:rPr>
  </w:style>
  <w:style w:type="paragraph" w:customStyle="1" w:styleId="237">
    <w:name w:val="xl35"/>
    <w:basedOn w:val="1"/>
    <w:qFormat/>
    <w:uiPriority w:val="0"/>
    <w:pPr>
      <w:widowControl/>
      <w:spacing w:before="100" w:beforeAutospacing="1" w:after="100" w:afterAutospacing="1"/>
      <w:jc w:val="left"/>
    </w:pPr>
    <w:rPr>
      <w:b/>
      <w:bCs/>
      <w:kern w:val="0"/>
      <w:sz w:val="24"/>
    </w:rPr>
  </w:style>
  <w:style w:type="character" w:customStyle="1" w:styleId="238">
    <w:name w:val="Blockquote Char Char"/>
    <w:link w:val="87"/>
    <w:qFormat/>
    <w:locked/>
    <w:uiPriority w:val="99"/>
    <w:rPr>
      <w:sz w:val="24"/>
    </w:rPr>
  </w:style>
  <w:style w:type="character" w:customStyle="1" w:styleId="239">
    <w:name w:val="标题 1 字符1"/>
    <w:link w:val="4"/>
    <w:qFormat/>
    <w:uiPriority w:val="0"/>
    <w:rPr>
      <w:b/>
      <w:bCs/>
      <w:kern w:val="44"/>
      <w:sz w:val="44"/>
      <w:szCs w:val="44"/>
    </w:rPr>
  </w:style>
  <w:style w:type="character" w:customStyle="1" w:styleId="240">
    <w:name w:val="样式2 字符"/>
    <w:link w:val="241"/>
    <w:qFormat/>
    <w:uiPriority w:val="0"/>
    <w:rPr>
      <w:rFonts w:ascii="楷体_GB2312" w:hAnsi="Arial" w:eastAsia="仿宋_GB2312"/>
      <w:kern w:val="2"/>
      <w:sz w:val="28"/>
      <w:szCs w:val="28"/>
    </w:rPr>
  </w:style>
  <w:style w:type="paragraph" w:customStyle="1" w:styleId="241">
    <w:name w:val="样式2"/>
    <w:basedOn w:val="1"/>
    <w:link w:val="240"/>
    <w:qFormat/>
    <w:uiPriority w:val="0"/>
    <w:pPr>
      <w:spacing w:line="560" w:lineRule="exact"/>
      <w:ind w:firstLine="561" w:firstLineChars="200"/>
    </w:pPr>
    <w:rPr>
      <w:rFonts w:ascii="楷体_GB2312" w:hAnsi="Arial" w:eastAsia="仿宋_GB2312"/>
      <w:sz w:val="28"/>
      <w:szCs w:val="28"/>
    </w:rPr>
  </w:style>
  <w:style w:type="character" w:customStyle="1" w:styleId="242">
    <w:name w:val="正文文本 2 Char"/>
    <w:qFormat/>
    <w:uiPriority w:val="99"/>
    <w:rPr>
      <w:sz w:val="24"/>
    </w:rPr>
  </w:style>
  <w:style w:type="character" w:customStyle="1" w:styleId="243">
    <w:name w:val="批注框文本 Char Char Char Char"/>
    <w:qFormat/>
    <w:uiPriority w:val="0"/>
    <w:rPr>
      <w:rFonts w:ascii="宋体"/>
      <w:sz w:val="18"/>
      <w:szCs w:val="18"/>
      <w:lang w:bidi="ar-SA"/>
    </w:rPr>
  </w:style>
  <w:style w:type="character" w:customStyle="1" w:styleId="244">
    <w:name w:val="无间隔 Char"/>
    <w:link w:val="88"/>
    <w:qFormat/>
    <w:locked/>
    <w:uiPriority w:val="0"/>
    <w:rPr>
      <w:rFonts w:cs="Calibri"/>
      <w:sz w:val="22"/>
      <w:szCs w:val="22"/>
      <w:lang w:val="en-US" w:eastAsia="zh-CN" w:bidi="ar-SA"/>
    </w:rPr>
  </w:style>
  <w:style w:type="character" w:customStyle="1" w:styleId="245">
    <w:name w:val="font81"/>
    <w:qFormat/>
    <w:uiPriority w:val="0"/>
    <w:rPr>
      <w:rFonts w:hint="default" w:ascii="Times New Roman" w:hAnsi="Times New Roman" w:cs="Times New Roman"/>
      <w:color w:val="000000"/>
      <w:sz w:val="20"/>
      <w:szCs w:val="20"/>
      <w:u w:val="none"/>
    </w:rPr>
  </w:style>
  <w:style w:type="paragraph" w:customStyle="1" w:styleId="246">
    <w:name w:val="表格"/>
    <w:basedOn w:val="1"/>
    <w:qFormat/>
    <w:uiPriority w:val="0"/>
    <w:pPr>
      <w:jc w:val="center"/>
      <w:textAlignment w:val="center"/>
    </w:pPr>
    <w:rPr>
      <w:rFonts w:ascii="华文细黑" w:hAnsi="华文细黑"/>
      <w:kern w:val="0"/>
      <w:szCs w:val="20"/>
    </w:rPr>
  </w:style>
  <w:style w:type="character" w:customStyle="1" w:styleId="247">
    <w:name w:val="书籍标题12"/>
    <w:qFormat/>
    <w:uiPriority w:val="0"/>
    <w:rPr>
      <w:b/>
      <w:bCs/>
      <w:smallCaps/>
      <w:spacing w:val="5"/>
    </w:rPr>
  </w:style>
  <w:style w:type="character" w:customStyle="1" w:styleId="248">
    <w:name w:val="Title Char"/>
    <w:qFormat/>
    <w:locked/>
    <w:uiPriority w:val="0"/>
    <w:rPr>
      <w:rFonts w:ascii="Cambria" w:hAnsi="Cambria" w:eastAsia="方正小标宋简体" w:cs="Cambria"/>
      <w:b/>
      <w:bCs/>
      <w:kern w:val="2"/>
      <w:sz w:val="32"/>
      <w:szCs w:val="32"/>
    </w:rPr>
  </w:style>
  <w:style w:type="paragraph" w:customStyle="1" w:styleId="249">
    <w:name w:val="Char Char1 Char Char Char Char Char Char Char Char Char Char Char Char Char Char Char"/>
    <w:basedOn w:val="1"/>
    <w:qFormat/>
    <w:uiPriority w:val="0"/>
    <w:pPr>
      <w:widowControl/>
      <w:spacing w:after="160" w:line="240" w:lineRule="exact"/>
      <w:jc w:val="left"/>
    </w:pPr>
    <w:rPr>
      <w:rFonts w:ascii="Verdana" w:hAnsi="Verdana" w:cs="Verdana"/>
      <w:kern w:val="0"/>
      <w:sz w:val="20"/>
      <w:szCs w:val="20"/>
      <w:lang w:eastAsia="en-US"/>
    </w:rPr>
  </w:style>
  <w:style w:type="paragraph" w:customStyle="1" w:styleId="250">
    <w:name w:val="xl94"/>
    <w:basedOn w:val="1"/>
    <w:qFormat/>
    <w:uiPriority w:val="0"/>
    <w:pPr>
      <w:widowControl/>
      <w:pBdr>
        <w:top w:val="single" w:color="auto" w:sz="4" w:space="0"/>
        <w:left w:val="single" w:color="auto" w:sz="4" w:space="0"/>
        <w:bottom w:val="single" w:color="auto" w:sz="4" w:space="0"/>
        <w:right w:val="single" w:color="auto" w:sz="8"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251">
    <w:name w:val="Heading 3 Char"/>
    <w:qFormat/>
    <w:locked/>
    <w:uiPriority w:val="0"/>
    <w:rPr>
      <w:rFonts w:eastAsia="宋体"/>
      <w:b/>
      <w:bCs/>
      <w:kern w:val="2"/>
      <w:sz w:val="32"/>
      <w:szCs w:val="32"/>
      <w:lang w:val="en-US" w:eastAsia="zh-CN" w:bidi="ar-SA"/>
    </w:rPr>
  </w:style>
  <w:style w:type="character" w:customStyle="1" w:styleId="252">
    <w:name w:val="正文文本缩进 Char1"/>
    <w:semiHidden/>
    <w:qFormat/>
    <w:uiPriority w:val="99"/>
    <w:rPr>
      <w:rFonts w:ascii="Times New Roman" w:hAnsi="Times New Roman" w:eastAsia="宋体" w:cs="Times New Roman"/>
      <w:szCs w:val="24"/>
    </w:rPr>
  </w:style>
  <w:style w:type="paragraph" w:customStyle="1" w:styleId="253">
    <w:name w:val="font12"/>
    <w:basedOn w:val="1"/>
    <w:qFormat/>
    <w:uiPriority w:val="0"/>
    <w:pPr>
      <w:widowControl/>
      <w:spacing w:before="100" w:beforeAutospacing="1" w:after="100" w:afterAutospacing="1"/>
      <w:jc w:val="left"/>
    </w:pPr>
    <w:rPr>
      <w:rFonts w:hint="eastAsia" w:ascii="宋体" w:hAnsi="宋体"/>
      <w:b/>
      <w:bCs/>
      <w:kern w:val="0"/>
      <w:sz w:val="20"/>
      <w:szCs w:val="20"/>
    </w:rPr>
  </w:style>
  <w:style w:type="paragraph" w:styleId="254">
    <w:name w:val="Quote"/>
    <w:basedOn w:val="1"/>
    <w:next w:val="1"/>
    <w:link w:val="459"/>
    <w:qFormat/>
    <w:uiPriority w:val="0"/>
    <w:rPr>
      <w:rFonts w:ascii="Calibri" w:hAnsi="Calibri"/>
      <w:i/>
      <w:color w:val="000000"/>
      <w:sz w:val="22"/>
      <w:szCs w:val="22"/>
    </w:rPr>
  </w:style>
  <w:style w:type="character" w:customStyle="1" w:styleId="255">
    <w:name w:val="不明显参考12"/>
    <w:qFormat/>
    <w:uiPriority w:val="0"/>
    <w:rPr>
      <w:smallCaps/>
      <w:color w:val="C0504D"/>
      <w:u w:val="single"/>
    </w:rPr>
  </w:style>
  <w:style w:type="character" w:customStyle="1" w:styleId="256">
    <w:name w:val="font91"/>
    <w:qFormat/>
    <w:uiPriority w:val="0"/>
    <w:rPr>
      <w:rFonts w:hint="eastAsia" w:ascii="宋体" w:hAnsi="宋体" w:eastAsia="宋体" w:cs="宋体"/>
      <w:color w:val="000000"/>
      <w:sz w:val="22"/>
      <w:szCs w:val="22"/>
      <w:u w:val="none"/>
    </w:rPr>
  </w:style>
  <w:style w:type="character" w:customStyle="1" w:styleId="257">
    <w:name w:val="Heading 2 Char"/>
    <w:qFormat/>
    <w:locked/>
    <w:uiPriority w:val="0"/>
    <w:rPr>
      <w:rFonts w:ascii="Arial" w:hAnsi="Arial" w:eastAsia="黑体"/>
      <w:b/>
      <w:bCs/>
      <w:kern w:val="2"/>
      <w:sz w:val="32"/>
      <w:szCs w:val="32"/>
      <w:lang w:val="en-US" w:eastAsia="zh-CN" w:bidi="ar-SA"/>
    </w:rPr>
  </w:style>
  <w:style w:type="paragraph" w:customStyle="1" w:styleId="258">
    <w:name w:val="Table Paragraph"/>
    <w:basedOn w:val="1"/>
    <w:qFormat/>
    <w:uiPriority w:val="1"/>
    <w:pPr>
      <w:autoSpaceDE w:val="0"/>
      <w:autoSpaceDN w:val="0"/>
      <w:adjustRightInd w:val="0"/>
      <w:jc w:val="left"/>
    </w:pPr>
    <w:rPr>
      <w:rFonts w:ascii="Arial Unicode MS" w:eastAsia="Arial Unicode MS" w:cs="Arial Unicode MS"/>
      <w:kern w:val="0"/>
      <w:sz w:val="24"/>
    </w:rPr>
  </w:style>
  <w:style w:type="character" w:customStyle="1" w:styleId="259">
    <w:name w:val="正文文本缩进 2 字符"/>
    <w:link w:val="29"/>
    <w:qFormat/>
    <w:uiPriority w:val="99"/>
    <w:rPr>
      <w:sz w:val="24"/>
      <w:szCs w:val="24"/>
    </w:rPr>
  </w:style>
  <w:style w:type="character" w:customStyle="1" w:styleId="260">
    <w:name w:val="正文首行缩进 2 Char"/>
    <w:qFormat/>
    <w:uiPriority w:val="0"/>
    <w:rPr>
      <w:rFonts w:ascii="Calibri" w:hAnsi="Calibri" w:eastAsia="宋体"/>
      <w:szCs w:val="24"/>
    </w:rPr>
  </w:style>
  <w:style w:type="paragraph" w:customStyle="1" w:styleId="261">
    <w:name w:val="批注主题11"/>
    <w:basedOn w:val="18"/>
    <w:next w:val="18"/>
    <w:qFormat/>
    <w:uiPriority w:val="0"/>
    <w:rPr>
      <w:rFonts w:ascii="宋体" w:hAnsi="Calibri"/>
      <w:b/>
      <w:bCs/>
      <w:kern w:val="0"/>
      <w:sz w:val="28"/>
      <w:szCs w:val="20"/>
    </w:rPr>
  </w:style>
  <w:style w:type="paragraph" w:customStyle="1" w:styleId="262">
    <w:name w:val="xl36"/>
    <w:basedOn w:val="1"/>
    <w:qFormat/>
    <w:uiPriority w:val="0"/>
    <w:pPr>
      <w:widowControl/>
      <w:spacing w:before="100" w:beforeAutospacing="1" w:after="100" w:afterAutospacing="1"/>
      <w:jc w:val="left"/>
    </w:pPr>
    <w:rPr>
      <w:rFonts w:ascii="宋体" w:hAnsi="宋体"/>
      <w:b/>
      <w:bCs/>
      <w:kern w:val="0"/>
      <w:sz w:val="24"/>
    </w:rPr>
  </w:style>
  <w:style w:type="character" w:customStyle="1" w:styleId="263">
    <w:name w:val="日期 Char"/>
    <w:qFormat/>
    <w:locked/>
    <w:uiPriority w:val="99"/>
    <w:rPr>
      <w:rFonts w:eastAsia="宋体"/>
      <w:sz w:val="24"/>
    </w:rPr>
  </w:style>
  <w:style w:type="character" w:customStyle="1" w:styleId="264">
    <w:name w:val="标题 8 Char"/>
    <w:qFormat/>
    <w:uiPriority w:val="99"/>
    <w:rPr>
      <w:rFonts w:ascii="Arial" w:hAnsi="Arial" w:eastAsia="黑体"/>
      <w:sz w:val="24"/>
      <w:szCs w:val="24"/>
      <w:lang w:val="en-US" w:eastAsia="zh-CN" w:bidi="ar-SA"/>
    </w:rPr>
  </w:style>
  <w:style w:type="character" w:customStyle="1" w:styleId="265">
    <w:name w:val="页脚 Char2"/>
    <w:semiHidden/>
    <w:qFormat/>
    <w:uiPriority w:val="99"/>
    <w:rPr>
      <w:rFonts w:ascii="Times New Roman" w:hAnsi="Times New Roman" w:eastAsia="宋体" w:cs="Times New Roman"/>
      <w:sz w:val="18"/>
      <w:szCs w:val="18"/>
    </w:rPr>
  </w:style>
  <w:style w:type="character" w:customStyle="1" w:styleId="266">
    <w:name w:val="批注框文本 字符"/>
    <w:link w:val="30"/>
    <w:qFormat/>
    <w:uiPriority w:val="99"/>
    <w:rPr>
      <w:kern w:val="2"/>
      <w:sz w:val="18"/>
      <w:szCs w:val="18"/>
    </w:rPr>
  </w:style>
  <w:style w:type="paragraph" w:customStyle="1" w:styleId="267">
    <w:name w:val="_Style 488"/>
    <w:basedOn w:val="1"/>
    <w:next w:val="214"/>
    <w:qFormat/>
    <w:uiPriority w:val="99"/>
    <w:pPr>
      <w:ind w:firstLine="420" w:firstLineChars="200"/>
    </w:pPr>
    <w:rPr>
      <w:rFonts w:ascii="Calibri" w:hAnsi="Calibri"/>
      <w:szCs w:val="22"/>
    </w:rPr>
  </w:style>
  <w:style w:type="paragraph" w:customStyle="1" w:styleId="268">
    <w:name w:val="p0"/>
    <w:basedOn w:val="1"/>
    <w:qFormat/>
    <w:uiPriority w:val="0"/>
    <w:pPr>
      <w:widowControl/>
    </w:pPr>
    <w:rPr>
      <w:kern w:val="0"/>
      <w:szCs w:val="21"/>
    </w:rPr>
  </w:style>
  <w:style w:type="character" w:customStyle="1" w:styleId="269">
    <w:name w:val="标题 2 Char1"/>
    <w:qFormat/>
    <w:uiPriority w:val="0"/>
    <w:rPr>
      <w:rFonts w:ascii="Arial" w:hAnsi="Arial"/>
      <w:b/>
      <w:bCs/>
      <w:kern w:val="2"/>
      <w:sz w:val="28"/>
      <w:szCs w:val="32"/>
    </w:rPr>
  </w:style>
  <w:style w:type="paragraph" w:customStyle="1" w:styleId="270">
    <w:name w:val="样式 标题 2 + Times New Roman 四号 非加粗 段前: 5 磅 段后: 0 磅 行距: 固定值 20..."/>
    <w:basedOn w:val="131"/>
    <w:qFormat/>
    <w:uiPriority w:val="0"/>
    <w:pPr>
      <w:spacing w:after="0" w:line="400" w:lineRule="exact"/>
    </w:pPr>
    <w:rPr>
      <w:rFonts w:ascii="Times New Roman" w:hAnsi="Times New Roman" w:eastAsia="黑体" w:cs="宋体"/>
      <w:sz w:val="28"/>
    </w:rPr>
  </w:style>
  <w:style w:type="paragraph" w:customStyle="1" w:styleId="271">
    <w:name w:val="BCDDE9ABABFE460AAF8A1CFF4CFA4596"/>
    <w:qFormat/>
    <w:uiPriority w:val="0"/>
    <w:pPr>
      <w:spacing w:after="200" w:line="276" w:lineRule="auto"/>
    </w:pPr>
    <w:rPr>
      <w:rFonts w:ascii="Calibri" w:hAnsi="Calibri" w:eastAsiaTheme="minorEastAsia" w:cstheme="minorBidi"/>
      <w:kern w:val="2"/>
      <w:sz w:val="22"/>
      <w:szCs w:val="22"/>
      <w:lang w:val="en-US" w:eastAsia="en-US" w:bidi="ar-SA"/>
    </w:rPr>
  </w:style>
  <w:style w:type="character" w:customStyle="1" w:styleId="272">
    <w:name w:val="明显强调2"/>
    <w:qFormat/>
    <w:uiPriority w:val="0"/>
    <w:rPr>
      <w:b/>
      <w:bCs/>
      <w:i/>
      <w:iCs/>
      <w:color w:val="4F81BD"/>
    </w:rPr>
  </w:style>
  <w:style w:type="paragraph" w:customStyle="1" w:styleId="273">
    <w:name w:val="xl4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paragraph" w:customStyle="1" w:styleId="274">
    <w:name w:val="xl90"/>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275">
    <w:name w:val="普通文字 Char"/>
    <w:qFormat/>
    <w:uiPriority w:val="99"/>
    <w:rPr>
      <w:rFonts w:ascii="宋体" w:hAnsi="Courier New" w:cs="宋体"/>
      <w:sz w:val="21"/>
      <w:szCs w:val="21"/>
    </w:rPr>
  </w:style>
  <w:style w:type="character" w:customStyle="1" w:styleId="276">
    <w:name w:val="明显参考11"/>
    <w:qFormat/>
    <w:uiPriority w:val="0"/>
    <w:rPr>
      <w:b/>
      <w:bCs/>
      <w:smallCaps/>
      <w:color w:val="C0504D"/>
      <w:spacing w:val="5"/>
      <w:u w:val="single"/>
    </w:rPr>
  </w:style>
  <w:style w:type="paragraph" w:customStyle="1" w:styleId="277">
    <w:name w:val="标题5"/>
    <w:basedOn w:val="6"/>
    <w:link w:val="375"/>
    <w:qFormat/>
    <w:uiPriority w:val="99"/>
    <w:pPr>
      <w:spacing w:line="413" w:lineRule="auto"/>
    </w:pPr>
    <w:rPr>
      <w:rFonts w:ascii="Arial" w:hAnsi="Arial"/>
      <w:bCs w:val="0"/>
      <w:kern w:val="0"/>
      <w:szCs w:val="20"/>
    </w:rPr>
  </w:style>
  <w:style w:type="paragraph" w:customStyle="1" w:styleId="27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18"/>
      <w:szCs w:val="18"/>
    </w:rPr>
  </w:style>
  <w:style w:type="character" w:customStyle="1" w:styleId="279">
    <w:name w:val="标题 2 Char"/>
    <w:qFormat/>
    <w:uiPriority w:val="0"/>
    <w:rPr>
      <w:rFonts w:ascii="Arial" w:hAnsi="Arial" w:eastAsia="黑体"/>
      <w:b/>
      <w:bCs/>
      <w:kern w:val="2"/>
      <w:sz w:val="32"/>
      <w:szCs w:val="32"/>
      <w:lang w:val="en-US" w:eastAsia="zh-CN" w:bidi="ar-SA"/>
    </w:rPr>
  </w:style>
  <w:style w:type="character" w:customStyle="1" w:styleId="280">
    <w:name w:val="批注文字 Char"/>
    <w:qFormat/>
    <w:locked/>
    <w:uiPriority w:val="99"/>
    <w:rPr>
      <w:rFonts w:eastAsia="宋体"/>
      <w:sz w:val="24"/>
      <w:szCs w:val="24"/>
    </w:rPr>
  </w:style>
  <w:style w:type="character" w:customStyle="1" w:styleId="281">
    <w:name w:val="明显强调21"/>
    <w:qFormat/>
    <w:uiPriority w:val="0"/>
    <w:rPr>
      <w:b/>
      <w:bCs/>
      <w:i/>
      <w:iCs/>
      <w:color w:val="4F81BD"/>
    </w:rPr>
  </w:style>
  <w:style w:type="character" w:customStyle="1" w:styleId="282">
    <w:name w:val="t-link42"/>
    <w:qFormat/>
    <w:uiPriority w:val="0"/>
  </w:style>
  <w:style w:type="paragraph" w:customStyle="1" w:styleId="283">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16"/>
      <w:szCs w:val="16"/>
    </w:rPr>
  </w:style>
  <w:style w:type="character" w:customStyle="1" w:styleId="284">
    <w:name w:val="标题 7 Char"/>
    <w:qFormat/>
    <w:uiPriority w:val="99"/>
    <w:rPr>
      <w:rFonts w:eastAsia="宋体"/>
      <w:b/>
      <w:bCs/>
      <w:sz w:val="24"/>
      <w:szCs w:val="24"/>
      <w:lang w:val="en-US" w:eastAsia="zh-CN" w:bidi="ar-SA"/>
    </w:rPr>
  </w:style>
  <w:style w:type="character" w:customStyle="1" w:styleId="285">
    <w:name w:val="Header Char"/>
    <w:qFormat/>
    <w:locked/>
    <w:uiPriority w:val="0"/>
    <w:rPr>
      <w:rFonts w:ascii="Times New Roman" w:hAnsi="Times New Roman" w:cs="Times New Roman"/>
      <w:sz w:val="18"/>
      <w:szCs w:val="18"/>
    </w:rPr>
  </w:style>
  <w:style w:type="character" w:customStyle="1" w:styleId="286">
    <w:name w:val="Quote Char"/>
    <w:link w:val="187"/>
    <w:qFormat/>
    <w:locked/>
    <w:uiPriority w:val="0"/>
    <w:rPr>
      <w:i/>
      <w:color w:val="000000"/>
      <w:sz w:val="22"/>
    </w:rPr>
  </w:style>
  <w:style w:type="character" w:customStyle="1" w:styleId="287">
    <w:name w:val="标题 9 字符"/>
    <w:link w:val="12"/>
    <w:qFormat/>
    <w:uiPriority w:val="0"/>
    <w:rPr>
      <w:rFonts w:ascii="Arial" w:hAnsi="Arial" w:eastAsia="黑体"/>
      <w:sz w:val="21"/>
      <w:szCs w:val="21"/>
    </w:rPr>
  </w:style>
  <w:style w:type="character" w:customStyle="1" w:styleId="288">
    <w:name w:val="标题 2 字符"/>
    <w:link w:val="131"/>
    <w:qFormat/>
    <w:uiPriority w:val="0"/>
    <w:rPr>
      <w:rFonts w:ascii="Arial" w:hAnsi="Arial" w:eastAsia="宋体"/>
      <w:b/>
      <w:bCs/>
      <w:kern w:val="2"/>
      <w:sz w:val="32"/>
      <w:szCs w:val="32"/>
      <w:lang w:val="en-US" w:eastAsia="zh-CN" w:bidi="ar-SA"/>
    </w:rPr>
  </w:style>
  <w:style w:type="character" w:customStyle="1" w:styleId="289">
    <w:name w:val="case31"/>
    <w:qFormat/>
    <w:uiPriority w:val="0"/>
    <w:rPr>
      <w:sz w:val="21"/>
      <w:szCs w:val="21"/>
    </w:rPr>
  </w:style>
  <w:style w:type="paragraph" w:customStyle="1" w:styleId="29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291">
    <w:name w:val="xl4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0"/>
      <w:szCs w:val="20"/>
    </w:rPr>
  </w:style>
  <w:style w:type="character" w:customStyle="1" w:styleId="292">
    <w:name w:val="引用 Char"/>
    <w:qFormat/>
    <w:locked/>
    <w:uiPriority w:val="99"/>
    <w:rPr>
      <w:i/>
      <w:color w:val="000000"/>
      <w:sz w:val="22"/>
    </w:rPr>
  </w:style>
  <w:style w:type="character" w:customStyle="1" w:styleId="293">
    <w:name w:val="正文文本 Char2"/>
    <w:qFormat/>
    <w:uiPriority w:val="99"/>
    <w:rPr>
      <w:rFonts w:ascii="Times New Roman" w:hAnsi="Times New Roman" w:eastAsia="宋体" w:cs="Times New Roman"/>
      <w:szCs w:val="24"/>
    </w:rPr>
  </w:style>
  <w:style w:type="paragraph" w:customStyle="1" w:styleId="294">
    <w:name w:val="_Style 19"/>
    <w:basedOn w:val="17"/>
    <w:qFormat/>
    <w:uiPriority w:val="0"/>
    <w:rPr>
      <w:rFonts w:ascii="Calibri" w:hAnsi="Calibri"/>
    </w:rPr>
  </w:style>
  <w:style w:type="paragraph" w:customStyle="1" w:styleId="295">
    <w:name w:val="Char1 Char Char Char"/>
    <w:basedOn w:val="1"/>
    <w:qFormat/>
    <w:uiPriority w:val="0"/>
    <w:rPr>
      <w:rFonts w:eastAsia="仿宋_GB2312"/>
      <w:sz w:val="28"/>
      <w:szCs w:val="28"/>
    </w:rPr>
  </w:style>
  <w:style w:type="character" w:customStyle="1" w:styleId="296">
    <w:name w:val="文档结构图 Char"/>
    <w:qFormat/>
    <w:locked/>
    <w:uiPriority w:val="99"/>
    <w:rPr>
      <w:rFonts w:eastAsia="宋体"/>
      <w:sz w:val="24"/>
      <w:shd w:val="clear" w:color="auto" w:fill="000080"/>
    </w:rPr>
  </w:style>
  <w:style w:type="character" w:customStyle="1" w:styleId="297">
    <w:name w:val="Block Text Char Char Char"/>
    <w:qFormat/>
    <w:uiPriority w:val="0"/>
    <w:rPr>
      <w:rFonts w:ascii="Calibri" w:hAnsi="Calibri" w:eastAsia="宋体"/>
      <w:i/>
      <w:iCs/>
      <w:color w:val="000000"/>
      <w:kern w:val="2"/>
      <w:sz w:val="22"/>
      <w:szCs w:val="22"/>
      <w:lang w:val="en-US" w:eastAsia="zh-CN" w:bidi="ar-SA"/>
    </w:rPr>
  </w:style>
  <w:style w:type="paragraph" w:customStyle="1" w:styleId="29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299">
    <w:name w:val="Char Char2"/>
    <w:qFormat/>
    <w:uiPriority w:val="0"/>
    <w:rPr>
      <w:rFonts w:eastAsia="宋体"/>
      <w:kern w:val="2"/>
      <w:sz w:val="21"/>
      <w:szCs w:val="24"/>
      <w:lang w:val="en-US" w:eastAsia="zh-CN" w:bidi="ar-SA"/>
    </w:rPr>
  </w:style>
  <w:style w:type="paragraph" w:customStyle="1" w:styleId="300">
    <w:name w:val="列出段落1"/>
    <w:basedOn w:val="1"/>
    <w:qFormat/>
    <w:uiPriority w:val="0"/>
    <w:pPr>
      <w:ind w:firstLine="420" w:firstLineChars="200"/>
    </w:pPr>
    <w:rPr>
      <w:szCs w:val="21"/>
    </w:rPr>
  </w:style>
  <w:style w:type="character" w:customStyle="1" w:styleId="301">
    <w:name w:val="副标题 Char"/>
    <w:qFormat/>
    <w:locked/>
    <w:uiPriority w:val="99"/>
    <w:rPr>
      <w:rFonts w:ascii="Arial" w:hAnsi="Arial" w:eastAsia="黑体"/>
      <w:b/>
      <w:bCs/>
      <w:sz w:val="32"/>
      <w:szCs w:val="32"/>
    </w:rPr>
  </w:style>
  <w:style w:type="character" w:customStyle="1" w:styleId="302">
    <w:name w:val="t-in2"/>
    <w:qFormat/>
    <w:uiPriority w:val="0"/>
  </w:style>
  <w:style w:type="character" w:customStyle="1" w:styleId="303">
    <w:name w:val="Char Char24"/>
    <w:qFormat/>
    <w:uiPriority w:val="0"/>
    <w:rPr>
      <w:rFonts w:ascii="Arial" w:hAnsi="Arial" w:eastAsia="黑体" w:cs="Times New Roman"/>
      <w:b/>
      <w:bCs/>
      <w:sz w:val="28"/>
      <w:szCs w:val="28"/>
    </w:rPr>
  </w:style>
  <w:style w:type="paragraph" w:customStyle="1" w:styleId="304">
    <w:name w:val="Char Char Char2"/>
    <w:basedOn w:val="17"/>
    <w:qFormat/>
    <w:uiPriority w:val="0"/>
    <w:rPr>
      <w:rFonts w:ascii="Calibri" w:hAnsi="Calibri"/>
      <w:szCs w:val="22"/>
    </w:rPr>
  </w:style>
  <w:style w:type="character" w:customStyle="1" w:styleId="305">
    <w:name w:val="Char Char9"/>
    <w:qFormat/>
    <w:uiPriority w:val="0"/>
    <w:rPr>
      <w:kern w:val="2"/>
      <w:sz w:val="21"/>
      <w:szCs w:val="22"/>
    </w:rPr>
  </w:style>
  <w:style w:type="character" w:customStyle="1" w:styleId="306">
    <w:name w:val="页脚 Char1"/>
    <w:qFormat/>
    <w:uiPriority w:val="99"/>
    <w:rPr>
      <w:kern w:val="2"/>
      <w:sz w:val="18"/>
      <w:szCs w:val="18"/>
    </w:rPr>
  </w:style>
  <w:style w:type="paragraph" w:customStyle="1" w:styleId="307">
    <w:name w:val="Char Char1 Char Char Char Char Char Char"/>
    <w:basedOn w:val="17"/>
    <w:qFormat/>
    <w:uiPriority w:val="0"/>
    <w:rPr>
      <w:rFonts w:ascii="Calibri" w:hAnsi="Calibri"/>
      <w:szCs w:val="22"/>
    </w:rPr>
  </w:style>
  <w:style w:type="character" w:customStyle="1" w:styleId="308">
    <w:name w:val="不明显参考11"/>
    <w:qFormat/>
    <w:uiPriority w:val="0"/>
    <w:rPr>
      <w:smallCaps/>
      <w:color w:val="C0504D"/>
      <w:u w:val="single"/>
    </w:rPr>
  </w:style>
  <w:style w:type="character" w:customStyle="1" w:styleId="309">
    <w:name w:val="Subtitle Char"/>
    <w:qFormat/>
    <w:locked/>
    <w:uiPriority w:val="0"/>
    <w:rPr>
      <w:rFonts w:ascii="Cambria" w:hAnsi="Cambria" w:eastAsia="方正楷体简体" w:cs="Cambria"/>
      <w:kern w:val="28"/>
      <w:sz w:val="32"/>
      <w:szCs w:val="32"/>
    </w:rPr>
  </w:style>
  <w:style w:type="paragraph" w:customStyle="1" w:styleId="310">
    <w:name w:val="xl92"/>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11">
    <w:name w:val="小节标题"/>
    <w:basedOn w:val="1"/>
    <w:next w:val="1"/>
    <w:qFormat/>
    <w:uiPriority w:val="0"/>
    <w:pPr>
      <w:widowControl/>
      <w:spacing w:before="175" w:after="102" w:line="351" w:lineRule="atLeast"/>
      <w:textAlignment w:val="baseline"/>
    </w:pPr>
    <w:rPr>
      <w:rFonts w:eastAsia="黑体"/>
      <w:color w:val="000000"/>
      <w:kern w:val="0"/>
      <w:szCs w:val="20"/>
      <w:u w:color="000000"/>
    </w:rPr>
  </w:style>
  <w:style w:type="character" w:customStyle="1" w:styleId="312">
    <w:name w:val="Char Char31"/>
    <w:qFormat/>
    <w:locked/>
    <w:uiPriority w:val="0"/>
    <w:rPr>
      <w:rFonts w:ascii="Arial" w:hAnsi="Arial" w:eastAsia="黑体"/>
      <w:b/>
      <w:bCs/>
      <w:kern w:val="2"/>
      <w:sz w:val="32"/>
      <w:szCs w:val="32"/>
      <w:lang w:val="en-US" w:eastAsia="zh-CN" w:bidi="ar-SA"/>
    </w:rPr>
  </w:style>
  <w:style w:type="character" w:customStyle="1" w:styleId="313">
    <w:name w:val="明显强调11"/>
    <w:qFormat/>
    <w:uiPriority w:val="0"/>
    <w:rPr>
      <w:b/>
      <w:bCs/>
      <w:i/>
      <w:iCs/>
      <w:color w:val="4F81BD"/>
    </w:rPr>
  </w:style>
  <w:style w:type="paragraph" w:customStyle="1" w:styleId="314">
    <w:name w:val="xl96"/>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kern w:val="0"/>
      <w:szCs w:val="21"/>
    </w:rPr>
  </w:style>
  <w:style w:type="character" w:customStyle="1" w:styleId="315">
    <w:name w:val="Char Char81"/>
    <w:qFormat/>
    <w:uiPriority w:val="0"/>
    <w:rPr>
      <w:rFonts w:ascii="Arial" w:hAnsi="Arial" w:eastAsia="黑体"/>
      <w:b/>
      <w:bCs/>
      <w:kern w:val="2"/>
      <w:sz w:val="32"/>
      <w:szCs w:val="32"/>
      <w:lang w:val="en-US" w:eastAsia="zh-CN" w:bidi="ar-SA"/>
    </w:rPr>
  </w:style>
  <w:style w:type="paragraph" w:customStyle="1" w:styleId="316">
    <w:name w:val="1"/>
    <w:basedOn w:val="1"/>
    <w:next w:val="1"/>
    <w:qFormat/>
    <w:uiPriority w:val="0"/>
  </w:style>
  <w:style w:type="character" w:customStyle="1" w:styleId="317">
    <w:name w:val="Char Char18"/>
    <w:qFormat/>
    <w:uiPriority w:val="0"/>
    <w:rPr>
      <w:b/>
      <w:bCs/>
      <w:kern w:val="44"/>
      <w:sz w:val="44"/>
      <w:szCs w:val="44"/>
    </w:rPr>
  </w:style>
  <w:style w:type="character" w:customStyle="1" w:styleId="318">
    <w:name w:val="明显引用 字符"/>
    <w:link w:val="212"/>
    <w:qFormat/>
    <w:uiPriority w:val="0"/>
    <w:rPr>
      <w:rFonts w:ascii="Calibri" w:hAnsi="Calibri"/>
      <w:b/>
      <w:i/>
      <w:color w:val="4F81BD"/>
      <w:kern w:val="2"/>
      <w:sz w:val="22"/>
      <w:szCs w:val="22"/>
    </w:rPr>
  </w:style>
  <w:style w:type="character" w:customStyle="1" w:styleId="319">
    <w:name w:val="正文文本 3 Char"/>
    <w:qFormat/>
    <w:locked/>
    <w:uiPriority w:val="0"/>
    <w:rPr>
      <w:rFonts w:ascii="宋体" w:eastAsia="宋体"/>
      <w:sz w:val="24"/>
    </w:rPr>
  </w:style>
  <w:style w:type="character" w:customStyle="1" w:styleId="320">
    <w:name w:val="Char Char Char"/>
    <w:qFormat/>
    <w:locked/>
    <w:uiPriority w:val="0"/>
    <w:rPr>
      <w:rFonts w:eastAsia="宋体"/>
      <w:b/>
      <w:bCs/>
      <w:kern w:val="44"/>
      <w:sz w:val="44"/>
      <w:szCs w:val="44"/>
      <w:lang w:val="en-US" w:eastAsia="zh-CN" w:bidi="ar-SA"/>
    </w:rPr>
  </w:style>
  <w:style w:type="character" w:customStyle="1" w:styleId="321">
    <w:name w:val="标题 9 Char"/>
    <w:qFormat/>
    <w:uiPriority w:val="99"/>
    <w:rPr>
      <w:rFonts w:ascii="Arial" w:hAnsi="Arial" w:eastAsia="黑体"/>
      <w:sz w:val="21"/>
      <w:szCs w:val="21"/>
      <w:lang w:val="en-US" w:eastAsia="zh-CN" w:bidi="ar-SA"/>
    </w:rPr>
  </w:style>
  <w:style w:type="character" w:customStyle="1" w:styleId="322">
    <w:name w:val="批注文字 字符"/>
    <w:link w:val="18"/>
    <w:qFormat/>
    <w:uiPriority w:val="0"/>
    <w:rPr>
      <w:kern w:val="2"/>
      <w:sz w:val="21"/>
      <w:szCs w:val="24"/>
    </w:rPr>
  </w:style>
  <w:style w:type="paragraph" w:customStyle="1" w:styleId="323">
    <w:name w:val="xl91"/>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character" w:customStyle="1" w:styleId="324">
    <w:name w:val="正文首行缩进 Char1"/>
    <w:qFormat/>
    <w:uiPriority w:val="0"/>
    <w:rPr>
      <w:kern w:val="2"/>
      <w:sz w:val="21"/>
      <w:szCs w:val="24"/>
    </w:rPr>
  </w:style>
  <w:style w:type="paragraph" w:customStyle="1" w:styleId="325">
    <w:name w:val="列出段落11"/>
    <w:basedOn w:val="1"/>
    <w:qFormat/>
    <w:uiPriority w:val="34"/>
    <w:pPr>
      <w:ind w:firstLine="420" w:firstLineChars="200"/>
    </w:pPr>
    <w:rPr>
      <w:sz w:val="30"/>
      <w:szCs w:val="22"/>
    </w:rPr>
  </w:style>
  <w:style w:type="character" w:customStyle="1" w:styleId="326">
    <w:name w:val="明显参考1"/>
    <w:qFormat/>
    <w:uiPriority w:val="0"/>
    <w:rPr>
      <w:b/>
      <w:bCs/>
      <w:smallCaps/>
      <w:color w:val="C0504D"/>
      <w:spacing w:val="5"/>
      <w:u w:val="single"/>
    </w:rPr>
  </w:style>
  <w:style w:type="paragraph" w:customStyle="1" w:styleId="327">
    <w:name w:val="xl101"/>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28">
    <w:name w:val="日期1"/>
    <w:basedOn w:val="1"/>
    <w:next w:val="1"/>
    <w:qFormat/>
    <w:uiPriority w:val="0"/>
    <w:pPr>
      <w:ind w:left="100" w:leftChars="2500"/>
    </w:pPr>
    <w:rPr>
      <w:rFonts w:ascii="宋体"/>
      <w:kern w:val="0"/>
      <w:sz w:val="28"/>
      <w:szCs w:val="20"/>
    </w:rPr>
  </w:style>
  <w:style w:type="character" w:customStyle="1" w:styleId="329">
    <w:name w:val="标题 Char1"/>
    <w:qFormat/>
    <w:uiPriority w:val="0"/>
    <w:rPr>
      <w:rFonts w:ascii="Cambria" w:hAnsi="Cambria" w:cs="Times New Roman"/>
      <w:b/>
      <w:bCs/>
      <w:kern w:val="2"/>
      <w:sz w:val="32"/>
      <w:szCs w:val="32"/>
    </w:rPr>
  </w:style>
  <w:style w:type="character" w:customStyle="1" w:styleId="330">
    <w:name w:val="副标题 Char1"/>
    <w:qFormat/>
    <w:uiPriority w:val="0"/>
    <w:rPr>
      <w:rFonts w:ascii="Cambria" w:hAnsi="Cambria" w:cs="Times New Roman"/>
      <w:b/>
      <w:bCs/>
      <w:kern w:val="28"/>
      <w:sz w:val="32"/>
      <w:szCs w:val="32"/>
    </w:rPr>
  </w:style>
  <w:style w:type="paragraph" w:customStyle="1" w:styleId="331">
    <w:name w:val="正文样式"/>
    <w:basedOn w:val="1"/>
    <w:qFormat/>
    <w:uiPriority w:val="0"/>
    <w:pPr>
      <w:snapToGrid w:val="0"/>
      <w:spacing w:beforeLines="50" w:afterLines="50" w:line="312" w:lineRule="auto"/>
      <w:ind w:firstLine="480" w:firstLineChars="200"/>
    </w:pPr>
    <w:rPr>
      <w:rFonts w:ascii="Arial" w:hAnsi="Arial"/>
      <w:kern w:val="24"/>
      <w:szCs w:val="28"/>
    </w:rPr>
  </w:style>
  <w:style w:type="character" w:customStyle="1" w:styleId="332">
    <w:name w:val="书籍标题1"/>
    <w:qFormat/>
    <w:uiPriority w:val="0"/>
    <w:rPr>
      <w:b/>
      <w:smallCaps/>
      <w:spacing w:val="5"/>
    </w:rPr>
  </w:style>
  <w:style w:type="paragraph" w:customStyle="1" w:styleId="333">
    <w:name w:val="修订2"/>
    <w:qFormat/>
    <w:uiPriority w:val="0"/>
    <w:rPr>
      <w:rFonts w:asciiTheme="minorHAnsi" w:hAnsiTheme="minorHAnsi" w:eastAsiaTheme="minorEastAsia" w:cstheme="minorBidi"/>
      <w:kern w:val="2"/>
      <w:sz w:val="21"/>
      <w:szCs w:val="24"/>
      <w:lang w:val="en-US" w:eastAsia="zh-CN" w:bidi="ar-SA"/>
    </w:rPr>
  </w:style>
  <w:style w:type="paragraph" w:customStyle="1" w:styleId="334">
    <w:name w:val="Revision"/>
    <w:qFormat/>
    <w:uiPriority w:val="99"/>
    <w:rPr>
      <w:rFonts w:asciiTheme="minorHAnsi" w:hAnsiTheme="minorHAnsi" w:eastAsiaTheme="minorEastAsia" w:cstheme="minorBidi"/>
      <w:kern w:val="2"/>
      <w:sz w:val="21"/>
      <w:szCs w:val="21"/>
      <w:lang w:val="en-US" w:eastAsia="zh-CN" w:bidi="ar-SA"/>
    </w:rPr>
  </w:style>
  <w:style w:type="character" w:customStyle="1" w:styleId="335">
    <w:name w:val="Char Char3"/>
    <w:qFormat/>
    <w:uiPriority w:val="0"/>
    <w:rPr>
      <w:rFonts w:ascii="Arial" w:hAnsi="Arial" w:eastAsia="黑体"/>
      <w:b/>
      <w:bCs/>
      <w:kern w:val="2"/>
      <w:sz w:val="32"/>
      <w:szCs w:val="32"/>
      <w:lang w:val="en-US" w:eastAsia="zh-CN" w:bidi="ar-SA"/>
    </w:rPr>
  </w:style>
  <w:style w:type="character" w:customStyle="1" w:styleId="336">
    <w:name w:val="明显参考2"/>
    <w:qFormat/>
    <w:uiPriority w:val="0"/>
    <w:rPr>
      <w:b/>
      <w:smallCaps/>
      <w:color w:val="C0504D"/>
      <w:spacing w:val="5"/>
      <w:u w:val="single"/>
    </w:rPr>
  </w:style>
  <w:style w:type="paragraph" w:customStyle="1" w:styleId="337">
    <w:name w:val="明显引用11"/>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338">
    <w:name w:val="标题 4 字符"/>
    <w:link w:val="7"/>
    <w:qFormat/>
    <w:uiPriority w:val="0"/>
    <w:rPr>
      <w:rFonts w:ascii="仿宋_GB2312" w:eastAsia="仿宋_GB2312" w:cs="仿宋_GB2312"/>
      <w:kern w:val="2"/>
      <w:sz w:val="28"/>
      <w:szCs w:val="28"/>
    </w:rPr>
  </w:style>
  <w:style w:type="character" w:customStyle="1" w:styleId="339">
    <w:name w:val="Char Char91"/>
    <w:qFormat/>
    <w:uiPriority w:val="0"/>
    <w:rPr>
      <w:kern w:val="2"/>
      <w:sz w:val="21"/>
      <w:szCs w:val="22"/>
    </w:rPr>
  </w:style>
  <w:style w:type="paragraph" w:customStyle="1" w:styleId="340">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41">
    <w:name w:val="font5"/>
    <w:basedOn w:val="1"/>
    <w:qFormat/>
    <w:uiPriority w:val="0"/>
    <w:pPr>
      <w:widowControl/>
      <w:spacing w:before="100" w:beforeAutospacing="1" w:after="100" w:afterAutospacing="1"/>
      <w:jc w:val="left"/>
    </w:pPr>
    <w:rPr>
      <w:rFonts w:ascii="宋体" w:hAnsi="宋体" w:cs="宋体"/>
      <w:kern w:val="0"/>
      <w:sz w:val="18"/>
      <w:szCs w:val="18"/>
    </w:rPr>
  </w:style>
  <w:style w:type="character" w:customStyle="1" w:styleId="342">
    <w:name w:val="批注框文本 Char Char Char"/>
    <w:qFormat/>
    <w:uiPriority w:val="0"/>
    <w:rPr>
      <w:rFonts w:ascii="宋体"/>
      <w:sz w:val="18"/>
      <w:szCs w:val="18"/>
    </w:rPr>
  </w:style>
  <w:style w:type="paragraph" w:customStyle="1" w:styleId="343">
    <w:name w:val="Char1"/>
    <w:basedOn w:val="17"/>
    <w:qFormat/>
    <w:uiPriority w:val="0"/>
    <w:rPr>
      <w:rFonts w:ascii="Calibri" w:hAnsi="Calibri"/>
      <w:szCs w:val="22"/>
    </w:rPr>
  </w:style>
  <w:style w:type="paragraph" w:customStyle="1" w:styleId="344">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345">
    <w:name w:val="TOC 标题1"/>
    <w:basedOn w:val="4"/>
    <w:next w:val="1"/>
    <w:qFormat/>
    <w:uiPriority w:val="0"/>
    <w:pPr>
      <w:widowControl/>
      <w:spacing w:before="480" w:after="0" w:line="276" w:lineRule="auto"/>
      <w:jc w:val="left"/>
      <w:outlineLvl w:val="9"/>
    </w:pPr>
    <w:rPr>
      <w:rFonts w:ascii="Cambria" w:hAnsi="Cambria" w:cs="Cambria"/>
      <w:color w:val="365F91"/>
      <w:kern w:val="0"/>
      <w:sz w:val="28"/>
      <w:szCs w:val="28"/>
    </w:rPr>
  </w:style>
  <w:style w:type="character" w:customStyle="1" w:styleId="346">
    <w:name w:val="正文要点内容 Char Char"/>
    <w:link w:val="81"/>
    <w:qFormat/>
    <w:locked/>
    <w:uiPriority w:val="0"/>
    <w:rPr>
      <w:kern w:val="2"/>
      <w:sz w:val="21"/>
      <w:szCs w:val="21"/>
    </w:rPr>
  </w:style>
  <w:style w:type="paragraph" w:customStyle="1" w:styleId="347">
    <w:name w:val="样式 纯文本 + 行距: 固定值 20 磅"/>
    <w:basedOn w:val="27"/>
    <w:qFormat/>
    <w:uiPriority w:val="0"/>
    <w:pPr>
      <w:spacing w:line="400" w:lineRule="exact"/>
    </w:pPr>
    <w:rPr>
      <w:rFonts w:cs="宋体"/>
      <w:kern w:val="2"/>
      <w:szCs w:val="22"/>
    </w:rPr>
  </w:style>
  <w:style w:type="character" w:customStyle="1" w:styleId="348">
    <w:name w:val="标题 1.1 Char1"/>
    <w:qFormat/>
    <w:uiPriority w:val="0"/>
    <w:rPr>
      <w:rFonts w:ascii="Arial" w:hAnsi="Arial" w:eastAsia="黑体"/>
      <w:b/>
      <w:bCs/>
      <w:kern w:val="2"/>
      <w:sz w:val="32"/>
      <w:szCs w:val="32"/>
      <w:lang w:val="en-US" w:eastAsia="zh-CN" w:bidi="ar-SA"/>
    </w:rPr>
  </w:style>
  <w:style w:type="character" w:customStyle="1" w:styleId="349">
    <w:name w:val="javascript"/>
    <w:qFormat/>
    <w:uiPriority w:val="0"/>
  </w:style>
  <w:style w:type="paragraph" w:customStyle="1" w:styleId="350">
    <w:name w:val="节标题"/>
    <w:basedOn w:val="1"/>
    <w:next w:val="1"/>
    <w:qFormat/>
    <w:uiPriority w:val="0"/>
    <w:pPr>
      <w:widowControl/>
      <w:spacing w:line="289" w:lineRule="atLeast"/>
      <w:jc w:val="center"/>
      <w:textAlignment w:val="baseline"/>
    </w:pPr>
    <w:rPr>
      <w:color w:val="000000"/>
      <w:kern w:val="0"/>
      <w:sz w:val="28"/>
      <w:szCs w:val="20"/>
      <w:u w:color="000000"/>
    </w:rPr>
  </w:style>
  <w:style w:type="paragraph" w:customStyle="1" w:styleId="351">
    <w:name w:val="reader-word-layer reader-word-s1-0"/>
    <w:basedOn w:val="1"/>
    <w:qFormat/>
    <w:uiPriority w:val="0"/>
    <w:pPr>
      <w:widowControl/>
      <w:spacing w:before="100" w:beforeAutospacing="1" w:after="100" w:afterAutospacing="1"/>
      <w:jc w:val="left"/>
    </w:pPr>
    <w:rPr>
      <w:rFonts w:ascii="宋体" w:hAnsi="宋体" w:cs="宋体"/>
      <w:kern w:val="0"/>
      <w:sz w:val="24"/>
    </w:rPr>
  </w:style>
  <w:style w:type="paragraph" w:customStyle="1" w:styleId="352">
    <w:name w:val="样式 首行缩进:  2 字符"/>
    <w:basedOn w:val="1"/>
    <w:qFormat/>
    <w:uiPriority w:val="0"/>
    <w:pPr>
      <w:ind w:firstLine="560"/>
    </w:pPr>
    <w:rPr>
      <w:rFonts w:eastAsia="仿宋_GB2312" w:cs="宋体"/>
      <w:sz w:val="24"/>
      <w:szCs w:val="22"/>
    </w:rPr>
  </w:style>
  <w:style w:type="paragraph" w:customStyle="1" w:styleId="353">
    <w:name w:val="font7"/>
    <w:basedOn w:val="1"/>
    <w:qFormat/>
    <w:uiPriority w:val="0"/>
    <w:pPr>
      <w:widowControl/>
      <w:spacing w:before="100" w:beforeAutospacing="1" w:after="100" w:afterAutospacing="1"/>
      <w:jc w:val="left"/>
    </w:pPr>
    <w:rPr>
      <w:rFonts w:ascii="宋体" w:hAnsi="宋体" w:cs="宋体"/>
      <w:kern w:val="0"/>
      <w:szCs w:val="21"/>
    </w:rPr>
  </w:style>
  <w:style w:type="paragraph" w:customStyle="1" w:styleId="354">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55">
    <w:name w:val="批注框文本 Char Char"/>
    <w:basedOn w:val="1"/>
    <w:link w:val="362"/>
    <w:qFormat/>
    <w:uiPriority w:val="0"/>
    <w:rPr>
      <w:rFonts w:ascii="宋体"/>
      <w:kern w:val="0"/>
      <w:sz w:val="18"/>
      <w:szCs w:val="18"/>
    </w:rPr>
  </w:style>
  <w:style w:type="paragraph" w:customStyle="1" w:styleId="356">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kern w:val="0"/>
      <w:sz w:val="20"/>
      <w:szCs w:val="20"/>
    </w:rPr>
  </w:style>
  <w:style w:type="character" w:customStyle="1" w:styleId="357">
    <w:name w:val="引用 Char2"/>
    <w:qFormat/>
    <w:uiPriority w:val="29"/>
    <w:rPr>
      <w:rFonts w:ascii="Times New Roman" w:hAnsi="Times New Roman" w:eastAsia="宋体" w:cs="Times New Roman"/>
      <w:i/>
      <w:iCs/>
      <w:color w:val="000000"/>
      <w:szCs w:val="24"/>
    </w:rPr>
  </w:style>
  <w:style w:type="paragraph" w:customStyle="1" w:styleId="358">
    <w:name w:val="Char Char1"/>
    <w:basedOn w:val="17"/>
    <w:qFormat/>
    <w:uiPriority w:val="0"/>
    <w:rPr>
      <w:rFonts w:ascii="Calibri" w:hAnsi="Calibri"/>
      <w:szCs w:val="22"/>
    </w:rPr>
  </w:style>
  <w:style w:type="paragraph" w:customStyle="1" w:styleId="359">
    <w:name w:val="Char Char1 Char"/>
    <w:basedOn w:val="17"/>
    <w:qFormat/>
    <w:uiPriority w:val="0"/>
    <w:rPr>
      <w:rFonts w:ascii="Calibri" w:hAnsi="Calibri"/>
    </w:rPr>
  </w:style>
  <w:style w:type="character" w:customStyle="1" w:styleId="360">
    <w:name w:val="Char Char27"/>
    <w:qFormat/>
    <w:uiPriority w:val="0"/>
    <w:rPr>
      <w:rFonts w:ascii="Times New Roman" w:hAnsi="Times New Roman" w:eastAsia="宋体" w:cs="Times New Roman"/>
      <w:b/>
      <w:bCs/>
      <w:kern w:val="44"/>
      <w:sz w:val="44"/>
      <w:szCs w:val="44"/>
    </w:rPr>
  </w:style>
  <w:style w:type="paragraph" w:customStyle="1" w:styleId="361">
    <w:name w:val="明显引用1"/>
    <w:basedOn w:val="1"/>
    <w:next w:val="1"/>
    <w:link w:val="433"/>
    <w:qFormat/>
    <w:uiPriority w:val="0"/>
    <w:pPr>
      <w:pBdr>
        <w:bottom w:val="single" w:color="4F81BD" w:sz="4" w:space="4"/>
      </w:pBdr>
      <w:spacing w:before="200" w:after="280"/>
      <w:ind w:left="936" w:right="936"/>
    </w:pPr>
    <w:rPr>
      <w:b/>
      <w:i/>
      <w:color w:val="4F81BD"/>
      <w:kern w:val="0"/>
      <w:sz w:val="22"/>
      <w:szCs w:val="20"/>
    </w:rPr>
  </w:style>
  <w:style w:type="character" w:customStyle="1" w:styleId="362">
    <w:name w:val="批注框文本 Char Char Char Char Char"/>
    <w:link w:val="355"/>
    <w:qFormat/>
    <w:uiPriority w:val="0"/>
    <w:rPr>
      <w:rFonts w:ascii="宋体"/>
      <w:sz w:val="18"/>
      <w:szCs w:val="18"/>
    </w:rPr>
  </w:style>
  <w:style w:type="paragraph" w:customStyle="1" w:styleId="363">
    <w:name w:val="xl99"/>
    <w:basedOn w:val="1"/>
    <w:qFormat/>
    <w:uiPriority w:val="0"/>
    <w:pPr>
      <w:widowControl/>
      <w:pBdr>
        <w:top w:val="single" w:color="auto" w:sz="4" w:space="0"/>
        <w:left w:val="single" w:color="auto" w:sz="4"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364">
    <w:name w:val="Body Text Char"/>
    <w:qFormat/>
    <w:locked/>
    <w:uiPriority w:val="0"/>
    <w:rPr>
      <w:rFonts w:ascii="Times New Roman" w:hAnsi="Times New Roman" w:cs="Times New Roman"/>
      <w:sz w:val="24"/>
      <w:szCs w:val="24"/>
    </w:rPr>
  </w:style>
  <w:style w:type="character" w:customStyle="1" w:styleId="365">
    <w:name w:val="文档结构图 字符"/>
    <w:link w:val="17"/>
    <w:qFormat/>
    <w:uiPriority w:val="99"/>
    <w:rPr>
      <w:kern w:val="2"/>
      <w:sz w:val="21"/>
      <w:szCs w:val="24"/>
      <w:shd w:val="clear" w:color="auto" w:fill="000080"/>
    </w:rPr>
  </w:style>
  <w:style w:type="character" w:customStyle="1" w:styleId="366">
    <w:name w:val="Char Char171"/>
    <w:qFormat/>
    <w:uiPriority w:val="0"/>
    <w:rPr>
      <w:rFonts w:ascii="Cambria" w:hAnsi="Cambria" w:eastAsia="宋体" w:cs="Times New Roman"/>
      <w:b/>
      <w:bCs/>
      <w:kern w:val="2"/>
      <w:sz w:val="32"/>
      <w:szCs w:val="32"/>
    </w:rPr>
  </w:style>
  <w:style w:type="character" w:customStyle="1" w:styleId="367">
    <w:name w:val="脚注文本 字符"/>
    <w:link w:val="37"/>
    <w:qFormat/>
    <w:uiPriority w:val="0"/>
    <w:rPr>
      <w:rFonts w:ascii="Calibri" w:hAnsi="Calibri"/>
      <w:kern w:val="2"/>
      <w:sz w:val="21"/>
      <w:szCs w:val="22"/>
    </w:rPr>
  </w:style>
  <w:style w:type="character" w:customStyle="1" w:styleId="368">
    <w:name w:val="Intense Reference"/>
    <w:qFormat/>
    <w:uiPriority w:val="99"/>
    <w:rPr>
      <w:b/>
      <w:bCs/>
      <w:smallCaps/>
      <w:color w:val="C0504D"/>
      <w:spacing w:val="5"/>
      <w:u w:val="single"/>
    </w:rPr>
  </w:style>
  <w:style w:type="character" w:customStyle="1" w:styleId="369">
    <w:name w:val="正文首行缩进 Char"/>
    <w:qFormat/>
    <w:uiPriority w:val="0"/>
    <w:rPr>
      <w:rFonts w:eastAsia="宋体"/>
      <w:szCs w:val="24"/>
    </w:rPr>
  </w:style>
  <w:style w:type="character" w:customStyle="1" w:styleId="370">
    <w:name w:val="Char Char301"/>
    <w:qFormat/>
    <w:uiPriority w:val="0"/>
    <w:rPr>
      <w:rFonts w:ascii="Arial" w:hAnsi="Arial" w:eastAsia="黑体"/>
      <w:b/>
      <w:bCs/>
      <w:kern w:val="2"/>
      <w:sz w:val="32"/>
      <w:szCs w:val="32"/>
      <w:lang w:val="en-US" w:eastAsia="zh-CN" w:bidi="ar-SA"/>
    </w:rPr>
  </w:style>
  <w:style w:type="paragraph" w:customStyle="1" w:styleId="371">
    <w:name w:val="文本块1"/>
    <w:basedOn w:val="1"/>
    <w:next w:val="1"/>
    <w:qFormat/>
    <w:uiPriority w:val="0"/>
    <w:rPr>
      <w:i/>
      <w:iCs/>
      <w:color w:val="000000"/>
      <w:szCs w:val="22"/>
    </w:rPr>
  </w:style>
  <w:style w:type="paragraph" w:customStyle="1" w:styleId="372">
    <w:name w:val="样式3"/>
    <w:basedOn w:val="6"/>
    <w:qFormat/>
    <w:uiPriority w:val="0"/>
    <w:pPr>
      <w:spacing w:line="415" w:lineRule="auto"/>
    </w:pPr>
    <w:rPr>
      <w:rFonts w:eastAsia="Arial"/>
    </w:rPr>
  </w:style>
  <w:style w:type="character" w:customStyle="1" w:styleId="373">
    <w:name w:val="Char Char72"/>
    <w:qFormat/>
    <w:uiPriority w:val="0"/>
    <w:rPr>
      <w:rFonts w:ascii="Arial" w:hAnsi="Arial" w:eastAsia="黑体"/>
      <w:b/>
      <w:bCs/>
      <w:kern w:val="2"/>
      <w:sz w:val="32"/>
      <w:szCs w:val="32"/>
      <w:lang w:val="en-US" w:eastAsia="zh-CN" w:bidi="ar-SA"/>
    </w:rPr>
  </w:style>
  <w:style w:type="paragraph" w:customStyle="1" w:styleId="374">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kern w:val="0"/>
      <w:szCs w:val="21"/>
    </w:rPr>
  </w:style>
  <w:style w:type="character" w:customStyle="1" w:styleId="375">
    <w:name w:val="标题5 Char Char"/>
    <w:link w:val="277"/>
    <w:qFormat/>
    <w:locked/>
    <w:uiPriority w:val="99"/>
    <w:rPr>
      <w:rFonts w:ascii="Arial" w:hAnsi="Arial"/>
      <w:b/>
      <w:sz w:val="32"/>
    </w:rPr>
  </w:style>
  <w:style w:type="paragraph" w:customStyle="1" w:styleId="376">
    <w:name w:val="TOC 标题12"/>
    <w:basedOn w:val="4"/>
    <w:next w:val="1"/>
    <w:qFormat/>
    <w:uiPriority w:val="0"/>
    <w:pPr>
      <w:spacing w:before="100" w:after="100" w:line="576" w:lineRule="auto"/>
      <w:jc w:val="center"/>
      <w:outlineLvl w:val="9"/>
    </w:pPr>
    <w:rPr>
      <w:sz w:val="36"/>
    </w:rPr>
  </w:style>
  <w:style w:type="character" w:customStyle="1" w:styleId="377">
    <w:name w:val="日期 Char1"/>
    <w:qFormat/>
    <w:uiPriority w:val="0"/>
    <w:rPr>
      <w:kern w:val="2"/>
      <w:sz w:val="21"/>
      <w:szCs w:val="22"/>
    </w:rPr>
  </w:style>
  <w:style w:type="character" w:customStyle="1" w:styleId="378">
    <w:name w:val="不明显强调11"/>
    <w:qFormat/>
    <w:uiPriority w:val="0"/>
    <w:rPr>
      <w:i/>
      <w:color w:val="808080"/>
    </w:rPr>
  </w:style>
  <w:style w:type="paragraph" w:customStyle="1" w:styleId="379">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380">
    <w:name w:val="reader-word-layer reader-word-s16-12"/>
    <w:basedOn w:val="1"/>
    <w:qFormat/>
    <w:uiPriority w:val="0"/>
    <w:pPr>
      <w:widowControl/>
      <w:spacing w:before="100" w:beforeAutospacing="1" w:after="100" w:afterAutospacing="1"/>
      <w:jc w:val="left"/>
    </w:pPr>
    <w:rPr>
      <w:rFonts w:ascii="宋体" w:hAnsi="宋体" w:cs="宋体"/>
      <w:kern w:val="0"/>
      <w:sz w:val="24"/>
    </w:rPr>
  </w:style>
  <w:style w:type="paragraph" w:customStyle="1" w:styleId="381">
    <w:name w:val="l-1级节标题"/>
    <w:next w:val="1"/>
    <w:qFormat/>
    <w:uiPriority w:val="0"/>
    <w:pPr>
      <w:keepNext/>
      <w:keepLines/>
      <w:numPr>
        <w:ilvl w:val="1"/>
        <w:numId w:val="1"/>
      </w:numPr>
      <w:spacing w:before="120" w:after="120" w:line="360" w:lineRule="auto"/>
      <w:outlineLvl w:val="1"/>
    </w:pPr>
    <w:rPr>
      <w:rFonts w:ascii="宋体" w:hAnsi="宋体" w:eastAsiaTheme="minorEastAsia" w:cstheme="minorBidi"/>
      <w:b/>
      <w:kern w:val="2"/>
      <w:sz w:val="30"/>
      <w:szCs w:val="28"/>
      <w:lang w:val="en-US" w:eastAsia="en-US" w:bidi="en-US"/>
    </w:rPr>
  </w:style>
  <w:style w:type="paragraph" w:customStyle="1" w:styleId="382">
    <w:name w:val="空半行"/>
    <w:basedOn w:val="1"/>
    <w:qFormat/>
    <w:uiPriority w:val="0"/>
    <w:pPr>
      <w:adjustRightInd w:val="0"/>
      <w:spacing w:line="120" w:lineRule="exact"/>
      <w:textAlignment w:val="baseline"/>
    </w:pPr>
    <w:rPr>
      <w:rFonts w:eastAsia="仿宋_GB2312"/>
      <w:color w:val="FFFFFF"/>
      <w:kern w:val="0"/>
      <w:sz w:val="30"/>
      <w:szCs w:val="20"/>
    </w:rPr>
  </w:style>
  <w:style w:type="paragraph" w:customStyle="1" w:styleId="383">
    <w:name w:val="xl34"/>
    <w:basedOn w:val="1"/>
    <w:qFormat/>
    <w:uiPriority w:val="0"/>
    <w:pPr>
      <w:widowControl/>
      <w:pBdr>
        <w:top w:val="single" w:color="auto" w:sz="4" w:space="0"/>
        <w:bottom w:val="single" w:color="auto" w:sz="4" w:space="0"/>
      </w:pBdr>
      <w:spacing w:before="100" w:beforeAutospacing="1" w:after="100" w:afterAutospacing="1"/>
      <w:jc w:val="left"/>
    </w:pPr>
    <w:rPr>
      <w:b/>
      <w:bCs/>
      <w:kern w:val="0"/>
      <w:sz w:val="20"/>
      <w:szCs w:val="20"/>
    </w:rPr>
  </w:style>
  <w:style w:type="paragraph" w:customStyle="1" w:styleId="384">
    <w:name w:val="Char31"/>
    <w:basedOn w:val="1"/>
    <w:qFormat/>
    <w:uiPriority w:val="0"/>
    <w:pPr>
      <w:tabs>
        <w:tab w:val="left" w:pos="360"/>
      </w:tabs>
    </w:pPr>
    <w:rPr>
      <w:sz w:val="24"/>
    </w:rPr>
  </w:style>
  <w:style w:type="character" w:customStyle="1" w:styleId="385">
    <w:name w:val="页眉 Char1"/>
    <w:qFormat/>
    <w:uiPriority w:val="0"/>
    <w:rPr>
      <w:kern w:val="2"/>
      <w:sz w:val="18"/>
      <w:szCs w:val="18"/>
    </w:rPr>
  </w:style>
  <w:style w:type="paragraph" w:customStyle="1" w:styleId="386">
    <w:name w:val="批注主题2"/>
    <w:basedOn w:val="18"/>
    <w:next w:val="18"/>
    <w:qFormat/>
    <w:uiPriority w:val="0"/>
    <w:rPr>
      <w:rFonts w:ascii="宋体" w:hAnsi="Calibri"/>
      <w:b/>
      <w:bCs/>
      <w:kern w:val="0"/>
      <w:sz w:val="28"/>
      <w:szCs w:val="20"/>
    </w:rPr>
  </w:style>
  <w:style w:type="paragraph" w:customStyle="1" w:styleId="387">
    <w:name w:val="xl84"/>
    <w:basedOn w:val="1"/>
    <w:qFormat/>
    <w:uiPriority w:val="0"/>
    <w:pPr>
      <w:widowControl/>
      <w:pBdr>
        <w:top w:val="single" w:color="auto" w:sz="4" w:space="0"/>
        <w:left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388">
    <w:name w:val="TOC Heading"/>
    <w:basedOn w:val="4"/>
    <w:next w:val="1"/>
    <w:qFormat/>
    <w:uiPriority w:val="39"/>
    <w:pPr>
      <w:widowControl/>
      <w:spacing w:before="480" w:after="0" w:line="276" w:lineRule="auto"/>
      <w:jc w:val="left"/>
      <w:outlineLvl w:val="9"/>
    </w:pPr>
    <w:rPr>
      <w:rFonts w:ascii="Cambria" w:hAnsi="Cambria" w:cs="Cambria"/>
      <w:color w:val="365F91"/>
      <w:kern w:val="0"/>
      <w:sz w:val="28"/>
      <w:szCs w:val="28"/>
    </w:rPr>
  </w:style>
  <w:style w:type="character" w:customStyle="1" w:styleId="389">
    <w:name w:val="标题 5 字符"/>
    <w:link w:val="8"/>
    <w:qFormat/>
    <w:uiPriority w:val="0"/>
    <w:rPr>
      <w:b/>
      <w:bCs/>
      <w:kern w:val="2"/>
      <w:sz w:val="28"/>
      <w:szCs w:val="28"/>
    </w:rPr>
  </w:style>
  <w:style w:type="character" w:customStyle="1" w:styleId="390">
    <w:name w:val="Char Char8"/>
    <w:qFormat/>
    <w:uiPriority w:val="0"/>
    <w:rPr>
      <w:rFonts w:ascii="Arial" w:hAnsi="Arial" w:eastAsia="黑体"/>
      <w:b/>
      <w:bCs/>
      <w:kern w:val="2"/>
      <w:sz w:val="32"/>
      <w:szCs w:val="32"/>
      <w:lang w:val="en-US" w:eastAsia="zh-CN" w:bidi="ar-SA"/>
    </w:rPr>
  </w:style>
  <w:style w:type="paragraph" w:customStyle="1" w:styleId="391">
    <w:name w:val="Char Char28"/>
    <w:basedOn w:val="17"/>
    <w:qFormat/>
    <w:uiPriority w:val="0"/>
    <w:rPr>
      <w:rFonts w:ascii="Calibri" w:hAnsi="Calibri"/>
    </w:rPr>
  </w:style>
  <w:style w:type="character" w:customStyle="1" w:styleId="392">
    <w:name w:val="不明显参考1"/>
    <w:qFormat/>
    <w:uiPriority w:val="0"/>
    <w:rPr>
      <w:smallCaps/>
      <w:color w:val="C0504D"/>
      <w:u w:val="single"/>
    </w:rPr>
  </w:style>
  <w:style w:type="paragraph" w:customStyle="1" w:styleId="393">
    <w:name w:val="reader-word-layer"/>
    <w:basedOn w:val="1"/>
    <w:qFormat/>
    <w:uiPriority w:val="0"/>
    <w:pPr>
      <w:widowControl/>
      <w:spacing w:before="100" w:beforeAutospacing="1" w:after="100" w:afterAutospacing="1"/>
      <w:jc w:val="left"/>
    </w:pPr>
    <w:rPr>
      <w:rFonts w:ascii="宋体" w:hAnsi="宋体" w:cs="宋体"/>
      <w:kern w:val="0"/>
      <w:sz w:val="24"/>
    </w:rPr>
  </w:style>
  <w:style w:type="character" w:customStyle="1" w:styleId="394">
    <w:name w:val="标题 8 字符"/>
    <w:link w:val="11"/>
    <w:qFormat/>
    <w:uiPriority w:val="0"/>
    <w:rPr>
      <w:rFonts w:ascii="Arial" w:hAnsi="Arial" w:eastAsia="黑体"/>
      <w:sz w:val="24"/>
      <w:szCs w:val="24"/>
    </w:rPr>
  </w:style>
  <w:style w:type="paragraph" w:customStyle="1" w:styleId="395">
    <w:name w:val="Bullet"/>
    <w:basedOn w:val="1"/>
    <w:qFormat/>
    <w:uiPriority w:val="0"/>
    <w:pPr>
      <w:widowControl/>
      <w:adjustRightInd w:val="0"/>
      <w:spacing w:before="60" w:after="60" w:line="500" w:lineRule="exact"/>
      <w:ind w:firstLine="551" w:firstLineChars="196"/>
    </w:pPr>
    <w:rPr>
      <w:rFonts w:ascii="宋体" w:hAnsi="宋体" w:cs="宋体"/>
      <w:b/>
      <w:bCs/>
      <w:color w:val="333333"/>
      <w:kern w:val="0"/>
      <w:sz w:val="28"/>
      <w:szCs w:val="28"/>
    </w:rPr>
  </w:style>
  <w:style w:type="character" w:customStyle="1" w:styleId="396">
    <w:name w:val="标题 3 Char"/>
    <w:qFormat/>
    <w:uiPriority w:val="0"/>
    <w:rPr>
      <w:rFonts w:eastAsia="宋体"/>
      <w:b/>
      <w:bCs/>
      <w:kern w:val="2"/>
      <w:sz w:val="32"/>
      <w:szCs w:val="32"/>
      <w:lang w:val="en-US" w:eastAsia="zh-CN" w:bidi="ar-SA"/>
    </w:rPr>
  </w:style>
  <w:style w:type="paragraph" w:customStyle="1" w:styleId="397">
    <w:name w:val="Char12"/>
    <w:basedOn w:val="17"/>
    <w:qFormat/>
    <w:uiPriority w:val="0"/>
    <w:rPr>
      <w:rFonts w:ascii="Calibri" w:hAnsi="Calibri"/>
      <w:szCs w:val="22"/>
    </w:rPr>
  </w:style>
  <w:style w:type="paragraph" w:customStyle="1" w:styleId="398">
    <w:name w:val="Char13"/>
    <w:basedOn w:val="17"/>
    <w:qFormat/>
    <w:uiPriority w:val="0"/>
    <w:rPr>
      <w:rFonts w:ascii="Calibri" w:hAnsi="Calibri"/>
      <w:szCs w:val="22"/>
    </w:rPr>
  </w:style>
  <w:style w:type="character" w:customStyle="1" w:styleId="399">
    <w:name w:val="Char Char172"/>
    <w:qFormat/>
    <w:uiPriority w:val="0"/>
    <w:rPr>
      <w:rFonts w:ascii="Cambria" w:hAnsi="Cambria" w:eastAsia="宋体" w:cs="Times New Roman"/>
      <w:b/>
      <w:bCs/>
      <w:kern w:val="2"/>
      <w:sz w:val="32"/>
      <w:szCs w:val="32"/>
    </w:rPr>
  </w:style>
  <w:style w:type="character" w:customStyle="1" w:styleId="400">
    <w:name w:val="正文缩进 Char"/>
    <w:qFormat/>
    <w:uiPriority w:val="0"/>
    <w:rPr>
      <w:kern w:val="2"/>
      <w:sz w:val="21"/>
      <w:szCs w:val="21"/>
    </w:rPr>
  </w:style>
  <w:style w:type="paragraph" w:customStyle="1" w:styleId="401">
    <w:name w:val="样式 标题 3h3Level 3 HeadH3Heading 3 - oldlevel_3PIM 3BOD 0s..."/>
    <w:basedOn w:val="6"/>
    <w:qFormat/>
    <w:uiPriority w:val="0"/>
    <w:pPr>
      <w:tabs>
        <w:tab w:val="left" w:pos="0"/>
      </w:tabs>
      <w:adjustRightInd w:val="0"/>
      <w:spacing w:before="0" w:after="0" w:line="500" w:lineRule="exact"/>
      <w:textAlignment w:val="baseline"/>
    </w:pPr>
    <w:rPr>
      <w:kern w:val="0"/>
      <w:sz w:val="28"/>
      <w:szCs w:val="28"/>
    </w:rPr>
  </w:style>
  <w:style w:type="paragraph" w:customStyle="1" w:styleId="402">
    <w:name w:val="xl30"/>
    <w:basedOn w:val="1"/>
    <w:qFormat/>
    <w:uiPriority w:val="0"/>
    <w:pPr>
      <w:widowControl/>
      <w:spacing w:before="100" w:beforeAutospacing="1" w:after="100" w:afterAutospacing="1"/>
      <w:jc w:val="left"/>
    </w:pPr>
    <w:rPr>
      <w:rFonts w:ascii="黑体" w:hAnsi="宋体" w:eastAsia="黑体" w:cs="宋体"/>
      <w:b/>
      <w:bCs/>
      <w:kern w:val="0"/>
      <w:sz w:val="18"/>
      <w:szCs w:val="18"/>
    </w:rPr>
  </w:style>
  <w:style w:type="character" w:customStyle="1" w:styleId="403">
    <w:name w:val="Body Text Indent Char"/>
    <w:qFormat/>
    <w:locked/>
    <w:uiPriority w:val="0"/>
    <w:rPr>
      <w:rFonts w:ascii="仿宋_GB2312" w:hAnsi="Times New Roman" w:eastAsia="仿宋_GB2312" w:cs="仿宋_GB2312"/>
      <w:sz w:val="32"/>
      <w:szCs w:val="32"/>
    </w:rPr>
  </w:style>
  <w:style w:type="character" w:customStyle="1" w:styleId="404">
    <w:name w:val="正文文本 Char1"/>
    <w:qFormat/>
    <w:uiPriority w:val="0"/>
    <w:rPr>
      <w:kern w:val="2"/>
      <w:sz w:val="22"/>
    </w:rPr>
  </w:style>
  <w:style w:type="character" w:customStyle="1" w:styleId="405">
    <w:name w:val="脚注文本 Char1"/>
    <w:semiHidden/>
    <w:qFormat/>
    <w:uiPriority w:val="99"/>
    <w:rPr>
      <w:rFonts w:ascii="Times New Roman" w:hAnsi="Times New Roman" w:eastAsia="宋体" w:cs="Times New Roman"/>
      <w:sz w:val="18"/>
      <w:szCs w:val="18"/>
    </w:rPr>
  </w:style>
  <w:style w:type="character" w:customStyle="1" w:styleId="406">
    <w:name w:val="Char Char92"/>
    <w:qFormat/>
    <w:uiPriority w:val="0"/>
    <w:rPr>
      <w:kern w:val="2"/>
      <w:sz w:val="21"/>
      <w:szCs w:val="22"/>
    </w:rPr>
  </w:style>
  <w:style w:type="paragraph" w:customStyle="1" w:styleId="407">
    <w:name w:val="章标题"/>
    <w:basedOn w:val="1"/>
    <w:next w:val="1"/>
    <w:qFormat/>
    <w:uiPriority w:val="0"/>
    <w:pPr>
      <w:widowControl/>
      <w:spacing w:before="158" w:after="153" w:line="323" w:lineRule="atLeast"/>
      <w:jc w:val="center"/>
      <w:textAlignment w:val="baseline"/>
    </w:pPr>
    <w:rPr>
      <w:rFonts w:ascii="Arial" w:eastAsia="黑体"/>
      <w:color w:val="000000"/>
      <w:kern w:val="0"/>
      <w:sz w:val="31"/>
      <w:szCs w:val="20"/>
      <w:u w:color="000000"/>
    </w:rPr>
  </w:style>
  <w:style w:type="paragraph" w:customStyle="1" w:styleId="408">
    <w:name w:val="xl70"/>
    <w:basedOn w:val="1"/>
    <w:qFormat/>
    <w:uiPriority w:val="0"/>
    <w:pPr>
      <w:widowControl/>
      <w:pBdr>
        <w:left w:val="single" w:color="auto" w:sz="8" w:space="0"/>
        <w:bottom w:val="single" w:color="auto" w:sz="8" w:space="0"/>
      </w:pBdr>
      <w:spacing w:before="100" w:beforeAutospacing="1" w:after="100" w:afterAutospacing="1"/>
      <w:jc w:val="left"/>
      <w:textAlignment w:val="center"/>
    </w:pPr>
    <w:rPr>
      <w:rFonts w:ascii="宋体" w:hAnsi="宋体" w:cs="宋体"/>
      <w:kern w:val="0"/>
      <w:szCs w:val="21"/>
    </w:rPr>
  </w:style>
  <w:style w:type="paragraph" w:customStyle="1" w:styleId="409">
    <w:name w:val="默认段落字体 Para Char Char Char Char Char Char Char Char Char Char"/>
    <w:basedOn w:val="1"/>
    <w:qFormat/>
    <w:uiPriority w:val="0"/>
    <w:rPr>
      <w:rFonts w:ascii="Tahoma" w:hAnsi="Tahoma" w:cs="Tahoma"/>
      <w:sz w:val="24"/>
    </w:rPr>
  </w:style>
  <w:style w:type="paragraph" w:customStyle="1" w:styleId="410">
    <w:name w:val="_Style 6"/>
    <w:basedOn w:val="4"/>
    <w:next w:val="1"/>
    <w:qFormat/>
    <w:uiPriority w:val="0"/>
    <w:pPr>
      <w:spacing w:before="100" w:after="100" w:line="576" w:lineRule="auto"/>
      <w:jc w:val="center"/>
      <w:outlineLvl w:val="9"/>
    </w:pPr>
    <w:rPr>
      <w:sz w:val="36"/>
    </w:rPr>
  </w:style>
  <w:style w:type="paragraph" w:customStyle="1" w:styleId="411">
    <w:name w:val="font11"/>
    <w:basedOn w:val="1"/>
    <w:qFormat/>
    <w:uiPriority w:val="0"/>
    <w:pPr>
      <w:widowControl/>
      <w:spacing w:before="100" w:beforeAutospacing="1" w:after="100" w:afterAutospacing="1"/>
      <w:jc w:val="left"/>
    </w:pPr>
    <w:rPr>
      <w:b/>
      <w:bCs/>
      <w:kern w:val="0"/>
      <w:sz w:val="20"/>
      <w:szCs w:val="20"/>
    </w:rPr>
  </w:style>
  <w:style w:type="character" w:customStyle="1" w:styleId="412">
    <w:name w:val="不明显强调2"/>
    <w:qFormat/>
    <w:uiPriority w:val="0"/>
    <w:rPr>
      <w:i/>
      <w:iCs/>
      <w:color w:val="808080"/>
    </w:rPr>
  </w:style>
  <w:style w:type="character" w:customStyle="1" w:styleId="413">
    <w:name w:val="正文文本缩进 2 Char"/>
    <w:qFormat/>
    <w:locked/>
    <w:uiPriority w:val="99"/>
    <w:rPr>
      <w:rFonts w:eastAsia="宋体"/>
      <w:sz w:val="28"/>
      <w:szCs w:val="24"/>
    </w:rPr>
  </w:style>
  <w:style w:type="character" w:customStyle="1" w:styleId="414">
    <w:name w:val="HTML 预设格式 字符"/>
    <w:link w:val="46"/>
    <w:qFormat/>
    <w:uiPriority w:val="99"/>
    <w:rPr>
      <w:rFonts w:ascii="Courier New" w:hAnsi="Courier New" w:cs="Courier New"/>
      <w:lang w:eastAsia="en-US"/>
    </w:rPr>
  </w:style>
  <w:style w:type="character" w:customStyle="1" w:styleId="415">
    <w:name w:val="t-link"/>
    <w:qFormat/>
    <w:uiPriority w:val="0"/>
  </w:style>
  <w:style w:type="paragraph" w:customStyle="1" w:styleId="416">
    <w:name w:val="xl27"/>
    <w:basedOn w:val="1"/>
    <w:qFormat/>
    <w:uiPriority w:val="0"/>
    <w:pPr>
      <w:widowControl/>
      <w:spacing w:before="100" w:beforeAutospacing="1" w:after="100" w:afterAutospacing="1"/>
      <w:jc w:val="center"/>
      <w:textAlignment w:val="center"/>
    </w:pPr>
    <w:rPr>
      <w:rFonts w:ascii="华文细黑" w:hAnsi="华文细黑" w:eastAsia="华文细黑" w:cs="华文细黑"/>
      <w:b/>
      <w:bCs/>
      <w:kern w:val="0"/>
      <w:sz w:val="22"/>
      <w:szCs w:val="22"/>
    </w:rPr>
  </w:style>
  <w:style w:type="character" w:customStyle="1" w:styleId="417">
    <w:name w:val="书籍标题11"/>
    <w:qFormat/>
    <w:uiPriority w:val="0"/>
    <w:rPr>
      <w:b/>
      <w:smallCaps/>
      <w:spacing w:val="5"/>
    </w:rPr>
  </w:style>
  <w:style w:type="paragraph" w:customStyle="1" w:styleId="418">
    <w:name w:val="Char3"/>
    <w:basedOn w:val="1"/>
    <w:qFormat/>
    <w:uiPriority w:val="0"/>
    <w:pPr>
      <w:tabs>
        <w:tab w:val="left" w:pos="360"/>
      </w:tabs>
    </w:pPr>
    <w:rPr>
      <w:sz w:val="24"/>
    </w:rPr>
  </w:style>
  <w:style w:type="paragraph" w:customStyle="1" w:styleId="419">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cs="宋体"/>
      <w:kern w:val="0"/>
      <w:szCs w:val="21"/>
    </w:rPr>
  </w:style>
  <w:style w:type="paragraph" w:customStyle="1" w:styleId="420">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421">
    <w:name w:val="日期11"/>
    <w:basedOn w:val="1"/>
    <w:next w:val="1"/>
    <w:qFormat/>
    <w:uiPriority w:val="0"/>
    <w:pPr>
      <w:ind w:left="100" w:leftChars="2500"/>
    </w:pPr>
    <w:rPr>
      <w:rFonts w:ascii="宋体"/>
      <w:kern w:val="0"/>
      <w:sz w:val="28"/>
      <w:szCs w:val="20"/>
    </w:rPr>
  </w:style>
  <w:style w:type="character" w:customStyle="1" w:styleId="422">
    <w:name w:val="Char Char Char3"/>
    <w:qFormat/>
    <w:uiPriority w:val="0"/>
    <w:rPr>
      <w:rFonts w:eastAsia="宋体"/>
      <w:b/>
      <w:bCs/>
      <w:kern w:val="44"/>
      <w:sz w:val="44"/>
      <w:szCs w:val="44"/>
      <w:lang w:val="en-US" w:eastAsia="zh-CN" w:bidi="ar-SA"/>
    </w:rPr>
  </w:style>
  <w:style w:type="paragraph" w:customStyle="1" w:styleId="42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8"/>
      <w:szCs w:val="18"/>
    </w:rPr>
  </w:style>
  <w:style w:type="paragraph" w:customStyle="1" w:styleId="424">
    <w:name w:val="明显引用12"/>
    <w:basedOn w:val="1"/>
    <w:next w:val="1"/>
    <w:qFormat/>
    <w:uiPriority w:val="0"/>
    <w:pPr>
      <w:pBdr>
        <w:bottom w:val="single" w:color="4F81BD" w:sz="4" w:space="4"/>
      </w:pBdr>
      <w:spacing w:before="200" w:after="280"/>
      <w:ind w:left="936" w:right="936"/>
    </w:pPr>
    <w:rPr>
      <w:b/>
      <w:bCs/>
      <w:i/>
      <w:iCs/>
      <w:color w:val="4F81BD"/>
      <w:szCs w:val="22"/>
    </w:rPr>
  </w:style>
  <w:style w:type="character" w:customStyle="1" w:styleId="425">
    <w:name w:val="正文文本首行缩进 字符1"/>
    <w:qFormat/>
    <w:uiPriority w:val="0"/>
    <w:rPr>
      <w:kern w:val="2"/>
      <w:sz w:val="21"/>
      <w:szCs w:val="24"/>
    </w:rPr>
  </w:style>
  <w:style w:type="character" w:customStyle="1" w:styleId="426">
    <w:name w:val="不明显强调21"/>
    <w:qFormat/>
    <w:uiPriority w:val="0"/>
    <w:rPr>
      <w:i/>
      <w:color w:val="808080"/>
    </w:rPr>
  </w:style>
  <w:style w:type="paragraph" w:customStyle="1" w:styleId="427">
    <w:name w:val="修订11"/>
    <w:qFormat/>
    <w:uiPriority w:val="0"/>
    <w:rPr>
      <w:rFonts w:asciiTheme="minorHAnsi" w:hAnsiTheme="minorHAnsi" w:eastAsiaTheme="minorEastAsia" w:cstheme="minorBidi"/>
      <w:kern w:val="2"/>
      <w:sz w:val="21"/>
      <w:szCs w:val="24"/>
      <w:lang w:val="en-US" w:eastAsia="zh-CN" w:bidi="ar-SA"/>
    </w:rPr>
  </w:style>
  <w:style w:type="paragraph" w:customStyle="1" w:styleId="428">
    <w:name w:val="样式1"/>
    <w:basedOn w:val="1"/>
    <w:link w:val="479"/>
    <w:qFormat/>
    <w:uiPriority w:val="0"/>
    <w:pPr>
      <w:tabs>
        <w:tab w:val="left" w:pos="1674"/>
      </w:tabs>
      <w:adjustRightInd w:val="0"/>
      <w:ind w:left="1674" w:hanging="1125"/>
      <w:textAlignment w:val="baseline"/>
    </w:pPr>
    <w:rPr>
      <w:rFonts w:ascii="宋体" w:hAnsi="宋体"/>
      <w:kern w:val="0"/>
      <w:szCs w:val="21"/>
    </w:rPr>
  </w:style>
  <w:style w:type="character" w:customStyle="1" w:styleId="429">
    <w:name w:val="Comment Text Char"/>
    <w:qFormat/>
    <w:locked/>
    <w:uiPriority w:val="0"/>
    <w:rPr>
      <w:kern w:val="2"/>
      <w:sz w:val="22"/>
    </w:rPr>
  </w:style>
  <w:style w:type="character" w:customStyle="1" w:styleId="430">
    <w:name w:val="Char Char22"/>
    <w:qFormat/>
    <w:uiPriority w:val="0"/>
    <w:rPr>
      <w:rFonts w:ascii="Arial" w:hAnsi="Arial" w:eastAsia="黑体" w:cs="Times New Roman"/>
      <w:b/>
      <w:bCs/>
      <w:kern w:val="0"/>
      <w:sz w:val="24"/>
      <w:szCs w:val="24"/>
    </w:rPr>
  </w:style>
  <w:style w:type="character" w:customStyle="1" w:styleId="431">
    <w:name w:val="标题 1 Char"/>
    <w:qFormat/>
    <w:uiPriority w:val="0"/>
    <w:rPr>
      <w:rFonts w:eastAsia="宋体"/>
      <w:b/>
      <w:bCs/>
      <w:kern w:val="44"/>
      <w:sz w:val="44"/>
      <w:szCs w:val="44"/>
      <w:lang w:val="en-US" w:eastAsia="zh-CN" w:bidi="ar-SA"/>
    </w:rPr>
  </w:style>
  <w:style w:type="character" w:customStyle="1" w:styleId="432">
    <w:name w:val="明显引用 Char1"/>
    <w:qFormat/>
    <w:uiPriority w:val="0"/>
    <w:rPr>
      <w:rFonts w:ascii="Times New Roman" w:hAnsi="Times New Roman" w:eastAsia="宋体" w:cs="Times New Roman"/>
      <w:b/>
      <w:bCs/>
      <w:i/>
      <w:iCs/>
      <w:color w:val="4F81BD"/>
      <w:szCs w:val="24"/>
    </w:rPr>
  </w:style>
  <w:style w:type="character" w:customStyle="1" w:styleId="433">
    <w:name w:val="Intense Quote Char"/>
    <w:link w:val="361"/>
    <w:qFormat/>
    <w:locked/>
    <w:uiPriority w:val="0"/>
    <w:rPr>
      <w:b/>
      <w:i/>
      <w:color w:val="4F81BD"/>
      <w:sz w:val="22"/>
    </w:rPr>
  </w:style>
  <w:style w:type="character" w:customStyle="1" w:styleId="434">
    <w:name w:val="列表段落 字符"/>
    <w:link w:val="214"/>
    <w:qFormat/>
    <w:uiPriority w:val="0"/>
    <w:rPr>
      <w:kern w:val="2"/>
      <w:sz w:val="21"/>
      <w:szCs w:val="21"/>
    </w:rPr>
  </w:style>
  <w:style w:type="paragraph" w:customStyle="1" w:styleId="435">
    <w:name w:val="正文文字3"/>
    <w:basedOn w:val="2"/>
    <w:qFormat/>
    <w:uiPriority w:val="0"/>
    <w:pPr>
      <w:adjustRightInd w:val="0"/>
      <w:spacing w:after="0" w:line="360" w:lineRule="atLeast"/>
      <w:ind w:left="72" w:leftChars="30" w:right="72" w:rightChars="30"/>
      <w:jc w:val="center"/>
      <w:textAlignment w:val="baseline"/>
    </w:pPr>
    <w:rPr>
      <w:rFonts w:ascii="宋体" w:hAnsi="宋体"/>
      <w:color w:val="000000"/>
      <w:sz w:val="20"/>
      <w:szCs w:val="20"/>
    </w:rPr>
  </w:style>
  <w:style w:type="character" w:customStyle="1" w:styleId="436">
    <w:name w:val="批注文字 Char Char"/>
    <w:qFormat/>
    <w:uiPriority w:val="0"/>
    <w:rPr>
      <w:rFonts w:ascii="宋体" w:hAnsi="Times New Roman" w:eastAsia="宋体"/>
      <w:sz w:val="20"/>
    </w:rPr>
  </w:style>
  <w:style w:type="character" w:customStyle="1" w:styleId="437">
    <w:name w:val="正文文本缩进 3 Char1"/>
    <w:qFormat/>
    <w:uiPriority w:val="0"/>
    <w:rPr>
      <w:rFonts w:ascii="Times New Roman" w:hAnsi="Times New Roman" w:eastAsia="宋体" w:cs="Times New Roman"/>
      <w:sz w:val="16"/>
      <w:szCs w:val="16"/>
    </w:rPr>
  </w:style>
  <w:style w:type="character" w:customStyle="1" w:styleId="438">
    <w:name w:val="Char Char21"/>
    <w:qFormat/>
    <w:uiPriority w:val="0"/>
    <w:rPr>
      <w:rFonts w:eastAsia="宋体"/>
      <w:kern w:val="2"/>
      <w:sz w:val="21"/>
      <w:szCs w:val="24"/>
      <w:lang w:val="en-US" w:eastAsia="zh-CN" w:bidi="ar-SA"/>
    </w:rPr>
  </w:style>
  <w:style w:type="character" w:customStyle="1" w:styleId="439">
    <w:name w:val="批注主题 Char Char"/>
    <w:qFormat/>
    <w:uiPriority w:val="0"/>
    <w:rPr>
      <w:rFonts w:ascii="宋体"/>
      <w:b/>
      <w:bCs/>
      <w:sz w:val="28"/>
      <w:lang w:bidi="ar-SA"/>
    </w:rPr>
  </w:style>
  <w:style w:type="character" w:customStyle="1" w:styleId="440">
    <w:name w:val="正文文本 Char"/>
    <w:qFormat/>
    <w:locked/>
    <w:uiPriority w:val="99"/>
    <w:rPr>
      <w:rFonts w:eastAsia="宋体"/>
      <w:kern w:val="2"/>
      <w:sz w:val="24"/>
      <w:lang w:val="en-US" w:eastAsia="zh-CN" w:bidi="ar-SA"/>
    </w:rPr>
  </w:style>
  <w:style w:type="character" w:customStyle="1" w:styleId="441">
    <w:name w:val="明显引用 Char2"/>
    <w:qFormat/>
    <w:uiPriority w:val="30"/>
    <w:rPr>
      <w:rFonts w:ascii="Times New Roman" w:hAnsi="Times New Roman" w:eastAsia="宋体" w:cs="Times New Roman"/>
      <w:b/>
      <w:bCs/>
      <w:i/>
      <w:iCs/>
      <w:color w:val="4F81BD"/>
      <w:szCs w:val="24"/>
    </w:rPr>
  </w:style>
  <w:style w:type="character" w:customStyle="1" w:styleId="442">
    <w:name w:val="纯文本 字符"/>
    <w:link w:val="27"/>
    <w:qFormat/>
    <w:uiPriority w:val="0"/>
    <w:rPr>
      <w:rFonts w:ascii="宋体" w:hAnsi="Courier New"/>
      <w:sz w:val="21"/>
      <w:szCs w:val="21"/>
    </w:rPr>
  </w:style>
  <w:style w:type="paragraph" w:customStyle="1" w:styleId="443">
    <w:name w:val="索引 42"/>
    <w:basedOn w:val="1"/>
    <w:next w:val="1"/>
    <w:qFormat/>
    <w:uiPriority w:val="0"/>
    <w:pPr>
      <w:ind w:left="600" w:leftChars="600"/>
    </w:pPr>
  </w:style>
  <w:style w:type="paragraph" w:customStyle="1" w:styleId="444">
    <w:name w:val="修订12"/>
    <w:qFormat/>
    <w:uiPriority w:val="0"/>
    <w:rPr>
      <w:rFonts w:asciiTheme="minorHAnsi" w:hAnsiTheme="minorHAnsi" w:eastAsiaTheme="minorEastAsia" w:cstheme="minorBidi"/>
      <w:kern w:val="2"/>
      <w:sz w:val="21"/>
      <w:szCs w:val="24"/>
      <w:lang w:val="en-US" w:eastAsia="zh-CN" w:bidi="ar-SA"/>
    </w:rPr>
  </w:style>
  <w:style w:type="character" w:customStyle="1" w:styleId="445">
    <w:name w:val="Char Char15"/>
    <w:qFormat/>
    <w:uiPriority w:val="0"/>
    <w:rPr>
      <w:rFonts w:ascii="Arial" w:hAnsi="Arial" w:eastAsia="黑体"/>
      <w:b/>
      <w:bCs/>
      <w:kern w:val="2"/>
      <w:sz w:val="32"/>
      <w:szCs w:val="32"/>
      <w:lang w:val="en-US" w:eastAsia="zh-CN" w:bidi="ar-SA"/>
    </w:rPr>
  </w:style>
  <w:style w:type="paragraph" w:customStyle="1" w:styleId="446">
    <w:name w:val="！正文"/>
    <w:basedOn w:val="1"/>
    <w:qFormat/>
    <w:uiPriority w:val="0"/>
    <w:pPr>
      <w:spacing w:line="360" w:lineRule="auto"/>
      <w:ind w:firstLine="560" w:firstLineChars="200"/>
    </w:pPr>
    <w:rPr>
      <w:sz w:val="28"/>
      <w:szCs w:val="28"/>
    </w:rPr>
  </w:style>
  <w:style w:type="paragraph" w:customStyle="1" w:styleId="447">
    <w:name w:val="xl32"/>
    <w:basedOn w:val="1"/>
    <w:qFormat/>
    <w:uiPriority w:val="0"/>
    <w:pPr>
      <w:widowControl/>
      <w:pBdr>
        <w:top w:val="single" w:color="auto" w:sz="4" w:space="0"/>
        <w:bottom w:val="single" w:color="auto" w:sz="4" w:space="0"/>
      </w:pBdr>
      <w:spacing w:before="100" w:beforeAutospacing="1" w:after="100" w:afterAutospacing="1"/>
      <w:jc w:val="left"/>
    </w:pPr>
    <w:rPr>
      <w:kern w:val="0"/>
      <w:sz w:val="20"/>
      <w:szCs w:val="20"/>
    </w:rPr>
  </w:style>
  <w:style w:type="character" w:customStyle="1" w:styleId="448">
    <w:name w:val="font161"/>
    <w:qFormat/>
    <w:uiPriority w:val="0"/>
    <w:rPr>
      <w:b/>
      <w:bCs/>
      <w:sz w:val="32"/>
      <w:szCs w:val="32"/>
    </w:rPr>
  </w:style>
  <w:style w:type="character" w:customStyle="1" w:styleId="449">
    <w:name w:val="Blockquote Char"/>
    <w:qFormat/>
    <w:locked/>
    <w:uiPriority w:val="0"/>
    <w:rPr>
      <w:sz w:val="24"/>
    </w:rPr>
  </w:style>
  <w:style w:type="character" w:customStyle="1" w:styleId="450">
    <w:name w:val="标题 2 Char Char"/>
    <w:qFormat/>
    <w:uiPriority w:val="0"/>
    <w:rPr>
      <w:rFonts w:ascii="Arial" w:hAnsi="Arial" w:eastAsia="黑体"/>
      <w:b/>
      <w:bCs/>
      <w:kern w:val="2"/>
      <w:sz w:val="32"/>
      <w:szCs w:val="32"/>
      <w:lang w:val="en-US" w:eastAsia="zh-CN" w:bidi="ar-SA"/>
    </w:rPr>
  </w:style>
  <w:style w:type="character" w:customStyle="1" w:styleId="451">
    <w:name w:val="Char Char261"/>
    <w:qFormat/>
    <w:uiPriority w:val="0"/>
    <w:rPr>
      <w:rFonts w:eastAsia="宋体"/>
      <w:kern w:val="2"/>
      <w:sz w:val="21"/>
      <w:szCs w:val="24"/>
      <w:lang w:val="en-US" w:eastAsia="zh-CN" w:bidi="ar-SA"/>
    </w:rPr>
  </w:style>
  <w:style w:type="character" w:customStyle="1" w:styleId="452">
    <w:name w:val="不明显参考2"/>
    <w:qFormat/>
    <w:uiPriority w:val="0"/>
    <w:rPr>
      <w:smallCaps/>
      <w:color w:val="C0504D"/>
      <w:u w:val="single"/>
    </w:rPr>
  </w:style>
  <w:style w:type="paragraph" w:customStyle="1" w:styleId="453">
    <w:name w:val="Char8"/>
    <w:basedOn w:val="17"/>
    <w:qFormat/>
    <w:uiPriority w:val="0"/>
    <w:rPr>
      <w:rFonts w:ascii="Calibri" w:hAnsi="Calibri"/>
    </w:rPr>
  </w:style>
  <w:style w:type="character" w:customStyle="1" w:styleId="454">
    <w:name w:val="日期 Char2"/>
    <w:qFormat/>
    <w:uiPriority w:val="0"/>
    <w:rPr>
      <w:rFonts w:ascii="Times New Roman" w:hAnsi="Times New Roman" w:eastAsia="宋体" w:cs="Times New Roman"/>
      <w:sz w:val="24"/>
      <w:szCs w:val="20"/>
    </w:rPr>
  </w:style>
  <w:style w:type="character" w:customStyle="1" w:styleId="455">
    <w:name w:val="Char Char182"/>
    <w:qFormat/>
    <w:uiPriority w:val="0"/>
    <w:rPr>
      <w:b/>
      <w:bCs/>
      <w:kern w:val="44"/>
      <w:sz w:val="44"/>
      <w:szCs w:val="44"/>
    </w:rPr>
  </w:style>
  <w:style w:type="character" w:customStyle="1" w:styleId="456">
    <w:name w:val="纯文本 Char2"/>
    <w:qFormat/>
    <w:uiPriority w:val="99"/>
    <w:rPr>
      <w:rFonts w:ascii="宋体" w:hAnsi="Courier New"/>
      <w:sz w:val="21"/>
      <w:szCs w:val="21"/>
    </w:rPr>
  </w:style>
  <w:style w:type="paragraph" w:customStyle="1" w:styleId="457">
    <w:name w:val="索引 41"/>
    <w:basedOn w:val="1"/>
    <w:next w:val="1"/>
    <w:qFormat/>
    <w:uiPriority w:val="0"/>
    <w:pPr>
      <w:ind w:left="600" w:leftChars="600"/>
    </w:pPr>
  </w:style>
  <w:style w:type="paragraph" w:customStyle="1" w:styleId="458">
    <w:name w:val="正文 A"/>
    <w:qFormat/>
    <w:uiPriority w:val="0"/>
    <w:pPr>
      <w:widowControl w:val="0"/>
      <w:jc w:val="both"/>
    </w:pPr>
    <w:rPr>
      <w:rFonts w:ascii="宋体" w:cs="宋体" w:hAnsiTheme="minorHAnsi" w:eastAsiaTheme="minorEastAsia"/>
      <w:color w:val="000000"/>
      <w:kern w:val="2"/>
      <w:sz w:val="21"/>
      <w:szCs w:val="21"/>
      <w:u w:color="000000"/>
      <w:lang w:val="en-US" w:eastAsia="zh-CN" w:bidi="ar-SA"/>
    </w:rPr>
  </w:style>
  <w:style w:type="character" w:customStyle="1" w:styleId="459">
    <w:name w:val="引用 字符"/>
    <w:link w:val="254"/>
    <w:qFormat/>
    <w:uiPriority w:val="0"/>
    <w:rPr>
      <w:rFonts w:ascii="Calibri" w:hAnsi="Calibri"/>
      <w:i/>
      <w:color w:val="000000"/>
      <w:kern w:val="2"/>
      <w:sz w:val="22"/>
      <w:szCs w:val="22"/>
    </w:rPr>
  </w:style>
  <w:style w:type="character" w:customStyle="1" w:styleId="460">
    <w:name w:val="批注主题 字符"/>
    <w:link w:val="49"/>
    <w:qFormat/>
    <w:uiPriority w:val="99"/>
    <w:rPr>
      <w:b/>
      <w:bCs/>
      <w:kern w:val="2"/>
      <w:sz w:val="21"/>
      <w:szCs w:val="21"/>
    </w:rPr>
  </w:style>
  <w:style w:type="character" w:customStyle="1" w:styleId="461">
    <w:name w:val="正文文本 2 字符"/>
    <w:link w:val="43"/>
    <w:qFormat/>
    <w:uiPriority w:val="0"/>
    <w:rPr>
      <w:rFonts w:ascii="Calibri" w:hAnsi="Calibri"/>
      <w:kern w:val="2"/>
      <w:sz w:val="24"/>
      <w:szCs w:val="22"/>
    </w:rPr>
  </w:style>
  <w:style w:type="character" w:customStyle="1" w:styleId="462">
    <w:name w:val="正文文本缩进 2 Char1"/>
    <w:qFormat/>
    <w:uiPriority w:val="99"/>
    <w:rPr>
      <w:kern w:val="2"/>
      <w:sz w:val="21"/>
      <w:szCs w:val="22"/>
    </w:rPr>
  </w:style>
  <w:style w:type="paragraph" w:customStyle="1" w:styleId="463">
    <w:name w:val="xl73"/>
    <w:basedOn w:val="1"/>
    <w:qFormat/>
    <w:uiPriority w:val="0"/>
    <w:pPr>
      <w:widowControl/>
      <w:spacing w:before="100" w:beforeAutospacing="1" w:after="100" w:afterAutospacing="1"/>
      <w:jc w:val="left"/>
      <w:textAlignment w:val="center"/>
    </w:pPr>
    <w:rPr>
      <w:rFonts w:ascii="宋体" w:hAnsi="宋体" w:cs="宋体"/>
      <w:b/>
      <w:bCs/>
      <w:kern w:val="0"/>
      <w:szCs w:val="21"/>
    </w:rPr>
  </w:style>
  <w:style w:type="paragraph" w:customStyle="1" w:styleId="464">
    <w:name w:val="xl69"/>
    <w:basedOn w:val="1"/>
    <w:qFormat/>
    <w:uiPriority w:val="0"/>
    <w:pPr>
      <w:widowControl/>
      <w:pBdr>
        <w:right w:val="single" w:color="000000" w:sz="8" w:space="0"/>
      </w:pBdr>
      <w:spacing w:before="100" w:beforeAutospacing="1" w:after="100" w:afterAutospacing="1"/>
      <w:jc w:val="left"/>
      <w:textAlignment w:val="center"/>
    </w:pPr>
    <w:rPr>
      <w:rFonts w:ascii="宋体" w:hAnsi="宋体" w:cs="宋体"/>
      <w:kern w:val="0"/>
      <w:szCs w:val="21"/>
    </w:rPr>
  </w:style>
  <w:style w:type="paragraph" w:customStyle="1" w:styleId="465">
    <w:name w:val="日期2"/>
    <w:basedOn w:val="1"/>
    <w:next w:val="1"/>
    <w:qFormat/>
    <w:uiPriority w:val="0"/>
    <w:pPr>
      <w:ind w:left="100" w:leftChars="2500"/>
    </w:pPr>
    <w:rPr>
      <w:rFonts w:ascii="宋体"/>
      <w:kern w:val="0"/>
      <w:sz w:val="28"/>
      <w:szCs w:val="20"/>
    </w:rPr>
  </w:style>
  <w:style w:type="paragraph" w:customStyle="1" w:styleId="466">
    <w:name w:val="xl93"/>
    <w:basedOn w:val="1"/>
    <w:qFormat/>
    <w:uiPriority w:val="0"/>
    <w:pPr>
      <w:widowControl/>
      <w:pBdr>
        <w:top w:val="single" w:color="auto" w:sz="4" w:space="0"/>
        <w:left w:val="single" w:color="auto" w:sz="8" w:space="0"/>
        <w:bottom w:val="single" w:color="auto" w:sz="4"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67">
    <w:name w:val="textcontents"/>
    <w:qFormat/>
    <w:uiPriority w:val="0"/>
  </w:style>
  <w:style w:type="character" w:customStyle="1" w:styleId="468">
    <w:name w:val="Balloon Text Char"/>
    <w:qFormat/>
    <w:uiPriority w:val="0"/>
    <w:rPr>
      <w:rFonts w:eastAsia="宋体"/>
      <w:kern w:val="2"/>
      <w:sz w:val="18"/>
      <w:szCs w:val="18"/>
      <w:lang w:val="en-US" w:eastAsia="zh-CN" w:bidi="ar-SA"/>
    </w:rPr>
  </w:style>
  <w:style w:type="paragraph" w:customStyle="1" w:styleId="469">
    <w:name w:val="xl29"/>
    <w:basedOn w:val="1"/>
    <w:qFormat/>
    <w:uiPriority w:val="0"/>
    <w:pPr>
      <w:widowControl/>
      <w:spacing w:before="100" w:beforeAutospacing="1" w:after="100" w:afterAutospacing="1"/>
      <w:jc w:val="center"/>
    </w:pPr>
    <w:rPr>
      <w:rFonts w:ascii="黑体" w:hAnsi="宋体" w:eastAsia="黑体" w:cs="宋体"/>
      <w:b/>
      <w:bCs/>
      <w:kern w:val="0"/>
      <w:sz w:val="26"/>
      <w:szCs w:val="26"/>
    </w:rPr>
  </w:style>
  <w:style w:type="paragraph" w:customStyle="1" w:styleId="470">
    <w:name w:val="默认段落字体 Para Char Char Char Char"/>
    <w:basedOn w:val="1"/>
    <w:qFormat/>
    <w:uiPriority w:val="0"/>
    <w:rPr>
      <w:szCs w:val="21"/>
    </w:rPr>
  </w:style>
  <w:style w:type="character" w:customStyle="1" w:styleId="471">
    <w:name w:val="Char Char4"/>
    <w:qFormat/>
    <w:uiPriority w:val="0"/>
    <w:rPr>
      <w:rFonts w:eastAsia="宋体"/>
      <w:b/>
      <w:bCs/>
      <w:kern w:val="44"/>
      <w:sz w:val="44"/>
      <w:szCs w:val="44"/>
      <w:lang w:val="en-US" w:eastAsia="zh-CN"/>
    </w:rPr>
  </w:style>
  <w:style w:type="character" w:customStyle="1" w:styleId="472">
    <w:name w:val="正文要点 Char Char"/>
    <w:link w:val="80"/>
    <w:qFormat/>
    <w:locked/>
    <w:uiPriority w:val="0"/>
    <w:rPr>
      <w:kern w:val="2"/>
      <w:sz w:val="21"/>
      <w:szCs w:val="21"/>
    </w:rPr>
  </w:style>
  <w:style w:type="paragraph" w:customStyle="1" w:styleId="473">
    <w:name w:val="xl98"/>
    <w:basedOn w:val="1"/>
    <w:qFormat/>
    <w:uiPriority w:val="0"/>
    <w:pPr>
      <w:widowControl/>
      <w:pBdr>
        <w:top w:val="single" w:color="auto" w:sz="4" w:space="0"/>
        <w:left w:val="single" w:color="auto" w:sz="8" w:space="0"/>
        <w:bottom w:val="single" w:color="auto" w:sz="8" w:space="0"/>
        <w:right w:val="single" w:color="auto" w:sz="4" w:space="0"/>
      </w:pBdr>
      <w:shd w:val="clear" w:color="000000" w:fill="F2F2F2"/>
      <w:spacing w:before="100" w:beforeAutospacing="1" w:after="100" w:afterAutospacing="1"/>
      <w:jc w:val="center"/>
      <w:textAlignment w:val="center"/>
    </w:pPr>
    <w:rPr>
      <w:rFonts w:ascii="宋体" w:hAnsi="宋体" w:cs="宋体"/>
      <w:kern w:val="0"/>
      <w:szCs w:val="21"/>
    </w:rPr>
  </w:style>
  <w:style w:type="character" w:customStyle="1" w:styleId="474">
    <w:name w:val="Heading 1 Char"/>
    <w:qFormat/>
    <w:locked/>
    <w:uiPriority w:val="0"/>
    <w:rPr>
      <w:rFonts w:eastAsia="宋体"/>
      <w:b/>
      <w:bCs/>
      <w:kern w:val="44"/>
      <w:sz w:val="44"/>
      <w:szCs w:val="44"/>
      <w:lang w:val="en-US" w:eastAsia="zh-CN" w:bidi="ar-SA"/>
    </w:rPr>
  </w:style>
  <w:style w:type="paragraph" w:customStyle="1" w:styleId="47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Cs w:val="21"/>
    </w:rPr>
  </w:style>
  <w:style w:type="paragraph" w:customStyle="1" w:styleId="476">
    <w:name w:val="文档结构图1"/>
    <w:basedOn w:val="1"/>
    <w:qFormat/>
    <w:uiPriority w:val="0"/>
    <w:pPr>
      <w:shd w:val="clear" w:color="auto" w:fill="000080"/>
    </w:pPr>
    <w:rPr>
      <w:kern w:val="0"/>
      <w:sz w:val="20"/>
      <w:shd w:val="clear" w:color="auto" w:fill="000080"/>
    </w:rPr>
  </w:style>
  <w:style w:type="character" w:customStyle="1" w:styleId="477">
    <w:name w:val="apple-converted-space"/>
    <w:qFormat/>
    <w:uiPriority w:val="0"/>
  </w:style>
  <w:style w:type="paragraph" w:customStyle="1" w:styleId="478">
    <w:name w:val="文本块12"/>
    <w:basedOn w:val="1"/>
    <w:next w:val="1"/>
    <w:qFormat/>
    <w:uiPriority w:val="0"/>
    <w:rPr>
      <w:i/>
      <w:iCs/>
      <w:color w:val="000000"/>
      <w:szCs w:val="22"/>
    </w:rPr>
  </w:style>
  <w:style w:type="character" w:customStyle="1" w:styleId="479">
    <w:name w:val="样式1 字符"/>
    <w:link w:val="428"/>
    <w:qFormat/>
    <w:uiPriority w:val="0"/>
    <w:rPr>
      <w:rFonts w:ascii="宋体" w:hAnsi="宋体" w:cs="宋体"/>
      <w:sz w:val="21"/>
      <w:szCs w:val="21"/>
    </w:rPr>
  </w:style>
  <w:style w:type="character" w:customStyle="1" w:styleId="480">
    <w:name w:val="正文文本 字符"/>
    <w:link w:val="2"/>
    <w:qFormat/>
    <w:uiPriority w:val="0"/>
    <w:rPr>
      <w:sz w:val="24"/>
      <w:szCs w:val="24"/>
    </w:rPr>
  </w:style>
  <w:style w:type="character" w:customStyle="1" w:styleId="481">
    <w:name w:val="Char Char5"/>
    <w:qFormat/>
    <w:uiPriority w:val="0"/>
    <w:rPr>
      <w:rFonts w:ascii="Arial" w:hAnsi="Arial" w:eastAsia="黑体"/>
      <w:b/>
      <w:bCs/>
      <w:kern w:val="2"/>
      <w:sz w:val="32"/>
      <w:szCs w:val="32"/>
      <w:lang w:val="en-US" w:eastAsia="zh-CN" w:bidi="ar-SA"/>
    </w:rPr>
  </w:style>
  <w:style w:type="character" w:customStyle="1" w:styleId="482">
    <w:name w:val="日期 Char Char"/>
    <w:qFormat/>
    <w:uiPriority w:val="0"/>
    <w:rPr>
      <w:rFonts w:ascii="宋体"/>
      <w:sz w:val="28"/>
      <w:lang w:bidi="ar-SA"/>
    </w:rPr>
  </w:style>
  <w:style w:type="paragraph" w:customStyle="1" w:styleId="483">
    <w:name w:val="xl72"/>
    <w:basedOn w:val="1"/>
    <w:qFormat/>
    <w:uiPriority w:val="0"/>
    <w:pPr>
      <w:widowControl/>
      <w:pBdr>
        <w:bottom w:val="single" w:color="auto" w:sz="8" w:space="0"/>
        <w:right w:val="single" w:color="000000" w:sz="8" w:space="0"/>
      </w:pBdr>
      <w:spacing w:before="100" w:beforeAutospacing="1" w:after="100" w:afterAutospacing="1"/>
      <w:jc w:val="left"/>
      <w:textAlignment w:val="center"/>
    </w:pPr>
    <w:rPr>
      <w:rFonts w:ascii="宋体" w:hAnsi="宋体" w:cs="宋体"/>
      <w:kern w:val="0"/>
      <w:szCs w:val="21"/>
    </w:rPr>
  </w:style>
  <w:style w:type="character" w:customStyle="1" w:styleId="484">
    <w:name w:val="Char Char161"/>
    <w:qFormat/>
    <w:uiPriority w:val="0"/>
    <w:rPr>
      <w:b/>
      <w:bCs/>
      <w:kern w:val="2"/>
      <w:sz w:val="32"/>
      <w:szCs w:val="32"/>
    </w:rPr>
  </w:style>
  <w:style w:type="character" w:customStyle="1" w:styleId="485">
    <w:name w:val="Subtle Emphasis"/>
    <w:qFormat/>
    <w:uiPriority w:val="99"/>
    <w:rPr>
      <w:i/>
      <w:iCs/>
      <w:color w:val="808080"/>
    </w:rPr>
  </w:style>
  <w:style w:type="character" w:customStyle="1" w:styleId="486">
    <w:name w:val="Char Char26"/>
    <w:qFormat/>
    <w:uiPriority w:val="0"/>
    <w:rPr>
      <w:rFonts w:ascii="Arial" w:hAnsi="Arial" w:eastAsia="黑体" w:cs="Times New Roman"/>
      <w:b/>
      <w:bCs/>
      <w:sz w:val="32"/>
      <w:szCs w:val="32"/>
    </w:rPr>
  </w:style>
  <w:style w:type="paragraph" w:customStyle="1" w:styleId="487">
    <w:name w:val="正文文本 312"/>
    <w:basedOn w:val="1"/>
    <w:qFormat/>
    <w:uiPriority w:val="0"/>
    <w:pPr>
      <w:spacing w:after="120"/>
    </w:pPr>
    <w:rPr>
      <w:sz w:val="16"/>
      <w:szCs w:val="16"/>
    </w:rPr>
  </w:style>
  <w:style w:type="paragraph" w:customStyle="1" w:styleId="488">
    <w:name w:val="xl88"/>
    <w:basedOn w:val="1"/>
    <w:qFormat/>
    <w:uiPriority w:val="0"/>
    <w:pPr>
      <w:widowControl/>
      <w:pBdr>
        <w:top w:val="single" w:color="auto" w:sz="4" w:space="0"/>
        <w:left w:val="single" w:color="auto" w:sz="4" w:space="0"/>
        <w:bottom w:val="single" w:color="auto" w:sz="4" w:space="0"/>
        <w:right w:val="single" w:color="auto" w:sz="4" w:space="0"/>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489">
    <w:name w:val="Styl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customStyle="1" w:styleId="490">
    <w:name w:val="Subtle Reference"/>
    <w:qFormat/>
    <w:uiPriority w:val="99"/>
    <w:rPr>
      <w:smallCaps/>
      <w:color w:val="C0504D"/>
      <w:u w:val="single"/>
    </w:rPr>
  </w:style>
  <w:style w:type="character" w:customStyle="1" w:styleId="491">
    <w:name w:val="标题 2 字符1"/>
    <w:basedOn w:val="54"/>
    <w:link w:val="5"/>
    <w:qFormat/>
    <w:uiPriority w:val="0"/>
    <w:rPr>
      <w:rFonts w:eastAsia="仿宋" w:asciiTheme="majorHAnsi" w:hAnsiTheme="majorHAnsi" w:cstheme="majorBidi"/>
      <w:b/>
      <w:bCs/>
      <w:sz w:val="28"/>
      <w:szCs w:val="32"/>
    </w:rPr>
  </w:style>
  <w:style w:type="paragraph" w:customStyle="1" w:styleId="492">
    <w:name w:val="标题 21"/>
    <w:basedOn w:val="1"/>
    <w:qFormat/>
    <w:uiPriority w:val="1"/>
    <w:pPr>
      <w:autoSpaceDE w:val="0"/>
      <w:autoSpaceDN w:val="0"/>
      <w:ind w:left="130"/>
      <w:jc w:val="left"/>
      <w:outlineLvl w:val="2"/>
    </w:pPr>
    <w:rPr>
      <w:rFonts w:ascii="黑体" w:hAnsi="黑体" w:eastAsia="黑体" w:cs="黑体"/>
      <w:kern w:val="0"/>
      <w:sz w:val="54"/>
      <w:szCs w:val="54"/>
      <w:lang w:eastAsia="en-US"/>
    </w:rPr>
  </w:style>
  <w:style w:type="paragraph" w:customStyle="1" w:styleId="493">
    <w:name w:val="msolistparagraph"/>
    <w:basedOn w:val="1"/>
    <w:qFormat/>
    <w:uiPriority w:val="0"/>
    <w:pPr>
      <w:ind w:firstLine="420" w:firstLineChars="200"/>
    </w:pPr>
    <w:rPr>
      <w:rFonts w:ascii="Calibri" w:hAnsi="Calibri" w:eastAsia="宋体" w:cs="Times New Roman"/>
      <w:szCs w:val="22"/>
    </w:rPr>
  </w:style>
  <w:style w:type="character" w:customStyle="1" w:styleId="494">
    <w:name w:val="未处理的提及1"/>
    <w:basedOn w:val="54"/>
    <w:semiHidden/>
    <w:unhideWhenUsed/>
    <w:qFormat/>
    <w:uiPriority w:val="99"/>
    <w:rPr>
      <w:color w:val="605E5C"/>
      <w:shd w:val="clear" w:color="auto" w:fill="E1DFDD"/>
    </w:rPr>
  </w:style>
  <w:style w:type="paragraph" w:customStyle="1" w:styleId="495">
    <w:name w:val="msonormal"/>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496">
    <w:name w:val="xl65"/>
    <w:basedOn w:val="1"/>
    <w:qFormat/>
    <w:uiPriority w:val="0"/>
    <w:pPr>
      <w:widowControl/>
      <w:spacing w:before="100" w:beforeAutospacing="1" w:after="100" w:afterAutospacing="1"/>
      <w:jc w:val="center"/>
    </w:pPr>
    <w:rPr>
      <w:rFonts w:ascii="宋体" w:hAnsi="宋体" w:eastAsia="宋体" w:cs="宋体"/>
      <w:b/>
      <w:bCs/>
      <w:kern w:val="0"/>
      <w:sz w:val="20"/>
      <w:szCs w:val="20"/>
    </w:rPr>
  </w:style>
  <w:style w:type="character" w:customStyle="1" w:styleId="497">
    <w:name w:val="正文缩进 字符2"/>
    <w:qFormat/>
    <w:uiPriority w:val="0"/>
    <w:rPr>
      <w:rFonts w:ascii="等线" w:hAnsi="等线" w:eastAsia="等线" w:cs="Times New Roman"/>
    </w:rPr>
  </w:style>
  <w:style w:type="character" w:customStyle="1" w:styleId="498">
    <w:name w:val="称呼 Char1"/>
    <w:basedOn w:val="54"/>
    <w:qFormat/>
    <w:uiPriority w:val="99"/>
    <w:rPr>
      <w:kern w:val="2"/>
      <w:sz w:val="21"/>
      <w:szCs w:val="24"/>
    </w:rPr>
  </w:style>
  <w:style w:type="character" w:customStyle="1" w:styleId="499">
    <w:name w:val="普通(网站) 字符"/>
    <w:link w:val="47"/>
    <w:qFormat/>
    <w:locked/>
    <w:uiPriority w:val="0"/>
    <w:rPr>
      <w:rFonts w:ascii="宋体" w:hAnsi="宋体" w:cs="宋体"/>
      <w:kern w:val="0"/>
      <w:sz w:val="24"/>
    </w:rPr>
  </w:style>
  <w:style w:type="paragraph" w:customStyle="1" w:styleId="500">
    <w:name w:val="Body text|1"/>
    <w:basedOn w:val="1"/>
    <w:autoRedefine/>
    <w:qFormat/>
    <w:uiPriority w:val="0"/>
    <w:pPr>
      <w:spacing w:line="439" w:lineRule="auto"/>
      <w:ind w:firstLine="400"/>
    </w:pPr>
    <w:rPr>
      <w:rFonts w:ascii="MingLiU" w:hAnsi="MingLiU" w:eastAsia="MingLiU" w:cs="MingLiU"/>
      <w:sz w:val="19"/>
      <w:szCs w:val="19"/>
      <w:lang w:val="zh-TW" w:eastAsia="zh-TW" w:bidi="zh-TW"/>
    </w:rPr>
  </w:style>
  <w:style w:type="paragraph" w:customStyle="1" w:styleId="501">
    <w:name w:val="正文_0_0"/>
    <w:qFormat/>
    <w:uiPriority w:val="0"/>
    <w:pPr>
      <w:widowControl w:val="0"/>
      <w:spacing w:line="360" w:lineRule="auto"/>
      <w:ind w:firstLine="412" w:firstLineChars="196"/>
    </w:pPr>
    <w:rPr>
      <w:rFonts w:ascii="Times New Roman" w:hAnsi="Times New Roman" w:eastAsia="宋体" w:cs="Times New Roman"/>
      <w:kern w:val="2"/>
      <w:sz w:val="21"/>
      <w:szCs w:val="20"/>
      <w:lang w:val="en-US" w:eastAsia="zh-CN" w:bidi="ar-SA"/>
    </w:rPr>
  </w:style>
  <w:style w:type="paragraph" w:customStyle="1" w:styleId="502">
    <w:name w:val="_Style 13"/>
    <w:qFormat/>
    <w:uiPriority w:val="0"/>
    <w:pPr>
      <w:spacing w:before="120" w:after="120" w:line="288" w:lineRule="auto"/>
    </w:pPr>
    <w:rPr>
      <w:rFonts w:ascii="Arial" w:hAnsi="Arial" w:eastAsia="等线" w:cs="Arial"/>
      <w:kern w:val="0"/>
      <w:sz w:val="22"/>
      <w:szCs w:val="22"/>
      <w:lang w:val="en-US" w:eastAsia="zh-CN" w:bidi="ar-SA"/>
    </w:rPr>
  </w:style>
  <w:style w:type="paragraph" w:customStyle="1" w:styleId="503">
    <w:name w:val="Table of contents|1"/>
    <w:basedOn w:val="1"/>
    <w:qFormat/>
    <w:uiPriority w:val="0"/>
    <w:pPr>
      <w:spacing w:line="533" w:lineRule="exact"/>
      <w:ind w:firstLine="580"/>
    </w:pPr>
    <w:rPr>
      <w:rFonts w:ascii="宋体" w:hAnsi="宋体" w:eastAsia="宋体" w:cs="宋体"/>
      <w:sz w:val="28"/>
      <w:szCs w:val="28"/>
      <w:lang w:val="zh-TW" w:eastAsia="zh-TW" w:bidi="zh-TW"/>
    </w:rPr>
  </w:style>
  <w:style w:type="table" w:customStyle="1" w:styleId="504">
    <w:name w:val="网格型1"/>
    <w:basedOn w:val="52"/>
    <w:autoRedefine/>
    <w:qFormat/>
    <w:uiPriority w:val="0"/>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05">
    <w:name w:val="网格型2"/>
    <w:basedOn w:val="52"/>
    <w:autoRedefine/>
    <w:qFormat/>
    <w:uiPriority w:val="0"/>
    <w:rPr>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D7480-0569-4233-95CC-A52F6DA438F6}">
  <ds:schemaRefs/>
</ds:datastoreItem>
</file>

<file path=docProps/app.xml><?xml version="1.0" encoding="utf-8"?>
<Properties xmlns="http://schemas.openxmlformats.org/officeDocument/2006/extended-properties" xmlns:vt="http://schemas.openxmlformats.org/officeDocument/2006/docPropsVTypes">
  <Template>Normal.dotm</Template>
  <Pages>77</Pages>
  <Words>7651</Words>
  <Characters>8613</Characters>
  <Lines>58</Lines>
  <Paragraphs>70</Paragraphs>
  <TotalTime>89</TotalTime>
  <ScaleCrop>false</ScaleCrop>
  <LinksUpToDate>false</LinksUpToDate>
  <CharactersWithSpaces>8772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2026-03-09T08:27:00Z</dcterms:created>
  <dc:creator>admin</dc:creator>
  <cp:lastModifiedBy>不忘初心</cp:lastModifiedBy>
  <cp:lastPrinted>2026-03-11T05:22:00Z</cp:lastPrinted>
  <dcterms:modified xsi:type="dcterms:W3CDTF">2026-03-24T03:57:20Z</dcterms:modified>
  <cp:revision>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eyJoZGlkIjoiYWJmNTAxYTA0NTllZTU0OWY5NWY0MWNlMzBjNGU2OTYiLCJ1c2VySWQiOiIyNTMwNzM2NjgifQ==</vt:lpwstr>
  </property>
  <property fmtid="{D5CDD505-2E9C-101B-9397-08002B2CF9AE}" pid="3" name="KSOProductBuildVer">
    <vt:lpwstr>2052-12.1.0.25225</vt:lpwstr>
  </property>
  <property fmtid="{D5CDD505-2E9C-101B-9397-08002B2CF9AE}" pid="4" name="ICV">
    <vt:lpwstr>1CC409205FC748E2BF864F0C52B6EE65_12</vt:lpwstr>
  </property>
</Properties>
</file>