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乳山市港务集团有限公司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00839698">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重卡充电建设工程</w:t>
      </w:r>
    </w:p>
    <w:p w14:paraId="5334F21A">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WHJX-ZB-2026-021</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2026年03月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8"/>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重卡充电建设工程</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重卡充电建设工程</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ascii="仿宋_GB2312" w:hAnsi="仿宋" w:eastAsia="仿宋_GB2312" w:cs="宋体"/>
          <w:color w:val="auto"/>
          <w:spacing w:val="8"/>
          <w:kern w:val="0"/>
          <w:sz w:val="28"/>
          <w:szCs w:val="28"/>
          <w:u w:val="single"/>
        </w:rPr>
        <w:t>2026年</w:t>
      </w:r>
      <w:r>
        <w:rPr>
          <w:rFonts w:hint="eastAsia" w:ascii="仿宋_GB2312" w:hAnsi="仿宋" w:eastAsia="仿宋_GB2312" w:cs="宋体"/>
          <w:color w:val="auto"/>
          <w:spacing w:val="8"/>
          <w:kern w:val="0"/>
          <w:sz w:val="28"/>
          <w:szCs w:val="28"/>
          <w:u w:val="single"/>
          <w:lang w:eastAsia="zh-CN"/>
        </w:rPr>
        <w:t>04月08日09时00分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WHJX-ZB-2026-021</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重卡充电建设工程</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26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09"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818" w:type="dxa"/>
            <w:tcBorders>
              <w:right w:val="single" w:color="auto" w:sz="4" w:space="0"/>
            </w:tcBorders>
            <w:vAlign w:val="center"/>
          </w:tcPr>
          <w:p w14:paraId="7F462249">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包预算金额</w:t>
            </w:r>
          </w:p>
          <w:p w14:paraId="409E396A">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（元）</w:t>
            </w:r>
          </w:p>
        </w:tc>
        <w:tc>
          <w:tcPr>
            <w:tcW w:w="1559"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417"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57"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26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重卡充电建设工程</w:t>
            </w:r>
          </w:p>
        </w:tc>
        <w:tc>
          <w:tcPr>
            <w:tcW w:w="709"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818" w:type="dxa"/>
            <w:tcBorders>
              <w:right w:val="single" w:color="auto" w:sz="4" w:space="0"/>
            </w:tcBorders>
            <w:vAlign w:val="center"/>
          </w:tcPr>
          <w:p w14:paraId="06217F7A">
            <w:pPr>
              <w:widowControl/>
              <w:adjustRightInd w:val="0"/>
              <w:snapToGrid w:val="0"/>
              <w:jc w:val="center"/>
              <w:rPr>
                <w:rFonts w:hint="eastAsia" w:ascii="仿宋_GB2312" w:hAnsi="宋体" w:eastAsia="仿宋_GB2312" w:cs="宋体"/>
                <w:color w:val="auto"/>
                <w:kern w:val="0"/>
                <w:sz w:val="24"/>
                <w:lang w:eastAsia="zh-CN"/>
              </w:rPr>
            </w:pPr>
            <w:r>
              <w:rPr>
                <w:rFonts w:hint="eastAsia" w:ascii="仿宋_GB2312" w:hAnsi="宋体" w:eastAsia="仿宋_GB2312" w:cs="宋体"/>
                <w:color w:val="auto"/>
                <w:kern w:val="0"/>
                <w:sz w:val="24"/>
                <w:lang w:eastAsia="zh-CN"/>
              </w:rPr>
              <w:t>1760524.43</w:t>
            </w:r>
          </w:p>
        </w:tc>
        <w:tc>
          <w:tcPr>
            <w:tcW w:w="1559" w:type="dxa"/>
            <w:vAlign w:val="center"/>
          </w:tcPr>
          <w:p w14:paraId="4E242730">
            <w:pPr>
              <w:widowControl/>
              <w:adjustRightInd w:val="0"/>
              <w:snapToGrid w:val="0"/>
              <w:jc w:val="center"/>
              <w:rPr>
                <w:rFonts w:hint="eastAsia" w:ascii="仿宋_GB2312" w:hAnsi="宋体" w:eastAsia="仿宋_GB2312" w:cs="宋体"/>
                <w:color w:val="auto"/>
                <w:kern w:val="0"/>
                <w:sz w:val="24"/>
                <w:lang w:eastAsia="zh-CN"/>
              </w:rPr>
            </w:pPr>
            <w:r>
              <w:rPr>
                <w:rFonts w:hint="eastAsia" w:ascii="仿宋_GB2312" w:hAnsi="宋体" w:eastAsia="仿宋_GB2312" w:cs="宋体"/>
                <w:color w:val="auto"/>
                <w:kern w:val="0"/>
                <w:sz w:val="24"/>
                <w:lang w:eastAsia="zh-CN"/>
              </w:rPr>
              <w:t>1760524.43</w:t>
            </w:r>
          </w:p>
        </w:tc>
        <w:tc>
          <w:tcPr>
            <w:tcW w:w="1417"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57"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具有电力工程施工总承包贰级及以上资质，同时具有承装（修、饰）四级及以上资质；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拟派项目经理具有机电工程专业贰级及以上注册建造师执业资格证书和安全生产考核合格证；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03月24日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03月31日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03月24日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04月08日09时00分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04月08日09时00分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乳山市港务集团有限公司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乳山市乳山口镇旗杆石村</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0631-6762070</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王君楠</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03月24日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重卡充电建设工程</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WHJX-ZB-2026-021</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乳山市港务集团有限公司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乳山市乳山口镇旗杆石村</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于龙飞</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0631-6762070</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Style w:val="36"/>
                <w:rFonts w:hint="eastAsia" w:ascii="仿宋_GB2312" w:hAnsi="宋体" w:eastAsia="仿宋_GB2312"/>
                <w:color w:val="auto"/>
              </w:rPr>
              <w:t>http://ggzyjy.weihai.cn/rushan/</w:t>
            </w:r>
            <w:r>
              <w:rPr>
                <w:rStyle w:val="36"/>
                <w:rFonts w:hint="eastAsia" w:ascii="仿宋_GB2312" w:hAnsi="宋体" w:eastAsia="仿宋_GB2312"/>
                <w:color w:val="auto"/>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1760524.43</w:t>
            </w:r>
            <w:r>
              <w:rPr>
                <w:rFonts w:hint="eastAsia" w:ascii="仿宋_GB2312" w:hAnsi="宋体" w:eastAsia="仿宋_GB2312"/>
                <w:color w:val="auto"/>
                <w:sz w:val="28"/>
                <w:szCs w:val="28"/>
              </w:rPr>
              <w:t>元；</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03月24日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04月08日09时00分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04月08日09时00分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质保期：三年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工期：30天</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项目无预付款，项目完工验收合格后支付到合同金额的50%，结算后支付到结算价款的70%，剩余30%自审计报告出具之日起按照每年结算价的10%支付。</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9000.00</w:t>
            </w:r>
            <w:r>
              <w:rPr>
                <w:rFonts w:hint="eastAsia" w:ascii="仿宋_GB2312" w:hAnsi="宋体" w:eastAsia="仿宋_GB2312"/>
                <w:color w:val="auto"/>
                <w:sz w:val="28"/>
                <w:szCs w:val="28"/>
              </w:rPr>
              <w:t>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6"/>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具有电力工程施工总承包贰级及以上资质，同时具有承装（修、饰）四级及以上资质</w:t>
            </w:r>
            <w:r>
              <w:rPr>
                <w:rFonts w:hint="eastAsia" w:ascii="仿宋_GB2312" w:hAnsi="宋体" w:eastAsia="仿宋_GB2312"/>
                <w:color w:val="auto"/>
                <w:sz w:val="28"/>
                <w:szCs w:val="28"/>
              </w:rPr>
              <w:t>扫描件；</w:t>
            </w:r>
            <w:r>
              <w:rPr>
                <w:rFonts w:ascii="仿宋_GB2312" w:hAnsi="宋体" w:eastAsia="仿宋_GB2312"/>
                <w:color w:val="auto"/>
                <w:sz w:val="28"/>
                <w:szCs w:val="28"/>
              </w:rPr>
              <w:t>具有行政主管部门颁发的安全生产许可证扫描件；（A）包</w:t>
            </w:r>
          </w:p>
          <w:p w14:paraId="5DE8656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3、项目负责人</w:t>
            </w:r>
            <w:r>
              <w:rPr>
                <w:rFonts w:hint="eastAsia" w:ascii="仿宋_GB2312" w:hAnsi="宋体" w:eastAsia="仿宋_GB2312"/>
                <w:color w:val="auto"/>
                <w:sz w:val="28"/>
                <w:szCs w:val="28"/>
              </w:rPr>
              <w:t>具有</w:t>
            </w:r>
            <w:r>
              <w:rPr>
                <w:rFonts w:hint="eastAsia" w:ascii="仿宋_GB2312" w:hAnsi="宋体" w:eastAsia="仿宋_GB2312"/>
                <w:color w:val="auto"/>
                <w:sz w:val="28"/>
                <w:szCs w:val="28"/>
                <w:lang w:val="en-US" w:eastAsia="zh-CN"/>
              </w:rPr>
              <w:t>机电</w:t>
            </w:r>
            <w:r>
              <w:rPr>
                <w:rFonts w:hint="eastAsia" w:ascii="仿宋_GB2312" w:hAnsi="宋体" w:eastAsia="仿宋_GB2312"/>
                <w:color w:val="auto"/>
                <w:sz w:val="28"/>
                <w:szCs w:val="28"/>
              </w:rPr>
              <w:t>工程专业贰级及以上注册建造师执业资格证书和安全生产考核合格证（B证）</w:t>
            </w:r>
            <w:r>
              <w:rPr>
                <w:rFonts w:ascii="仿宋_GB2312" w:hAnsi="宋体" w:eastAsia="仿宋_GB2312"/>
                <w:color w:val="auto"/>
                <w:sz w:val="28"/>
                <w:szCs w:val="28"/>
              </w:rPr>
              <w:t>证书扫描件</w:t>
            </w:r>
            <w:r>
              <w:rPr>
                <w:rFonts w:hint="eastAsia" w:ascii="仿宋_GB2312" w:hAnsi="宋体" w:eastAsia="仿宋_GB2312"/>
                <w:color w:val="auto"/>
                <w:sz w:val="28"/>
                <w:szCs w:val="28"/>
                <w:lang w:eastAsia="zh-CN"/>
              </w:rPr>
              <w:t>；</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5、依法缴纳税收和社会保障资金的声明（格式自拟）；（A）包</w:t>
            </w:r>
          </w:p>
          <w:p w14:paraId="7EDC45B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w:t>
            </w:r>
          </w:p>
          <w:p w14:paraId="2A377B9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3"/>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具有电力工程施工总承包贰级及以上资质，同时具有承装（修、饰）四级及以上资质</w:t>
      </w:r>
      <w:r>
        <w:rPr>
          <w:rFonts w:hint="eastAsia" w:ascii="仿宋_GB2312" w:hAnsi="宋体" w:eastAsia="仿宋_GB2312"/>
          <w:color w:val="auto"/>
          <w:sz w:val="28"/>
          <w:szCs w:val="28"/>
        </w:rPr>
        <w:t>扫描件；</w:t>
      </w:r>
      <w:r>
        <w:rPr>
          <w:rFonts w:ascii="仿宋_GB2312" w:hAnsi="宋体" w:eastAsia="仿宋_GB2312"/>
          <w:color w:val="auto"/>
          <w:sz w:val="28"/>
          <w:szCs w:val="28"/>
        </w:rPr>
        <w:t>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机电</w:t>
      </w:r>
      <w:r>
        <w:rPr>
          <w:rFonts w:hint="eastAsia" w:ascii="仿宋_GB2312" w:hAnsi="宋体" w:eastAsia="仿宋_GB2312"/>
          <w:color w:val="auto"/>
          <w:sz w:val="28"/>
          <w:szCs w:val="28"/>
        </w:rPr>
        <w:t>工程专业贰级及以上注册建造师执业资格证书和安全生产考核合格证（B证）证书扫描件。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8"/>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重卡充电建设工程</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WHJX-ZB-2026-021</w:t>
      </w:r>
    </w:p>
    <w:p w14:paraId="2112C9A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根据“十五五” 规划纲要草案突出低碳发展要求，将零碳园区、零碳运输走廊建设作为重点任务，明确提出要推动交通动力低碳替代，提升重点领域用能效率。乳山口港区集疏运车辆中新能源汽车占比逐年提升，但充电设施仍是空白，导致新能源货运车辆需往返市区充电，增加物流成本与时间成本，与 “智慧绿色港口” 建设目标存在差距。加快充电桩建设，是补齐港口基础设施短板、提升综合服务能力的关键举措。经综合考虑，公司计划在乳山港5#6#泊位工程规划的停车区建设10套大功率充电桩，</w:t>
      </w:r>
      <w:r>
        <w:rPr>
          <w:rFonts w:hint="eastAsia" w:ascii="仿宋_GB2312" w:hAnsi="宋体" w:eastAsia="仿宋_GB2312"/>
          <w:color w:val="auto"/>
          <w:sz w:val="28"/>
          <w:szCs w:val="21"/>
          <w:lang w:val="en-US" w:eastAsia="zh-CN"/>
        </w:rPr>
        <w:t>详见工程量清单</w:t>
      </w:r>
      <w:r>
        <w:rPr>
          <w:rFonts w:hint="eastAsia" w:ascii="仿宋_GB2312" w:hAnsi="宋体" w:eastAsia="仿宋_GB2312"/>
          <w:color w:val="auto"/>
          <w:sz w:val="28"/>
          <w:szCs w:val="21"/>
          <w:lang w:eastAsia="zh-CN"/>
        </w:rPr>
        <w:t>。</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FE648A0">
      <w:pPr>
        <w:pStyle w:val="60"/>
        <w:spacing w:line="560" w:lineRule="exact"/>
        <w:ind w:firstLine="560"/>
        <w:rPr>
          <w:rFonts w:ascii="仿宋_GB2312" w:hAnsi="宋体" w:eastAsia="仿宋_GB2312"/>
          <w:color w:val="auto"/>
        </w:rPr>
      </w:pPr>
      <w:r>
        <w:rPr>
          <w:rFonts w:hint="eastAsia" w:ascii="仿宋_GB2312" w:hAnsi="宋体" w:eastAsia="仿宋_GB2312"/>
          <w:color w:val="auto"/>
        </w:rPr>
        <w:t>采购标的需实现的功能或者目标：【</w:t>
      </w:r>
      <w:r>
        <w:rPr>
          <w:rFonts w:hint="eastAsia" w:ascii="仿宋_GB2312" w:hAnsi="宋体" w:eastAsia="仿宋_GB2312"/>
          <w:color w:val="auto"/>
          <w:szCs w:val="21"/>
          <w:lang w:eastAsia="zh-CN"/>
        </w:rPr>
        <w:t>重卡充电建设工程</w:t>
      </w:r>
      <w:r>
        <w:rPr>
          <w:rFonts w:hint="eastAsia" w:ascii="仿宋_GB2312" w:hAnsi="宋体" w:eastAsia="仿宋_GB2312"/>
          <w:color w:val="auto"/>
        </w:rPr>
        <w:t>】</w:t>
      </w: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0"/>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1760524.43</w:t>
      </w:r>
      <w:r>
        <w:rPr>
          <w:rFonts w:hint="eastAsia" w:ascii="仿宋_GB2312" w:hAnsi="宋体" w:eastAsia="仿宋_GB2312"/>
          <w:color w:val="auto"/>
        </w:rPr>
        <w:t>元。</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0"/>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4"/>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0"/>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重卡充电建设工程</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ascii="仿宋_GB2312" w:hAnsi="宋体" w:eastAsia="仿宋_GB2312"/>
                <w:color w:val="auto"/>
                <w:sz w:val="24"/>
              </w:rPr>
              <w:t>根据“十五五” 规划纲要草案突出低碳发展要求，将零碳园区、零碳运输走廊建设作为重点任务，明确提出要推动交通动力低碳替代，提升重点领域用能效率。乳山口港区集疏运车辆中新能源汽车占比逐年提升，但充电设施仍是空白，导致新能源货运车辆需往返市区充电，增加物流成本与时间成本，与 “智慧绿色港口” 建设目标存在差距。加快充电桩建设，是补齐港口基础设施短板、提升综合服务能力的关键举措。经综合考虑，公司计划在乳山港5#6#泊位工程规划的停车区建设10套大功率充电桩</w:t>
            </w:r>
            <w:r>
              <w:rPr>
                <w:rFonts w:hint="eastAsia" w:ascii="仿宋_GB2312" w:hAnsi="宋体" w:eastAsia="仿宋_GB2312"/>
                <w:color w:val="auto"/>
                <w:sz w:val="24"/>
                <w:lang w:eastAsia="zh-CN"/>
              </w:rPr>
              <w:t>，详见工程量清单。</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工期：30天</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项目无预付款，项目完工验收合格后支付到合同金额的50%，结算后支付到结算价款的70%，剩余30%自审计报告出具之日起按照每年结算价的10%支付。</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质保期：三年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83D51E4">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五、其他技术及服务要求</w:t>
      </w:r>
    </w:p>
    <w:p w14:paraId="1DD13CDF">
      <w:pPr>
        <w:spacing w:line="560" w:lineRule="exact"/>
        <w:ind w:firstLine="643" w:firstLineChars="200"/>
        <w:jc w:val="center"/>
        <w:rPr>
          <w:rFonts w:ascii="仿宋_GB2312" w:hAnsi="宋体" w:eastAsia="仿宋_GB2312"/>
          <w:b/>
          <w:bCs/>
          <w:color w:val="auto"/>
          <w:sz w:val="32"/>
          <w:szCs w:val="32"/>
        </w:rPr>
      </w:pPr>
    </w:p>
    <w:p w14:paraId="6FB3A61D">
      <w:pPr>
        <w:spacing w:line="560" w:lineRule="exact"/>
        <w:ind w:firstLine="643" w:firstLineChars="200"/>
        <w:jc w:val="center"/>
        <w:rPr>
          <w:rFonts w:hint="eastAsia" w:ascii="仿宋_GB2312" w:hAnsi="宋体" w:eastAsia="仿宋_GB2312"/>
          <w:b/>
          <w:bCs/>
          <w:color w:val="auto"/>
          <w:sz w:val="32"/>
          <w:szCs w:val="32"/>
        </w:rPr>
      </w:pPr>
    </w:p>
    <w:p w14:paraId="61570BC6">
      <w:pPr>
        <w:spacing w:line="560" w:lineRule="exact"/>
        <w:ind w:firstLine="640" w:firstLineChars="200"/>
        <w:jc w:val="center"/>
        <w:rPr>
          <w:rFonts w:ascii="仿宋_GB2312" w:hAnsi="宋体" w:eastAsia="仿宋_GB2312"/>
          <w:b w:val="0"/>
          <w:bCs w:val="0"/>
          <w:color w:val="auto"/>
          <w:sz w:val="32"/>
          <w:szCs w:val="32"/>
        </w:rPr>
      </w:pPr>
      <w:r>
        <w:rPr>
          <w:rFonts w:hint="eastAsia" w:ascii="仿宋_GB2312" w:hAnsi="宋体" w:eastAsia="仿宋_GB2312"/>
          <w:b w:val="0"/>
          <w:bCs w:val="0"/>
          <w:color w:val="auto"/>
          <w:sz w:val="32"/>
          <w:szCs w:val="32"/>
          <w:highlight w:val="none"/>
        </w:rPr>
        <w:t>工程清单编制说明</w:t>
      </w:r>
    </w:p>
    <w:p w14:paraId="096F5779">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一、工程概况：</w:t>
      </w:r>
    </w:p>
    <w:p w14:paraId="53C261D6">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1、工程名称：港务集团重卡充电建设工程。</w:t>
      </w:r>
    </w:p>
    <w:p w14:paraId="6E078991">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2、工程位置：乳山口港。</w:t>
      </w:r>
    </w:p>
    <w:p w14:paraId="089FEAB4">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3、工程内容：安装1台1600KVA箱变、1台1600KVA环网箱变，箱变基础浇筑；高压电缆采用穿管埋地敷设，管道采用非开挖；安装10台400KW充电桩，电缆桥架内敷设，充电桩基础浇筑等。具体内容见技术资料。</w:t>
      </w:r>
    </w:p>
    <w:p w14:paraId="41477DDE">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二、编制范围：</w:t>
      </w:r>
    </w:p>
    <w:p w14:paraId="2C19110A">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安装1台1600KVA箱变、1台1600KVA环网箱变，箱变基础浇筑；高压电缆采用穿管埋地敷设，管道采用非开挖；安装10台400KW充电桩，电缆桥架内敷设，充电桩基础浇筑等</w:t>
      </w:r>
    </w:p>
    <w:p w14:paraId="7D299464">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三、编制依据：</w:t>
      </w:r>
    </w:p>
    <w:p w14:paraId="42BC0B66">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1、《山东省建设工程工程量清单计价规则》（2024）；</w:t>
      </w:r>
    </w:p>
    <w:p w14:paraId="309D01B5">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2、《山东省建设工程费用项目组成及计算规则》鲁建标字【2016】40号文及其配套价目表；</w:t>
      </w:r>
    </w:p>
    <w:p w14:paraId="5265ECED">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4、建设单位提供的图纸、做法及建设单位的相关说明等；</w:t>
      </w:r>
    </w:p>
    <w:p w14:paraId="3924CF40">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5、与建设项目相关的标准设计图集、规范、技术资料等。</w:t>
      </w:r>
    </w:p>
    <w:p w14:paraId="55DE8540">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四、说明事项：</w:t>
      </w:r>
    </w:p>
    <w:p w14:paraId="121670D1">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投标单位参与投标视为已考察工程现场，对现场情况（包括工地位置情况、道路、存贮空间、装运限制及任何其他足以影响报价的情况）已较为了解和充分预计，并能根据已了解情况合理组织完成施工。现场原有工程的实际情况（包括与其他专业施工单位交接过程中的各种因素）视为在报价中已充分考虑，任何因忽视或误解工地情况而导致的索赔或工期延长将不被批准。</w:t>
      </w:r>
    </w:p>
    <w:p w14:paraId="2EFC8FEE">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2、所有清单综合单价应含其子目的全部工作内容的费用（与图纸和技术要求不一致、特别注明的除外），对不予计量的工作内容，其费用应视为已分摊在综合单价或总价之中。</w:t>
      </w:r>
    </w:p>
    <w:p w14:paraId="2FFBC38B">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3、投标单位在投标报价时，应根据企业自身实力结合市场信息，充分考虑市场竞争因素和市场风险进行自主报价。</w:t>
      </w:r>
    </w:p>
    <w:p w14:paraId="6E932C99">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4、工程量清单计价表中的综合单价应包括完成本项目（清单子目）内容所需的人工费、材料费、机械使用费、制作费、运输费、安装费、管理费、利润、自主报价材料的采保费、损耗等，并考虑风险因素，以及为完成本工程项目（清单子目）的施工所发生于该工程施工前和施工过程中技术、生活、安全等方面的非工程实体项目费用，以及招标文件和合同中明确的其他责任和义务。</w:t>
      </w:r>
    </w:p>
    <w:p w14:paraId="6A7EA1B9">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5、投标单位应详细填写工程量清单计价表中的每一项综合单价及合价，如某一项没有填写视为已包括在其它项目清单的综合单价及总价内。</w:t>
      </w:r>
    </w:p>
    <w:p w14:paraId="04CD55D5">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6、投标单位必须完成所有按国家相关法律法规、行业规范等文件要求的检验、检测和验收工作；由此产生的费用投标单位在报价时须予以考虑，结算时不增加此部分费用。</w:t>
      </w:r>
    </w:p>
    <w:p w14:paraId="53A316B2">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7、工程施工中，为保证工程质量，施工单位自行采取的施工工艺、施工措施项目，均由投标单位在报价时自行考虑，结算时不增加此部分费用。</w:t>
      </w:r>
    </w:p>
    <w:p w14:paraId="1548D035">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8、所有材料均应选用符合国标的产品，在投标文件中注明选用材料的品牌，所有由投标单位自主报价的材料，采购前中标单位均须提供样品，经招标人同意后方可使用；若中标单位提供的样品不符合招标文件的质量档次要求，招标人有权指定供应商，一切费用由中标单位承担。</w:t>
      </w:r>
    </w:p>
    <w:p w14:paraId="2FE85694">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9、工程量清单中的工作内容和项目特征描述，均为分部分项清单项目的主要内容。若有未列全的其他内容由投标单位按照招标文件、设计图纸、规范等资料要求综合考虑；设计及规范等资料未明确的由投标单位根据现场考察、施工经验和相关资料综合考虑；或于答疑前书面提出，在答疑时统一解决。所有分部分项工程量清单均以完成该清单项目的所有内容为准考虑到综合报价中，结算时不予调整。结算时对清单特征描述中未施工的部分予以相应的扣除。</w:t>
      </w:r>
    </w:p>
    <w:p w14:paraId="49E4147E">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10、图纸与清单不符的以清单为准，清单未注明的以图纸为准。</w:t>
      </w:r>
    </w:p>
    <w:p w14:paraId="6F5988BA">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11、清单单价中，应综合考虑施工现场非正常施工因素增加的费用。</w:t>
      </w:r>
    </w:p>
    <w:p w14:paraId="2BDA4B99">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12、本工程用混凝土均按商品砼考虑，砂浆按散装干拌考虑。</w:t>
      </w:r>
    </w:p>
    <w:p w14:paraId="2E0F09D0">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13、材料搬运、卫生清理、垂直运输等零星费用均由投标单位在报价时自行考虑，分别包含在各个相应清单的综合单价中，结算时无论何种情况均不调整。</w:t>
      </w:r>
    </w:p>
    <w:p w14:paraId="0B9257F2">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14、若投标人有不平衡报价的单项产生了做法或材质变更，结算价格以清单控制价的单价为基准来调差。</w:t>
      </w:r>
    </w:p>
    <w:p w14:paraId="66A4A5A8">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15、变更导致实际完成的工程量超过已标价工程量清单工程量15％的，招标人有权将实际完成的工程量超过已标价工程量清单工程量15％以外部分单价重新组价。</w:t>
      </w:r>
    </w:p>
    <w:p w14:paraId="0A0B1588">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16、本工程量清单按增值税一般计税模式编制。</w:t>
      </w:r>
    </w:p>
    <w:p w14:paraId="084F02E5">
      <w:pPr>
        <w:spacing w:line="560" w:lineRule="exact"/>
        <w:ind w:firstLine="560" w:firstLineChars="200"/>
        <w:rPr>
          <w:rFonts w:hint="eastAsia" w:ascii="黑体" w:hAnsi="黑体" w:eastAsia="黑体"/>
          <w:b w:val="0"/>
          <w:bCs w:val="0"/>
          <w:color w:val="auto"/>
          <w:sz w:val="28"/>
          <w:szCs w:val="21"/>
        </w:rPr>
      </w:pPr>
      <w:r>
        <w:rPr>
          <w:rFonts w:hint="eastAsia" w:ascii="黑体" w:hAnsi="黑体" w:eastAsia="黑体"/>
          <w:b w:val="0"/>
          <w:bCs w:val="0"/>
          <w:color w:val="auto"/>
          <w:sz w:val="28"/>
          <w:szCs w:val="21"/>
        </w:rPr>
        <w:t>17、此次清单表格仅供参考，以投标系统自动生成的表格为准。若有疑问按规定提出答疑。</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乳山市港务集团有限公司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乳山市乳山口镇旗杆石村</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于龙飞</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0631-6762070</w:t>
      </w:r>
    </w:p>
    <w:p w14:paraId="3D2CA1E8">
      <w:pPr>
        <w:rPr>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744C065D">
      <w:pPr>
        <w:pStyle w:val="28"/>
        <w:spacing w:before="100" w:beforeAutospacing="1" w:after="100" w:afterAutospacing="1" w:line="415" w:lineRule="auto"/>
        <w:rPr>
          <w:rFonts w:ascii="宋体" w:hAnsi="宋体" w:cs="宋体"/>
          <w:color w:val="auto"/>
          <w:sz w:val="44"/>
          <w:szCs w:val="44"/>
        </w:rPr>
      </w:pPr>
      <w:bookmarkStart w:id="555" w:name="_GoBack"/>
      <w:bookmarkEnd w:id="555"/>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0"/>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2</w:t>
            </w:r>
          </w:p>
        </w:tc>
        <w:tc>
          <w:tcPr>
            <w:tcW w:w="773" w:type="dxa"/>
            <w:vAlign w:val="center"/>
          </w:tcPr>
          <w:p w14:paraId="445E2ED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4CD7B2F">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1、投标人的报价超过采购控制价，作无效报价处理。</w:t>
            </w:r>
          </w:p>
          <w:p w14:paraId="69FBA8BE">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2、报价与评标基准价一致的，得最高分60分；</w:t>
            </w:r>
          </w:p>
          <w:p w14:paraId="768565B9">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在评标基准价以上，每提高一个百分点，在</w:t>
            </w:r>
            <w:r>
              <w:rPr>
                <w:rFonts w:ascii="仿宋_GB2312" w:hAnsi="宋体" w:eastAsia="仿宋_GB2312"/>
                <w:color w:val="auto"/>
                <w:sz w:val="24"/>
                <w:szCs w:val="24"/>
              </w:rPr>
              <w:t>60分基础上减0.1分；</w:t>
            </w:r>
          </w:p>
          <w:p w14:paraId="769C6F34">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在评标基准价以下，每减少一个百分点，在</w:t>
            </w:r>
            <w:r>
              <w:rPr>
                <w:rFonts w:ascii="仿宋_GB2312" w:hAnsi="宋体" w:eastAsia="仿宋_GB2312"/>
                <w:color w:val="auto"/>
                <w:sz w:val="24"/>
                <w:szCs w:val="24"/>
              </w:rPr>
              <w:t>60分的基础上减0.1分，扣完为止。</w:t>
            </w:r>
          </w:p>
          <w:p w14:paraId="6A63079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不足</w:t>
            </w:r>
            <w:r>
              <w:rPr>
                <w:rFonts w:ascii="仿宋_GB2312" w:hAnsi="宋体" w:eastAsia="仿宋_GB2312"/>
                <w:color w:val="auto"/>
                <w:sz w:val="24"/>
                <w:szCs w:val="24"/>
              </w:rPr>
              <w:t>1％，内插。报价分值计算保留小数点后两位。</w:t>
            </w:r>
          </w:p>
          <w:p w14:paraId="7427F743">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评标基准价计算方法</w:t>
            </w:r>
            <w:r>
              <w:rPr>
                <w:rFonts w:ascii="仿宋_GB2312" w:hAnsi="宋体" w:eastAsia="仿宋_GB2312"/>
                <w:color w:val="auto"/>
                <w:sz w:val="24"/>
                <w:szCs w:val="24"/>
              </w:rPr>
              <w:t>:</w:t>
            </w:r>
          </w:p>
          <w:p w14:paraId="3C45AE64">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当n（有效投标人个数，以下相同）＜5时，评标基准价=所有报价价的算术平均值；</w:t>
            </w:r>
          </w:p>
          <w:p w14:paraId="583FFF47">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当5≤n＜9时，评标基准价=所有报价中去掉1个最高价、1个最低价后的算术平均值；</w:t>
            </w:r>
          </w:p>
          <w:p w14:paraId="2A31358A">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当n≥9时，</w:t>
            </w:r>
            <w:r>
              <w:rPr>
                <w:rFonts w:hint="eastAsia" w:ascii="仿宋_GB2312" w:hAnsi="宋体" w:eastAsia="仿宋_GB2312"/>
                <w:color w:val="auto"/>
                <w:sz w:val="24"/>
                <w:szCs w:val="24"/>
              </w:rPr>
              <w:t>评标基准价</w:t>
            </w:r>
            <w:r>
              <w:rPr>
                <w:rFonts w:ascii="仿宋_GB2312" w:hAnsi="宋体" w:eastAsia="仿宋_GB2312"/>
                <w:color w:val="auto"/>
                <w:sz w:val="24"/>
                <w:szCs w:val="24"/>
              </w:rPr>
              <w:t>=所有报价中去掉2个最高价、2个最低价后的算术平均值。</w:t>
            </w:r>
          </w:p>
        </w:tc>
        <w:tc>
          <w:tcPr>
            <w:tcW w:w="1026" w:type="dxa"/>
            <w:vAlign w:val="center"/>
          </w:tcPr>
          <w:p w14:paraId="3CDFB471">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60</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7958BAB9">
            <w:pPr>
              <w:pStyle w:val="11"/>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1"/>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项目经理为机电工程专业贰级及以上注册建造师执业资格；其他关键岗位管理人员[包括施工员、专职安全员、材料员、资料员、质检员]配备齐全，得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10</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4</w:t>
            </w:r>
          </w:p>
        </w:tc>
        <w:tc>
          <w:tcPr>
            <w:tcW w:w="773" w:type="dxa"/>
            <w:vAlign w:val="center"/>
          </w:tcPr>
          <w:p w14:paraId="7C5B147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5</w:t>
            </w:r>
          </w:p>
        </w:tc>
        <w:tc>
          <w:tcPr>
            <w:tcW w:w="773" w:type="dxa"/>
            <w:vAlign w:val="center"/>
          </w:tcPr>
          <w:p w14:paraId="3B1F29AF">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6</w:t>
            </w:r>
          </w:p>
        </w:tc>
        <w:tc>
          <w:tcPr>
            <w:tcW w:w="773" w:type="dxa"/>
            <w:vAlign w:val="center"/>
          </w:tcPr>
          <w:p w14:paraId="60EFB9A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7</w:t>
            </w:r>
          </w:p>
        </w:tc>
        <w:tc>
          <w:tcPr>
            <w:tcW w:w="773" w:type="dxa"/>
            <w:vAlign w:val="center"/>
          </w:tcPr>
          <w:p w14:paraId="74D7270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8</w:t>
            </w:r>
          </w:p>
        </w:tc>
        <w:tc>
          <w:tcPr>
            <w:tcW w:w="773" w:type="dxa"/>
            <w:vAlign w:val="center"/>
          </w:tcPr>
          <w:p w14:paraId="3CB691B0">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9</w:t>
            </w:r>
          </w:p>
        </w:tc>
        <w:tc>
          <w:tcPr>
            <w:tcW w:w="773" w:type="dxa"/>
            <w:vAlign w:val="center"/>
          </w:tcPr>
          <w:p w14:paraId="6E9FD556">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10</w:t>
            </w:r>
          </w:p>
        </w:tc>
        <w:tc>
          <w:tcPr>
            <w:tcW w:w="773" w:type="dxa"/>
            <w:vAlign w:val="center"/>
          </w:tcPr>
          <w:p w14:paraId="3C0A03F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11</w:t>
            </w:r>
          </w:p>
        </w:tc>
        <w:tc>
          <w:tcPr>
            <w:tcW w:w="773" w:type="dxa"/>
            <w:vAlign w:val="center"/>
          </w:tcPr>
          <w:p w14:paraId="2EBB37B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12</w:t>
            </w:r>
          </w:p>
        </w:tc>
        <w:tc>
          <w:tcPr>
            <w:tcW w:w="773" w:type="dxa"/>
            <w:vAlign w:val="center"/>
          </w:tcPr>
          <w:p w14:paraId="16A8C33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13</w:t>
            </w:r>
          </w:p>
        </w:tc>
        <w:tc>
          <w:tcPr>
            <w:tcW w:w="773" w:type="dxa"/>
            <w:vAlign w:val="center"/>
          </w:tcPr>
          <w:p w14:paraId="6B2C73C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08B8DECA">
      <w:pPr>
        <w:spacing w:line="520" w:lineRule="exact"/>
        <w:ind w:firstLine="420" w:firstLineChars="200"/>
        <w:rPr>
          <w:rFonts w:ascii="仿宋_GB2312" w:hAnsi="宋体" w:eastAsia="仿宋_GB2312"/>
          <w:color w:val="auto"/>
          <w:szCs w:val="21"/>
        </w:rPr>
      </w:pPr>
    </w:p>
    <w:p w14:paraId="499F5964">
      <w:pPr>
        <w:spacing w:line="520" w:lineRule="exact"/>
        <w:ind w:firstLine="420" w:firstLineChars="200"/>
        <w:rPr>
          <w:rFonts w:ascii="仿宋_GB2312" w:hAnsi="宋体" w:eastAsia="仿宋_GB2312"/>
          <w:color w:val="auto"/>
          <w:szCs w:val="21"/>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重卡充电建设工程</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WHJX-ZB-2026-021</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WHJX-ZB-2026-021</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重卡充电建设工程</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WHJX-ZB-2026-021</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乳山市港务集团有限公司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重卡充电建设工程</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0"/>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3CE5F688">
      <w:pPr>
        <w:keepNext/>
        <w:keepLines/>
        <w:spacing w:before="120" w:after="120" w:line="560" w:lineRule="exact"/>
        <w:jc w:val="center"/>
        <w:outlineLvl w:val="2"/>
        <w:rPr>
          <w:rFonts w:ascii="黑体" w:hAnsi="黑体" w:eastAsia="黑体"/>
          <w:color w:val="auto"/>
          <w:sz w:val="32"/>
          <w:szCs w:val="32"/>
        </w:rPr>
      </w:pPr>
      <w:r>
        <w:rPr>
          <w:color w:val="auto"/>
        </w:rPr>
        <w:br w:type="page"/>
      </w:r>
      <w:r>
        <w:rPr>
          <w:rFonts w:hint="eastAsia" w:ascii="黑体" w:hAnsi="黑体" w:eastAsia="黑体"/>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0"/>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6"/>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WHJX-ZB-2026-021</w:t>
      </w:r>
    </w:p>
    <w:p w14:paraId="5C077C3F">
      <w:pPr>
        <w:pStyle w:val="29"/>
        <w:rPr>
          <w:rFonts w:ascii="仿宋_GB2312" w:eastAsia="仿宋_GB2312"/>
          <w:color w:val="auto"/>
        </w:rPr>
      </w:pPr>
    </w:p>
    <w:p w14:paraId="26367047">
      <w:pPr>
        <w:pStyle w:val="29"/>
        <w:rPr>
          <w:rFonts w:ascii="仿宋_GB2312" w:eastAsia="仿宋_GB2312"/>
          <w:color w:val="auto"/>
        </w:rPr>
      </w:pPr>
    </w:p>
    <w:p w14:paraId="117E2325">
      <w:pPr>
        <w:pStyle w:val="29"/>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重卡充电建设工程</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29"/>
        <w:rPr>
          <w:rFonts w:ascii="仿宋_GB2312" w:eastAsia="仿宋_GB2312"/>
          <w:color w:val="auto"/>
        </w:rPr>
      </w:pPr>
    </w:p>
    <w:p w14:paraId="41FDF64C">
      <w:pPr>
        <w:pStyle w:val="29"/>
        <w:rPr>
          <w:rFonts w:ascii="仿宋_GB2312" w:eastAsia="仿宋_GB2312"/>
          <w:color w:val="auto"/>
        </w:rPr>
      </w:pPr>
    </w:p>
    <w:p w14:paraId="46DE9514">
      <w:pPr>
        <w:pStyle w:val="29"/>
        <w:rPr>
          <w:rFonts w:ascii="仿宋_GB2312" w:eastAsia="仿宋_GB2312"/>
          <w:color w:val="auto"/>
        </w:rPr>
      </w:pPr>
    </w:p>
    <w:p w14:paraId="640A0771">
      <w:pPr>
        <w:pStyle w:val="29"/>
        <w:rPr>
          <w:rFonts w:ascii="仿宋_GB2312" w:eastAsia="仿宋_GB2312"/>
          <w:color w:val="auto"/>
        </w:rPr>
      </w:pPr>
    </w:p>
    <w:p w14:paraId="6FCC5875">
      <w:pPr>
        <w:pStyle w:val="29"/>
        <w:rPr>
          <w:rFonts w:ascii="仿宋_GB2312" w:eastAsia="仿宋_GB2312"/>
          <w:color w:val="auto"/>
        </w:rPr>
      </w:pPr>
    </w:p>
    <w:p w14:paraId="0D6A7B9D">
      <w:pPr>
        <w:pStyle w:val="29"/>
        <w:rPr>
          <w:rFonts w:ascii="仿宋_GB2312" w:eastAsia="仿宋_GB2312"/>
          <w:color w:val="auto"/>
        </w:rPr>
      </w:pPr>
    </w:p>
    <w:p w14:paraId="4914FA4B">
      <w:pPr>
        <w:pStyle w:val="29"/>
        <w:rPr>
          <w:rFonts w:ascii="仿宋_GB2312" w:eastAsia="仿宋_GB2312"/>
          <w:color w:val="auto"/>
        </w:rPr>
      </w:pPr>
    </w:p>
    <w:p w14:paraId="44D2FB4B">
      <w:pPr>
        <w:pStyle w:val="29"/>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乳山市港务集团有限公司</w:t>
      </w:r>
    </w:p>
    <w:p w14:paraId="17C35095">
      <w:pPr>
        <w:pStyle w:val="29"/>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29"/>
        <w:rPr>
          <w:rFonts w:ascii="仿宋_GB2312" w:hAnsi="宋体" w:eastAsia="仿宋_GB2312"/>
          <w:color w:val="auto"/>
        </w:rPr>
      </w:pPr>
    </w:p>
    <w:p w14:paraId="33CF68A3">
      <w:pPr>
        <w:pStyle w:val="29"/>
        <w:rPr>
          <w:rFonts w:ascii="仿宋_GB2312" w:hAnsi="宋体" w:eastAsia="仿宋_GB2312"/>
          <w:color w:val="auto"/>
        </w:rPr>
      </w:pPr>
    </w:p>
    <w:p w14:paraId="36EE10EE">
      <w:pPr>
        <w:pStyle w:val="29"/>
        <w:rPr>
          <w:rFonts w:ascii="仿宋_GB2312" w:hAnsi="宋体" w:eastAsia="仿宋_GB2312"/>
          <w:color w:val="auto"/>
        </w:rPr>
      </w:pPr>
    </w:p>
    <w:p w14:paraId="660C3A86">
      <w:pPr>
        <w:pStyle w:val="29"/>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4"/>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乳山市港务集团有限公司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港务集团重卡充电建设工程</w:t>
      </w:r>
      <w:r>
        <w:rPr>
          <w:rFonts w:hint="eastAsia" w:ascii="仿宋" w:hAnsi="仿宋" w:eastAsia="仿宋" w:cs="仿宋"/>
          <w:color w:val="auto"/>
          <w:sz w:val="28"/>
          <w:szCs w:val="24"/>
        </w:rPr>
        <w:t>及有关事项协商一致，共同达成如下协议：</w:t>
      </w:r>
    </w:p>
    <w:p w14:paraId="4CCF8035">
      <w:pPr>
        <w:pStyle w:val="5"/>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港务集团重卡充电建设工程</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1A07BD41">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根据“十五五” 规划纲要草案突出低碳发展要求，将零碳园区、零碳运输走廊建设作为重点任务，明确提出要推动交通动力低碳替代，提升重点领域用能效率。乳山口港区集疏运车辆中新能源汽车占比逐年提升，但充电设施仍是空白，导致新能源货运车辆需往返市区充电，增加物流成本与时间成本，与 “智慧绿色港口” 建设目标存在差距。加快充电桩建设，是补齐港口基础设施短板、提升综合服务能力的关键举措。</w:t>
      </w:r>
    </w:p>
    <w:p w14:paraId="23B108A9">
      <w:pPr>
        <w:spacing w:line="56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lang w:val="en-US" w:eastAsia="zh-CN"/>
        </w:rPr>
        <w:t>经综合考虑，公司计划在乳山港5#6#泊位工程规划的停车区建设10套大功率充电桩</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5"/>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5"/>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5"/>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5"/>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5"/>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5"/>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5"/>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5"/>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5"/>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5"/>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乳山市港务集团有限公司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4"/>
        <w:spacing w:line="440" w:lineRule="exact"/>
        <w:ind w:firstLine="2554" w:firstLineChars="795"/>
        <w:rPr>
          <w:rFonts w:ascii="仿宋" w:hAnsi="仿宋" w:eastAsia="仿宋" w:cs="仿宋"/>
          <w:color w:val="auto"/>
        </w:rPr>
      </w:pPr>
      <w:bookmarkStart w:id="14" w:name="_Toc351203494"/>
      <w:bookmarkStart w:id="15" w:name="_Toc11188081"/>
      <w:bookmarkStart w:id="16" w:name="_Toc30214"/>
      <w:bookmarkStart w:id="17" w:name="_Toc29007"/>
      <w:bookmarkStart w:id="18" w:name="_Toc384733604"/>
      <w:r>
        <w:rPr>
          <w:rFonts w:hint="eastAsia" w:ascii="仿宋" w:hAnsi="仿宋" w:eastAsia="仿宋" w:cs="仿宋"/>
          <w:color w:val="auto"/>
        </w:rPr>
        <w:t>第二部分 通用合同条款</w:t>
      </w:r>
      <w:bookmarkEnd w:id="14"/>
    </w:p>
    <w:bookmarkEnd w:id="15"/>
    <w:bookmarkEnd w:id="16"/>
    <w:bookmarkEnd w:id="17"/>
    <w:bookmarkEnd w:id="18"/>
    <w:p w14:paraId="7C4E795A">
      <w:pPr>
        <w:pStyle w:val="4"/>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25666"/>
      <w:bookmarkStart w:id="20" w:name="_Toc384733605"/>
      <w:bookmarkStart w:id="21" w:name="_Toc8295"/>
      <w:bookmarkStart w:id="22" w:name="_Toc11188082"/>
      <w:r>
        <w:rPr>
          <w:rFonts w:ascii="仿宋" w:hAnsi="仿宋" w:eastAsia="仿宋" w:cs="仿宋"/>
          <w:b/>
          <w:bCs/>
          <w:color w:val="auto"/>
          <w:szCs w:val="21"/>
        </w:rPr>
        <w:br w:type="page"/>
      </w:r>
    </w:p>
    <w:p w14:paraId="4FE5EB34">
      <w:pPr>
        <w:pStyle w:val="4"/>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5"/>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2559361"/>
      <w:bookmarkStart w:id="25" w:name="_Toc296347155"/>
      <w:bookmarkStart w:id="26" w:name="_Toc292559866"/>
      <w:bookmarkStart w:id="27" w:name="_Toc296891196"/>
      <w:bookmarkStart w:id="28" w:name="_Toc296944495"/>
      <w:bookmarkStart w:id="29" w:name="_Toc297048342"/>
      <w:bookmarkStart w:id="30" w:name="_Toc296890984"/>
      <w:bookmarkStart w:id="31" w:name="_Toc297120456"/>
      <w:bookmarkStart w:id="32" w:name="_Toc296503156"/>
      <w:bookmarkStart w:id="33" w:name="_Toc296346657"/>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00934943"/>
      <w:bookmarkStart w:id="35" w:name="_Toc312677986"/>
      <w:bookmarkStart w:id="36" w:name="_Toc304295521"/>
      <w:bookmarkStart w:id="37" w:name="_Toc303539100"/>
      <w:bookmarkStart w:id="38" w:name="_Toc318581155"/>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12677987"/>
      <w:bookmarkStart w:id="40" w:name="_Toc304295522"/>
      <w:bookmarkStart w:id="41" w:name="_Toc303539101"/>
      <w:bookmarkStart w:id="42" w:name="_Toc318581156"/>
      <w:bookmarkStart w:id="43" w:name="_Toc300934944"/>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5"/>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944496"/>
      <w:bookmarkStart w:id="47" w:name="_Toc292559867"/>
      <w:bookmarkStart w:id="48" w:name="_Toc297048343"/>
      <w:bookmarkStart w:id="49" w:name="_Toc296347156"/>
      <w:bookmarkStart w:id="50" w:name="_Toc296890985"/>
      <w:bookmarkStart w:id="51" w:name="_Toc296891197"/>
      <w:bookmarkStart w:id="52" w:name="_Toc292559362"/>
      <w:bookmarkStart w:id="53" w:name="_Toc297120457"/>
      <w:bookmarkStart w:id="54" w:name="_Toc296503157"/>
      <w:bookmarkStart w:id="55" w:name="_Toc296346658"/>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5"/>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2559868"/>
      <w:bookmarkStart w:id="58" w:name="_Toc296346659"/>
      <w:bookmarkStart w:id="59" w:name="_Toc292559363"/>
      <w:bookmarkStart w:id="60" w:name="_Toc296891198"/>
      <w:bookmarkStart w:id="61" w:name="_Toc296347157"/>
      <w:bookmarkStart w:id="62" w:name="_Toc296944497"/>
      <w:bookmarkStart w:id="63" w:name="_Toc296503158"/>
      <w:bookmarkStart w:id="64" w:name="_Toc297048344"/>
      <w:bookmarkStart w:id="65" w:name="_Toc297120458"/>
      <w:bookmarkStart w:id="66" w:name="_Toc296890986"/>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2559869"/>
      <w:bookmarkStart w:id="68" w:name="_Toc296944498"/>
      <w:bookmarkStart w:id="69" w:name="_Toc296891199"/>
      <w:bookmarkStart w:id="70" w:name="_Toc297120459"/>
      <w:bookmarkStart w:id="71" w:name="_Toc312677988"/>
      <w:bookmarkStart w:id="72" w:name="_Toc296503159"/>
      <w:bookmarkStart w:id="73" w:name="_Toc300934945"/>
      <w:bookmarkStart w:id="74" w:name="_Toc303539102"/>
      <w:bookmarkStart w:id="75" w:name="_Toc297216151"/>
      <w:bookmarkStart w:id="76" w:name="_Toc292559364"/>
      <w:bookmarkStart w:id="77" w:name="_Toc296890987"/>
      <w:bookmarkStart w:id="78" w:name="_Toc297123492"/>
      <w:bookmarkStart w:id="79" w:name="_Toc296346660"/>
      <w:bookmarkStart w:id="80" w:name="_Toc297048345"/>
      <w:bookmarkStart w:id="81" w:name="_Toc296347158"/>
      <w:bookmarkStart w:id="82" w:name="_Toc304295523"/>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6347159"/>
      <w:bookmarkStart w:id="84" w:name="_Toc297216152"/>
      <w:bookmarkStart w:id="85" w:name="_Toc296890988"/>
      <w:bookmarkStart w:id="86" w:name="_Toc303539103"/>
      <w:bookmarkStart w:id="87" w:name="_Toc297048346"/>
      <w:bookmarkStart w:id="88" w:name="_Toc292559365"/>
      <w:bookmarkStart w:id="89" w:name="_Toc296944499"/>
      <w:bookmarkStart w:id="90" w:name="_Toc296891200"/>
      <w:bookmarkStart w:id="91" w:name="_Toc296346661"/>
      <w:bookmarkStart w:id="92" w:name="_Toc296503160"/>
      <w:bookmarkStart w:id="93" w:name="_Toc304295524"/>
      <w:bookmarkStart w:id="94" w:name="_Toc292559870"/>
      <w:bookmarkStart w:id="95" w:name="_Toc300934946"/>
      <w:bookmarkStart w:id="96" w:name="_Toc297120460"/>
      <w:bookmarkStart w:id="97" w:name="_Toc297123493"/>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7048347"/>
      <w:bookmarkStart w:id="101" w:name="_Toc296346662"/>
      <w:bookmarkStart w:id="102" w:name="_Toc300934947"/>
      <w:bookmarkStart w:id="103" w:name="_Toc297120461"/>
      <w:bookmarkStart w:id="104" w:name="_Toc296944500"/>
      <w:bookmarkStart w:id="105" w:name="_Toc296890989"/>
      <w:bookmarkStart w:id="106" w:name="_Toc296503161"/>
      <w:bookmarkStart w:id="107" w:name="_Toc304295525"/>
      <w:bookmarkStart w:id="108" w:name="_Toc296347160"/>
      <w:bookmarkStart w:id="109" w:name="_Toc303539104"/>
      <w:bookmarkStart w:id="110" w:name="_Toc296891201"/>
      <w:bookmarkStart w:id="111" w:name="_Toc297123494"/>
      <w:bookmarkStart w:id="112" w:name="_Toc297216153"/>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8581159"/>
      <w:bookmarkStart w:id="114" w:name="_Toc312677990"/>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5"/>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6347161"/>
      <w:bookmarkStart w:id="117" w:name="_Toc296944501"/>
      <w:bookmarkStart w:id="118" w:name="_Toc296503162"/>
      <w:bookmarkStart w:id="119" w:name="_Toc296891202"/>
      <w:bookmarkStart w:id="120" w:name="_Toc296346663"/>
      <w:bookmarkStart w:id="121" w:name="_Toc297048348"/>
      <w:bookmarkStart w:id="122" w:name="_Toc297120462"/>
      <w:bookmarkStart w:id="123" w:name="_Toc267251413"/>
      <w:bookmarkStart w:id="124" w:name="_Toc292559366"/>
      <w:bookmarkStart w:id="125" w:name="_Toc296890990"/>
      <w:bookmarkStart w:id="126" w:name="_Toc292559871"/>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5"/>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2559367"/>
      <w:bookmarkStart w:id="130" w:name="_Toc297048349"/>
      <w:bookmarkStart w:id="131" w:name="_Toc296891203"/>
      <w:bookmarkStart w:id="132" w:name="_Toc292559872"/>
      <w:bookmarkStart w:id="133" w:name="_Toc297120463"/>
      <w:bookmarkStart w:id="134" w:name="_Toc296890991"/>
      <w:bookmarkStart w:id="135" w:name="_Toc296347162"/>
      <w:bookmarkStart w:id="136" w:name="_Toc296944502"/>
      <w:bookmarkStart w:id="137" w:name="_Toc296503163"/>
      <w:bookmarkStart w:id="138" w:name="_Toc296346664"/>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18581164"/>
      <w:bookmarkStart w:id="140" w:name="_Toc297123496"/>
      <w:bookmarkStart w:id="141" w:name="_Toc303539106"/>
      <w:bookmarkStart w:id="142" w:name="_Toc312677997"/>
      <w:bookmarkStart w:id="143" w:name="_Toc304295527"/>
      <w:bookmarkStart w:id="144" w:name="_Toc297216155"/>
      <w:bookmarkStart w:id="145" w:name="_Toc300934949"/>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5"/>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5"/>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04295541"/>
      <w:bookmarkStart w:id="149" w:name="_Toc303539123"/>
      <w:bookmarkStart w:id="150" w:name="_Toc312677479"/>
      <w:bookmarkStart w:id="151" w:name="_Toc300934966"/>
      <w:bookmarkStart w:id="152" w:name="_Toc312678005"/>
      <w:bookmarkStart w:id="153" w:name="_Toc297216173"/>
      <w:bookmarkStart w:id="154" w:name="_Toc297123514"/>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04295546"/>
      <w:bookmarkStart w:id="156" w:name="_Toc312678010"/>
      <w:bookmarkStart w:id="157" w:name="_Toc300934968"/>
      <w:bookmarkStart w:id="158" w:name="_Toc297216175"/>
      <w:bookmarkStart w:id="159" w:name="_Toc297123516"/>
      <w:bookmarkStart w:id="160" w:name="_Toc303539125"/>
      <w:bookmarkStart w:id="161" w:name="_Toc312677484"/>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7486"/>
      <w:bookmarkStart w:id="163" w:name="_Toc312678012"/>
      <w:bookmarkStart w:id="164" w:name="_Toc318581169"/>
      <w:bookmarkStart w:id="165" w:name="_Toc303539127"/>
      <w:bookmarkStart w:id="166" w:name="_Toc297216177"/>
      <w:bookmarkStart w:id="167" w:name="_Toc304295548"/>
      <w:bookmarkStart w:id="168" w:name="_Toc300934970"/>
      <w:bookmarkStart w:id="169" w:name="_Toc297123518"/>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7487"/>
      <w:bookmarkStart w:id="171" w:name="_Toc312678013"/>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8581171"/>
      <w:bookmarkStart w:id="174" w:name="_Toc312678014"/>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12678015"/>
      <w:bookmarkStart w:id="176" w:name="_Toc303539128"/>
      <w:bookmarkStart w:id="177" w:name="_Toc304295549"/>
      <w:bookmarkStart w:id="178" w:name="_Toc297216178"/>
      <w:bookmarkStart w:id="179" w:name="_Toc300934971"/>
      <w:bookmarkStart w:id="180" w:name="_Toc297123519"/>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297216179"/>
      <w:bookmarkStart w:id="182" w:name="_Toc304295550"/>
      <w:bookmarkStart w:id="183" w:name="_Toc297123520"/>
      <w:bookmarkStart w:id="184" w:name="_Toc300934972"/>
      <w:bookmarkStart w:id="185" w:name="_Toc312678016"/>
      <w:bookmarkStart w:id="186" w:name="_Toc318581172"/>
      <w:bookmarkStart w:id="187" w:name="_Toc303539129"/>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304295551"/>
      <w:bookmarkStart w:id="189" w:name="_Toc297123521"/>
      <w:bookmarkStart w:id="190" w:name="_Toc303539130"/>
      <w:bookmarkStart w:id="191" w:name="_Toc297216180"/>
      <w:bookmarkStart w:id="192" w:name="_Toc300934973"/>
      <w:bookmarkStart w:id="193" w:name="_Toc312678017"/>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5"/>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312678019"/>
      <w:bookmarkStart w:id="196" w:name="_Toc296347166"/>
      <w:bookmarkStart w:id="197" w:name="_Toc303539136"/>
      <w:bookmarkStart w:id="198" w:name="_Toc296944506"/>
      <w:bookmarkStart w:id="199" w:name="_Toc296890995"/>
      <w:bookmarkStart w:id="200" w:name="_Toc297048353"/>
      <w:bookmarkStart w:id="201" w:name="_Toc292559372"/>
      <w:bookmarkStart w:id="202" w:name="_Toc300934979"/>
      <w:bookmarkStart w:id="203" w:name="_Toc297120467"/>
      <w:bookmarkStart w:id="204" w:name="_Toc297123527"/>
      <w:bookmarkStart w:id="205" w:name="_Toc296891207"/>
      <w:bookmarkStart w:id="206" w:name="_Toc304295556"/>
      <w:bookmarkStart w:id="207" w:name="_Toc312677493"/>
      <w:bookmarkStart w:id="208" w:name="_Toc292559877"/>
      <w:bookmarkStart w:id="209" w:name="_Toc280868654"/>
      <w:bookmarkStart w:id="210" w:name="_Toc296503167"/>
      <w:bookmarkStart w:id="211" w:name="_Toc296346668"/>
      <w:bookmarkStart w:id="212" w:name="_Toc297216186"/>
      <w:bookmarkStart w:id="213" w:name="_Toc267251424"/>
      <w:bookmarkStart w:id="214" w:name="_Toc280868655"/>
      <w:bookmarkStart w:id="215" w:name="_Toc280868656"/>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373"/>
      <w:bookmarkStart w:id="217" w:name="_Toc292559878"/>
      <w:bookmarkStart w:id="218" w:name="_Toc303539137"/>
      <w:bookmarkStart w:id="219" w:name="_Toc297123528"/>
      <w:bookmarkStart w:id="220" w:name="_Toc312677494"/>
      <w:bookmarkStart w:id="221" w:name="_Toc304295557"/>
      <w:bookmarkStart w:id="222" w:name="_Toc297120468"/>
      <w:bookmarkStart w:id="223" w:name="_Toc296890996"/>
      <w:bookmarkStart w:id="224" w:name="_Toc318581173"/>
      <w:bookmarkStart w:id="225" w:name="_Toc296346669"/>
      <w:bookmarkStart w:id="226" w:name="_Toc300934980"/>
      <w:bookmarkStart w:id="227" w:name="_Toc296891208"/>
      <w:bookmarkStart w:id="228" w:name="_Toc297216187"/>
      <w:bookmarkStart w:id="229" w:name="_Toc297048354"/>
      <w:bookmarkStart w:id="230" w:name="_Toc312678020"/>
      <w:bookmarkStart w:id="231" w:name="_Toc296347167"/>
      <w:bookmarkStart w:id="232" w:name="_Toc296503168"/>
      <w:bookmarkStart w:id="233" w:name="_Toc296944507"/>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5"/>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304295559"/>
      <w:bookmarkStart w:id="236" w:name="_Toc303539139"/>
      <w:bookmarkStart w:id="237" w:name="_Toc300934982"/>
      <w:bookmarkStart w:id="238" w:name="_Toc312677495"/>
      <w:bookmarkStart w:id="239" w:name="_Toc312678021"/>
      <w:bookmarkStart w:id="240" w:name="_Toc297216192"/>
      <w:bookmarkStart w:id="241" w:name="_Toc297123533"/>
      <w:bookmarkStart w:id="242" w:name="_Toc296346674"/>
      <w:bookmarkStart w:id="243" w:name="_Toc292559883"/>
      <w:bookmarkStart w:id="244" w:name="_Toc292559378"/>
      <w:bookmarkStart w:id="245" w:name="_Toc296503173"/>
      <w:bookmarkStart w:id="246" w:name="_Toc296944512"/>
      <w:bookmarkStart w:id="247" w:name="_Toc297120473"/>
      <w:bookmarkStart w:id="248" w:name="_Toc267251427"/>
      <w:bookmarkStart w:id="249" w:name="_Toc296891001"/>
      <w:bookmarkStart w:id="250" w:name="_Toc296891213"/>
      <w:bookmarkStart w:id="251" w:name="_Toc296347172"/>
      <w:bookmarkStart w:id="252" w:name="_Toc297048359"/>
      <w:bookmarkStart w:id="253" w:name="_Toc267251428"/>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12678022"/>
      <w:bookmarkStart w:id="255" w:name="_Toc304295560"/>
      <w:bookmarkStart w:id="256" w:name="_Toc297216193"/>
      <w:bookmarkStart w:id="257" w:name="_Toc303539140"/>
      <w:bookmarkStart w:id="258" w:name="_Toc312677496"/>
      <w:bookmarkStart w:id="259" w:name="_Toc300934983"/>
      <w:bookmarkStart w:id="260" w:name="_Toc297123534"/>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312678023"/>
      <w:bookmarkStart w:id="262" w:name="_Toc312677497"/>
      <w:bookmarkStart w:id="263" w:name="_Toc304295561"/>
      <w:bookmarkStart w:id="264" w:name="_Toc300934984"/>
      <w:bookmarkStart w:id="265" w:name="_Toc297216194"/>
      <w:bookmarkStart w:id="266" w:name="_Toc297123535"/>
      <w:bookmarkStart w:id="267" w:name="_Toc303539141"/>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312678024"/>
      <w:bookmarkStart w:id="270" w:name="_Toc304295562"/>
      <w:bookmarkStart w:id="271" w:name="_Toc303539142"/>
      <w:bookmarkStart w:id="272" w:name="_Toc312677498"/>
      <w:bookmarkStart w:id="273" w:name="_Toc297123536"/>
      <w:bookmarkStart w:id="274" w:name="_Toc297216195"/>
      <w:bookmarkStart w:id="275" w:name="_Toc300934985"/>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5"/>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6347192"/>
      <w:bookmarkStart w:id="278" w:name="_Toc296503193"/>
      <w:bookmarkStart w:id="279" w:name="_Toc297120493"/>
      <w:bookmarkStart w:id="280" w:name="_Toc304295566"/>
      <w:bookmarkStart w:id="281" w:name="_Toc296346694"/>
      <w:bookmarkStart w:id="282" w:name="_Toc303539146"/>
      <w:bookmarkStart w:id="283" w:name="_Toc297048379"/>
      <w:bookmarkStart w:id="284" w:name="_Toc297123540"/>
      <w:bookmarkStart w:id="285" w:name="_Toc292559903"/>
      <w:bookmarkStart w:id="286" w:name="_Toc296944532"/>
      <w:bookmarkStart w:id="287" w:name="_Toc300934989"/>
      <w:bookmarkStart w:id="288" w:name="_Toc297216199"/>
      <w:bookmarkStart w:id="289" w:name="_Toc296891021"/>
      <w:bookmarkStart w:id="290" w:name="_Toc296891233"/>
      <w:bookmarkStart w:id="291" w:name="_Toc292559398"/>
      <w:bookmarkStart w:id="292" w:name="_Toc312678025"/>
      <w:bookmarkStart w:id="293" w:name="_Toc312677499"/>
      <w:bookmarkStart w:id="294" w:name="_Toc267251441"/>
      <w:bookmarkStart w:id="295" w:name="_Toc267251437"/>
      <w:bookmarkStart w:id="296" w:name="_Toc267251435"/>
      <w:bookmarkStart w:id="297" w:name="_Toc267251440"/>
      <w:bookmarkStart w:id="298" w:name="_Toc267251433"/>
      <w:bookmarkStart w:id="299" w:name="_Toc267251439"/>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7123541"/>
      <w:bookmarkStart w:id="302" w:name="_Toc296347193"/>
      <w:bookmarkStart w:id="303" w:name="_Toc292559399"/>
      <w:bookmarkStart w:id="304" w:name="_Toc296503194"/>
      <w:bookmarkStart w:id="305" w:name="_Toc296346695"/>
      <w:bookmarkStart w:id="306" w:name="_Toc297120494"/>
      <w:bookmarkStart w:id="307" w:name="_Toc300934990"/>
      <w:bookmarkStart w:id="308" w:name="_Toc296891234"/>
      <w:bookmarkStart w:id="309" w:name="_Toc312677500"/>
      <w:bookmarkStart w:id="310" w:name="_Toc296891022"/>
      <w:bookmarkStart w:id="311" w:name="_Toc304295567"/>
      <w:bookmarkStart w:id="312" w:name="_Toc296944533"/>
      <w:bookmarkStart w:id="313" w:name="_Toc297048380"/>
      <w:bookmarkStart w:id="314" w:name="_Toc312678026"/>
      <w:bookmarkStart w:id="315" w:name="_Toc297216200"/>
      <w:bookmarkStart w:id="316" w:name="_Toc292559904"/>
      <w:bookmarkStart w:id="317" w:name="_Toc303539147"/>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6347196"/>
      <w:bookmarkStart w:id="319" w:name="_Toc292559907"/>
      <w:bookmarkStart w:id="320" w:name="_Toc296891025"/>
      <w:bookmarkStart w:id="321" w:name="_Toc296503197"/>
      <w:bookmarkStart w:id="322" w:name="_Toc297120497"/>
      <w:bookmarkStart w:id="323" w:name="_Toc296891237"/>
      <w:bookmarkStart w:id="324" w:name="_Toc292559402"/>
      <w:bookmarkStart w:id="325" w:name="_Toc297216203"/>
      <w:bookmarkStart w:id="326" w:name="_Toc297123544"/>
      <w:bookmarkStart w:id="327" w:name="_Toc296346698"/>
      <w:bookmarkStart w:id="328" w:name="_Toc296944536"/>
      <w:bookmarkStart w:id="329" w:name="_Toc303539150"/>
      <w:bookmarkStart w:id="330" w:name="_Toc297048383"/>
      <w:bookmarkStart w:id="331" w:name="_Toc300934993"/>
      <w:bookmarkStart w:id="332" w:name="_Toc304295570"/>
      <w:bookmarkStart w:id="333" w:name="_Toc312678029"/>
      <w:bookmarkStart w:id="334" w:name="_Toc312677503"/>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7216204"/>
      <w:bookmarkStart w:id="336" w:name="_Toc292559913"/>
      <w:bookmarkStart w:id="337" w:name="_Toc297120503"/>
      <w:bookmarkStart w:id="338" w:name="_Toc296503203"/>
      <w:bookmarkStart w:id="339" w:name="_Toc296347202"/>
      <w:bookmarkStart w:id="340" w:name="_Toc296891243"/>
      <w:bookmarkStart w:id="341" w:name="_Toc297048389"/>
      <w:bookmarkStart w:id="342" w:name="_Toc296346704"/>
      <w:bookmarkStart w:id="343" w:name="_Toc296944542"/>
      <w:bookmarkStart w:id="344" w:name="_Toc292559408"/>
      <w:bookmarkStart w:id="345" w:name="_Toc297123545"/>
      <w:bookmarkStart w:id="346" w:name="_Toc296891031"/>
      <w:bookmarkStart w:id="347" w:name="_Toc300934994"/>
      <w:bookmarkStart w:id="348" w:name="_Toc303539151"/>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312678030"/>
      <w:bookmarkStart w:id="350" w:name="_Toc300934995"/>
      <w:bookmarkStart w:id="351" w:name="_Toc296891244"/>
      <w:bookmarkStart w:id="352" w:name="_Toc304295571"/>
      <w:bookmarkStart w:id="353" w:name="_Toc297120504"/>
      <w:bookmarkStart w:id="354" w:name="_Toc296891032"/>
      <w:bookmarkStart w:id="355" w:name="_Toc296347203"/>
      <w:bookmarkStart w:id="356" w:name="_Toc296944543"/>
      <w:bookmarkStart w:id="357" w:name="_Toc292559914"/>
      <w:bookmarkStart w:id="358" w:name="_Toc297216205"/>
      <w:bookmarkStart w:id="359" w:name="_Toc296503204"/>
      <w:bookmarkStart w:id="360" w:name="_Toc312677504"/>
      <w:bookmarkStart w:id="361" w:name="_Toc318581175"/>
      <w:bookmarkStart w:id="362" w:name="_Toc297123546"/>
      <w:bookmarkStart w:id="363" w:name="_Toc292559409"/>
      <w:bookmarkStart w:id="364" w:name="_Toc297048390"/>
      <w:bookmarkStart w:id="365" w:name="_Toc303539152"/>
      <w:bookmarkStart w:id="366" w:name="_Toc296346705"/>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304295574"/>
      <w:bookmarkStart w:id="368" w:name="_Toc292559404"/>
      <w:bookmarkStart w:id="369" w:name="_Toc300934997"/>
      <w:bookmarkStart w:id="370" w:name="_Toc296891239"/>
      <w:bookmarkStart w:id="371" w:name="_Toc297216207"/>
      <w:bookmarkStart w:id="372" w:name="_Toc296503199"/>
      <w:bookmarkStart w:id="373" w:name="_Toc312677507"/>
      <w:bookmarkStart w:id="374" w:name="_Toc296346700"/>
      <w:bookmarkStart w:id="375" w:name="_Toc292559909"/>
      <w:bookmarkStart w:id="376" w:name="_Toc296891027"/>
      <w:bookmarkStart w:id="377" w:name="_Toc296944538"/>
      <w:bookmarkStart w:id="378" w:name="_Toc303539154"/>
      <w:bookmarkStart w:id="379" w:name="_Toc297048385"/>
      <w:bookmarkStart w:id="380" w:name="_Toc297123548"/>
      <w:bookmarkStart w:id="381" w:name="_Toc297120499"/>
      <w:bookmarkStart w:id="382" w:name="_Toc296347198"/>
      <w:bookmarkStart w:id="383" w:name="_Toc312678033"/>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8581176"/>
      <w:bookmarkStart w:id="385" w:name="_Toc312678034"/>
      <w:bookmarkStart w:id="386" w:name="_Toc312677508"/>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8581177"/>
      <w:bookmarkStart w:id="388" w:name="_Toc312677509"/>
      <w:bookmarkStart w:id="389" w:name="_Toc312678035"/>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5"/>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7123550"/>
      <w:bookmarkStart w:id="392" w:name="_Toc312678039"/>
      <w:bookmarkStart w:id="393" w:name="_Toc296944540"/>
      <w:bookmarkStart w:id="394" w:name="_Toc296891241"/>
      <w:bookmarkStart w:id="395" w:name="_Toc297048387"/>
      <w:bookmarkStart w:id="396" w:name="_Toc300935000"/>
      <w:bookmarkStart w:id="397" w:name="_Toc296503201"/>
      <w:bookmarkStart w:id="398" w:name="_Toc297120501"/>
      <w:bookmarkStart w:id="399" w:name="_Toc296347200"/>
      <w:bookmarkStart w:id="400" w:name="_Toc297216209"/>
      <w:bookmarkStart w:id="401" w:name="_Toc296891029"/>
      <w:bookmarkStart w:id="402" w:name="_Toc292559911"/>
      <w:bookmarkStart w:id="403" w:name="_Toc304295577"/>
      <w:bookmarkStart w:id="404" w:name="_Toc292559406"/>
      <w:bookmarkStart w:id="405" w:name="_Toc296346702"/>
      <w:bookmarkStart w:id="406" w:name="_Toc303539157"/>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5"/>
        <w:spacing w:before="120" w:after="120" w:line="440" w:lineRule="exact"/>
        <w:rPr>
          <w:rFonts w:ascii="仿宋" w:hAnsi="仿宋" w:eastAsia="仿宋" w:cs="仿宋"/>
          <w:b w:val="0"/>
          <w:color w:val="auto"/>
        </w:rPr>
      </w:pPr>
      <w:bookmarkStart w:id="407" w:name="_Toc296503205"/>
      <w:bookmarkStart w:id="408" w:name="_Toc296891033"/>
      <w:bookmarkStart w:id="409" w:name="_Toc292559915"/>
      <w:bookmarkStart w:id="410" w:name="_Toc297048391"/>
      <w:bookmarkStart w:id="411" w:name="_Toc296944544"/>
      <w:bookmarkStart w:id="412" w:name="_Toc296891245"/>
      <w:bookmarkStart w:id="413" w:name="_Toc297120505"/>
      <w:bookmarkStart w:id="414" w:name="_Toc292559410"/>
      <w:bookmarkStart w:id="415" w:name="_Toc296346706"/>
      <w:bookmarkStart w:id="416" w:name="_Toc296347204"/>
      <w:bookmarkStart w:id="417" w:name="_Toc351203644"/>
      <w:bookmarkStart w:id="418" w:name="_Toc297123552"/>
      <w:bookmarkStart w:id="419" w:name="_Toc300935002"/>
      <w:bookmarkStart w:id="420" w:name="_Toc304295579"/>
      <w:bookmarkStart w:id="421" w:name="_Toc303539159"/>
      <w:bookmarkStart w:id="422" w:name="_Toc312678040"/>
      <w:bookmarkStart w:id="423" w:name="_Toc297216211"/>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411"/>
      <w:bookmarkStart w:id="425" w:name="_Toc292559916"/>
      <w:bookmarkStart w:id="426" w:name="_Toc267251461"/>
      <w:bookmarkStart w:id="427" w:name="_Toc296346707"/>
      <w:bookmarkStart w:id="428" w:name="_Toc296891246"/>
      <w:bookmarkStart w:id="429" w:name="_Toc296891034"/>
      <w:bookmarkStart w:id="430" w:name="_Toc296944545"/>
      <w:bookmarkStart w:id="431" w:name="_Toc297048392"/>
      <w:bookmarkStart w:id="432" w:name="_Toc296503206"/>
      <w:bookmarkStart w:id="433" w:name="_Toc296347205"/>
      <w:bookmarkStart w:id="434" w:name="_Toc297120506"/>
      <w:bookmarkStart w:id="435" w:name="_Toc297123553"/>
      <w:bookmarkStart w:id="436" w:name="_Toc304295580"/>
      <w:bookmarkStart w:id="437" w:name="_Toc297216212"/>
      <w:bookmarkStart w:id="438" w:name="_Toc300935003"/>
      <w:bookmarkStart w:id="439" w:name="_Toc303539160"/>
      <w:bookmarkStart w:id="440" w:name="_Toc312678041"/>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297123554"/>
      <w:bookmarkStart w:id="442" w:name="_Toc300935004"/>
      <w:bookmarkStart w:id="443" w:name="_Toc297216213"/>
      <w:bookmarkStart w:id="444" w:name="_Toc312678042"/>
      <w:bookmarkStart w:id="445" w:name="_Toc304295581"/>
      <w:bookmarkStart w:id="446" w:name="_Toc303539161"/>
      <w:bookmarkStart w:id="447" w:name="_Toc297120507"/>
      <w:bookmarkStart w:id="448" w:name="_Toc297048393"/>
      <w:bookmarkStart w:id="449" w:name="_Toc296347206"/>
      <w:bookmarkStart w:id="450" w:name="_Toc292559917"/>
      <w:bookmarkStart w:id="451" w:name="_Toc296346708"/>
      <w:bookmarkStart w:id="452" w:name="_Toc296891035"/>
      <w:bookmarkStart w:id="453" w:name="_Toc296944546"/>
      <w:bookmarkStart w:id="454" w:name="_Toc296503207"/>
      <w:bookmarkStart w:id="455" w:name="_Toc296891247"/>
      <w:bookmarkStart w:id="456" w:name="_Toc292559412"/>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6346712"/>
      <w:bookmarkStart w:id="458" w:name="_Toc296891251"/>
      <w:bookmarkStart w:id="459" w:name="_Toc296347210"/>
      <w:bookmarkStart w:id="460" w:name="_Toc292559921"/>
      <w:bookmarkStart w:id="461" w:name="_Toc297216215"/>
      <w:bookmarkStart w:id="462" w:name="_Toc292559416"/>
      <w:bookmarkStart w:id="463" w:name="_Toc297123556"/>
      <w:bookmarkStart w:id="464" w:name="_Toc297120511"/>
      <w:bookmarkStart w:id="465" w:name="_Toc300935006"/>
      <w:bookmarkStart w:id="466" w:name="_Toc303539163"/>
      <w:bookmarkStart w:id="467" w:name="_Toc296944550"/>
      <w:bookmarkStart w:id="468" w:name="_Toc296503211"/>
      <w:bookmarkStart w:id="469" w:name="_Toc297048397"/>
      <w:bookmarkStart w:id="470" w:name="_Toc296891039"/>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项目无预付款，项目完工验收合格后支付到合同金额的50%，结算后支付到结算价款的70%，剩余30%自审计报告出具之日起按照每年结算价的10%支付。</w:t>
      </w:r>
      <w:r>
        <w:rPr>
          <w:rFonts w:hint="eastAsia" w:ascii="仿宋" w:hAnsi="仿宋" w:eastAsia="仿宋" w:cs="仿宋"/>
          <w:color w:val="auto"/>
          <w:sz w:val="28"/>
          <w:szCs w:val="24"/>
          <w:u w:val="single"/>
        </w:rPr>
        <w:t xml:space="preserve"> </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7123564"/>
      <w:bookmarkStart w:id="473" w:name="_Toc300935015"/>
      <w:bookmarkStart w:id="474" w:name="_Toc292559424"/>
      <w:bookmarkStart w:id="475" w:name="_Toc296944558"/>
      <w:bookmarkStart w:id="476" w:name="_Toc304295593"/>
      <w:bookmarkStart w:id="477" w:name="_Toc312678053"/>
      <w:bookmarkStart w:id="478" w:name="_Toc296891047"/>
      <w:bookmarkStart w:id="479" w:name="_Toc297048405"/>
      <w:bookmarkStart w:id="480" w:name="_Toc292559929"/>
      <w:bookmarkStart w:id="481" w:name="_Toc296347218"/>
      <w:bookmarkStart w:id="482" w:name="_Toc303539172"/>
      <w:bookmarkStart w:id="483" w:name="_Toc297216223"/>
      <w:bookmarkStart w:id="484" w:name="_Toc297120519"/>
      <w:bookmarkStart w:id="485" w:name="_Toc296346720"/>
      <w:bookmarkStart w:id="486" w:name="_Toc296891259"/>
      <w:bookmarkStart w:id="487" w:name="_Toc296503219"/>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2559428"/>
      <w:bookmarkStart w:id="489" w:name="_Toc297120523"/>
      <w:bookmarkStart w:id="490" w:name="_Toc296944562"/>
      <w:bookmarkStart w:id="491" w:name="_Toc297048409"/>
      <w:bookmarkStart w:id="492" w:name="_Toc300935016"/>
      <w:bookmarkStart w:id="493" w:name="_Toc297123565"/>
      <w:bookmarkStart w:id="494" w:name="_Toc296346724"/>
      <w:bookmarkStart w:id="495" w:name="_Toc303539173"/>
      <w:bookmarkStart w:id="496" w:name="_Toc296891263"/>
      <w:bookmarkStart w:id="497" w:name="_Toc304295596"/>
      <w:bookmarkStart w:id="498" w:name="_Toc296503223"/>
      <w:bookmarkStart w:id="499" w:name="_Toc296891051"/>
      <w:bookmarkStart w:id="500" w:name="_Toc297216224"/>
      <w:bookmarkStart w:id="501" w:name="_Toc296347222"/>
      <w:bookmarkStart w:id="502" w:name="_Toc292559933"/>
      <w:bookmarkStart w:id="503" w:name="_Toc312678056"/>
      <w:bookmarkStart w:id="504" w:name="_Toc267251476"/>
      <w:bookmarkStart w:id="505" w:name="_Toc267251470"/>
      <w:bookmarkStart w:id="506" w:name="_Toc267251472"/>
      <w:bookmarkStart w:id="507" w:name="_Toc267251471"/>
      <w:bookmarkStart w:id="508" w:name="_Toc267251475"/>
      <w:bookmarkStart w:id="509" w:name="_Toc267251474"/>
      <w:bookmarkStart w:id="510" w:name="_Toc267251473"/>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5"/>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2"/>
      <w:bookmarkStart w:id="521" w:name="_Toc267251484"/>
      <w:bookmarkStart w:id="522" w:name="_Toc267251485"/>
      <w:bookmarkStart w:id="523" w:name="_Toc267251489"/>
      <w:bookmarkStart w:id="524" w:name="_Toc267251486"/>
      <w:bookmarkStart w:id="525" w:name="_Toc267251488"/>
      <w:bookmarkStart w:id="526" w:name="_Toc267251490"/>
      <w:bookmarkStart w:id="527" w:name="_Toc267251493"/>
      <w:bookmarkStart w:id="528" w:name="_Toc267251497"/>
      <w:bookmarkStart w:id="529" w:name="_Toc267251502"/>
      <w:bookmarkStart w:id="530" w:name="_Toc267251494"/>
      <w:bookmarkStart w:id="531" w:name="_Toc267251501"/>
      <w:bookmarkStart w:id="532" w:name="_Toc267251491"/>
      <w:bookmarkStart w:id="533" w:name="_Toc267251495"/>
      <w:bookmarkStart w:id="534" w:name="_Toc267251492"/>
      <w:bookmarkStart w:id="535" w:name="_Toc267251496"/>
      <w:bookmarkStart w:id="536" w:name="_Toc267251499"/>
      <w:bookmarkStart w:id="537" w:name="_Toc267251498"/>
      <w:bookmarkStart w:id="538" w:name="_Toc267251503"/>
      <w:bookmarkStart w:id="539" w:name="_Toc267251504"/>
      <w:bookmarkStart w:id="540" w:name="_Toc267251506"/>
      <w:bookmarkStart w:id="541" w:name="_Toc267251507"/>
      <w:bookmarkStart w:id="542" w:name="_Toc267251508"/>
      <w:bookmarkStart w:id="543" w:name="_Toc267251513"/>
      <w:bookmarkStart w:id="544" w:name="_Toc267251510"/>
      <w:bookmarkStart w:id="545" w:name="_Toc267251514"/>
      <w:bookmarkStart w:id="546" w:name="_Toc267251511"/>
      <w:bookmarkStart w:id="547" w:name="_Toc267251515"/>
      <w:bookmarkStart w:id="548" w:name="_Toc267251509"/>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5"/>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5"/>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5"/>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5"/>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0"/>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5"/>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5"/>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5"/>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5"/>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5"/>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5"/>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5"/>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5"/>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5"/>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5"/>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5"/>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5"/>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5"/>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5"/>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5"/>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5"/>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5"/>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0"/>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5"/>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5"/>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5"/>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5"/>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5"/>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5"/>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5"/>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5"/>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5"/>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5"/>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5"/>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5"/>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5"/>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5"/>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5"/>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5"/>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5"/>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5"/>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5"/>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乳山市港务集团有限公司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港务集团重卡充电建设工程</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1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乳山市港务集团有限公司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5"/>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5"/>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5"/>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5"/>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5"/>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5"/>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5"/>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5"/>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5"/>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5"/>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5"/>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5"/>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5"/>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5"/>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5"/>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5"/>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5"/>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5"/>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5"/>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5"/>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5"/>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5"/>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5"/>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5"/>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5"/>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5"/>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5"/>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5"/>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5"/>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5"/>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5"/>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5"/>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5"/>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5"/>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5"/>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5"/>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5"/>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5"/>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5"/>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5"/>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5"/>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5"/>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5"/>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5"/>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5"/>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5"/>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5"/>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5"/>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5"/>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5"/>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5"/>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5"/>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5"/>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5"/>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5"/>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5"/>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5"/>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5"/>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5"/>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0"/>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5"/>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5"/>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5"/>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5"/>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5"/>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5"/>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5"/>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5"/>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5"/>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5"/>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5"/>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5"/>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5"/>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5"/>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5"/>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5"/>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5"/>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5"/>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5"/>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5"/>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5"/>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5"/>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5"/>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5"/>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5"/>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5"/>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5"/>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5"/>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5"/>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5"/>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5"/>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乳山市港务集团有限公司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乳山市港务集团有限公司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港务集团重卡充电建设工程</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乳山市港务集团有限公司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乳山市港务集团有限公司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港务集团重卡充电建设工程</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乳山市港务集团有限公司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港务集团重卡充电建设工程</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5"/>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5"/>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5"/>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5"/>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5"/>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5"/>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5"/>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5"/>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5"/>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5"/>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5"/>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5"/>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5"/>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5"/>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5"/>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5"/>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5"/>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5"/>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5"/>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5"/>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5"/>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5"/>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5"/>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5"/>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5"/>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5"/>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5"/>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5"/>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5"/>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5"/>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5"/>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5"/>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5"/>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5"/>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5"/>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5"/>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5"/>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5"/>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5"/>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5"/>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5"/>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5"/>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5"/>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5"/>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5"/>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5"/>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5"/>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5"/>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5"/>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5"/>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5"/>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5"/>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5"/>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5"/>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5"/>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5"/>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5"/>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5"/>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5"/>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5"/>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5"/>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5"/>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5"/>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5"/>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5"/>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5"/>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5"/>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5"/>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5"/>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5"/>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5"/>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5"/>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5"/>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5"/>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5"/>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4A7D5B60">
      <w:pPr>
        <w:rPr>
          <w:rFonts w:hint="eastAsia" w:ascii="仿宋" w:hAnsi="仿宋" w:eastAsia="仿宋" w:cs="仿宋"/>
          <w:color w:val="auto"/>
          <w:highlight w:val="none"/>
        </w:rPr>
      </w:pPr>
    </w:p>
    <w:p w14:paraId="364772BB">
      <w:pPr>
        <w:rPr>
          <w:color w:val="auto"/>
        </w:rPr>
      </w:pPr>
    </w:p>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531" w:bottom="1418" w:left="1554"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5062F0F-BA2F-4DAC-A063-265DC4CFB17E}"/>
  </w:font>
  <w:font w:name="黑体">
    <w:panose1 w:val="02010609060101010101"/>
    <w:charset w:val="86"/>
    <w:family w:val="auto"/>
    <w:pitch w:val="default"/>
    <w:sig w:usb0="800002BF" w:usb1="38CF7CFA" w:usb2="00000016" w:usb3="00000000" w:csb0="00040001" w:csb1="00000000"/>
    <w:embedRegular r:id="rId2" w:fontKey="{0B92ACF0-64FE-44FA-9947-2558F3FE47D1}"/>
  </w:font>
  <w:font w:name="Courier New">
    <w:panose1 w:val="02070309020205020404"/>
    <w:charset w:val="01"/>
    <w:family w:val="modern"/>
    <w:pitch w:val="default"/>
    <w:sig w:usb0="E0002EFF" w:usb1="C0007843" w:usb2="00000009" w:usb3="00000000" w:csb0="400001FF" w:csb1="FFFF0000"/>
    <w:embedRegular r:id="rId3" w:fontKey="{7CB93184-F814-4C2E-8212-A0D535E08C19}"/>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E5AA4AFC-5026-40DB-AF5E-2686371B9BB3}"/>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script"/>
    <w:pitch w:val="default"/>
    <w:sig w:usb0="00000001" w:usb1="08000000" w:usb2="00000000" w:usb3="00000000" w:csb0="00040000" w:csb1="00000000"/>
    <w:embedRegular r:id="rId5" w:fontKey="{078AC06B-0874-49D6-A851-2F18464904EA}"/>
  </w:font>
  <w:font w:name="仿宋_GB2312">
    <w:panose1 w:val="02010609030101010101"/>
    <w:charset w:val="86"/>
    <w:family w:val="modern"/>
    <w:pitch w:val="default"/>
    <w:sig w:usb0="00000001" w:usb1="080E0000" w:usb2="00000000" w:usb3="00000000" w:csb0="00040000" w:csb1="00000000"/>
    <w:embedRegular r:id="rId6" w:fontKey="{6A0BBFBA-C7F7-4E04-AB03-BDB193C7C5C0}"/>
  </w:font>
  <w:font w:name="仿宋">
    <w:panose1 w:val="02010609060101010101"/>
    <w:charset w:val="86"/>
    <w:family w:val="modern"/>
    <w:pitch w:val="default"/>
    <w:sig w:usb0="800002BF" w:usb1="38CF7CFA" w:usb2="00000016" w:usb3="00000000" w:csb0="00040001" w:csb1="00000000"/>
    <w:embedRegular r:id="rId7" w:fontKey="{5EAC1B86-CF36-4A80-9349-1FA402844B98}"/>
  </w:font>
  <w:font w:name="方正楷体简体">
    <w:altName w:val="微软雅黑"/>
    <w:panose1 w:val="00000000000000000000"/>
    <w:charset w:val="86"/>
    <w:family w:val="auto"/>
    <w:pitch w:val="default"/>
    <w:sig w:usb0="00000000" w:usb1="00000000" w:usb2="00000010" w:usb3="00000000" w:csb0="00040000" w:csb1="00000000"/>
    <w:embedRegular r:id="rId8" w:fontKey="{543621C8-B3FD-4728-85AD-60FD779EF7FA}"/>
  </w:font>
  <w:font w:name="微软雅黑">
    <w:panose1 w:val="020B0503020204020204"/>
    <w:charset w:val="86"/>
    <w:family w:val="swiss"/>
    <w:pitch w:val="default"/>
    <w:sig w:usb0="80000287" w:usb1="2ACF3C50" w:usb2="00000016" w:usb3="00000000" w:csb0="0004001F" w:csb1="00000000"/>
    <w:embedRegular r:id="rId9" w:fontKey="{BDEDFC23-1543-469C-9085-511FCB8EDF15}"/>
  </w:font>
  <w:font w:name="楷体_GB2312">
    <w:altName w:val="楷体"/>
    <w:panose1 w:val="00000000000000000000"/>
    <w:charset w:val="86"/>
    <w:family w:val="modern"/>
    <w:pitch w:val="default"/>
    <w:sig w:usb0="00000000" w:usb1="00000000" w:usb2="00000010" w:usb3="00000000" w:csb0="00040000" w:csb1="00000000"/>
    <w:embedRegular r:id="rId10" w:fontKey="{8349CCAF-A1A0-43DD-9568-3B34091D8260}"/>
  </w:font>
  <w:font w:name="楷体">
    <w:panose1 w:val="02010609060101010101"/>
    <w:charset w:val="86"/>
    <w:family w:val="auto"/>
    <w:pitch w:val="default"/>
    <w:sig w:usb0="800002BF" w:usb1="38CF7CFA" w:usb2="00000016" w:usb3="00000000" w:csb0="00040001" w:csb1="00000000"/>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0"/>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0"/>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0"/>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0"/>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0"/>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0"/>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0"/>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0"/>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0"/>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0"/>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0"/>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0"/>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5"/>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0"/>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0"/>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0"/>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0"/>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0"/>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0"/>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0"/>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1"/>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1"/>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10BE667A"/>
    <w:rsid w:val="17594F70"/>
    <w:rsid w:val="1AC7537C"/>
    <w:rsid w:val="22CA6E9F"/>
    <w:rsid w:val="2D6A4302"/>
    <w:rsid w:val="314F45E0"/>
    <w:rsid w:val="319663D0"/>
    <w:rsid w:val="3F1441AF"/>
    <w:rsid w:val="47612FBF"/>
    <w:rsid w:val="4AF071A8"/>
    <w:rsid w:val="5CD90CFC"/>
    <w:rsid w:val="692F6E7D"/>
    <w:rsid w:val="6A60519F"/>
    <w:rsid w:val="7DDF773C"/>
    <w:rsid w:val="7EF97D3C"/>
    <w:rsid w:val="7F484D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9"/>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0"/>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1"/>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2"/>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3"/>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4"/>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5"/>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6"/>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47"/>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8"/>
    <w:qFormat/>
    <w:uiPriority w:val="0"/>
    <w:rPr>
      <w:rFonts w:ascii="宋体"/>
      <w:sz w:val="18"/>
      <w:szCs w:val="18"/>
    </w:rPr>
  </w:style>
  <w:style w:type="paragraph" w:styleId="14">
    <w:name w:val="annotation text"/>
    <w:basedOn w:val="1"/>
    <w:link w:val="49"/>
    <w:qFormat/>
    <w:uiPriority w:val="0"/>
    <w:pPr>
      <w:jc w:val="left"/>
    </w:pPr>
    <w:rPr>
      <w:kern w:val="0"/>
      <w:sz w:val="28"/>
      <w:szCs w:val="28"/>
    </w:rPr>
  </w:style>
  <w:style w:type="paragraph" w:styleId="15">
    <w:name w:val="Body Text"/>
    <w:basedOn w:val="1"/>
    <w:next w:val="1"/>
    <w:link w:val="50"/>
    <w:qFormat/>
    <w:uiPriority w:val="0"/>
    <w:pPr>
      <w:spacing w:line="420" w:lineRule="auto"/>
    </w:pPr>
    <w:rPr>
      <w:kern w:val="0"/>
      <w:sz w:val="24"/>
      <w:szCs w:val="24"/>
    </w:rPr>
  </w:style>
  <w:style w:type="paragraph" w:styleId="16">
    <w:name w:val="Body Text Indent"/>
    <w:basedOn w:val="1"/>
    <w:link w:val="51"/>
    <w:qFormat/>
    <w:uiPriority w:val="0"/>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2"/>
    <w:qFormat/>
    <w:uiPriority w:val="0"/>
    <w:rPr>
      <w:rFonts w:ascii="宋体" w:hAnsi="Courier New"/>
      <w:kern w:val="0"/>
      <w:szCs w:val="21"/>
    </w:rPr>
  </w:style>
  <w:style w:type="paragraph" w:styleId="19">
    <w:name w:val="Balloon Text"/>
    <w:basedOn w:val="1"/>
    <w:link w:val="53"/>
    <w:qFormat/>
    <w:uiPriority w:val="0"/>
    <w:rPr>
      <w:kern w:val="0"/>
      <w:sz w:val="18"/>
      <w:szCs w:val="18"/>
    </w:rPr>
  </w:style>
  <w:style w:type="paragraph" w:styleId="20">
    <w:name w:val="footer"/>
    <w:basedOn w:val="1"/>
    <w:link w:val="54"/>
    <w:qFormat/>
    <w:uiPriority w:val="99"/>
    <w:pPr>
      <w:tabs>
        <w:tab w:val="center" w:pos="4153"/>
        <w:tab w:val="right" w:pos="8306"/>
      </w:tabs>
      <w:snapToGrid w:val="0"/>
      <w:jc w:val="left"/>
    </w:pPr>
    <w:rPr>
      <w:kern w:val="0"/>
      <w:sz w:val="18"/>
      <w:szCs w:val="18"/>
    </w:rPr>
  </w:style>
  <w:style w:type="paragraph" w:styleId="21">
    <w:name w:val="header"/>
    <w:basedOn w:val="1"/>
    <w:link w:val="55"/>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6"/>
    <w:qFormat/>
    <w:uiPriority w:val="0"/>
    <w:pPr>
      <w:spacing w:after="120"/>
      <w:ind w:left="420" w:leftChars="200"/>
    </w:pPr>
    <w:rPr>
      <w:kern w:val="0"/>
      <w:sz w:val="16"/>
      <w:szCs w:val="16"/>
    </w:rPr>
  </w:style>
  <w:style w:type="paragraph" w:styleId="25">
    <w:name w:val="Body Text 2"/>
    <w:basedOn w:val="1"/>
    <w:link w:val="57"/>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8"/>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59"/>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character" w:customStyle="1" w:styleId="38">
    <w:name w:val="标题 1 字符"/>
    <w:link w:val="2"/>
    <w:qFormat/>
    <w:uiPriority w:val="9"/>
    <w:rPr>
      <w:rFonts w:ascii="Times New Roman" w:hAnsi="Times New Roman" w:eastAsia="宋体" w:cs="Times New Roman"/>
      <w:b/>
      <w:bCs/>
      <w:kern w:val="44"/>
      <w:sz w:val="44"/>
      <w:szCs w:val="44"/>
    </w:rPr>
  </w:style>
  <w:style w:type="character" w:customStyle="1" w:styleId="39">
    <w:name w:val="标题 2 字符"/>
    <w:link w:val="3"/>
    <w:qFormat/>
    <w:uiPriority w:val="0"/>
    <w:rPr>
      <w:rFonts w:ascii="Cambria" w:hAnsi="Cambria" w:eastAsia="宋体" w:cs="Times New Roman"/>
      <w:b/>
      <w:bCs/>
      <w:kern w:val="0"/>
      <w:sz w:val="28"/>
      <w:szCs w:val="28"/>
    </w:rPr>
  </w:style>
  <w:style w:type="character" w:customStyle="1" w:styleId="40">
    <w:name w:val="标题 3 字符"/>
    <w:link w:val="4"/>
    <w:qFormat/>
    <w:uiPriority w:val="0"/>
    <w:rPr>
      <w:rFonts w:ascii="Times New Roman" w:hAnsi="Times New Roman" w:eastAsia="宋体" w:cs="Times New Roman"/>
      <w:b/>
      <w:bCs/>
      <w:kern w:val="0"/>
      <w:sz w:val="32"/>
      <w:szCs w:val="32"/>
    </w:rPr>
  </w:style>
  <w:style w:type="character" w:customStyle="1" w:styleId="41">
    <w:name w:val="标题 4 字符"/>
    <w:link w:val="5"/>
    <w:qFormat/>
    <w:uiPriority w:val="0"/>
    <w:rPr>
      <w:rFonts w:ascii="Cambria" w:hAnsi="Cambria" w:eastAsia="宋体" w:cs="Times New Roman"/>
      <w:b/>
      <w:bCs/>
      <w:kern w:val="0"/>
      <w:sz w:val="28"/>
      <w:szCs w:val="28"/>
    </w:rPr>
  </w:style>
  <w:style w:type="character" w:customStyle="1" w:styleId="42">
    <w:name w:val="标题 5 字符"/>
    <w:link w:val="6"/>
    <w:qFormat/>
    <w:uiPriority w:val="0"/>
    <w:rPr>
      <w:rFonts w:ascii="Times New Roman" w:hAnsi="Times New Roman" w:eastAsia="宋体" w:cs="Times New Roman"/>
      <w:b/>
      <w:bCs/>
      <w:kern w:val="0"/>
      <w:sz w:val="28"/>
      <w:szCs w:val="28"/>
    </w:rPr>
  </w:style>
  <w:style w:type="character" w:customStyle="1" w:styleId="43">
    <w:name w:val="标题 6 字符"/>
    <w:link w:val="7"/>
    <w:qFormat/>
    <w:uiPriority w:val="9"/>
    <w:rPr>
      <w:rFonts w:ascii="Arial" w:hAnsi="Arial" w:eastAsia="黑体" w:cs="Times New Roman"/>
      <w:b/>
      <w:bCs/>
      <w:kern w:val="0"/>
      <w:sz w:val="24"/>
      <w:szCs w:val="24"/>
    </w:rPr>
  </w:style>
  <w:style w:type="character" w:customStyle="1" w:styleId="44">
    <w:name w:val="标题 7 字符"/>
    <w:link w:val="8"/>
    <w:qFormat/>
    <w:uiPriority w:val="0"/>
    <w:rPr>
      <w:rFonts w:ascii="Times New Roman" w:hAnsi="Times New Roman" w:eastAsia="宋体" w:cs="Times New Roman"/>
      <w:b/>
      <w:bCs/>
      <w:kern w:val="0"/>
      <w:sz w:val="24"/>
      <w:szCs w:val="24"/>
    </w:rPr>
  </w:style>
  <w:style w:type="character" w:customStyle="1" w:styleId="45">
    <w:name w:val="标题 8 字符"/>
    <w:link w:val="9"/>
    <w:qFormat/>
    <w:uiPriority w:val="0"/>
    <w:rPr>
      <w:rFonts w:ascii="Arial" w:hAnsi="Arial" w:eastAsia="黑体" w:cs="Times New Roman"/>
      <w:kern w:val="0"/>
      <w:sz w:val="24"/>
      <w:szCs w:val="24"/>
    </w:rPr>
  </w:style>
  <w:style w:type="character" w:customStyle="1" w:styleId="46">
    <w:name w:val="标题 9 字符"/>
    <w:link w:val="10"/>
    <w:qFormat/>
    <w:uiPriority w:val="0"/>
    <w:rPr>
      <w:rFonts w:ascii="Arial" w:hAnsi="Arial" w:eastAsia="黑体" w:cs="Times New Roman"/>
      <w:kern w:val="0"/>
      <w:sz w:val="20"/>
      <w:szCs w:val="20"/>
    </w:rPr>
  </w:style>
  <w:style w:type="character" w:customStyle="1" w:styleId="47">
    <w:name w:val="正文缩进 字符"/>
    <w:link w:val="11"/>
    <w:qFormat/>
    <w:locked/>
    <w:uiPriority w:val="0"/>
    <w:rPr>
      <w:rFonts w:ascii="Times New Roman" w:hAnsi="Times New Roman" w:eastAsia="宋体" w:cs="Times New Roman"/>
      <w:szCs w:val="21"/>
    </w:rPr>
  </w:style>
  <w:style w:type="character" w:customStyle="1" w:styleId="48">
    <w:name w:val="文档结构图 字符"/>
    <w:link w:val="13"/>
    <w:qFormat/>
    <w:uiPriority w:val="0"/>
    <w:rPr>
      <w:rFonts w:ascii="宋体" w:hAnsi="Times New Roman" w:eastAsia="宋体" w:cs="Times New Roman"/>
      <w:sz w:val="18"/>
      <w:szCs w:val="18"/>
    </w:rPr>
  </w:style>
  <w:style w:type="character" w:customStyle="1" w:styleId="49">
    <w:name w:val="批注文字 字符"/>
    <w:link w:val="14"/>
    <w:qFormat/>
    <w:uiPriority w:val="0"/>
    <w:rPr>
      <w:rFonts w:ascii="Times New Roman" w:hAnsi="Times New Roman" w:eastAsia="宋体" w:cs="Times New Roman"/>
      <w:kern w:val="0"/>
      <w:sz w:val="28"/>
      <w:szCs w:val="28"/>
    </w:rPr>
  </w:style>
  <w:style w:type="character" w:customStyle="1" w:styleId="50">
    <w:name w:val="正文文本 字符"/>
    <w:link w:val="15"/>
    <w:qFormat/>
    <w:uiPriority w:val="0"/>
    <w:rPr>
      <w:rFonts w:ascii="Times New Roman" w:hAnsi="Times New Roman" w:eastAsia="宋体" w:cs="Times New Roman"/>
      <w:kern w:val="0"/>
      <w:sz w:val="24"/>
      <w:szCs w:val="24"/>
    </w:rPr>
  </w:style>
  <w:style w:type="character" w:customStyle="1" w:styleId="51">
    <w:name w:val="正文文本缩进 字符"/>
    <w:link w:val="16"/>
    <w:qFormat/>
    <w:uiPriority w:val="0"/>
    <w:rPr>
      <w:rFonts w:ascii="Times New Roman" w:hAnsi="Times New Roman" w:eastAsia="宋体" w:cs="Times New Roman"/>
      <w:kern w:val="0"/>
      <w:sz w:val="20"/>
      <w:szCs w:val="20"/>
    </w:rPr>
  </w:style>
  <w:style w:type="character" w:customStyle="1" w:styleId="52">
    <w:name w:val="纯文本 字符"/>
    <w:link w:val="18"/>
    <w:qFormat/>
    <w:uiPriority w:val="0"/>
    <w:rPr>
      <w:rFonts w:ascii="宋体" w:hAnsi="Courier New" w:eastAsia="宋体" w:cs="Times New Roman"/>
      <w:kern w:val="0"/>
      <w:szCs w:val="21"/>
    </w:rPr>
  </w:style>
  <w:style w:type="character" w:customStyle="1" w:styleId="53">
    <w:name w:val="批注框文本 字符"/>
    <w:link w:val="19"/>
    <w:qFormat/>
    <w:uiPriority w:val="0"/>
    <w:rPr>
      <w:rFonts w:ascii="Times New Roman" w:hAnsi="Times New Roman" w:eastAsia="宋体" w:cs="Times New Roman"/>
      <w:kern w:val="0"/>
      <w:sz w:val="18"/>
      <w:szCs w:val="18"/>
    </w:rPr>
  </w:style>
  <w:style w:type="character" w:customStyle="1" w:styleId="54">
    <w:name w:val="页脚 字符"/>
    <w:link w:val="20"/>
    <w:qFormat/>
    <w:uiPriority w:val="99"/>
    <w:rPr>
      <w:rFonts w:ascii="Times New Roman" w:hAnsi="Times New Roman" w:eastAsia="宋体" w:cs="Times New Roman"/>
      <w:kern w:val="0"/>
      <w:sz w:val="18"/>
      <w:szCs w:val="18"/>
    </w:rPr>
  </w:style>
  <w:style w:type="character" w:customStyle="1" w:styleId="55">
    <w:name w:val="页眉 字符"/>
    <w:link w:val="21"/>
    <w:qFormat/>
    <w:uiPriority w:val="0"/>
    <w:rPr>
      <w:rFonts w:ascii="Times New Roman" w:hAnsi="Times New Roman" w:eastAsia="宋体" w:cs="Times New Roman"/>
      <w:kern w:val="0"/>
      <w:sz w:val="18"/>
      <w:szCs w:val="18"/>
    </w:rPr>
  </w:style>
  <w:style w:type="character" w:customStyle="1" w:styleId="56">
    <w:name w:val="正文文本缩进 3 字符"/>
    <w:link w:val="24"/>
    <w:qFormat/>
    <w:uiPriority w:val="0"/>
    <w:rPr>
      <w:rFonts w:ascii="Times New Roman" w:hAnsi="Times New Roman" w:eastAsia="宋体" w:cs="Times New Roman"/>
      <w:kern w:val="0"/>
      <w:sz w:val="16"/>
      <w:szCs w:val="16"/>
    </w:rPr>
  </w:style>
  <w:style w:type="character" w:customStyle="1" w:styleId="57">
    <w:name w:val="正文文本 2 字符"/>
    <w:link w:val="25"/>
    <w:qFormat/>
    <w:uiPriority w:val="0"/>
    <w:rPr>
      <w:rFonts w:ascii="Times New Roman" w:hAnsi="Times New Roman" w:eastAsia="宋体" w:cs="Times New Roman"/>
      <w:kern w:val="0"/>
      <w:sz w:val="24"/>
      <w:szCs w:val="24"/>
    </w:rPr>
  </w:style>
  <w:style w:type="character" w:customStyle="1" w:styleId="58">
    <w:name w:val="标题 字符"/>
    <w:link w:val="28"/>
    <w:qFormat/>
    <w:uiPriority w:val="0"/>
    <w:rPr>
      <w:rFonts w:ascii="Cambria" w:hAnsi="Cambria" w:eastAsia="宋体" w:cs="Times New Roman"/>
      <w:b/>
      <w:bCs/>
      <w:kern w:val="0"/>
      <w:sz w:val="32"/>
      <w:szCs w:val="32"/>
    </w:rPr>
  </w:style>
  <w:style w:type="character" w:customStyle="1" w:styleId="59">
    <w:name w:val="正文文本首行缩进 2 字符"/>
    <w:link w:val="29"/>
    <w:semiHidden/>
    <w:qFormat/>
    <w:uiPriority w:val="99"/>
  </w:style>
  <w:style w:type="paragraph" w:styleId="60">
    <w:name w:val="List Paragraph"/>
    <w:basedOn w:val="1"/>
    <w:qFormat/>
    <w:uiPriority w:val="0"/>
    <w:pPr>
      <w:ind w:firstLine="420" w:firstLineChars="200"/>
    </w:pPr>
    <w:rPr>
      <w:sz w:val="28"/>
      <w:szCs w:val="28"/>
    </w:rPr>
  </w:style>
  <w:style w:type="character" w:customStyle="1" w:styleId="61">
    <w:name w:val="标题 4 Char"/>
    <w:qFormat/>
    <w:uiPriority w:val="0"/>
    <w:rPr>
      <w:rFonts w:ascii="Cambria" w:hAnsi="Cambria" w:eastAsia="宋体" w:cs="Times New Roman"/>
      <w:b/>
      <w:bCs/>
      <w:kern w:val="2"/>
      <w:sz w:val="28"/>
      <w:szCs w:val="28"/>
    </w:rPr>
  </w:style>
  <w:style w:type="table" w:customStyle="1" w:styleId="62">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3">
    <w:name w:val="列出段落1"/>
    <w:basedOn w:val="1"/>
    <w:qFormat/>
    <w:uiPriority w:val="0"/>
    <w:pPr>
      <w:ind w:firstLine="420" w:firstLineChars="200"/>
    </w:pPr>
    <w:rPr>
      <w:rFonts w:cs="Calibri"/>
      <w:szCs w:val="21"/>
    </w:rPr>
  </w:style>
  <w:style w:type="paragraph" w:customStyle="1" w:styleId="64">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5">
    <w:name w:val="Char Char"/>
    <w:basedOn w:val="1"/>
    <w:qFormat/>
    <w:uiPriority w:val="0"/>
    <w:rPr>
      <w:rFonts w:ascii="Tahoma" w:hAnsi="Tahoma" w:cs="Tahoma"/>
      <w:sz w:val="24"/>
      <w:szCs w:val="24"/>
    </w:rPr>
  </w:style>
  <w:style w:type="paragraph" w:customStyle="1" w:styleId="66">
    <w:name w:val="大汉方案正文"/>
    <w:basedOn w:val="1"/>
    <w:qFormat/>
    <w:uiPriority w:val="0"/>
    <w:pPr>
      <w:spacing w:line="360" w:lineRule="auto"/>
      <w:ind w:firstLine="200" w:firstLineChars="200"/>
    </w:pPr>
    <w:rPr>
      <w:rFonts w:ascii="Arial" w:hAnsi="Arial" w:cs="Arial"/>
      <w:sz w:val="24"/>
      <w:szCs w:val="24"/>
    </w:rPr>
  </w:style>
  <w:style w:type="character" w:customStyle="1" w:styleId="67">
    <w:name w:val="纯文本 Char1"/>
    <w:qFormat/>
    <w:uiPriority w:val="0"/>
    <w:rPr>
      <w:rFonts w:ascii="宋体" w:hAnsi="Courier New" w:cs="宋体"/>
      <w:kern w:val="2"/>
      <w:sz w:val="21"/>
      <w:szCs w:val="21"/>
    </w:rPr>
  </w:style>
  <w:style w:type="character" w:customStyle="1" w:styleId="68">
    <w:name w:val="批注文字 Char1"/>
    <w:qFormat/>
    <w:uiPriority w:val="0"/>
    <w:rPr>
      <w:rFonts w:ascii="Times New Roman" w:hAnsi="Times New Roman" w:eastAsia="宋体" w:cs="Times New Roman"/>
      <w:sz w:val="24"/>
      <w:szCs w:val="24"/>
    </w:rPr>
  </w:style>
  <w:style w:type="paragraph" w:customStyle="1" w:styleId="69">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0">
    <w:name w:val="apple-converted-space"/>
    <w:qFormat/>
    <w:uiPriority w:val="0"/>
  </w:style>
  <w:style w:type="paragraph" w:customStyle="1" w:styleId="71">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133</Pages>
  <Words>46677</Words>
  <Characters>49547</Characters>
  <Lines>895</Lines>
  <Paragraphs>2075</Paragraphs>
  <TotalTime>23</TotalTime>
  <ScaleCrop>false</ScaleCrop>
  <LinksUpToDate>false</LinksUpToDate>
  <CharactersWithSpaces>53313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2026-03-24T01:50:03Z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CF6F38861FA34CFCAAF9C72E049B8088</vt:lpwstr>
  </property>
  <property fmtid="{D5CDD505-2E9C-101B-9397-08002B2CF9AE}" pid="4" name="KSOTemplateDocerSaveRecord">
    <vt:lpwstr>eyJoZGlkIjoiOWY1MDQwNTdkYzk0ZTMzZjJiYTAzY2NiYzZhZDNiZWIiLCJ1c2VySWQiOiI4NTE2NTIxOTAifQ==</vt:lpwstr>
  </property>
</Properties>
</file>