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121"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1"/>
      </w:tblGrid>
      <w:tr w14:paraId="6FC8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7" w:hRule="atLeast"/>
        </w:trPr>
        <w:tc>
          <w:tcPr>
            <w:tcW w:w="10121" w:type="dxa"/>
            <w:shd w:val="clear" w:color="auto" w:fill="FFFFFF" w:themeFill="background1"/>
          </w:tcPr>
          <w:p w14:paraId="19EE4710">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一、报价人须知</w:t>
            </w:r>
          </w:p>
          <w:p w14:paraId="5CABFC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应按工程量清单及其计价格式规定的内容进行编制、填写、签字、盖章。</w:t>
            </w:r>
          </w:p>
          <w:p w14:paraId="1F2FA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工程量清单及其计价格式中的任何内容不得随意删除或涂改。</w:t>
            </w:r>
          </w:p>
          <w:p w14:paraId="7F090B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工程量清单计价格式中列明的所有需要填报的单价和合价，投标单位均应填报，未填报的单价和合价，视为此项费用已包含在工程量清单的其他单价和合价内。</w:t>
            </w:r>
          </w:p>
          <w:p w14:paraId="2AFEAA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清单项目中凡注明“以下、以内、小于”字样者，均包括本身；注明“以上、以外、大于”字样者，均不包括本身。</w:t>
            </w:r>
          </w:p>
          <w:p w14:paraId="079354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金额（价格）均以人民币表示。</w:t>
            </w:r>
          </w:p>
          <w:p w14:paraId="4DEC6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二、工程名称：</w:t>
            </w:r>
            <w:r>
              <w:rPr>
                <w:rFonts w:hint="eastAsia" w:ascii="宋体" w:hAnsi="宋体" w:cs="宋体"/>
                <w:sz w:val="24"/>
                <w:szCs w:val="24"/>
                <w:lang w:val="en-US" w:eastAsia="zh-CN"/>
              </w:rPr>
              <w:t>威海</w:t>
            </w:r>
            <w:r>
              <w:rPr>
                <w:rFonts w:hint="eastAsia" w:ascii="宋体" w:hAnsi="宋体" w:eastAsia="宋体" w:cs="宋体"/>
                <w:sz w:val="24"/>
                <w:szCs w:val="24"/>
              </w:rPr>
              <w:t>临港经济技术开发区公共实</w:t>
            </w:r>
            <w:bookmarkStart w:id="0" w:name="_GoBack"/>
            <w:bookmarkEnd w:id="0"/>
            <w:r>
              <w:rPr>
                <w:rFonts w:hint="eastAsia" w:ascii="宋体" w:hAnsi="宋体" w:eastAsia="宋体" w:cs="宋体"/>
                <w:sz w:val="24"/>
                <w:szCs w:val="24"/>
              </w:rPr>
              <w:t>训基地项目</w:t>
            </w:r>
            <w:r>
              <w:rPr>
                <w:rFonts w:hint="eastAsia" w:ascii="宋体" w:hAnsi="宋体" w:cs="宋体"/>
                <w:sz w:val="24"/>
                <w:szCs w:val="24"/>
                <w:lang w:eastAsia="zh-CN"/>
              </w:rPr>
              <w:t>供暖工程</w:t>
            </w:r>
            <w:r>
              <w:rPr>
                <w:rFonts w:hint="eastAsia" w:ascii="宋体" w:hAnsi="宋体" w:eastAsia="宋体" w:cs="宋体"/>
                <w:sz w:val="24"/>
                <w:szCs w:val="24"/>
                <w:highlight w:val="none"/>
              </w:rPr>
              <w:t>。</w:t>
            </w:r>
          </w:p>
          <w:p w14:paraId="715385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三、工程概况：</w:t>
            </w:r>
            <w:r>
              <w:rPr>
                <w:rFonts w:hint="eastAsia" w:ascii="宋体" w:hAnsi="宋体" w:cs="宋体"/>
                <w:sz w:val="24"/>
                <w:szCs w:val="24"/>
                <w:highlight w:val="none"/>
                <w:lang w:eastAsia="zh-CN"/>
              </w:rPr>
              <w:t>本工程</w:t>
            </w:r>
            <w:r>
              <w:rPr>
                <w:rFonts w:hint="eastAsia" w:ascii="宋体" w:hAnsi="宋体" w:eastAsia="宋体" w:cs="宋体"/>
                <w:sz w:val="24"/>
                <w:szCs w:val="24"/>
                <w:lang w:val="en-US" w:eastAsia="zh-CN"/>
              </w:rPr>
              <w:t>位于山东省威海临港经济技术开发区</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本项目总建筑面积24713.49m2，分为实训楼一工程和实训楼二工程。</w:t>
            </w:r>
          </w:p>
          <w:p w14:paraId="5CC3C2BC">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四、工程招标范围</w:t>
            </w:r>
          </w:p>
          <w:p w14:paraId="53E46F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479" w:leftChars="228" w:right="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设计图纸范围内的</w:t>
            </w:r>
            <w:r>
              <w:rPr>
                <w:rFonts w:hint="eastAsia" w:ascii="宋体" w:hAnsi="宋体" w:cs="宋体"/>
                <w:sz w:val="24"/>
                <w:szCs w:val="24"/>
                <w:highlight w:val="none"/>
                <w:lang w:eastAsia="zh-CN"/>
              </w:rPr>
              <w:t>土建</w:t>
            </w:r>
            <w:r>
              <w:rPr>
                <w:rFonts w:hint="eastAsia" w:ascii="宋体" w:hAnsi="宋体" w:eastAsia="宋体" w:cs="宋体"/>
                <w:sz w:val="24"/>
                <w:szCs w:val="24"/>
                <w:highlight w:val="none"/>
                <w:lang w:eastAsia="zh-CN"/>
              </w:rPr>
              <w:t>、安装工程，其中：</w:t>
            </w:r>
          </w:p>
          <w:p w14:paraId="4CE8E6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479" w:leftChars="228" w:right="0" w:firstLine="0" w:firstLineChars="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土建</w:t>
            </w:r>
            <w:r>
              <w:rPr>
                <w:rFonts w:hint="eastAsia" w:ascii="宋体" w:hAnsi="宋体" w:eastAsia="宋体" w:cs="宋体"/>
                <w:sz w:val="24"/>
                <w:szCs w:val="24"/>
                <w:highlight w:val="none"/>
                <w:lang w:eastAsia="zh-CN"/>
              </w:rPr>
              <w:t>工程</w:t>
            </w:r>
            <w:r>
              <w:rPr>
                <w:rFonts w:hint="eastAsia" w:ascii="宋体" w:hAnsi="宋体" w:cs="宋体"/>
                <w:sz w:val="24"/>
                <w:szCs w:val="24"/>
                <w:highlight w:val="none"/>
                <w:lang w:eastAsia="zh-CN"/>
              </w:rPr>
              <w:t>包括：</w:t>
            </w:r>
            <w:r>
              <w:rPr>
                <w:rFonts w:hint="eastAsia" w:ascii="宋体" w:hAnsi="宋体" w:eastAsia="宋体" w:cs="宋体"/>
                <w:sz w:val="24"/>
                <w:szCs w:val="24"/>
                <w:highlight w:val="none"/>
                <w:lang w:val="en-US" w:eastAsia="zh-CN"/>
              </w:rPr>
              <w:t>包括</w:t>
            </w:r>
            <w:r>
              <w:rPr>
                <w:rFonts w:hint="eastAsia" w:ascii="宋体" w:hAnsi="宋体" w:cs="宋体"/>
                <w:sz w:val="24"/>
                <w:szCs w:val="24"/>
                <w:highlight w:val="none"/>
                <w:lang w:val="en-US" w:eastAsia="zh-CN"/>
              </w:rPr>
              <w:t>管沟挖填土、管井砌筑</w:t>
            </w:r>
            <w:r>
              <w:rPr>
                <w:rFonts w:hint="eastAsia" w:ascii="宋体" w:hAnsi="宋体" w:eastAsia="宋体" w:cs="宋体"/>
                <w:sz w:val="24"/>
                <w:szCs w:val="24"/>
                <w:highlight w:val="none"/>
                <w:lang w:val="en-US" w:eastAsia="zh-CN"/>
              </w:rPr>
              <w:t>等。</w:t>
            </w:r>
          </w:p>
          <w:p w14:paraId="01625A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19" w:leftChars="9" w:right="0" w:firstLine="458" w:firstLineChars="191"/>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安装工程包括：</w:t>
            </w:r>
            <w:r>
              <w:rPr>
                <w:rFonts w:hint="eastAsia" w:ascii="宋体" w:hAnsi="宋体" w:cs="宋体"/>
                <w:sz w:val="24"/>
                <w:szCs w:val="24"/>
                <w:highlight w:val="none"/>
                <w:lang w:val="en-US" w:eastAsia="zh-CN"/>
              </w:rPr>
              <w:t>一级网、二级网、换热站供暖管道、阀门、管件等安装。</w:t>
            </w:r>
          </w:p>
          <w:p w14:paraId="395214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479" w:leftChars="228" w:right="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具体以工程量清单为准。</w:t>
            </w:r>
          </w:p>
          <w:p w14:paraId="37CB07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五、工程质量：达到国家验收规范合格标准。</w:t>
            </w:r>
          </w:p>
          <w:p w14:paraId="466287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六、编制依据</w:t>
            </w:r>
          </w:p>
          <w:p w14:paraId="0C81DF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1.建设部《建设工程工程量清单计价规范》(GB50500-2013)</w:t>
            </w:r>
          </w:p>
          <w:p w14:paraId="530F8B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2.《山东省建设工程费用项目组成及计算规则》（鲁建标字[2022]7号文）</w:t>
            </w:r>
          </w:p>
          <w:p w14:paraId="6DF1A0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招标人提供的施工图纸及相关设计答疑等资料</w:t>
            </w:r>
          </w:p>
          <w:p w14:paraId="71344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省和市建设主管部门颁发的计价定额和计价管理办法及有关计价要求</w:t>
            </w:r>
          </w:p>
          <w:p w14:paraId="0F2EA4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与建设项目相关的标准设计图集、规范、技术资料等</w:t>
            </w:r>
          </w:p>
          <w:p w14:paraId="7ACF8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七</w:t>
            </w:r>
            <w:r>
              <w:rPr>
                <w:rFonts w:hint="eastAsia" w:ascii="宋体" w:hAnsi="宋体" w:eastAsia="宋体" w:cs="宋体"/>
                <w:sz w:val="24"/>
                <w:szCs w:val="24"/>
                <w:highlight w:val="none"/>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345C2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八</w:t>
            </w:r>
            <w:r>
              <w:rPr>
                <w:rFonts w:hint="eastAsia" w:ascii="宋体" w:hAnsi="宋体" w:eastAsia="宋体" w:cs="宋体"/>
                <w:sz w:val="24"/>
                <w:szCs w:val="24"/>
                <w:highlight w:val="none"/>
              </w:rPr>
              <w:t>、</w:t>
            </w:r>
            <w:r>
              <w:rPr>
                <w:rFonts w:hint="eastAsia" w:ascii="宋体" w:hAnsi="宋体" w:cs="宋体"/>
                <w:color w:val="auto"/>
                <w:sz w:val="24"/>
                <w:highlight w:val="none"/>
              </w:rPr>
              <w:t>投标单位在投标报价时，应根据现场条件、招标文件要求，按照《建设工程工程量清单计价规范》</w:t>
            </w:r>
            <w:r>
              <w:rPr>
                <w:rFonts w:hint="eastAsia" w:ascii="宋体" w:hAnsi="宋体"/>
                <w:sz w:val="24"/>
                <w:highlight w:val="none"/>
              </w:rPr>
              <w:t>(GB50500-20</w:t>
            </w:r>
            <w:r>
              <w:rPr>
                <w:rFonts w:hint="eastAsia" w:ascii="宋体" w:hAnsi="宋体"/>
                <w:sz w:val="24"/>
                <w:highlight w:val="none"/>
                <w:lang w:val="en-US" w:eastAsia="zh-CN"/>
              </w:rPr>
              <w:t>13</w:t>
            </w:r>
            <w:r>
              <w:rPr>
                <w:rFonts w:hint="eastAsia" w:ascii="宋体" w:hAnsi="宋体"/>
                <w:sz w:val="24"/>
                <w:highlight w:val="none"/>
              </w:rPr>
              <w:t>)</w:t>
            </w:r>
            <w:r>
              <w:rPr>
                <w:rFonts w:hint="eastAsia" w:ascii="宋体" w:hAnsi="宋体" w:cs="宋体"/>
                <w:color w:val="auto"/>
                <w:sz w:val="24"/>
                <w:highlight w:val="none"/>
              </w:rPr>
              <w:t>、《山东省建设工程费用项目组成及计算规则》（鲁建标字[2022]7号文）、本清单说明及子目规定的计算规则，结合施工方案、技术规范、技术装备、技术能力、施工管理经验及市场行情等规定综合分析及测算，在保证成本且有适当利润的前提下填报</w:t>
            </w:r>
            <w:r>
              <w:rPr>
                <w:rFonts w:hint="eastAsia" w:ascii="宋体" w:hAnsi="宋体" w:eastAsia="宋体" w:cs="宋体"/>
                <w:sz w:val="24"/>
                <w:szCs w:val="24"/>
                <w:highlight w:val="none"/>
              </w:rPr>
              <w:t>。</w:t>
            </w:r>
          </w:p>
          <w:p w14:paraId="189214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九</w:t>
            </w:r>
            <w:r>
              <w:rPr>
                <w:rFonts w:hint="eastAsia" w:ascii="宋体" w:hAnsi="宋体" w:eastAsia="宋体" w:cs="宋体"/>
                <w:sz w:val="24"/>
                <w:szCs w:val="24"/>
                <w:highlight w:val="none"/>
              </w:rPr>
              <w:t>、投标单位在投标报价时，应考虑本工程的招标范围、工期要求与承包方式、以及不同专业交叉作业影响，并将与此有关的可能产生的费用考虑在相应的投标报价中。</w:t>
            </w:r>
          </w:p>
          <w:p w14:paraId="0C2B35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投标单位在投标报价时，应根据企业自身实力结合市场信息，充分考虑市场竞争因素和市场风险进行自主报价。工程量清单计价表中的综合单价应包括完成本项目（清单子目）内容所需的人工费、材料费、机械使用费、制作费、运输费、安装费、管理费、利润、检验试验费、采保费、损耗、成品保护费等，并考虑风险因素，以及为完成本工程项目（清单子目）</w:t>
            </w:r>
            <w:r>
              <w:rPr>
                <w:rFonts w:hint="eastAsia" w:ascii="宋体" w:hAnsi="宋体" w:cs="宋体"/>
                <w:sz w:val="24"/>
                <w:szCs w:val="24"/>
                <w:highlight w:val="none"/>
                <w:lang w:eastAsia="zh-CN"/>
              </w:rPr>
              <w:t>及</w:t>
            </w:r>
            <w:r>
              <w:rPr>
                <w:rFonts w:hint="eastAsia" w:ascii="宋体" w:hAnsi="宋体" w:eastAsia="宋体" w:cs="宋体"/>
                <w:sz w:val="24"/>
                <w:szCs w:val="24"/>
                <w:highlight w:val="none"/>
              </w:rPr>
              <w:t>招标文件和合同中明确的其他责任和义务。</w:t>
            </w:r>
          </w:p>
          <w:p w14:paraId="5ADDD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、投标单位在投标时应按威海市建设工程电子交易系统给定的统一格式</w:t>
            </w:r>
            <w:r>
              <w:rPr>
                <w:rFonts w:hint="eastAsia" w:ascii="宋体" w:hAnsi="宋体" w:eastAsia="宋体" w:cs="宋体"/>
                <w:sz w:val="24"/>
                <w:szCs w:val="24"/>
                <w:highlight w:val="none"/>
                <w:lang w:eastAsia="zh-CN"/>
              </w:rPr>
              <w:t>报表</w:t>
            </w:r>
            <w:r>
              <w:rPr>
                <w:rFonts w:hint="eastAsia" w:ascii="宋体" w:hAnsi="宋体" w:eastAsia="宋体" w:cs="宋体"/>
                <w:sz w:val="24"/>
                <w:szCs w:val="24"/>
                <w:highlight w:val="none"/>
              </w:rPr>
              <w:t>，按其规定内容填写；投标单位另需按清单给定的统一格式，提供</w:t>
            </w:r>
            <w:r>
              <w:rPr>
                <w:rFonts w:hint="eastAsia" w:ascii="宋体" w:hAnsi="宋体" w:eastAsia="宋体" w:cs="宋体"/>
                <w:sz w:val="24"/>
                <w:szCs w:val="24"/>
                <w:highlight w:val="none"/>
                <w:lang w:eastAsia="zh-CN"/>
              </w:rPr>
              <w:t>“工程议价材料表”</w:t>
            </w:r>
            <w:r>
              <w:rPr>
                <w:rFonts w:hint="eastAsia" w:ascii="宋体" w:hAnsi="宋体" w:eastAsia="宋体" w:cs="宋体"/>
                <w:sz w:val="24"/>
                <w:szCs w:val="24"/>
                <w:highlight w:val="none"/>
              </w:rPr>
              <w:t>“工程主材汇总表”等，并按其规定内容填写，若有疑问按规定提出答疑。</w:t>
            </w:r>
          </w:p>
          <w:p w14:paraId="41DDEC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14:paraId="3BC6CD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三</w:t>
            </w:r>
            <w:r>
              <w:rPr>
                <w:rFonts w:hint="eastAsia" w:ascii="宋体" w:hAnsi="宋体" w:eastAsia="宋体" w:cs="宋体"/>
                <w:sz w:val="24"/>
                <w:szCs w:val="24"/>
                <w:highlight w:val="none"/>
              </w:rPr>
              <w:t>、投标单位必须完成所有按国家相关法律法规、行业规范等文件要求的检验、检测和验收工作，结算时不增加此部分费用。</w:t>
            </w:r>
          </w:p>
          <w:p w14:paraId="0E42F9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四</w:t>
            </w:r>
            <w:r>
              <w:rPr>
                <w:rFonts w:hint="eastAsia" w:ascii="宋体" w:hAnsi="宋体" w:eastAsia="宋体" w:cs="宋体"/>
                <w:sz w:val="24"/>
                <w:szCs w:val="24"/>
                <w:highlight w:val="none"/>
              </w:rPr>
              <w:t>、投标单位在投标报价中，规费和税金必须足额计取，取费基数及费率须按规定计取不得调整，否则按否决投标处理。</w:t>
            </w:r>
          </w:p>
          <w:p w14:paraId="6B9D4843">
            <w:pPr>
              <w:keepNext w:val="0"/>
              <w:keepLines w:val="0"/>
              <w:suppressLineNumbers w:val="0"/>
              <w:spacing w:before="0" w:beforeAutospacing="0" w:after="0" w:afterAutospacing="0" w:line="460" w:lineRule="exact"/>
              <w:ind w:left="67" w:leftChars="32" w:right="0" w:firstLine="427" w:firstLineChars="178"/>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五</w:t>
            </w:r>
            <w:r>
              <w:rPr>
                <w:rFonts w:hint="eastAsia" w:ascii="宋体" w:hAnsi="宋体" w:eastAsia="宋体" w:cs="宋体"/>
                <w:sz w:val="24"/>
                <w:szCs w:val="24"/>
                <w:highlight w:val="none"/>
              </w:rPr>
              <w:t>、</w:t>
            </w:r>
            <w:r>
              <w:rPr>
                <w:rFonts w:hint="eastAsia" w:ascii="宋体" w:hAnsi="宋体" w:cs="宋体"/>
                <w:b/>
                <w:bCs/>
                <w:sz w:val="24"/>
                <w:szCs w:val="24"/>
                <w:highlight w:val="none"/>
              </w:rPr>
              <w:t>投标单位在投标报价时，按照一般计税法进行报价。中标后需按规定开具增值税专用发票。若后期出现政策性税率调整，</w:t>
            </w:r>
            <w:r>
              <w:rPr>
                <w:rFonts w:hint="eastAsia" w:ascii="宋体" w:hAnsi="宋体" w:cs="宋体"/>
                <w:b/>
                <w:bCs/>
                <w:sz w:val="24"/>
                <w:szCs w:val="24"/>
                <w:highlight w:val="none"/>
                <w:lang w:eastAsia="zh-CN"/>
              </w:rPr>
              <w:t>或</w:t>
            </w:r>
            <w:r>
              <w:rPr>
                <w:rFonts w:hint="eastAsia" w:ascii="宋体" w:hAnsi="宋体" w:cs="宋体"/>
                <w:b/>
                <w:bCs/>
                <w:sz w:val="24"/>
                <w:szCs w:val="24"/>
                <w:highlight w:val="none"/>
              </w:rPr>
              <w:t>因中标单位纳税资格所开具的增值税专用发票税率与投标税率不一致的情况，最终结算时税率按照中标单位实际开具的增值税专用发票税率计取。</w:t>
            </w:r>
            <w:r>
              <w:rPr>
                <w:rFonts w:hint="eastAsia" w:ascii="宋体" w:hAnsi="宋体"/>
                <w:sz w:val="24"/>
                <w:szCs w:val="24"/>
                <w:highlight w:val="none"/>
              </w:rPr>
              <w:t>规费费率</w:t>
            </w:r>
            <w:r>
              <w:rPr>
                <w:rFonts w:ascii="宋体" w:hAnsi="宋体" w:cs="宋体"/>
                <w:sz w:val="24"/>
                <w:szCs w:val="24"/>
                <w:highlight w:val="none"/>
              </w:rPr>
              <w:t>按</w:t>
            </w:r>
            <w:r>
              <w:rPr>
                <w:rFonts w:hint="eastAsia" w:ascii="宋体" w:hAnsi="宋体" w:cs="宋体"/>
                <w:sz w:val="24"/>
                <w:szCs w:val="24"/>
                <w:highlight w:val="none"/>
              </w:rPr>
              <w:t>现行</w:t>
            </w:r>
            <w:r>
              <w:rPr>
                <w:rFonts w:ascii="宋体" w:hAnsi="宋体" w:cs="宋体"/>
                <w:sz w:val="24"/>
                <w:szCs w:val="24"/>
                <w:highlight w:val="none"/>
              </w:rPr>
              <w:t>规定计取</w:t>
            </w:r>
            <w:r>
              <w:rPr>
                <w:rFonts w:hint="eastAsia" w:ascii="宋体" w:hAnsi="宋体"/>
                <w:sz w:val="24"/>
                <w:szCs w:val="24"/>
                <w:highlight w:val="none"/>
              </w:rPr>
              <w:t>。</w:t>
            </w:r>
            <w:r>
              <w:rPr>
                <w:rFonts w:hint="eastAsia" w:ascii="宋体" w:hAnsi="宋体"/>
                <w:sz w:val="24"/>
                <w:szCs w:val="24"/>
                <w:highlight w:val="none"/>
                <w:lang w:eastAsia="zh-CN"/>
              </w:rPr>
              <w:t>工程排污费、危险作业意外伤害保险</w:t>
            </w:r>
            <w:r>
              <w:rPr>
                <w:rFonts w:hint="eastAsia" w:ascii="宋体" w:hAnsi="宋体"/>
                <w:sz w:val="24"/>
                <w:szCs w:val="24"/>
                <w:highlight w:val="none"/>
              </w:rPr>
              <w:t>在投标报价时按照现行规定费率计取，在竣工结算时，凭有关部门出具的缴费凭据按实结算（不包括违规的罚款）。</w:t>
            </w:r>
          </w:p>
          <w:p w14:paraId="4475B380">
            <w:pPr>
              <w:keepNext w:val="0"/>
              <w:keepLines w:val="0"/>
              <w:suppressLineNumbers w:val="0"/>
              <w:spacing w:before="0" w:beforeAutospacing="0" w:after="0" w:afterAutospacing="0" w:line="460" w:lineRule="exact"/>
              <w:ind w:left="67" w:leftChars="32" w:right="0" w:firstLine="427" w:firstLineChars="178"/>
              <w:rPr>
                <w:rFonts w:hint="eastAsia" w:ascii="宋体" w:hAnsi="宋体"/>
                <w:sz w:val="24"/>
                <w:szCs w:val="24"/>
                <w:highlight w:val="none"/>
              </w:rPr>
            </w:pPr>
            <w:r>
              <w:rPr>
                <w:rFonts w:hint="eastAsia" w:ascii="宋体" w:hAnsi="宋体"/>
                <w:sz w:val="24"/>
                <w:szCs w:val="24"/>
                <w:highlight w:val="none"/>
                <w:lang w:eastAsia="zh-CN"/>
              </w:rPr>
              <w:t>十六</w:t>
            </w:r>
            <w:r>
              <w:rPr>
                <w:rFonts w:hint="eastAsia" w:ascii="宋体" w:hAnsi="宋体"/>
                <w:sz w:val="24"/>
                <w:szCs w:val="24"/>
                <w:highlight w:val="none"/>
              </w:rPr>
              <w:t>、投标单位在投标报价时，应综合考虑以下费用:</w:t>
            </w:r>
          </w:p>
          <w:p w14:paraId="3504F9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图纸与清单不符的以清单为准，清单未注明的以图纸为准。</w:t>
            </w:r>
          </w:p>
          <w:p w14:paraId="39EF3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10CF5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所有投标报价材料均应包括其采购保管费用，运输费、施工现场内外搬运费、二次倒运费、检验试验费等所有费用，并根据实际情况考虑材料的损耗率，损耗率应在“工程量清单综合单价分析表”中有明确体现。结算时不再因损耗及运距等因素而调整综合单价。</w:t>
            </w:r>
          </w:p>
          <w:p w14:paraId="010F5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施工现场临时场地、临时水、电已开通至建筑红线内，红线内的所有用水费用(包括施工单位利用地下水的费用）、用电费用由投标单位自行解决。水源电源接入点至施工场地内由中标单位实施，管线的规格、数量、平面走向等投标单位自行确定，所需费用全部包含在相应的投标报价中，结算时不增加此部分费用。</w:t>
            </w:r>
          </w:p>
          <w:p w14:paraId="4F0F25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在施工过程中可能产生的扬尘、噪音、车辆进出等因素，不得对周围居民的安全、财产及正常生活等造成影响，需采取的措施及费用均需考虑在投标报价当中。若因此引起纠纷及损失，均由投标单位自行解决。其中施工扬尘治理应达到威住建通字[2017]9号、威住建通字[2017]38号文的要求、《2019年全市建筑施工扬尘治理提升行动工作方案》的要求。</w:t>
            </w:r>
          </w:p>
          <w:p w14:paraId="7BB980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中标单位为本工程提供的各类车辆及机械设备费用，包括机械设备的进出场、装卸、拼装、交通标示牌、警示牌等所有费用，应包括在投标报价中，投标单位应充分考虑施工过程中发生的各种机械的多次进出场和机械停滞的费用及风险费用，结算时不增加此部分费用。</w:t>
            </w:r>
          </w:p>
          <w:p w14:paraId="4E430F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投标报价要充分考虑施工过程中不可避免的赶工期增加费，结算不予调整。</w:t>
            </w:r>
          </w:p>
          <w:p w14:paraId="2718E8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投标单位应根据现场实际情况，自行考虑临时设施的搭设位置，但必须符合规定。无论场内场外，结算时不再增加此部分费用。</w:t>
            </w:r>
          </w:p>
          <w:p w14:paraId="641630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9.</w:t>
            </w:r>
            <w:r>
              <w:rPr>
                <w:rFonts w:hint="eastAsia" w:ascii="宋体" w:hAnsi="宋体" w:cs="宋体"/>
                <w:sz w:val="24"/>
                <w:szCs w:val="24"/>
                <w:highlight w:val="none"/>
                <w:lang w:eastAsia="zh-CN"/>
              </w:rPr>
              <w:t>措施项目包干计取使用。措施项目清单与计价表中的费用包干使用。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未单独列项的措施费用视为包括在综合单价中。</w:t>
            </w:r>
          </w:p>
          <w:p w14:paraId="6A72DD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十七</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土建</w:t>
            </w:r>
            <w:r>
              <w:rPr>
                <w:rFonts w:hint="eastAsia" w:ascii="宋体" w:hAnsi="宋体" w:cs="宋体"/>
                <w:sz w:val="24"/>
                <w:szCs w:val="24"/>
                <w:highlight w:val="none"/>
                <w:lang w:eastAsia="zh-CN"/>
              </w:rPr>
              <w:t>工程清单报价时，投标单位应注意：</w:t>
            </w:r>
          </w:p>
          <w:p w14:paraId="2CA8D2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土（石）方开挖均按开挖前天然密实体积计算，工程量按照工程量清单计算规则计算。投标报价内应综合考虑土（石）方开挖、淤泥质土开挖、人工清槽、修整边坡、场内堆土、倒运等费用，投标单位应结合本工程地质情况及现场实际情况综合考虑开挖方式等相关因素以及相关的安全文明环保等，此费用均包括在清单报价中，二次或多次倒运等费用不再额外计取。土源、场区内的堆放、倒运、运输、夯实的费用，根据施工组织设计并结合现场实际情况综合考虑运输距离、运输方式及回填方式等相关因素影响费用综合考虑在报价中。</w:t>
            </w:r>
          </w:p>
          <w:p w14:paraId="7F820B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2.投标单位在报价时，均应充分考虑施</w:t>
            </w:r>
            <w:r>
              <w:rPr>
                <w:rFonts w:hint="eastAsia" w:ascii="宋体" w:hAnsi="宋体" w:eastAsia="宋体" w:cs="宋体"/>
                <w:sz w:val="24"/>
                <w:szCs w:val="24"/>
                <w:highlight w:val="none"/>
                <w:lang w:val="en-US" w:eastAsia="zh-CN"/>
              </w:rPr>
              <w:t>工土（石）方外运过程中，场地出入口运输车辆的清洗费用、运输过程中的洒水降尘保洁费用以及省、市相关文件对扬尘和散流物体运输控制及安全文明施工要求产生的相关费用，如毛毡、塑料纸、密目网等覆盖措施费用。</w:t>
            </w:r>
          </w:p>
          <w:p w14:paraId="01561D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投标单位挖土（石）方以及回填的最终标高必须符合招标人的要求。</w:t>
            </w:r>
          </w:p>
          <w:p w14:paraId="5D2D79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eastAsia="zh-CN"/>
              </w:rPr>
              <w:t>本工程所处地理位置特殊，土石方施工过程中，投标单位应综合考虑因周边居民和交通管制等影响的有效施工时间，包括场内施工时间、场外运输时间等，上述因素引起的降效由投标单位综合考虑到单价中，结算不再增加相关费用。</w:t>
            </w:r>
          </w:p>
          <w:p w14:paraId="1ADF9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用于该工程项目的所有砌筑材料（包括但不限于砌块、小砖、砌筑砂浆等）必须符合现行相关规范标准要求，报价时综合考虑，结算时不因图纸设计或清单描述缺陷而调整该费用。</w:t>
            </w:r>
          </w:p>
          <w:p w14:paraId="6DC81F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投标单位所有混凝土项目的报价应结合本工程的实际情况和政府的相关规定考虑混凝土的施工方式，无论是采用何种搅拌和运输、输送方式，结算时均不做任何调整。砼报价中应包含各种添加剂（除抗冻、早强外）的费用。砼标号发生变更的仅调整材料差价，差价只计规费、税金。</w:t>
            </w:r>
          </w:p>
          <w:p w14:paraId="31C32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所有涉及砂浆项目的报价应结合本工程的实际情况和政府的相关规定考虑砂浆的施工方式，实际施工中无论是采用预拌、现场搅拌或成品砂浆，结算时均不调整。砂浆价格应综合考虑砂浆罐的租赁费，结算时不再另计。结算时砂浆的品种及标号与清单不一致，可找补不同标号的差价，差价只计规费、税金。</w:t>
            </w:r>
          </w:p>
          <w:p w14:paraId="169272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所有砼项的报价均考虑模板制作支拆、模板周转、砼搅拌浇捣养护、相应构件可能发生的脚手架搭拆及水平垂直运输等所有费用。</w:t>
            </w:r>
          </w:p>
          <w:p w14:paraId="38B167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本工程施工期间发生的所有的水泵抽水、降水台班，需综合考虑在工程各个子目的综合单价中，结算时不再增加此部分费用。</w:t>
            </w:r>
          </w:p>
          <w:p w14:paraId="7ACA4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投标报价时，垃圾外运运距、消纳处理自行考虑，垃圾外运的计量按照拆除前的实方考虑。投标人自行选定的弃置点的费用及沿途行驶产生的费用，需包含在投标报价中。</w:t>
            </w:r>
          </w:p>
          <w:p w14:paraId="249965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lang w:val="en-US" w:eastAsia="zh-CN"/>
              </w:rPr>
              <w:t>室外工程内各作业面完毕后,中标单位要按招标单位要求清理现场,竣工清理费用报价均应包含在报价中,结算时不增加此部分费用。</w:t>
            </w:r>
          </w:p>
          <w:p w14:paraId="6A2A2C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val="en-US" w:eastAsia="zh-CN"/>
              </w:rPr>
              <w:t>八</w:t>
            </w:r>
            <w:r>
              <w:rPr>
                <w:rFonts w:hint="eastAsia" w:ascii="宋体" w:hAnsi="宋体" w:eastAsia="宋体" w:cs="宋体"/>
                <w:sz w:val="24"/>
                <w:szCs w:val="24"/>
                <w:highlight w:val="none"/>
              </w:rPr>
              <w:t>、安装</w:t>
            </w:r>
            <w:r>
              <w:rPr>
                <w:rFonts w:hint="eastAsia" w:ascii="宋体" w:hAnsi="宋体" w:eastAsia="宋体" w:cs="宋体"/>
                <w:sz w:val="24"/>
                <w:szCs w:val="24"/>
                <w:highlight w:val="none"/>
                <w:lang w:eastAsia="zh-CN"/>
              </w:rPr>
              <w:t>工程</w:t>
            </w:r>
            <w:r>
              <w:rPr>
                <w:rFonts w:hint="eastAsia" w:ascii="宋体" w:hAnsi="宋体" w:eastAsia="宋体" w:cs="宋体"/>
                <w:sz w:val="24"/>
                <w:szCs w:val="24"/>
                <w:highlight w:val="none"/>
              </w:rPr>
              <w:t>清单报价时，投标单位应注意:</w:t>
            </w:r>
          </w:p>
          <w:p w14:paraId="544A56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管道的压力试验、冲洗、系统吹扫、通水试验、管道除锈、管道刷油等均包含在相应清单项目中，报价时应综合考虑。</w:t>
            </w:r>
          </w:p>
          <w:p w14:paraId="053DE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所有管道、阀门、管件的保温、补口均包含在相应清单项目中，报价时应综合考虑，结算时不再调整此类项目。</w:t>
            </w:r>
          </w:p>
          <w:p w14:paraId="7723E7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所有管道安装的综合单价中都应包含管道、管件支架制安及其管道标识、打堵洞眼及修复、过墙保温、防腐、防水堵漏、清理等与之相关的工作内容，报价时综合考虑，结算时不再调整。清单中另有单独列项除外。</w:t>
            </w:r>
          </w:p>
          <w:p w14:paraId="0F3B34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系统调整及其他调试费用均含在相应综合单价中，结算不再增加此部分内容。</w:t>
            </w:r>
          </w:p>
          <w:p w14:paraId="19BABE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施工单位应充分仔细阅读图纸，综合考虑管井、暗室、不同安装高度、安装位置等等施工中的相关费用，结算时不论采用何种方案，均不得调整。</w:t>
            </w:r>
          </w:p>
          <w:p w14:paraId="7A8DE5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6.旧管道切割、开口、坡口处理、保温拆除、新旧管道连接等费用</w:t>
            </w:r>
            <w:r>
              <w:rPr>
                <w:rFonts w:hint="eastAsia" w:ascii="宋体" w:hAnsi="宋体" w:cs="宋体"/>
                <w:sz w:val="24"/>
                <w:szCs w:val="24"/>
                <w:highlight w:val="none"/>
                <w:lang w:eastAsia="zh-CN"/>
              </w:rPr>
              <w:t>均含在相应综合单价中，结算不再增加此部分内容。</w:t>
            </w:r>
          </w:p>
          <w:p w14:paraId="4D14F4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color w:val="auto"/>
                <w:sz w:val="24"/>
                <w:highlight w:val="none"/>
                <w:lang w:val="en-US" w:eastAsia="zh-CN"/>
              </w:rPr>
            </w:pPr>
            <w:r>
              <w:rPr>
                <w:rFonts w:hint="eastAsia" w:ascii="宋体" w:hAnsi="宋体" w:cs="宋体"/>
                <w:sz w:val="24"/>
                <w:szCs w:val="24"/>
                <w:highlight w:val="none"/>
                <w:lang w:val="en-US" w:eastAsia="zh-CN"/>
              </w:rPr>
              <w:t>7.</w:t>
            </w:r>
            <w:r>
              <w:rPr>
                <w:rFonts w:hint="eastAsia" w:ascii="宋体" w:hAnsi="宋体" w:cs="宋体"/>
                <w:color w:val="auto"/>
                <w:sz w:val="24"/>
                <w:highlight w:val="none"/>
                <w:lang w:val="en-US" w:eastAsia="zh-CN"/>
              </w:rPr>
              <w:t>电气穿线管安装中包含支架及其刷油防腐、套管、接线盒（箱）、开关盒、接地跨接、等与之有关的工作内容，报价时综合考虑在相应的清单中，结算时不再增加此部分费用。</w:t>
            </w:r>
          </w:p>
          <w:p w14:paraId="45D80D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8.桥架吊筋及支架、管道的支架及其刷油防腐；均包含在相应清单项目中，报价时应综合考虑，结算时不再调整此类项目。</w:t>
            </w:r>
          </w:p>
          <w:p w14:paraId="433AC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9.桥架防火封堵、穿变形缝时的补偿装置,伸缩及阻火圈节等报价时综合考虑在相应的清单中,结算时不再增加此部分费用,桥架板材厚度不得低于规范要求。</w:t>
            </w:r>
          </w:p>
          <w:p w14:paraId="68F24F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10.成套设备的现场组装费用</w:t>
            </w:r>
            <w:r>
              <w:rPr>
                <w:rFonts w:hint="eastAsia" w:ascii="宋体" w:hAnsi="宋体" w:cs="宋体"/>
                <w:sz w:val="24"/>
                <w:szCs w:val="24"/>
                <w:highlight w:val="none"/>
                <w:lang w:eastAsia="zh-CN"/>
              </w:rPr>
              <w:t>，报价时应综合考虑，结算时不再增加此类费用。</w:t>
            </w:r>
          </w:p>
          <w:p w14:paraId="09D21D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十九、工程设备、主要材料及相关配件的价格应在设备表及主要材料表中详细列明品牌、规格、型号单价。报价中所选用的品牌档次应不低于以下品牌中档以上，如未注明，以招标人要求为准。</w:t>
            </w:r>
          </w:p>
          <w:p w14:paraId="4BDE81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yellow"/>
                <w:lang w:val="en-US" w:eastAsia="zh-CN"/>
              </w:rPr>
            </w:pPr>
            <w:r>
              <w:rPr>
                <w:rFonts w:hint="eastAsia" w:ascii="宋体" w:hAnsi="宋体" w:cs="宋体"/>
                <w:sz w:val="24"/>
                <w:szCs w:val="24"/>
                <w:highlight w:val="yellow"/>
                <w:lang w:val="en-US" w:eastAsia="zh-CN"/>
              </w:rPr>
              <w:t>钢材：</w:t>
            </w:r>
            <w:r>
              <w:rPr>
                <w:rFonts w:hint="eastAsia" w:ascii="宋体" w:hAnsi="宋体" w:cs="宋体"/>
                <w:sz w:val="24"/>
                <w:szCs w:val="24"/>
                <w:highlight w:val="yellow"/>
                <w:lang w:eastAsia="zh-CN"/>
              </w:rPr>
              <w:t>莱钢永锋、石横特钢、山钢</w:t>
            </w:r>
            <w:r>
              <w:rPr>
                <w:rFonts w:hint="eastAsia" w:ascii="宋体" w:hAnsi="宋体" w:cs="宋体"/>
                <w:sz w:val="24"/>
                <w:szCs w:val="24"/>
                <w:highlight w:val="yellow"/>
                <w:lang w:val="en-US" w:eastAsia="zh-CN"/>
              </w:rPr>
              <w:t>。</w:t>
            </w:r>
          </w:p>
          <w:p w14:paraId="684C41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yellow"/>
                <w:lang w:val="en-US" w:eastAsia="zh-CN"/>
              </w:rPr>
            </w:pPr>
            <w:r>
              <w:rPr>
                <w:rFonts w:hint="eastAsia" w:ascii="宋体" w:hAnsi="宋体" w:cs="宋体"/>
                <w:sz w:val="24"/>
                <w:szCs w:val="24"/>
                <w:highlight w:val="yellow"/>
                <w:lang w:val="en-US" w:eastAsia="zh-CN"/>
              </w:rPr>
              <w:t>板式换热器：山东艾普特、兰石、巨元等。</w:t>
            </w:r>
          </w:p>
          <w:p w14:paraId="191D61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yellow"/>
                <w:lang w:val="en-US" w:eastAsia="zh-CN"/>
              </w:rPr>
            </w:pPr>
            <w:r>
              <w:rPr>
                <w:rFonts w:hint="eastAsia" w:ascii="宋体" w:hAnsi="宋体" w:cs="宋体"/>
                <w:sz w:val="24"/>
                <w:szCs w:val="24"/>
                <w:highlight w:val="yellow"/>
                <w:lang w:val="en-US" w:eastAsia="zh-CN"/>
              </w:rPr>
              <w:t>水泵：南方、无双、凯泉等。</w:t>
            </w:r>
          </w:p>
          <w:p w14:paraId="23B3E2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yellow"/>
                <w:lang w:val="en-US" w:eastAsia="zh-CN"/>
              </w:rPr>
            </w:pPr>
            <w:r>
              <w:rPr>
                <w:rFonts w:hint="eastAsia" w:ascii="宋体" w:hAnsi="宋体" w:cs="宋体"/>
                <w:sz w:val="24"/>
                <w:szCs w:val="24"/>
                <w:highlight w:val="yellow"/>
                <w:lang w:val="en-US" w:eastAsia="zh-CN"/>
              </w:rPr>
              <w:t>远传控制器：西门子、和利时。</w:t>
            </w:r>
          </w:p>
          <w:p w14:paraId="4332EF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yellow"/>
                <w:lang w:val="en-US" w:eastAsia="zh-CN"/>
              </w:rPr>
            </w:pPr>
            <w:r>
              <w:rPr>
                <w:rFonts w:hint="eastAsia" w:ascii="宋体" w:hAnsi="宋体" w:cs="宋体"/>
                <w:sz w:val="24"/>
                <w:szCs w:val="24"/>
                <w:highlight w:val="yellow"/>
                <w:lang w:val="en-US" w:eastAsia="zh-CN"/>
              </w:rPr>
              <w:t>热量表：瑞纳、天罡。</w:t>
            </w:r>
          </w:p>
          <w:p w14:paraId="69ACD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yellow"/>
                <w:lang w:val="en-US" w:eastAsia="zh-CN"/>
              </w:rPr>
            </w:pPr>
            <w:r>
              <w:rPr>
                <w:rFonts w:hint="eastAsia" w:ascii="宋体" w:hAnsi="宋体" w:cs="宋体"/>
                <w:sz w:val="24"/>
                <w:szCs w:val="24"/>
                <w:highlight w:val="yellow"/>
                <w:lang w:val="en-US" w:eastAsia="zh-CN"/>
              </w:rPr>
              <w:t>仪表：红旗、华青。</w:t>
            </w:r>
          </w:p>
          <w:p w14:paraId="769FBE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default"/>
                <w:highlight w:val="yellow"/>
                <w:lang w:val="en-US" w:eastAsia="zh-CN"/>
              </w:rPr>
            </w:pPr>
            <w:r>
              <w:rPr>
                <w:rFonts w:hint="eastAsia" w:ascii="宋体" w:hAnsi="宋体" w:cs="宋体"/>
                <w:sz w:val="24"/>
                <w:szCs w:val="24"/>
                <w:highlight w:val="yellow"/>
                <w:lang w:val="en-US" w:eastAsia="zh-CN"/>
              </w:rPr>
              <w:t>阀门：上沪、中核苏阀、江南阀门。</w:t>
            </w:r>
          </w:p>
          <w:p w14:paraId="2A6BE2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二十、特别说明：</w:t>
            </w:r>
          </w:p>
          <w:p w14:paraId="37B348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各投标单位必须严格按照威海市建设工程电子交易系统表格</w:t>
            </w:r>
            <w:r>
              <w:rPr>
                <w:rFonts w:hint="eastAsia" w:ascii="宋体" w:hAnsi="宋体" w:eastAsia="宋体" w:cs="宋体"/>
                <w:sz w:val="24"/>
                <w:szCs w:val="24"/>
                <w:highlight w:val="none"/>
                <w:lang w:eastAsia="zh-CN"/>
              </w:rPr>
              <w:t>及提供清单样表</w:t>
            </w:r>
            <w:r>
              <w:rPr>
                <w:rFonts w:hint="eastAsia" w:ascii="宋体" w:hAnsi="宋体" w:eastAsia="宋体" w:cs="宋体"/>
                <w:sz w:val="24"/>
                <w:szCs w:val="24"/>
                <w:highlight w:val="none"/>
              </w:rPr>
              <w:t>要求报价，若有疑问按规定提出答疑。</w:t>
            </w:r>
          </w:p>
          <w:p w14:paraId="77D7C6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8"/>
                <w:szCs w:val="28"/>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关于补充清单工程量计算规则说明：补充清单子目项目特征内有工程量计算规则说明的，按清单项目特征说明的计算规则计算工程量，补充清单子目项目特征无工程量计算规则说明的，均按</w:t>
            </w:r>
            <w:r>
              <w:rPr>
                <w:rFonts w:hint="eastAsia" w:ascii="宋体" w:hAnsi="宋体" w:cs="宋体"/>
                <w:sz w:val="24"/>
                <w:szCs w:val="24"/>
                <w:highlight w:val="none"/>
                <w:lang w:val="en-US" w:eastAsia="zh-CN"/>
              </w:rPr>
              <w:t>2016山东省</w:t>
            </w:r>
            <w:r>
              <w:rPr>
                <w:rFonts w:hint="eastAsia" w:ascii="宋体" w:hAnsi="宋体" w:eastAsia="宋体" w:cs="宋体"/>
                <w:sz w:val="24"/>
                <w:szCs w:val="24"/>
                <w:highlight w:val="none"/>
              </w:rPr>
              <w:t>消耗量定额计算规则计算工程量。</w:t>
            </w:r>
          </w:p>
        </w:tc>
      </w:tr>
    </w:tbl>
    <w:p w14:paraId="40CB2768"/>
    <w:sectPr>
      <w:headerReference r:id="rId3" w:type="default"/>
      <w:pgSz w:w="11906" w:h="16838"/>
      <w:pgMar w:top="1043" w:right="1134" w:bottom="1100"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6EC26">
    <w:pPr>
      <w:jc w:val="center"/>
      <w:rPr>
        <w:rFonts w:ascii="宋体" w:hAnsi="宋体"/>
        <w:b/>
        <w:sz w:val="44"/>
        <w:szCs w:val="44"/>
      </w:rPr>
    </w:pPr>
    <w:r>
      <w:rPr>
        <w:rFonts w:hint="eastAsia" w:ascii="宋体" w:hAnsi="宋体"/>
        <w:b/>
        <w:sz w:val="44"/>
        <w:szCs w:val="44"/>
      </w:rPr>
      <w:t>总  说  明</w:t>
    </w:r>
  </w:p>
  <w:p w14:paraId="3DAB86C5">
    <w:pPr>
      <w:ind w:left="1200" w:hanging="2200" w:hangingChars="500"/>
    </w:pPr>
    <w:r>
      <w:rPr>
        <w:sz w:val="44"/>
      </w:rPr>
      <mc:AlternateContent>
        <mc:Choice Requires="wps">
          <w:drawing>
            <wp:anchor distT="0" distB="0" distL="114300" distR="114300" simplePos="0" relativeHeight="251659264" behindDoc="0" locked="0" layoutInCell="1" allowOverlap="1">
              <wp:simplePos x="0" y="0"/>
              <wp:positionH relativeFrom="margin">
                <wp:posOffset>5216525</wp:posOffset>
              </wp:positionH>
              <wp:positionV relativeFrom="paragraph">
                <wp:posOffset>25400</wp:posOffset>
              </wp:positionV>
              <wp:extent cx="963295" cy="167005"/>
              <wp:effectExtent l="0" t="0" r="0" b="0"/>
              <wp:wrapNone/>
              <wp:docPr id="1" name="文本框 3"/>
              <wp:cNvGraphicFramePr/>
              <a:graphic xmlns:a="http://schemas.openxmlformats.org/drawingml/2006/main">
                <a:graphicData uri="http://schemas.microsoft.com/office/word/2010/wordprocessingShape">
                  <wps:wsp>
                    <wps:cNvSpPr txBox="1"/>
                    <wps:spPr>
                      <a:xfrm>
                        <a:off x="0" y="0"/>
                        <a:ext cx="963295" cy="167005"/>
                      </a:xfrm>
                      <a:prstGeom prst="rect">
                        <a:avLst/>
                      </a:prstGeom>
                      <a:noFill/>
                      <a:ln w="9525">
                        <a:noFill/>
                      </a:ln>
                      <a:effectLst/>
                    </wps:spPr>
                    <wps:txbx>
                      <w:txbxContent>
                        <w:p w14:paraId="59487F0D">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square" lIns="0" tIns="0" rIns="0" bIns="0" upright="1">
                      <a:noAutofit/>
                    </wps:bodyPr>
                  </wps:wsp>
                </a:graphicData>
              </a:graphic>
            </wp:anchor>
          </w:drawing>
        </mc:Choice>
        <mc:Fallback>
          <w:pict>
            <v:shape id="文本框 3" o:spid="_x0000_s1026" o:spt="202" type="#_x0000_t202" style="position:absolute;left:0pt;margin-left:410.75pt;margin-top:2pt;height:13.15pt;width:75.85pt;mso-position-horizontal-relative:margin;z-index:251659264;mso-width-relative:page;mso-height-relative:page;" filled="f" stroked="f" coordsize="21600,21600" o:gfxdata="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Q4imz2AAAAAgBAAAPAAAA&#10;AAAAAAEAIAAAACIAAABkcnMvZG93bnJldi54bWxQSwECFAAUAAAACACHTuJAi5lZR9wBAACwAwAA&#10;DgAAAAAAAAABACAAAAAnAQAAZHJzL2Uyb0RvYy54bWxQSwUGAAAAAAYABgBZAQAAdQUAAAAA&#10;">
              <v:fill on="f" focussize="0,0"/>
              <v:stroke on="f"/>
              <v:imagedata o:title=""/>
              <o:lock v:ext="edit" aspectratio="f"/>
              <v:textbox inset="0mm,0mm,0mm,0mm">
                <w:txbxContent>
                  <w:p w14:paraId="59487F0D">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r>
      <w:rPr>
        <w:rFonts w:hint="eastAsia" w:ascii="宋体" w:hAnsi="宋体"/>
        <w:sz w:val="24"/>
      </w:rPr>
      <w:t>工程名称：</w:t>
    </w:r>
    <w:r>
      <w:rPr>
        <w:rFonts w:hint="eastAsia" w:ascii="宋体" w:hAnsi="宋体"/>
        <w:sz w:val="24"/>
        <w:lang w:val="en-US" w:eastAsia="zh-CN"/>
      </w:rPr>
      <w:t>威海</w:t>
    </w:r>
    <w:r>
      <w:rPr>
        <w:rFonts w:hint="eastAsia" w:ascii="宋体" w:hAnsi="宋体" w:eastAsia="宋体" w:cs="宋体"/>
        <w:sz w:val="24"/>
        <w:szCs w:val="24"/>
      </w:rPr>
      <w:t>临港经济技术开发区公共实训基地项目</w:t>
    </w:r>
    <w:r>
      <w:rPr>
        <w:rFonts w:hint="eastAsia" w:ascii="宋体" w:hAnsi="宋体" w:cs="宋体"/>
        <w:sz w:val="24"/>
        <w:szCs w:val="24"/>
        <w:lang w:eastAsia="zh-CN"/>
      </w:rPr>
      <w:t>供暖工程</w:t>
    </w:r>
    <w:r>
      <w:rPr>
        <w:rFonts w:hint="eastAsia" w:ascii="宋体" w:hAnsi="宋体" w:cs="宋体"/>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zZDljYTU5OThkZWQ3MjA4YjI4OTI1NmRkNGY0NjMifQ=="/>
  </w:docVars>
  <w:rsids>
    <w:rsidRoot w:val="4F336E3C"/>
    <w:rsid w:val="00027BFA"/>
    <w:rsid w:val="00094ABF"/>
    <w:rsid w:val="000A54A2"/>
    <w:rsid w:val="000A6FE5"/>
    <w:rsid w:val="000B19D8"/>
    <w:rsid w:val="000B558B"/>
    <w:rsid w:val="000E6311"/>
    <w:rsid w:val="0011264E"/>
    <w:rsid w:val="00141099"/>
    <w:rsid w:val="0014356A"/>
    <w:rsid w:val="00152DBA"/>
    <w:rsid w:val="0015565E"/>
    <w:rsid w:val="00181D01"/>
    <w:rsid w:val="00187E5A"/>
    <w:rsid w:val="00190DB9"/>
    <w:rsid w:val="001C430B"/>
    <w:rsid w:val="001C6997"/>
    <w:rsid w:val="001E5B00"/>
    <w:rsid w:val="001F2AE4"/>
    <w:rsid w:val="002016E5"/>
    <w:rsid w:val="00222A90"/>
    <w:rsid w:val="0023350E"/>
    <w:rsid w:val="00237EAB"/>
    <w:rsid w:val="00261364"/>
    <w:rsid w:val="002A38F0"/>
    <w:rsid w:val="002D06B3"/>
    <w:rsid w:val="002E2699"/>
    <w:rsid w:val="002F67F5"/>
    <w:rsid w:val="002F6D07"/>
    <w:rsid w:val="00334051"/>
    <w:rsid w:val="00353A9C"/>
    <w:rsid w:val="0035650C"/>
    <w:rsid w:val="0036090D"/>
    <w:rsid w:val="003669DA"/>
    <w:rsid w:val="00367AD5"/>
    <w:rsid w:val="00387425"/>
    <w:rsid w:val="003915C9"/>
    <w:rsid w:val="003B14E9"/>
    <w:rsid w:val="003B7394"/>
    <w:rsid w:val="003C3505"/>
    <w:rsid w:val="003D7C04"/>
    <w:rsid w:val="003F3EBA"/>
    <w:rsid w:val="003F56B9"/>
    <w:rsid w:val="0040145C"/>
    <w:rsid w:val="0040245C"/>
    <w:rsid w:val="00412C43"/>
    <w:rsid w:val="00443D21"/>
    <w:rsid w:val="00444F07"/>
    <w:rsid w:val="00475759"/>
    <w:rsid w:val="00480B26"/>
    <w:rsid w:val="004B786F"/>
    <w:rsid w:val="004C151D"/>
    <w:rsid w:val="004D2EC0"/>
    <w:rsid w:val="004E0D5A"/>
    <w:rsid w:val="004F11AE"/>
    <w:rsid w:val="004F1735"/>
    <w:rsid w:val="00511520"/>
    <w:rsid w:val="00524A32"/>
    <w:rsid w:val="00530E44"/>
    <w:rsid w:val="00533CE4"/>
    <w:rsid w:val="00541773"/>
    <w:rsid w:val="0054434A"/>
    <w:rsid w:val="00560AFC"/>
    <w:rsid w:val="00580514"/>
    <w:rsid w:val="00590242"/>
    <w:rsid w:val="005D147E"/>
    <w:rsid w:val="006029A2"/>
    <w:rsid w:val="006029D8"/>
    <w:rsid w:val="00615DFC"/>
    <w:rsid w:val="00664EE8"/>
    <w:rsid w:val="006A303B"/>
    <w:rsid w:val="006A3E03"/>
    <w:rsid w:val="006A672B"/>
    <w:rsid w:val="006A72C7"/>
    <w:rsid w:val="006C3623"/>
    <w:rsid w:val="006D68BC"/>
    <w:rsid w:val="006F3462"/>
    <w:rsid w:val="006F7C81"/>
    <w:rsid w:val="007016F6"/>
    <w:rsid w:val="00772367"/>
    <w:rsid w:val="007A21D9"/>
    <w:rsid w:val="0080289B"/>
    <w:rsid w:val="00805854"/>
    <w:rsid w:val="0086544B"/>
    <w:rsid w:val="00883EAB"/>
    <w:rsid w:val="00891D72"/>
    <w:rsid w:val="00895DE6"/>
    <w:rsid w:val="008966A0"/>
    <w:rsid w:val="008A2305"/>
    <w:rsid w:val="008A5BB5"/>
    <w:rsid w:val="008B30A9"/>
    <w:rsid w:val="008D6922"/>
    <w:rsid w:val="008F4F6A"/>
    <w:rsid w:val="009047CE"/>
    <w:rsid w:val="009112A2"/>
    <w:rsid w:val="0093015E"/>
    <w:rsid w:val="00937210"/>
    <w:rsid w:val="00942308"/>
    <w:rsid w:val="00944A5D"/>
    <w:rsid w:val="009510BC"/>
    <w:rsid w:val="009533A7"/>
    <w:rsid w:val="00956477"/>
    <w:rsid w:val="009643A5"/>
    <w:rsid w:val="009733D0"/>
    <w:rsid w:val="00981A6D"/>
    <w:rsid w:val="00986A3C"/>
    <w:rsid w:val="009B289E"/>
    <w:rsid w:val="009C1FF1"/>
    <w:rsid w:val="009D325D"/>
    <w:rsid w:val="009F025E"/>
    <w:rsid w:val="00A0747F"/>
    <w:rsid w:val="00A07683"/>
    <w:rsid w:val="00A250C0"/>
    <w:rsid w:val="00A369DB"/>
    <w:rsid w:val="00A53EF2"/>
    <w:rsid w:val="00A56190"/>
    <w:rsid w:val="00A741D8"/>
    <w:rsid w:val="00A76E3F"/>
    <w:rsid w:val="00A84285"/>
    <w:rsid w:val="00A93F99"/>
    <w:rsid w:val="00AC296F"/>
    <w:rsid w:val="00AC6963"/>
    <w:rsid w:val="00AD25F1"/>
    <w:rsid w:val="00AE4E67"/>
    <w:rsid w:val="00AF1398"/>
    <w:rsid w:val="00B22A05"/>
    <w:rsid w:val="00B2578B"/>
    <w:rsid w:val="00B735ED"/>
    <w:rsid w:val="00B804BF"/>
    <w:rsid w:val="00BA45AD"/>
    <w:rsid w:val="00BA59A5"/>
    <w:rsid w:val="00BF69AE"/>
    <w:rsid w:val="00C001C4"/>
    <w:rsid w:val="00C03310"/>
    <w:rsid w:val="00C17395"/>
    <w:rsid w:val="00C322FC"/>
    <w:rsid w:val="00C33B44"/>
    <w:rsid w:val="00C70B2F"/>
    <w:rsid w:val="00C95791"/>
    <w:rsid w:val="00CC11AD"/>
    <w:rsid w:val="00CD2E93"/>
    <w:rsid w:val="00CD688C"/>
    <w:rsid w:val="00CE5AA1"/>
    <w:rsid w:val="00CF311F"/>
    <w:rsid w:val="00D554DA"/>
    <w:rsid w:val="00D720B4"/>
    <w:rsid w:val="00D878A5"/>
    <w:rsid w:val="00D921E8"/>
    <w:rsid w:val="00DC0781"/>
    <w:rsid w:val="00DC5CAF"/>
    <w:rsid w:val="00DC6374"/>
    <w:rsid w:val="00DE0071"/>
    <w:rsid w:val="00DE11C9"/>
    <w:rsid w:val="00DE6AE5"/>
    <w:rsid w:val="00E0452B"/>
    <w:rsid w:val="00E33726"/>
    <w:rsid w:val="00E42BF2"/>
    <w:rsid w:val="00E43C84"/>
    <w:rsid w:val="00E654D2"/>
    <w:rsid w:val="00E7253E"/>
    <w:rsid w:val="00E97C82"/>
    <w:rsid w:val="00EA3980"/>
    <w:rsid w:val="00EA53C1"/>
    <w:rsid w:val="00ED4C4D"/>
    <w:rsid w:val="00EE0B12"/>
    <w:rsid w:val="00F05A71"/>
    <w:rsid w:val="00F136C2"/>
    <w:rsid w:val="00F13ED6"/>
    <w:rsid w:val="00F24A80"/>
    <w:rsid w:val="00F253C9"/>
    <w:rsid w:val="00F37DEA"/>
    <w:rsid w:val="00F657DC"/>
    <w:rsid w:val="00F735A5"/>
    <w:rsid w:val="00F95485"/>
    <w:rsid w:val="00FC61B3"/>
    <w:rsid w:val="00FE4EF6"/>
    <w:rsid w:val="00FE5271"/>
    <w:rsid w:val="01165D26"/>
    <w:rsid w:val="013F509B"/>
    <w:rsid w:val="014A6AE4"/>
    <w:rsid w:val="01520B08"/>
    <w:rsid w:val="01A66B90"/>
    <w:rsid w:val="01DB7ED5"/>
    <w:rsid w:val="023468A6"/>
    <w:rsid w:val="02664B5D"/>
    <w:rsid w:val="02AE0D8F"/>
    <w:rsid w:val="03070B87"/>
    <w:rsid w:val="03235901"/>
    <w:rsid w:val="03470A66"/>
    <w:rsid w:val="03514599"/>
    <w:rsid w:val="03625FBA"/>
    <w:rsid w:val="039E4008"/>
    <w:rsid w:val="03AE0D1C"/>
    <w:rsid w:val="03FA10A6"/>
    <w:rsid w:val="043B5984"/>
    <w:rsid w:val="04670727"/>
    <w:rsid w:val="047D2CCC"/>
    <w:rsid w:val="049D1E28"/>
    <w:rsid w:val="04A557F4"/>
    <w:rsid w:val="04BD29A3"/>
    <w:rsid w:val="04E23620"/>
    <w:rsid w:val="04EA1B9E"/>
    <w:rsid w:val="053733FD"/>
    <w:rsid w:val="056621AB"/>
    <w:rsid w:val="05712C97"/>
    <w:rsid w:val="061752E9"/>
    <w:rsid w:val="062F41D5"/>
    <w:rsid w:val="06A839B7"/>
    <w:rsid w:val="06DF63DC"/>
    <w:rsid w:val="06EC6E8D"/>
    <w:rsid w:val="07030DD2"/>
    <w:rsid w:val="072616CC"/>
    <w:rsid w:val="07390969"/>
    <w:rsid w:val="07BA51E4"/>
    <w:rsid w:val="07DC0D92"/>
    <w:rsid w:val="07FB4238"/>
    <w:rsid w:val="08126C09"/>
    <w:rsid w:val="08162C7E"/>
    <w:rsid w:val="0833785E"/>
    <w:rsid w:val="085F059B"/>
    <w:rsid w:val="08611EA6"/>
    <w:rsid w:val="088B691A"/>
    <w:rsid w:val="092D578C"/>
    <w:rsid w:val="094F489A"/>
    <w:rsid w:val="098614EC"/>
    <w:rsid w:val="0990731B"/>
    <w:rsid w:val="09A709D1"/>
    <w:rsid w:val="09E758D8"/>
    <w:rsid w:val="09EE0207"/>
    <w:rsid w:val="0A184539"/>
    <w:rsid w:val="0A262D6D"/>
    <w:rsid w:val="0A3403BE"/>
    <w:rsid w:val="0A7C782E"/>
    <w:rsid w:val="0A8B2416"/>
    <w:rsid w:val="0A957F7B"/>
    <w:rsid w:val="0AB84E97"/>
    <w:rsid w:val="0B4C288C"/>
    <w:rsid w:val="0B705C84"/>
    <w:rsid w:val="0BBC29AD"/>
    <w:rsid w:val="0BDA1FC5"/>
    <w:rsid w:val="0BDE71B0"/>
    <w:rsid w:val="0BDE7929"/>
    <w:rsid w:val="0BE776F0"/>
    <w:rsid w:val="0BF33C73"/>
    <w:rsid w:val="0C0E7E79"/>
    <w:rsid w:val="0C5A50B6"/>
    <w:rsid w:val="0C785A50"/>
    <w:rsid w:val="0C860598"/>
    <w:rsid w:val="0CDD0B35"/>
    <w:rsid w:val="0D001985"/>
    <w:rsid w:val="0D264FB8"/>
    <w:rsid w:val="0D2D7E24"/>
    <w:rsid w:val="0DA23814"/>
    <w:rsid w:val="0E1179AC"/>
    <w:rsid w:val="0E2F78AF"/>
    <w:rsid w:val="0E343608"/>
    <w:rsid w:val="0E636391"/>
    <w:rsid w:val="0E7D0045"/>
    <w:rsid w:val="0E7D6CF8"/>
    <w:rsid w:val="0ECD7B9B"/>
    <w:rsid w:val="0F224D4B"/>
    <w:rsid w:val="0F3871AE"/>
    <w:rsid w:val="0F4F48CE"/>
    <w:rsid w:val="0F5C6675"/>
    <w:rsid w:val="0F602DAA"/>
    <w:rsid w:val="0FC429DC"/>
    <w:rsid w:val="0FC5213C"/>
    <w:rsid w:val="100B338C"/>
    <w:rsid w:val="10302EB4"/>
    <w:rsid w:val="10477D1A"/>
    <w:rsid w:val="10741386"/>
    <w:rsid w:val="10B55B26"/>
    <w:rsid w:val="10EB1D11"/>
    <w:rsid w:val="113B78FB"/>
    <w:rsid w:val="1167172A"/>
    <w:rsid w:val="116F1EF0"/>
    <w:rsid w:val="11706FC5"/>
    <w:rsid w:val="11EB76E5"/>
    <w:rsid w:val="121F4D90"/>
    <w:rsid w:val="122D09D6"/>
    <w:rsid w:val="1231245E"/>
    <w:rsid w:val="124A1166"/>
    <w:rsid w:val="12526363"/>
    <w:rsid w:val="125943D2"/>
    <w:rsid w:val="134E76AF"/>
    <w:rsid w:val="13504128"/>
    <w:rsid w:val="135648E5"/>
    <w:rsid w:val="1398312C"/>
    <w:rsid w:val="13AC024E"/>
    <w:rsid w:val="13C16B85"/>
    <w:rsid w:val="13D854CF"/>
    <w:rsid w:val="14091310"/>
    <w:rsid w:val="14423DE3"/>
    <w:rsid w:val="144D027A"/>
    <w:rsid w:val="14E27EA8"/>
    <w:rsid w:val="152836C1"/>
    <w:rsid w:val="153D7F1F"/>
    <w:rsid w:val="15532EB7"/>
    <w:rsid w:val="156D5B23"/>
    <w:rsid w:val="15FF3A53"/>
    <w:rsid w:val="16590FA7"/>
    <w:rsid w:val="166F4FD4"/>
    <w:rsid w:val="16A93834"/>
    <w:rsid w:val="17035E6F"/>
    <w:rsid w:val="17256B54"/>
    <w:rsid w:val="174D7B9F"/>
    <w:rsid w:val="177464F2"/>
    <w:rsid w:val="17AB3457"/>
    <w:rsid w:val="17C30514"/>
    <w:rsid w:val="17D43780"/>
    <w:rsid w:val="17DE2DEA"/>
    <w:rsid w:val="18071B4C"/>
    <w:rsid w:val="1839223B"/>
    <w:rsid w:val="184501E3"/>
    <w:rsid w:val="185F158E"/>
    <w:rsid w:val="18713CBF"/>
    <w:rsid w:val="18887969"/>
    <w:rsid w:val="18B91CF0"/>
    <w:rsid w:val="18D272C1"/>
    <w:rsid w:val="18D52EBD"/>
    <w:rsid w:val="18E32D1F"/>
    <w:rsid w:val="19E5756F"/>
    <w:rsid w:val="19E71034"/>
    <w:rsid w:val="19FC2AD9"/>
    <w:rsid w:val="1A357594"/>
    <w:rsid w:val="1AAA406A"/>
    <w:rsid w:val="1AB460A5"/>
    <w:rsid w:val="1ACC6D76"/>
    <w:rsid w:val="1AE80089"/>
    <w:rsid w:val="1B133761"/>
    <w:rsid w:val="1B4F231A"/>
    <w:rsid w:val="1B5B7A3D"/>
    <w:rsid w:val="1B5E16E6"/>
    <w:rsid w:val="1B7B21C3"/>
    <w:rsid w:val="1B83474F"/>
    <w:rsid w:val="1B8D411E"/>
    <w:rsid w:val="1BA37088"/>
    <w:rsid w:val="1BD61597"/>
    <w:rsid w:val="1C5E3887"/>
    <w:rsid w:val="1C692F88"/>
    <w:rsid w:val="1CAE4512"/>
    <w:rsid w:val="1CDF1C2E"/>
    <w:rsid w:val="1D240302"/>
    <w:rsid w:val="1D381874"/>
    <w:rsid w:val="1DCD5DBE"/>
    <w:rsid w:val="1E09262E"/>
    <w:rsid w:val="1E130D48"/>
    <w:rsid w:val="1E254DD5"/>
    <w:rsid w:val="1EAE0919"/>
    <w:rsid w:val="1EC04BA4"/>
    <w:rsid w:val="1EDD50C5"/>
    <w:rsid w:val="1F0117B1"/>
    <w:rsid w:val="1F097BB0"/>
    <w:rsid w:val="1F0E3776"/>
    <w:rsid w:val="1F7E1038"/>
    <w:rsid w:val="1F997315"/>
    <w:rsid w:val="1FD0233B"/>
    <w:rsid w:val="1FF4119A"/>
    <w:rsid w:val="20534DBB"/>
    <w:rsid w:val="20C57765"/>
    <w:rsid w:val="21362230"/>
    <w:rsid w:val="21461C37"/>
    <w:rsid w:val="21524ED3"/>
    <w:rsid w:val="2153266F"/>
    <w:rsid w:val="216210F4"/>
    <w:rsid w:val="21623520"/>
    <w:rsid w:val="216A7612"/>
    <w:rsid w:val="21A01CBB"/>
    <w:rsid w:val="21EA6550"/>
    <w:rsid w:val="224D747B"/>
    <w:rsid w:val="225504C3"/>
    <w:rsid w:val="2258292C"/>
    <w:rsid w:val="227759B5"/>
    <w:rsid w:val="228A08FD"/>
    <w:rsid w:val="22964C58"/>
    <w:rsid w:val="229E630E"/>
    <w:rsid w:val="22CB791F"/>
    <w:rsid w:val="234D2803"/>
    <w:rsid w:val="236C4C74"/>
    <w:rsid w:val="23B85F4A"/>
    <w:rsid w:val="23C27F4D"/>
    <w:rsid w:val="241111A1"/>
    <w:rsid w:val="24515B58"/>
    <w:rsid w:val="24B61744"/>
    <w:rsid w:val="24CA7739"/>
    <w:rsid w:val="24E40053"/>
    <w:rsid w:val="25261673"/>
    <w:rsid w:val="253A3610"/>
    <w:rsid w:val="253F77A6"/>
    <w:rsid w:val="25B5416D"/>
    <w:rsid w:val="260C15B6"/>
    <w:rsid w:val="264A51F6"/>
    <w:rsid w:val="268D2477"/>
    <w:rsid w:val="26E83F6D"/>
    <w:rsid w:val="275E5D0F"/>
    <w:rsid w:val="27BF5359"/>
    <w:rsid w:val="27D01BFF"/>
    <w:rsid w:val="28594A28"/>
    <w:rsid w:val="28925FBC"/>
    <w:rsid w:val="28952514"/>
    <w:rsid w:val="28C31515"/>
    <w:rsid w:val="29151B5B"/>
    <w:rsid w:val="293D2A84"/>
    <w:rsid w:val="29405AB2"/>
    <w:rsid w:val="29A064E8"/>
    <w:rsid w:val="29C62DD3"/>
    <w:rsid w:val="29EE7652"/>
    <w:rsid w:val="2A0612AA"/>
    <w:rsid w:val="2A100B24"/>
    <w:rsid w:val="2A3004CC"/>
    <w:rsid w:val="2A4121AA"/>
    <w:rsid w:val="2A507EA2"/>
    <w:rsid w:val="2A510138"/>
    <w:rsid w:val="2A5A011A"/>
    <w:rsid w:val="2AB01CBF"/>
    <w:rsid w:val="2ABA5365"/>
    <w:rsid w:val="2ABE78F8"/>
    <w:rsid w:val="2B1745A6"/>
    <w:rsid w:val="2B87706E"/>
    <w:rsid w:val="2BE70756"/>
    <w:rsid w:val="2C302D8F"/>
    <w:rsid w:val="2CB14883"/>
    <w:rsid w:val="2CE571FA"/>
    <w:rsid w:val="2CF21157"/>
    <w:rsid w:val="2CF35CBA"/>
    <w:rsid w:val="2D795138"/>
    <w:rsid w:val="2DB4786B"/>
    <w:rsid w:val="2E127560"/>
    <w:rsid w:val="2E751113"/>
    <w:rsid w:val="2ED97A85"/>
    <w:rsid w:val="2F2013F9"/>
    <w:rsid w:val="2F3E2FB3"/>
    <w:rsid w:val="2F4B493D"/>
    <w:rsid w:val="2F5E6388"/>
    <w:rsid w:val="2F7F74D1"/>
    <w:rsid w:val="2F960DA8"/>
    <w:rsid w:val="2F9677DA"/>
    <w:rsid w:val="2FD6556D"/>
    <w:rsid w:val="2FE67878"/>
    <w:rsid w:val="2FF43C43"/>
    <w:rsid w:val="30301380"/>
    <w:rsid w:val="305478ED"/>
    <w:rsid w:val="307B0A10"/>
    <w:rsid w:val="307F02F3"/>
    <w:rsid w:val="30887536"/>
    <w:rsid w:val="30912DC1"/>
    <w:rsid w:val="309331ED"/>
    <w:rsid w:val="309471A9"/>
    <w:rsid w:val="30CB6DD6"/>
    <w:rsid w:val="31E55B9F"/>
    <w:rsid w:val="320E4C6B"/>
    <w:rsid w:val="32232993"/>
    <w:rsid w:val="32464464"/>
    <w:rsid w:val="327A29B8"/>
    <w:rsid w:val="327A795F"/>
    <w:rsid w:val="329437E6"/>
    <w:rsid w:val="329A2708"/>
    <w:rsid w:val="32A00762"/>
    <w:rsid w:val="32A97926"/>
    <w:rsid w:val="3339620F"/>
    <w:rsid w:val="333C3122"/>
    <w:rsid w:val="338B0B00"/>
    <w:rsid w:val="33C46DDA"/>
    <w:rsid w:val="34256CE3"/>
    <w:rsid w:val="3495423E"/>
    <w:rsid w:val="34AC4957"/>
    <w:rsid w:val="34DF2965"/>
    <w:rsid w:val="35420A98"/>
    <w:rsid w:val="355C033E"/>
    <w:rsid w:val="357C3122"/>
    <w:rsid w:val="35816985"/>
    <w:rsid w:val="358A541D"/>
    <w:rsid w:val="35952602"/>
    <w:rsid w:val="35AE6170"/>
    <w:rsid w:val="35CE1971"/>
    <w:rsid w:val="35D17ECC"/>
    <w:rsid w:val="35E42620"/>
    <w:rsid w:val="35ED32FF"/>
    <w:rsid w:val="362848B8"/>
    <w:rsid w:val="362D2FFE"/>
    <w:rsid w:val="36C055B8"/>
    <w:rsid w:val="36C87429"/>
    <w:rsid w:val="36FF219F"/>
    <w:rsid w:val="37056723"/>
    <w:rsid w:val="370C22E3"/>
    <w:rsid w:val="37133783"/>
    <w:rsid w:val="378C2740"/>
    <w:rsid w:val="37A839F0"/>
    <w:rsid w:val="37BA5DFD"/>
    <w:rsid w:val="37E148D1"/>
    <w:rsid w:val="37F83717"/>
    <w:rsid w:val="380D37B8"/>
    <w:rsid w:val="38293DC6"/>
    <w:rsid w:val="38340032"/>
    <w:rsid w:val="384A0603"/>
    <w:rsid w:val="385C2479"/>
    <w:rsid w:val="38C00B76"/>
    <w:rsid w:val="39147A73"/>
    <w:rsid w:val="39171404"/>
    <w:rsid w:val="399E1B89"/>
    <w:rsid w:val="39B05532"/>
    <w:rsid w:val="39CB52D2"/>
    <w:rsid w:val="39CC496A"/>
    <w:rsid w:val="3A342C2A"/>
    <w:rsid w:val="3A784CBD"/>
    <w:rsid w:val="3ABA6C94"/>
    <w:rsid w:val="3B2B4908"/>
    <w:rsid w:val="3B3E03A8"/>
    <w:rsid w:val="3B3F6BCF"/>
    <w:rsid w:val="3B436CFE"/>
    <w:rsid w:val="3BAA4281"/>
    <w:rsid w:val="3BEE482F"/>
    <w:rsid w:val="3C1A6E02"/>
    <w:rsid w:val="3C484462"/>
    <w:rsid w:val="3CB514FE"/>
    <w:rsid w:val="3D452F77"/>
    <w:rsid w:val="3D491322"/>
    <w:rsid w:val="3D8561A7"/>
    <w:rsid w:val="3D8805D8"/>
    <w:rsid w:val="3D911C13"/>
    <w:rsid w:val="3DCA1F9B"/>
    <w:rsid w:val="3DCB0F38"/>
    <w:rsid w:val="3DD27E91"/>
    <w:rsid w:val="3E1C31D9"/>
    <w:rsid w:val="3E500F0D"/>
    <w:rsid w:val="3E67050A"/>
    <w:rsid w:val="3E8D3BAA"/>
    <w:rsid w:val="3EC000E1"/>
    <w:rsid w:val="3F510FF8"/>
    <w:rsid w:val="3F7C1824"/>
    <w:rsid w:val="3F8D2F59"/>
    <w:rsid w:val="401F2ECA"/>
    <w:rsid w:val="403168AD"/>
    <w:rsid w:val="403D5B2C"/>
    <w:rsid w:val="40D67913"/>
    <w:rsid w:val="412142FF"/>
    <w:rsid w:val="41770CEE"/>
    <w:rsid w:val="41A716D9"/>
    <w:rsid w:val="41F146AB"/>
    <w:rsid w:val="421204AA"/>
    <w:rsid w:val="427C39CF"/>
    <w:rsid w:val="42BA2C8C"/>
    <w:rsid w:val="42C83582"/>
    <w:rsid w:val="42D05144"/>
    <w:rsid w:val="42F07CC8"/>
    <w:rsid w:val="430E1956"/>
    <w:rsid w:val="4351651A"/>
    <w:rsid w:val="4414513E"/>
    <w:rsid w:val="441D7912"/>
    <w:rsid w:val="44486BB8"/>
    <w:rsid w:val="445552E9"/>
    <w:rsid w:val="448C05DF"/>
    <w:rsid w:val="449C1C7C"/>
    <w:rsid w:val="44D22496"/>
    <w:rsid w:val="456045C0"/>
    <w:rsid w:val="456F5912"/>
    <w:rsid w:val="45A25FA2"/>
    <w:rsid w:val="45B81F55"/>
    <w:rsid w:val="45D852AB"/>
    <w:rsid w:val="45DC30F5"/>
    <w:rsid w:val="463604FF"/>
    <w:rsid w:val="464B0F4B"/>
    <w:rsid w:val="46BF534C"/>
    <w:rsid w:val="46C874E8"/>
    <w:rsid w:val="46E748D9"/>
    <w:rsid w:val="46FB6DB7"/>
    <w:rsid w:val="4711008A"/>
    <w:rsid w:val="477E24BD"/>
    <w:rsid w:val="4796575B"/>
    <w:rsid w:val="47D562E1"/>
    <w:rsid w:val="47E36062"/>
    <w:rsid w:val="48C55AA6"/>
    <w:rsid w:val="48F574D4"/>
    <w:rsid w:val="4962322A"/>
    <w:rsid w:val="49852828"/>
    <w:rsid w:val="49A403AD"/>
    <w:rsid w:val="49CA3130"/>
    <w:rsid w:val="49CD6BC9"/>
    <w:rsid w:val="49E576E1"/>
    <w:rsid w:val="4A0209FF"/>
    <w:rsid w:val="4A0D4676"/>
    <w:rsid w:val="4A585140"/>
    <w:rsid w:val="4A6E7AE4"/>
    <w:rsid w:val="4B287DD0"/>
    <w:rsid w:val="4B611696"/>
    <w:rsid w:val="4B716B7D"/>
    <w:rsid w:val="4BD57DC1"/>
    <w:rsid w:val="4BE7146D"/>
    <w:rsid w:val="4C727866"/>
    <w:rsid w:val="4CB07E81"/>
    <w:rsid w:val="4CC1775F"/>
    <w:rsid w:val="4D2D66F2"/>
    <w:rsid w:val="4D6F45E4"/>
    <w:rsid w:val="4D932079"/>
    <w:rsid w:val="4DCF6FBA"/>
    <w:rsid w:val="4E167E86"/>
    <w:rsid w:val="4E2A1E24"/>
    <w:rsid w:val="4E2A75ED"/>
    <w:rsid w:val="4E4B2C8F"/>
    <w:rsid w:val="4EDF00AD"/>
    <w:rsid w:val="4EE35842"/>
    <w:rsid w:val="4F336E3C"/>
    <w:rsid w:val="4F3E7C93"/>
    <w:rsid w:val="4F545416"/>
    <w:rsid w:val="50166955"/>
    <w:rsid w:val="50320181"/>
    <w:rsid w:val="50C007EA"/>
    <w:rsid w:val="51014520"/>
    <w:rsid w:val="510179DE"/>
    <w:rsid w:val="512947D3"/>
    <w:rsid w:val="512E1FB3"/>
    <w:rsid w:val="51320B05"/>
    <w:rsid w:val="5136522B"/>
    <w:rsid w:val="516C3A15"/>
    <w:rsid w:val="51920E45"/>
    <w:rsid w:val="51E87C2F"/>
    <w:rsid w:val="52323E50"/>
    <w:rsid w:val="529B26EB"/>
    <w:rsid w:val="5304357D"/>
    <w:rsid w:val="531442E2"/>
    <w:rsid w:val="533B277C"/>
    <w:rsid w:val="534963CD"/>
    <w:rsid w:val="53644165"/>
    <w:rsid w:val="539603BB"/>
    <w:rsid w:val="539A650E"/>
    <w:rsid w:val="53DA4F34"/>
    <w:rsid w:val="53FC3DF4"/>
    <w:rsid w:val="540E61EF"/>
    <w:rsid w:val="54107A70"/>
    <w:rsid w:val="54241B73"/>
    <w:rsid w:val="54613244"/>
    <w:rsid w:val="549D6597"/>
    <w:rsid w:val="55213306"/>
    <w:rsid w:val="55295FE6"/>
    <w:rsid w:val="5532100D"/>
    <w:rsid w:val="55770F00"/>
    <w:rsid w:val="55797199"/>
    <w:rsid w:val="55AB06A5"/>
    <w:rsid w:val="55B56D20"/>
    <w:rsid w:val="56145195"/>
    <w:rsid w:val="56C12838"/>
    <w:rsid w:val="57321FFA"/>
    <w:rsid w:val="57B11DED"/>
    <w:rsid w:val="57C71FEE"/>
    <w:rsid w:val="580F187B"/>
    <w:rsid w:val="584510FB"/>
    <w:rsid w:val="584E7903"/>
    <w:rsid w:val="58875F10"/>
    <w:rsid w:val="591362E9"/>
    <w:rsid w:val="59156270"/>
    <w:rsid w:val="59227861"/>
    <w:rsid w:val="5928592B"/>
    <w:rsid w:val="59482EB8"/>
    <w:rsid w:val="594F4C19"/>
    <w:rsid w:val="5972651C"/>
    <w:rsid w:val="5A12459D"/>
    <w:rsid w:val="5A2E5601"/>
    <w:rsid w:val="5A51347D"/>
    <w:rsid w:val="5AAB7053"/>
    <w:rsid w:val="5AC2738F"/>
    <w:rsid w:val="5AFC0649"/>
    <w:rsid w:val="5B201B97"/>
    <w:rsid w:val="5B5C0CEB"/>
    <w:rsid w:val="5B9508DB"/>
    <w:rsid w:val="5BEB1760"/>
    <w:rsid w:val="5C17597B"/>
    <w:rsid w:val="5C1A73B7"/>
    <w:rsid w:val="5CE04AB7"/>
    <w:rsid w:val="5CED5434"/>
    <w:rsid w:val="5D19796F"/>
    <w:rsid w:val="5D247304"/>
    <w:rsid w:val="5DA07AED"/>
    <w:rsid w:val="5E0F64A9"/>
    <w:rsid w:val="5E226AE4"/>
    <w:rsid w:val="5E87360F"/>
    <w:rsid w:val="5F036C38"/>
    <w:rsid w:val="5F57773F"/>
    <w:rsid w:val="5F865A75"/>
    <w:rsid w:val="5FBE29D8"/>
    <w:rsid w:val="5FE86344"/>
    <w:rsid w:val="607413BF"/>
    <w:rsid w:val="60BC53EF"/>
    <w:rsid w:val="60D45AF5"/>
    <w:rsid w:val="61027780"/>
    <w:rsid w:val="612605D2"/>
    <w:rsid w:val="61FB7015"/>
    <w:rsid w:val="625866C8"/>
    <w:rsid w:val="627129F7"/>
    <w:rsid w:val="62C30581"/>
    <w:rsid w:val="632867AF"/>
    <w:rsid w:val="6370708C"/>
    <w:rsid w:val="638953F4"/>
    <w:rsid w:val="638F6B6A"/>
    <w:rsid w:val="63974B7F"/>
    <w:rsid w:val="63B41A8E"/>
    <w:rsid w:val="63D64007"/>
    <w:rsid w:val="63F44DD9"/>
    <w:rsid w:val="63FF5D32"/>
    <w:rsid w:val="640A4280"/>
    <w:rsid w:val="642A61F7"/>
    <w:rsid w:val="64367C04"/>
    <w:rsid w:val="64782998"/>
    <w:rsid w:val="653E6B5C"/>
    <w:rsid w:val="658D6C7E"/>
    <w:rsid w:val="65DB5FF1"/>
    <w:rsid w:val="66002BEC"/>
    <w:rsid w:val="66216C98"/>
    <w:rsid w:val="662777EB"/>
    <w:rsid w:val="66A767BE"/>
    <w:rsid w:val="673A0337"/>
    <w:rsid w:val="67441728"/>
    <w:rsid w:val="678E5122"/>
    <w:rsid w:val="67971486"/>
    <w:rsid w:val="67AB74CF"/>
    <w:rsid w:val="67C92C74"/>
    <w:rsid w:val="67D166B0"/>
    <w:rsid w:val="67F16D83"/>
    <w:rsid w:val="68070F03"/>
    <w:rsid w:val="685C72BD"/>
    <w:rsid w:val="68694029"/>
    <w:rsid w:val="688A0EA2"/>
    <w:rsid w:val="68946D08"/>
    <w:rsid w:val="68C61C38"/>
    <w:rsid w:val="6960453B"/>
    <w:rsid w:val="69A665BA"/>
    <w:rsid w:val="6A1B62E6"/>
    <w:rsid w:val="6A277B4B"/>
    <w:rsid w:val="6A292A3B"/>
    <w:rsid w:val="6A574ACC"/>
    <w:rsid w:val="6B087713"/>
    <w:rsid w:val="6B8C22D2"/>
    <w:rsid w:val="6BEA7A15"/>
    <w:rsid w:val="6BED2C94"/>
    <w:rsid w:val="6C052523"/>
    <w:rsid w:val="6C2216A6"/>
    <w:rsid w:val="6C323C13"/>
    <w:rsid w:val="6C93129E"/>
    <w:rsid w:val="6CB84779"/>
    <w:rsid w:val="6D2E4AE7"/>
    <w:rsid w:val="6D2E5AED"/>
    <w:rsid w:val="6D422099"/>
    <w:rsid w:val="6D5D07C3"/>
    <w:rsid w:val="6D5D2899"/>
    <w:rsid w:val="6D6D5CF4"/>
    <w:rsid w:val="6D8F6582"/>
    <w:rsid w:val="6DBB323B"/>
    <w:rsid w:val="6DC352E1"/>
    <w:rsid w:val="6DCC5B35"/>
    <w:rsid w:val="6E0B6EAB"/>
    <w:rsid w:val="6E28521A"/>
    <w:rsid w:val="6E2F277D"/>
    <w:rsid w:val="6E3D1684"/>
    <w:rsid w:val="6E796718"/>
    <w:rsid w:val="6E7D5E48"/>
    <w:rsid w:val="6ED11FEA"/>
    <w:rsid w:val="6F0A01C5"/>
    <w:rsid w:val="6F9B519C"/>
    <w:rsid w:val="6FC34F4E"/>
    <w:rsid w:val="6FCB7439"/>
    <w:rsid w:val="6FE46719"/>
    <w:rsid w:val="704A5291"/>
    <w:rsid w:val="709C3544"/>
    <w:rsid w:val="70B8552E"/>
    <w:rsid w:val="70B86601"/>
    <w:rsid w:val="70CF5FCF"/>
    <w:rsid w:val="71323AC1"/>
    <w:rsid w:val="716867B6"/>
    <w:rsid w:val="71B76A39"/>
    <w:rsid w:val="71C92C92"/>
    <w:rsid w:val="71D63BD6"/>
    <w:rsid w:val="720E6C5C"/>
    <w:rsid w:val="721B1E73"/>
    <w:rsid w:val="723F7DCE"/>
    <w:rsid w:val="728C2411"/>
    <w:rsid w:val="72D549D0"/>
    <w:rsid w:val="72EE6B94"/>
    <w:rsid w:val="72F963B7"/>
    <w:rsid w:val="730209BC"/>
    <w:rsid w:val="73136812"/>
    <w:rsid w:val="7383219D"/>
    <w:rsid w:val="73857890"/>
    <w:rsid w:val="73AE0024"/>
    <w:rsid w:val="74286040"/>
    <w:rsid w:val="745A0FD6"/>
    <w:rsid w:val="747D3DA5"/>
    <w:rsid w:val="74CA42EA"/>
    <w:rsid w:val="74EB372F"/>
    <w:rsid w:val="7515477F"/>
    <w:rsid w:val="75930CBE"/>
    <w:rsid w:val="759D7C99"/>
    <w:rsid w:val="760D1E9B"/>
    <w:rsid w:val="76E235E7"/>
    <w:rsid w:val="77271244"/>
    <w:rsid w:val="773B7ACF"/>
    <w:rsid w:val="77A51B0F"/>
    <w:rsid w:val="77A674CC"/>
    <w:rsid w:val="77CB5856"/>
    <w:rsid w:val="780118BE"/>
    <w:rsid w:val="78147E3D"/>
    <w:rsid w:val="78366D12"/>
    <w:rsid w:val="784C141F"/>
    <w:rsid w:val="78591FAB"/>
    <w:rsid w:val="786E34C5"/>
    <w:rsid w:val="7884311C"/>
    <w:rsid w:val="791F191E"/>
    <w:rsid w:val="79341367"/>
    <w:rsid w:val="7964654D"/>
    <w:rsid w:val="79752883"/>
    <w:rsid w:val="79DE4292"/>
    <w:rsid w:val="79F72F38"/>
    <w:rsid w:val="7A222590"/>
    <w:rsid w:val="7A5D1B2F"/>
    <w:rsid w:val="7A805EAF"/>
    <w:rsid w:val="7A8B6304"/>
    <w:rsid w:val="7B110498"/>
    <w:rsid w:val="7B2A2BFA"/>
    <w:rsid w:val="7B6575B7"/>
    <w:rsid w:val="7BD613B0"/>
    <w:rsid w:val="7C5851D6"/>
    <w:rsid w:val="7C5A337F"/>
    <w:rsid w:val="7C6646DB"/>
    <w:rsid w:val="7C6B73DC"/>
    <w:rsid w:val="7C991C05"/>
    <w:rsid w:val="7CC14990"/>
    <w:rsid w:val="7E04602F"/>
    <w:rsid w:val="7E487AAD"/>
    <w:rsid w:val="7E6A0F0A"/>
    <w:rsid w:val="7EB61DB2"/>
    <w:rsid w:val="7ED36FE9"/>
    <w:rsid w:val="7F154003"/>
    <w:rsid w:val="7F312AF8"/>
    <w:rsid w:val="7F781342"/>
    <w:rsid w:val="7F817663"/>
    <w:rsid w:val="7FB32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3"/>
    <w:basedOn w:val="1"/>
    <w:qFormat/>
    <w:uiPriority w:val="0"/>
    <w:pPr>
      <w:spacing w:after="120"/>
      <w:ind w:left="420" w:leftChars="200"/>
    </w:pPr>
    <w:rPr>
      <w:sz w:val="16"/>
      <w:szCs w:val="16"/>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paragraph" w:styleId="9">
    <w:name w:val="List Paragraph"/>
    <w:basedOn w:val="1"/>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C728B-B9FA-4D0A-8BF8-C060692087B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4768</Words>
  <Characters>4881</Characters>
  <Lines>108</Lines>
  <Paragraphs>30</Paragraphs>
  <TotalTime>11</TotalTime>
  <ScaleCrop>false</ScaleCrop>
  <LinksUpToDate>false</LinksUpToDate>
  <CharactersWithSpaces>4881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2021-09-09T06:05:00Z</dcterms:created>
  <dc:creator>~天空湛蓝~</dc:creator>
  <cp:lastModifiedBy>shining</cp:lastModifiedBy>
  <cp:lastPrinted>2022-09-19T03:03:00Z</cp:lastPrinted>
  <dcterms:modified xsi:type="dcterms:W3CDTF">2026-02-02T07:41:29Z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126C626263E44440899A02070F93FCAF</vt:lpwstr>
  </property>
  <property fmtid="{D5CDD505-2E9C-101B-9397-08002B2CF9AE}" pid="4" name="KSOTemplateDocerSaveRecord">
    <vt:lpwstr>eyJoZGlkIjoiYzJjY2NiZDBlMzM0MjVkNTk5Mzk1NzkyYWIwNTUwOTEiLCJ1c2VySWQiOiIyOTk1OTU2NTIifQ==</vt:lpwstr>
  </property>
</Properties>
</file>